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24179">
      <w:pPr>
        <w:spacing w:line="240" w:lineRule="atLeast"/>
        <w:jc w:val="center"/>
        <w:rPr>
          <w:rFonts w:hint="eastAsia" w:ascii="仿宋" w:hAnsi="仿宋" w:eastAsia="仿宋"/>
          <w:sz w:val="52"/>
          <w:szCs w:val="52"/>
          <w:highlight w:val="none"/>
        </w:rPr>
      </w:pPr>
    </w:p>
    <w:p w14:paraId="777B9594">
      <w:pPr>
        <w:spacing w:line="360" w:lineRule="auto"/>
        <w:jc w:val="center"/>
        <w:rPr>
          <w:rFonts w:hint="eastAsia" w:ascii="仿宋" w:hAnsi="仿宋" w:eastAsia="仿宋"/>
          <w:sz w:val="52"/>
          <w:szCs w:val="52"/>
          <w:highlight w:val="none"/>
        </w:rPr>
      </w:pPr>
      <w:r>
        <w:rPr>
          <w:rFonts w:ascii="仿宋" w:hAnsi="仿宋" w:eastAsia="仿宋"/>
          <w:highlight w:val="none"/>
        </w:rPr>
        <w:drawing>
          <wp:inline distT="0" distB="0" distL="0" distR="0">
            <wp:extent cx="895350" cy="933450"/>
            <wp:effectExtent l="0" t="0" r="0" b="0"/>
            <wp:docPr id="2" name="图片 2"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科文名片"/>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895350" cy="933450"/>
                    </a:xfrm>
                    <a:prstGeom prst="rect">
                      <a:avLst/>
                    </a:prstGeom>
                    <a:noFill/>
                    <a:ln>
                      <a:noFill/>
                    </a:ln>
                  </pic:spPr>
                </pic:pic>
              </a:graphicData>
            </a:graphic>
          </wp:inline>
        </w:drawing>
      </w:r>
    </w:p>
    <w:p w14:paraId="4FF48C6A">
      <w:pPr>
        <w:pStyle w:val="25"/>
        <w:ind w:firstLine="0" w:firstLineChars="0"/>
        <w:jc w:val="center"/>
        <w:rPr>
          <w:rFonts w:hint="eastAsia"/>
          <w:sz w:val="52"/>
          <w:szCs w:val="52"/>
          <w:highlight w:val="none"/>
        </w:rPr>
      </w:pPr>
      <w:r>
        <w:rPr>
          <w:highlight w:val="none"/>
        </w:rPr>
        <mc:AlternateContent>
          <mc:Choice Requires="wps">
            <w:drawing>
              <wp:anchor distT="0" distB="0" distL="114300" distR="114300" simplePos="0" relativeHeight="251661312" behindDoc="0" locked="0" layoutInCell="1" allowOverlap="1">
                <wp:simplePos x="0" y="0"/>
                <wp:positionH relativeFrom="column">
                  <wp:posOffset>495300</wp:posOffset>
                </wp:positionH>
                <wp:positionV relativeFrom="paragraph">
                  <wp:posOffset>506095</wp:posOffset>
                </wp:positionV>
                <wp:extent cx="5486400" cy="0"/>
                <wp:effectExtent l="0" t="0" r="19050" b="19050"/>
                <wp:wrapNone/>
                <wp:docPr id="1" name="Line 2"/>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2700" cmpd="sng">
                          <a:solidFill>
                            <a:srgbClr val="000000"/>
                          </a:solidFill>
                          <a:round/>
                        </a:ln>
                      </wps:spPr>
                      <wps:bodyPr/>
                    </wps:wsp>
                  </a:graphicData>
                </a:graphic>
              </wp:anchor>
            </w:drawing>
          </mc:Choice>
          <mc:Fallback>
            <w:pict>
              <v:line id="Line 2" o:spid="_x0000_s1026" o:spt="20" style="position:absolute;left:0pt;margin-left:39pt;margin-top:39.85pt;height:0pt;width:432pt;z-index:251661312;mso-width-relative:page;mso-height-relative:page;" filled="f" stroked="t" coordsize="21600,21600" o:gfxdata="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Q569c1wAAAAgBAAAPAAAAAAAAAAEAIAAAACIAAABk&#10;cnMvZG93bnJldi54bWxQSwECFAAUAAAACACHTuJA1BholM4BAACrAwAADgAAAAAAAAABACAAAAAm&#10;AQAAZHJzL2Uyb0RvYy54bWxQSwUGAAAAAAYABgBZAQAAZgUAAAAA&#10;">
                <v:fill on="f" focussize="0,0"/>
                <v:stroke weight="1pt" color="#000000" joinstyle="round"/>
                <v:imagedata o:title=""/>
                <o:lock v:ext="edit" aspectratio="f"/>
              </v:line>
            </w:pict>
          </mc:Fallback>
        </mc:AlternateContent>
      </w:r>
      <w:r>
        <w:rPr>
          <w:rFonts w:hint="eastAsia"/>
          <w:sz w:val="52"/>
          <w:szCs w:val="52"/>
          <w:highlight w:val="none"/>
        </w:rPr>
        <w:t xml:space="preserve">广 西 </w:t>
      </w:r>
      <w:r>
        <w:rPr>
          <w:sz w:val="52"/>
          <w:szCs w:val="52"/>
          <w:highlight w:val="none"/>
        </w:rPr>
        <w:t>科</w:t>
      </w:r>
      <w:r>
        <w:rPr>
          <w:rFonts w:hint="eastAsia"/>
          <w:sz w:val="52"/>
          <w:szCs w:val="52"/>
          <w:highlight w:val="none"/>
        </w:rPr>
        <w:t xml:space="preserve"> </w:t>
      </w:r>
      <w:r>
        <w:rPr>
          <w:sz w:val="52"/>
          <w:szCs w:val="52"/>
          <w:highlight w:val="none"/>
        </w:rPr>
        <w:t>文</w:t>
      </w:r>
      <w:r>
        <w:rPr>
          <w:rFonts w:hint="eastAsia"/>
          <w:sz w:val="52"/>
          <w:szCs w:val="52"/>
          <w:highlight w:val="none"/>
        </w:rPr>
        <w:t xml:space="preserve"> </w:t>
      </w:r>
      <w:r>
        <w:rPr>
          <w:sz w:val="52"/>
          <w:szCs w:val="52"/>
          <w:highlight w:val="none"/>
        </w:rPr>
        <w:t>招</w:t>
      </w:r>
      <w:r>
        <w:rPr>
          <w:rFonts w:hint="eastAsia"/>
          <w:sz w:val="52"/>
          <w:szCs w:val="52"/>
          <w:highlight w:val="none"/>
        </w:rPr>
        <w:t xml:space="preserve"> </w:t>
      </w:r>
      <w:r>
        <w:rPr>
          <w:sz w:val="52"/>
          <w:szCs w:val="52"/>
          <w:highlight w:val="none"/>
        </w:rPr>
        <w:t>标</w:t>
      </w:r>
      <w:r>
        <w:rPr>
          <w:rFonts w:hint="eastAsia"/>
          <w:sz w:val="52"/>
          <w:szCs w:val="52"/>
          <w:highlight w:val="none"/>
        </w:rPr>
        <w:t xml:space="preserve"> </w:t>
      </w:r>
      <w:r>
        <w:rPr>
          <w:sz w:val="52"/>
          <w:szCs w:val="52"/>
          <w:highlight w:val="none"/>
        </w:rPr>
        <w:t>有</w:t>
      </w:r>
      <w:r>
        <w:rPr>
          <w:rFonts w:hint="eastAsia"/>
          <w:sz w:val="52"/>
          <w:szCs w:val="52"/>
          <w:highlight w:val="none"/>
        </w:rPr>
        <w:t xml:space="preserve"> </w:t>
      </w:r>
      <w:r>
        <w:rPr>
          <w:sz w:val="52"/>
          <w:szCs w:val="52"/>
          <w:highlight w:val="none"/>
        </w:rPr>
        <w:t>限</w:t>
      </w:r>
      <w:r>
        <w:rPr>
          <w:rFonts w:hint="eastAsia"/>
          <w:sz w:val="52"/>
          <w:szCs w:val="52"/>
          <w:highlight w:val="none"/>
        </w:rPr>
        <w:t xml:space="preserve"> </w:t>
      </w:r>
      <w:r>
        <w:rPr>
          <w:sz w:val="52"/>
          <w:szCs w:val="52"/>
          <w:highlight w:val="none"/>
        </w:rPr>
        <w:t>公</w:t>
      </w:r>
      <w:r>
        <w:rPr>
          <w:rFonts w:hint="eastAsia"/>
          <w:sz w:val="52"/>
          <w:szCs w:val="52"/>
          <w:highlight w:val="none"/>
        </w:rPr>
        <w:t xml:space="preserve"> </w:t>
      </w:r>
      <w:r>
        <w:rPr>
          <w:sz w:val="52"/>
          <w:szCs w:val="52"/>
          <w:highlight w:val="none"/>
        </w:rPr>
        <w:t>司</w:t>
      </w:r>
    </w:p>
    <w:p w14:paraId="06D9EFC0">
      <w:pPr>
        <w:pStyle w:val="25"/>
        <w:ind w:firstLine="594"/>
        <w:rPr>
          <w:rFonts w:hint="eastAsia"/>
          <w:spacing w:val="28"/>
          <w:highlight w:val="none"/>
        </w:rPr>
      </w:pPr>
    </w:p>
    <w:p w14:paraId="250DF5DF">
      <w:pPr>
        <w:snapToGrid w:val="0"/>
        <w:spacing w:before="120" w:beforeLines="50" w:line="360" w:lineRule="auto"/>
        <w:jc w:val="center"/>
        <w:rPr>
          <w:rFonts w:hint="eastAsia" w:ascii="仿宋" w:hAnsi="仿宋" w:eastAsia="仿宋"/>
          <w:sz w:val="120"/>
          <w:szCs w:val="120"/>
          <w:highlight w:val="none"/>
        </w:rPr>
      </w:pPr>
      <w:r>
        <w:rPr>
          <w:rFonts w:hint="eastAsia" w:ascii="仿宋" w:hAnsi="仿宋" w:eastAsia="仿宋"/>
          <w:sz w:val="120"/>
          <w:szCs w:val="120"/>
          <w:highlight w:val="none"/>
        </w:rPr>
        <w:t>招 标 文 件</w:t>
      </w:r>
    </w:p>
    <w:p w14:paraId="7726203E">
      <w:pPr>
        <w:pStyle w:val="25"/>
        <w:ind w:firstLine="456"/>
        <w:rPr>
          <w:rFonts w:hint="eastAsia"/>
          <w:w w:val="95"/>
          <w:highlight w:val="none"/>
        </w:rPr>
      </w:pPr>
    </w:p>
    <w:p w14:paraId="142D36E2">
      <w:pPr>
        <w:pStyle w:val="25"/>
        <w:ind w:firstLine="570"/>
        <w:jc w:val="center"/>
        <w:rPr>
          <w:rFonts w:hint="eastAsia"/>
          <w:w w:val="95"/>
          <w:sz w:val="30"/>
          <w:szCs w:val="30"/>
          <w:highlight w:val="none"/>
        </w:rPr>
      </w:pPr>
    </w:p>
    <w:p w14:paraId="3DF5C106">
      <w:pPr>
        <w:pStyle w:val="25"/>
        <w:ind w:firstLine="602"/>
        <w:jc w:val="center"/>
        <w:rPr>
          <w:rFonts w:hint="eastAsia" w:eastAsia="仿宋"/>
          <w:sz w:val="30"/>
          <w:szCs w:val="30"/>
          <w:highlight w:val="none"/>
          <w:lang w:eastAsia="zh-CN"/>
        </w:rPr>
      </w:pPr>
      <w:bookmarkStart w:id="0" w:name="OLE_LINK36"/>
      <w:r>
        <w:rPr>
          <w:rFonts w:hint="eastAsia"/>
          <w:sz w:val="30"/>
          <w:szCs w:val="30"/>
          <w:highlight w:val="none"/>
          <w:lang w:val="en-US" w:eastAsia="zh-CN"/>
        </w:rPr>
        <w:t xml:space="preserve">    </w:t>
      </w:r>
      <w:r>
        <w:rPr>
          <w:rFonts w:hint="eastAsia"/>
          <w:sz w:val="30"/>
          <w:szCs w:val="30"/>
          <w:highlight w:val="none"/>
        </w:rPr>
        <w:t>项目名称：</w:t>
      </w:r>
      <w:r>
        <w:rPr>
          <w:rFonts w:hint="eastAsia"/>
          <w:sz w:val="30"/>
          <w:szCs w:val="30"/>
          <w:highlight w:val="none"/>
          <w:lang w:eastAsia="zh-CN"/>
        </w:rPr>
        <w:t>热释光剂量仪等医疗设备采购（重）</w:t>
      </w:r>
    </w:p>
    <w:p w14:paraId="7E64DA60">
      <w:pPr>
        <w:pStyle w:val="25"/>
        <w:ind w:firstLine="2409" w:firstLineChars="800"/>
        <w:jc w:val="both"/>
        <w:rPr>
          <w:rFonts w:hint="eastAsia" w:eastAsia="仿宋"/>
          <w:sz w:val="30"/>
          <w:szCs w:val="30"/>
          <w:highlight w:val="none"/>
          <w:lang w:eastAsia="zh-CN"/>
        </w:rPr>
      </w:pPr>
      <w:r>
        <w:rPr>
          <w:rFonts w:hint="eastAsia"/>
          <w:sz w:val="30"/>
          <w:szCs w:val="30"/>
          <w:highlight w:val="none"/>
        </w:rPr>
        <w:t>项目编号：</w:t>
      </w:r>
      <w:r>
        <w:rPr>
          <w:rFonts w:hint="eastAsia"/>
          <w:sz w:val="30"/>
          <w:szCs w:val="30"/>
          <w:highlight w:val="none"/>
          <w:lang w:eastAsia="zh-CN"/>
        </w:rPr>
        <w:t>GLZC2026-G1-990384-KWZB</w:t>
      </w:r>
    </w:p>
    <w:bookmarkEnd w:id="0"/>
    <w:p w14:paraId="60747A77">
      <w:pPr>
        <w:pStyle w:val="25"/>
        <w:ind w:firstLine="602"/>
        <w:rPr>
          <w:rFonts w:hint="eastAsia"/>
          <w:sz w:val="30"/>
          <w:szCs w:val="30"/>
          <w:highlight w:val="none"/>
        </w:rPr>
      </w:pPr>
    </w:p>
    <w:p w14:paraId="000E3D99">
      <w:pPr>
        <w:rPr>
          <w:highlight w:val="none"/>
        </w:rPr>
      </w:pPr>
    </w:p>
    <w:p w14:paraId="6D2414F3">
      <w:pPr>
        <w:pStyle w:val="25"/>
        <w:ind w:firstLine="456"/>
        <w:rPr>
          <w:rFonts w:hint="eastAsia"/>
          <w:w w:val="95"/>
          <w:highlight w:val="none"/>
        </w:rPr>
      </w:pPr>
    </w:p>
    <w:p w14:paraId="09E85761">
      <w:pPr>
        <w:pStyle w:val="25"/>
        <w:ind w:firstLine="456"/>
        <w:rPr>
          <w:rFonts w:hint="eastAsia"/>
          <w:w w:val="95"/>
          <w:highlight w:val="none"/>
        </w:rPr>
      </w:pPr>
    </w:p>
    <w:p w14:paraId="010DC994">
      <w:pPr>
        <w:pStyle w:val="25"/>
        <w:ind w:firstLine="456"/>
        <w:rPr>
          <w:rFonts w:hint="eastAsia"/>
          <w:w w:val="95"/>
          <w:highlight w:val="none"/>
        </w:rPr>
      </w:pPr>
    </w:p>
    <w:p w14:paraId="43F2DF8B">
      <w:pPr>
        <w:pStyle w:val="25"/>
        <w:ind w:firstLine="456"/>
        <w:rPr>
          <w:rFonts w:hint="eastAsia"/>
          <w:w w:val="95"/>
          <w:highlight w:val="none"/>
        </w:rPr>
      </w:pPr>
    </w:p>
    <w:p w14:paraId="166F91EE">
      <w:pPr>
        <w:pStyle w:val="25"/>
        <w:ind w:firstLine="456"/>
        <w:rPr>
          <w:rFonts w:hint="eastAsia"/>
          <w:w w:val="95"/>
          <w:highlight w:val="none"/>
        </w:rPr>
      </w:pPr>
    </w:p>
    <w:p w14:paraId="4775DD68">
      <w:pPr>
        <w:pStyle w:val="25"/>
        <w:ind w:firstLine="456"/>
        <w:jc w:val="center"/>
        <w:rPr>
          <w:rFonts w:hint="eastAsia"/>
          <w:w w:val="95"/>
          <w:highlight w:val="none"/>
        </w:rPr>
      </w:pPr>
    </w:p>
    <w:p w14:paraId="4A256C5A">
      <w:pPr>
        <w:pStyle w:val="25"/>
        <w:ind w:firstLine="0" w:firstLineChars="0"/>
        <w:jc w:val="center"/>
        <w:rPr>
          <w:rFonts w:hint="eastAsia" w:eastAsia="仿宋"/>
          <w:sz w:val="30"/>
          <w:szCs w:val="30"/>
          <w:highlight w:val="none"/>
          <w:lang w:eastAsia="zh-CN"/>
        </w:rPr>
      </w:pPr>
      <w:r>
        <w:rPr>
          <w:rFonts w:hint="eastAsia"/>
          <w:sz w:val="30"/>
          <w:szCs w:val="30"/>
          <w:highlight w:val="none"/>
        </w:rPr>
        <w:t>采购人：</w:t>
      </w:r>
      <w:r>
        <w:rPr>
          <w:rFonts w:hint="eastAsia"/>
          <w:sz w:val="30"/>
          <w:szCs w:val="30"/>
          <w:highlight w:val="none"/>
          <w:lang w:eastAsia="zh-CN"/>
        </w:rPr>
        <w:t>桂林市疾病预防控制中心</w:t>
      </w:r>
    </w:p>
    <w:p w14:paraId="755AD721">
      <w:pPr>
        <w:pStyle w:val="25"/>
        <w:ind w:firstLine="0" w:firstLineChars="0"/>
        <w:jc w:val="center"/>
        <w:rPr>
          <w:rFonts w:hint="eastAsia"/>
          <w:sz w:val="30"/>
          <w:szCs w:val="30"/>
          <w:highlight w:val="none"/>
        </w:rPr>
      </w:pPr>
      <w:r>
        <w:rPr>
          <w:rFonts w:hint="eastAsia"/>
          <w:sz w:val="30"/>
          <w:szCs w:val="30"/>
          <w:highlight w:val="none"/>
        </w:rPr>
        <w:t>采购代理机构：广西</w:t>
      </w:r>
      <w:r>
        <w:rPr>
          <w:sz w:val="30"/>
          <w:szCs w:val="30"/>
          <w:highlight w:val="none"/>
        </w:rPr>
        <w:t>科文</w:t>
      </w:r>
      <w:r>
        <w:rPr>
          <w:rFonts w:hint="eastAsia"/>
          <w:sz w:val="30"/>
          <w:szCs w:val="30"/>
          <w:highlight w:val="none"/>
        </w:rPr>
        <w:t>招标有限公司</w:t>
      </w:r>
    </w:p>
    <w:p w14:paraId="7E30AC22">
      <w:pPr>
        <w:pStyle w:val="25"/>
        <w:ind w:firstLine="0" w:firstLineChars="0"/>
        <w:jc w:val="center"/>
        <w:rPr>
          <w:rFonts w:hint="eastAsia"/>
          <w:sz w:val="30"/>
          <w:szCs w:val="30"/>
          <w:highlight w:val="none"/>
        </w:rPr>
      </w:pPr>
      <w:r>
        <w:rPr>
          <w:rFonts w:hint="eastAsia"/>
          <w:sz w:val="30"/>
          <w:szCs w:val="30"/>
          <w:highlight w:val="none"/>
        </w:rPr>
        <w:t>202</w:t>
      </w:r>
      <w:r>
        <w:rPr>
          <w:rFonts w:hint="eastAsia"/>
          <w:sz w:val="30"/>
          <w:szCs w:val="30"/>
          <w:highlight w:val="none"/>
          <w:lang w:val="en-US" w:eastAsia="zh-CN"/>
        </w:rPr>
        <w:t>6</w:t>
      </w:r>
      <w:r>
        <w:rPr>
          <w:rFonts w:hint="eastAsia"/>
          <w:sz w:val="30"/>
          <w:szCs w:val="30"/>
          <w:highlight w:val="none"/>
        </w:rPr>
        <w:t>年</w:t>
      </w:r>
      <w:r>
        <w:rPr>
          <w:rFonts w:hint="eastAsia"/>
          <w:sz w:val="30"/>
          <w:szCs w:val="30"/>
          <w:highlight w:val="none"/>
          <w:lang w:val="en-US" w:eastAsia="zh-CN"/>
        </w:rPr>
        <w:t>9</w:t>
      </w:r>
      <w:r>
        <w:rPr>
          <w:rFonts w:hint="eastAsia"/>
          <w:sz w:val="30"/>
          <w:szCs w:val="30"/>
          <w:highlight w:val="none"/>
        </w:rPr>
        <w:t>月</w:t>
      </w:r>
      <w:r>
        <w:rPr>
          <w:rFonts w:hint="eastAsia"/>
          <w:sz w:val="30"/>
          <w:szCs w:val="30"/>
          <w:highlight w:val="none"/>
          <w:lang w:val="en-US" w:eastAsia="zh-CN"/>
        </w:rPr>
        <w:t>4</w:t>
      </w:r>
      <w:r>
        <w:rPr>
          <w:rFonts w:hint="eastAsia"/>
          <w:sz w:val="30"/>
          <w:szCs w:val="30"/>
          <w:highlight w:val="none"/>
        </w:rPr>
        <w:t>日</w:t>
      </w:r>
    </w:p>
    <w:p w14:paraId="6BA727C2">
      <w:pPr>
        <w:spacing w:line="360" w:lineRule="auto"/>
        <w:jc w:val="center"/>
        <w:rPr>
          <w:rFonts w:hint="eastAsia" w:ascii="仿宋" w:hAnsi="仿宋" w:eastAsia="仿宋"/>
          <w:b/>
          <w:sz w:val="44"/>
          <w:szCs w:val="44"/>
          <w:highlight w:val="none"/>
        </w:rPr>
      </w:pPr>
      <w:r>
        <w:rPr>
          <w:rFonts w:hint="eastAsia" w:ascii="仿宋" w:hAnsi="仿宋" w:eastAsia="仿宋"/>
          <w:b/>
          <w:sz w:val="44"/>
          <w:szCs w:val="44"/>
          <w:highlight w:val="none"/>
        </w:rPr>
        <w:t>目  录</w:t>
      </w:r>
    </w:p>
    <w:p w14:paraId="375EB0B7">
      <w:pPr>
        <w:pStyle w:val="33"/>
        <w:keepNext w:val="0"/>
        <w:keepLines w:val="0"/>
        <w:pageBreakBefore w:val="0"/>
        <w:widowControl w:val="0"/>
        <w:tabs>
          <w:tab w:val="right" w:leader="dot" w:pos="9880"/>
          <w:tab w:val="clear" w:pos="8398"/>
        </w:tabs>
        <w:kinsoku/>
        <w:wordWrap/>
        <w:overflowPunct/>
        <w:topLinePunct w:val="0"/>
        <w:autoSpaceDE/>
        <w:autoSpaceDN/>
        <w:bidi w:val="0"/>
        <w:adjustRightInd/>
        <w:snapToGrid/>
        <w:spacing w:line="360" w:lineRule="auto"/>
        <w:ind w:left="0" w:leftChars="0" w:firstLine="219" w:firstLineChars="61"/>
        <w:textAlignment w:val="auto"/>
        <w:rPr>
          <w:rFonts w:hint="eastAsia" w:ascii="仿宋" w:hAnsi="仿宋" w:eastAsia="仿宋" w:cs="仿宋"/>
          <w:sz w:val="32"/>
          <w:szCs w:val="32"/>
          <w:highlight w:val="none"/>
        </w:rPr>
      </w:pPr>
      <w:r>
        <w:rPr>
          <w:rFonts w:ascii="仿宋" w:hAnsi="仿宋" w:eastAsia="仿宋"/>
          <w:b w:val="0"/>
          <w:sz w:val="36"/>
          <w:szCs w:val="36"/>
          <w:highlight w:val="none"/>
        </w:rPr>
        <w:fldChar w:fldCharType="begin"/>
      </w:r>
      <w:r>
        <w:rPr>
          <w:rFonts w:ascii="仿宋" w:hAnsi="仿宋" w:eastAsia="仿宋"/>
          <w:b w:val="0"/>
          <w:sz w:val="36"/>
          <w:szCs w:val="36"/>
          <w:highlight w:val="none"/>
        </w:rPr>
        <w:instrText xml:space="preserve"> </w:instrText>
      </w:r>
      <w:r>
        <w:rPr>
          <w:rFonts w:hint="eastAsia" w:ascii="仿宋" w:hAnsi="仿宋" w:eastAsia="仿宋"/>
          <w:b w:val="0"/>
          <w:sz w:val="36"/>
          <w:szCs w:val="36"/>
          <w:highlight w:val="none"/>
        </w:rPr>
        <w:instrText xml:space="preserve">TOC \o "1-2" \h \z \u</w:instrText>
      </w:r>
      <w:r>
        <w:rPr>
          <w:rFonts w:ascii="仿宋" w:hAnsi="仿宋" w:eastAsia="仿宋"/>
          <w:b w:val="0"/>
          <w:sz w:val="36"/>
          <w:szCs w:val="36"/>
          <w:highlight w:val="none"/>
        </w:rPr>
        <w:instrText xml:space="preserve"> </w:instrText>
      </w:r>
      <w:r>
        <w:rPr>
          <w:rFonts w:ascii="仿宋" w:hAnsi="仿宋" w:eastAsia="仿宋"/>
          <w:b w:val="0"/>
          <w:sz w:val="36"/>
          <w:szCs w:val="36"/>
          <w:highlight w:val="none"/>
        </w:rPr>
        <w:fldChar w:fldCharType="separate"/>
      </w: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HYPERLINK \l _Toc19327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 xml:space="preserve">第一章 </w:t>
      </w:r>
      <w:r>
        <w:rPr>
          <w:rFonts w:hint="eastAsia" w:ascii="仿宋" w:hAnsi="仿宋" w:eastAsia="仿宋"/>
          <w:b w:val="0"/>
          <w:sz w:val="32"/>
          <w:szCs w:val="32"/>
          <w:highlight w:val="none"/>
          <w:lang w:val="en-US" w:eastAsia="zh-CN"/>
        </w:rPr>
        <w:t xml:space="preserve"> </w:t>
      </w:r>
      <w:r>
        <w:rPr>
          <w:rFonts w:hint="eastAsia" w:ascii="仿宋" w:hAnsi="仿宋" w:eastAsia="仿宋"/>
          <w:b w:val="0"/>
          <w:sz w:val="32"/>
          <w:szCs w:val="32"/>
          <w:highlight w:val="none"/>
        </w:rPr>
        <w:t>招标公告</w:t>
      </w:r>
      <w:r>
        <w:rPr>
          <w:rFonts w:hint="eastAsia" w:ascii="仿宋" w:hAnsi="仿宋" w:eastAsia="仿宋"/>
          <w:b w:val="0"/>
          <w:sz w:val="32"/>
          <w:szCs w:val="32"/>
          <w:highlight w:val="none"/>
        </w:rPr>
        <w:tab/>
      </w: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PAGEREF _Toc19327 \h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- 1 -</w:t>
      </w:r>
      <w:r>
        <w:rPr>
          <w:rFonts w:hint="eastAsia" w:ascii="仿宋" w:hAnsi="仿宋" w:eastAsia="仿宋"/>
          <w:b w:val="0"/>
          <w:sz w:val="32"/>
          <w:szCs w:val="32"/>
          <w:highlight w:val="none"/>
        </w:rPr>
        <w:fldChar w:fldCharType="end"/>
      </w:r>
      <w:r>
        <w:rPr>
          <w:rFonts w:hint="eastAsia" w:ascii="仿宋" w:hAnsi="仿宋" w:eastAsia="仿宋"/>
          <w:b w:val="0"/>
          <w:sz w:val="32"/>
          <w:szCs w:val="32"/>
          <w:highlight w:val="none"/>
        </w:rPr>
        <w:fldChar w:fldCharType="end"/>
      </w:r>
    </w:p>
    <w:p w14:paraId="35E7A4E7">
      <w:pPr>
        <w:pStyle w:val="33"/>
        <w:keepNext w:val="0"/>
        <w:keepLines w:val="0"/>
        <w:pageBreakBefore w:val="0"/>
        <w:widowControl w:val="0"/>
        <w:tabs>
          <w:tab w:val="right" w:leader="dot" w:pos="9880"/>
          <w:tab w:val="clear" w:pos="8398"/>
        </w:tabs>
        <w:kinsoku/>
        <w:wordWrap/>
        <w:overflowPunct/>
        <w:topLinePunct w:val="0"/>
        <w:autoSpaceDE/>
        <w:autoSpaceDN/>
        <w:bidi w:val="0"/>
        <w:adjustRightInd/>
        <w:snapToGrid/>
        <w:spacing w:line="360" w:lineRule="auto"/>
        <w:ind w:left="0" w:leftChars="0" w:firstLine="195" w:firstLineChars="61"/>
        <w:textAlignment w:val="auto"/>
        <w:rPr>
          <w:rFonts w:hint="eastAsia" w:ascii="仿宋" w:hAnsi="仿宋" w:eastAsia="仿宋"/>
          <w:b w:val="0"/>
          <w:sz w:val="32"/>
          <w:szCs w:val="32"/>
          <w:highlight w:val="none"/>
        </w:rPr>
      </w:pP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HYPERLINK \l _Toc31332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第二章  采购需求</w:t>
      </w:r>
      <w:r>
        <w:rPr>
          <w:rFonts w:hint="eastAsia" w:ascii="仿宋" w:hAnsi="仿宋" w:eastAsia="仿宋"/>
          <w:b w:val="0"/>
          <w:sz w:val="32"/>
          <w:szCs w:val="32"/>
          <w:highlight w:val="none"/>
        </w:rPr>
        <w:tab/>
      </w: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PAGEREF _Toc31332 \h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 xml:space="preserve">- </w:t>
      </w:r>
      <w:r>
        <w:rPr>
          <w:rFonts w:hint="eastAsia" w:ascii="仿宋" w:hAnsi="仿宋" w:eastAsia="仿宋"/>
          <w:b w:val="0"/>
          <w:sz w:val="32"/>
          <w:szCs w:val="32"/>
          <w:highlight w:val="none"/>
          <w:lang w:val="en-US" w:eastAsia="zh-CN"/>
        </w:rPr>
        <w:t>5</w:t>
      </w:r>
      <w:r>
        <w:rPr>
          <w:rFonts w:hint="eastAsia" w:ascii="仿宋" w:hAnsi="仿宋" w:eastAsia="仿宋"/>
          <w:b w:val="0"/>
          <w:sz w:val="32"/>
          <w:szCs w:val="32"/>
          <w:highlight w:val="none"/>
        </w:rPr>
        <w:t xml:space="preserve"> -</w:t>
      </w:r>
      <w:r>
        <w:rPr>
          <w:rFonts w:hint="eastAsia" w:ascii="仿宋" w:hAnsi="仿宋" w:eastAsia="仿宋"/>
          <w:b w:val="0"/>
          <w:sz w:val="32"/>
          <w:szCs w:val="32"/>
          <w:highlight w:val="none"/>
        </w:rPr>
        <w:fldChar w:fldCharType="end"/>
      </w:r>
      <w:r>
        <w:rPr>
          <w:rFonts w:hint="eastAsia" w:ascii="仿宋" w:hAnsi="仿宋" w:eastAsia="仿宋"/>
          <w:b w:val="0"/>
          <w:sz w:val="32"/>
          <w:szCs w:val="32"/>
          <w:highlight w:val="none"/>
        </w:rPr>
        <w:fldChar w:fldCharType="end"/>
      </w:r>
    </w:p>
    <w:p w14:paraId="088D4BA7">
      <w:pPr>
        <w:pStyle w:val="33"/>
        <w:keepNext w:val="0"/>
        <w:keepLines w:val="0"/>
        <w:pageBreakBefore w:val="0"/>
        <w:widowControl w:val="0"/>
        <w:tabs>
          <w:tab w:val="right" w:leader="dot" w:pos="9880"/>
          <w:tab w:val="clear" w:pos="8398"/>
        </w:tabs>
        <w:kinsoku/>
        <w:wordWrap/>
        <w:overflowPunct/>
        <w:topLinePunct w:val="0"/>
        <w:autoSpaceDE/>
        <w:autoSpaceDN/>
        <w:bidi w:val="0"/>
        <w:adjustRightInd/>
        <w:snapToGrid/>
        <w:spacing w:line="360" w:lineRule="auto"/>
        <w:ind w:left="0" w:leftChars="0" w:firstLine="195" w:firstLineChars="61"/>
        <w:textAlignment w:val="auto"/>
        <w:rPr>
          <w:rFonts w:hint="eastAsia" w:ascii="仿宋" w:hAnsi="仿宋" w:eastAsia="仿宋"/>
          <w:b w:val="0"/>
          <w:sz w:val="32"/>
          <w:szCs w:val="32"/>
          <w:highlight w:val="none"/>
        </w:rPr>
      </w:pP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HYPERLINK \l _Toc21766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第三章  投标人须知</w:t>
      </w:r>
      <w:r>
        <w:rPr>
          <w:rFonts w:hint="eastAsia" w:ascii="仿宋" w:hAnsi="仿宋" w:eastAsia="仿宋"/>
          <w:b w:val="0"/>
          <w:sz w:val="32"/>
          <w:szCs w:val="32"/>
          <w:highlight w:val="none"/>
        </w:rPr>
        <w:tab/>
      </w: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PAGEREF _Toc21766 \h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 xml:space="preserve">- </w:t>
      </w:r>
      <w:r>
        <w:rPr>
          <w:rFonts w:hint="eastAsia" w:ascii="仿宋" w:hAnsi="仿宋" w:eastAsia="仿宋"/>
          <w:b w:val="0"/>
          <w:sz w:val="32"/>
          <w:szCs w:val="32"/>
          <w:highlight w:val="none"/>
          <w:lang w:val="en-US" w:eastAsia="zh-CN"/>
        </w:rPr>
        <w:t>28</w:t>
      </w:r>
      <w:r>
        <w:rPr>
          <w:rFonts w:hint="eastAsia" w:ascii="仿宋" w:hAnsi="仿宋" w:eastAsia="仿宋"/>
          <w:b w:val="0"/>
          <w:sz w:val="32"/>
          <w:szCs w:val="32"/>
          <w:highlight w:val="none"/>
        </w:rPr>
        <w:t xml:space="preserve"> -</w:t>
      </w:r>
      <w:r>
        <w:rPr>
          <w:rFonts w:hint="eastAsia" w:ascii="仿宋" w:hAnsi="仿宋" w:eastAsia="仿宋"/>
          <w:b w:val="0"/>
          <w:sz w:val="32"/>
          <w:szCs w:val="32"/>
          <w:highlight w:val="none"/>
        </w:rPr>
        <w:fldChar w:fldCharType="end"/>
      </w:r>
      <w:r>
        <w:rPr>
          <w:rFonts w:hint="eastAsia" w:ascii="仿宋" w:hAnsi="仿宋" w:eastAsia="仿宋"/>
          <w:b w:val="0"/>
          <w:sz w:val="32"/>
          <w:szCs w:val="32"/>
          <w:highlight w:val="none"/>
        </w:rPr>
        <w:fldChar w:fldCharType="end"/>
      </w:r>
    </w:p>
    <w:p w14:paraId="16B8485A">
      <w:pPr>
        <w:pStyle w:val="33"/>
        <w:keepNext w:val="0"/>
        <w:keepLines w:val="0"/>
        <w:pageBreakBefore w:val="0"/>
        <w:widowControl w:val="0"/>
        <w:tabs>
          <w:tab w:val="right" w:leader="dot" w:pos="9880"/>
          <w:tab w:val="clear" w:pos="8398"/>
        </w:tabs>
        <w:kinsoku/>
        <w:wordWrap/>
        <w:overflowPunct/>
        <w:topLinePunct w:val="0"/>
        <w:autoSpaceDE/>
        <w:autoSpaceDN/>
        <w:bidi w:val="0"/>
        <w:adjustRightInd/>
        <w:snapToGrid/>
        <w:spacing w:line="360" w:lineRule="auto"/>
        <w:ind w:left="0" w:leftChars="0" w:firstLine="195" w:firstLineChars="61"/>
        <w:textAlignment w:val="auto"/>
        <w:rPr>
          <w:rFonts w:hint="eastAsia" w:ascii="仿宋" w:hAnsi="仿宋" w:eastAsia="仿宋"/>
          <w:b w:val="0"/>
          <w:sz w:val="32"/>
          <w:szCs w:val="32"/>
          <w:highlight w:val="none"/>
        </w:rPr>
      </w:pP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HYPERLINK \l _Toc18970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第四章  评标方法及评标标准</w:t>
      </w:r>
      <w:r>
        <w:rPr>
          <w:rFonts w:hint="eastAsia" w:ascii="仿宋" w:hAnsi="仿宋" w:eastAsia="仿宋"/>
          <w:b w:val="0"/>
          <w:sz w:val="32"/>
          <w:szCs w:val="32"/>
          <w:highlight w:val="none"/>
        </w:rPr>
        <w:tab/>
      </w: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PAGEREF _Toc18970 \h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 xml:space="preserve">- </w:t>
      </w:r>
      <w:r>
        <w:rPr>
          <w:rFonts w:hint="eastAsia" w:ascii="仿宋" w:hAnsi="仿宋" w:eastAsia="仿宋"/>
          <w:b w:val="0"/>
          <w:sz w:val="32"/>
          <w:szCs w:val="32"/>
          <w:highlight w:val="none"/>
          <w:lang w:val="en-US" w:eastAsia="zh-CN"/>
        </w:rPr>
        <w:t>51</w:t>
      </w:r>
      <w:r>
        <w:rPr>
          <w:rFonts w:hint="eastAsia" w:ascii="仿宋" w:hAnsi="仿宋" w:eastAsia="仿宋"/>
          <w:b w:val="0"/>
          <w:sz w:val="32"/>
          <w:szCs w:val="32"/>
          <w:highlight w:val="none"/>
        </w:rPr>
        <w:t xml:space="preserve"> -</w:t>
      </w:r>
      <w:r>
        <w:rPr>
          <w:rFonts w:hint="eastAsia" w:ascii="仿宋" w:hAnsi="仿宋" w:eastAsia="仿宋"/>
          <w:b w:val="0"/>
          <w:sz w:val="32"/>
          <w:szCs w:val="32"/>
          <w:highlight w:val="none"/>
        </w:rPr>
        <w:fldChar w:fldCharType="end"/>
      </w:r>
      <w:r>
        <w:rPr>
          <w:rFonts w:hint="eastAsia" w:ascii="仿宋" w:hAnsi="仿宋" w:eastAsia="仿宋"/>
          <w:b w:val="0"/>
          <w:sz w:val="32"/>
          <w:szCs w:val="32"/>
          <w:highlight w:val="none"/>
        </w:rPr>
        <w:fldChar w:fldCharType="end"/>
      </w:r>
    </w:p>
    <w:p w14:paraId="1A61AAEC">
      <w:pPr>
        <w:pStyle w:val="33"/>
        <w:keepNext w:val="0"/>
        <w:keepLines w:val="0"/>
        <w:pageBreakBefore w:val="0"/>
        <w:widowControl w:val="0"/>
        <w:tabs>
          <w:tab w:val="right" w:leader="dot" w:pos="9880"/>
          <w:tab w:val="clear" w:pos="8398"/>
        </w:tabs>
        <w:kinsoku/>
        <w:wordWrap/>
        <w:overflowPunct/>
        <w:topLinePunct w:val="0"/>
        <w:autoSpaceDE/>
        <w:autoSpaceDN/>
        <w:bidi w:val="0"/>
        <w:adjustRightInd/>
        <w:snapToGrid/>
        <w:spacing w:line="360" w:lineRule="auto"/>
        <w:ind w:left="0" w:leftChars="0" w:firstLine="195" w:firstLineChars="61"/>
        <w:textAlignment w:val="auto"/>
        <w:rPr>
          <w:rFonts w:hint="eastAsia" w:ascii="仿宋" w:hAnsi="仿宋" w:eastAsia="仿宋"/>
          <w:b w:val="0"/>
          <w:sz w:val="32"/>
          <w:szCs w:val="32"/>
          <w:highlight w:val="none"/>
        </w:rPr>
      </w:pP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HYPERLINK \l _Toc24990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第五章  拟签订的合同文本</w:t>
      </w:r>
      <w:r>
        <w:rPr>
          <w:rFonts w:hint="eastAsia" w:ascii="仿宋" w:hAnsi="仿宋" w:eastAsia="仿宋"/>
          <w:b w:val="0"/>
          <w:sz w:val="32"/>
          <w:szCs w:val="32"/>
          <w:highlight w:val="none"/>
        </w:rPr>
        <w:tab/>
      </w: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PAGEREF _Toc24990 \h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 xml:space="preserve">- </w:t>
      </w:r>
      <w:r>
        <w:rPr>
          <w:rFonts w:hint="eastAsia" w:ascii="仿宋" w:hAnsi="仿宋" w:eastAsia="仿宋"/>
          <w:b w:val="0"/>
          <w:sz w:val="32"/>
          <w:szCs w:val="32"/>
          <w:highlight w:val="none"/>
          <w:lang w:val="en-US" w:eastAsia="zh-CN"/>
        </w:rPr>
        <w:t>59</w:t>
      </w:r>
      <w:r>
        <w:rPr>
          <w:rFonts w:hint="eastAsia" w:ascii="仿宋" w:hAnsi="仿宋" w:eastAsia="仿宋"/>
          <w:b w:val="0"/>
          <w:sz w:val="32"/>
          <w:szCs w:val="32"/>
          <w:highlight w:val="none"/>
        </w:rPr>
        <w:t xml:space="preserve"> -</w:t>
      </w:r>
      <w:r>
        <w:rPr>
          <w:rFonts w:hint="eastAsia" w:ascii="仿宋" w:hAnsi="仿宋" w:eastAsia="仿宋"/>
          <w:b w:val="0"/>
          <w:sz w:val="32"/>
          <w:szCs w:val="32"/>
          <w:highlight w:val="none"/>
        </w:rPr>
        <w:fldChar w:fldCharType="end"/>
      </w:r>
      <w:r>
        <w:rPr>
          <w:rFonts w:hint="eastAsia" w:ascii="仿宋" w:hAnsi="仿宋" w:eastAsia="仿宋"/>
          <w:b w:val="0"/>
          <w:sz w:val="32"/>
          <w:szCs w:val="32"/>
          <w:highlight w:val="none"/>
        </w:rPr>
        <w:fldChar w:fldCharType="end"/>
      </w:r>
    </w:p>
    <w:p w14:paraId="53EBBFE5">
      <w:pPr>
        <w:pStyle w:val="33"/>
        <w:keepNext w:val="0"/>
        <w:keepLines w:val="0"/>
        <w:pageBreakBefore w:val="0"/>
        <w:widowControl w:val="0"/>
        <w:tabs>
          <w:tab w:val="right" w:leader="dot" w:pos="9880"/>
          <w:tab w:val="clear" w:pos="8398"/>
        </w:tabs>
        <w:kinsoku/>
        <w:wordWrap/>
        <w:overflowPunct/>
        <w:topLinePunct w:val="0"/>
        <w:autoSpaceDE/>
        <w:autoSpaceDN/>
        <w:bidi w:val="0"/>
        <w:adjustRightInd/>
        <w:snapToGrid/>
        <w:spacing w:line="360" w:lineRule="auto"/>
        <w:ind w:left="0" w:leftChars="0" w:firstLine="195" w:firstLineChars="61"/>
        <w:textAlignment w:val="auto"/>
        <w:rPr>
          <w:highlight w:val="none"/>
        </w:rPr>
      </w:pP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HYPERLINK \l _Toc13518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第六章　投标文件格式</w:t>
      </w:r>
      <w:r>
        <w:rPr>
          <w:rFonts w:hint="eastAsia" w:ascii="仿宋" w:hAnsi="仿宋" w:eastAsia="仿宋"/>
          <w:b w:val="0"/>
          <w:sz w:val="32"/>
          <w:szCs w:val="32"/>
          <w:highlight w:val="none"/>
        </w:rPr>
        <w:tab/>
      </w:r>
      <w:r>
        <w:rPr>
          <w:rFonts w:hint="eastAsia" w:ascii="仿宋" w:hAnsi="仿宋" w:eastAsia="仿宋"/>
          <w:b w:val="0"/>
          <w:sz w:val="32"/>
          <w:szCs w:val="32"/>
          <w:highlight w:val="none"/>
        </w:rPr>
        <w:fldChar w:fldCharType="begin"/>
      </w:r>
      <w:r>
        <w:rPr>
          <w:rFonts w:hint="eastAsia" w:ascii="仿宋" w:hAnsi="仿宋" w:eastAsia="仿宋"/>
          <w:b w:val="0"/>
          <w:sz w:val="32"/>
          <w:szCs w:val="32"/>
          <w:highlight w:val="none"/>
        </w:rPr>
        <w:instrText xml:space="preserve"> PAGEREF _Toc13518 \h </w:instrText>
      </w:r>
      <w:r>
        <w:rPr>
          <w:rFonts w:hint="eastAsia" w:ascii="仿宋" w:hAnsi="仿宋" w:eastAsia="仿宋"/>
          <w:b w:val="0"/>
          <w:sz w:val="32"/>
          <w:szCs w:val="32"/>
          <w:highlight w:val="none"/>
        </w:rPr>
        <w:fldChar w:fldCharType="separate"/>
      </w:r>
      <w:r>
        <w:rPr>
          <w:rFonts w:hint="eastAsia" w:ascii="仿宋" w:hAnsi="仿宋" w:eastAsia="仿宋"/>
          <w:b w:val="0"/>
          <w:sz w:val="32"/>
          <w:szCs w:val="32"/>
          <w:highlight w:val="none"/>
        </w:rPr>
        <w:t>- 7</w:t>
      </w:r>
      <w:r>
        <w:rPr>
          <w:rFonts w:hint="eastAsia" w:ascii="仿宋" w:hAnsi="仿宋" w:eastAsia="仿宋"/>
          <w:b w:val="0"/>
          <w:sz w:val="32"/>
          <w:szCs w:val="32"/>
          <w:highlight w:val="none"/>
          <w:lang w:val="en-US" w:eastAsia="zh-CN"/>
        </w:rPr>
        <w:t>2</w:t>
      </w:r>
      <w:r>
        <w:rPr>
          <w:rFonts w:hint="eastAsia" w:ascii="仿宋" w:hAnsi="仿宋" w:eastAsia="仿宋"/>
          <w:b w:val="0"/>
          <w:sz w:val="32"/>
          <w:szCs w:val="32"/>
          <w:highlight w:val="none"/>
        </w:rPr>
        <w:t xml:space="preserve"> -</w:t>
      </w:r>
      <w:r>
        <w:rPr>
          <w:rFonts w:hint="eastAsia" w:ascii="仿宋" w:hAnsi="仿宋" w:eastAsia="仿宋"/>
          <w:b w:val="0"/>
          <w:sz w:val="32"/>
          <w:szCs w:val="32"/>
          <w:highlight w:val="none"/>
        </w:rPr>
        <w:fldChar w:fldCharType="end"/>
      </w:r>
      <w:r>
        <w:rPr>
          <w:rFonts w:hint="eastAsia" w:ascii="仿宋" w:hAnsi="仿宋" w:eastAsia="仿宋"/>
          <w:b w:val="0"/>
          <w:sz w:val="32"/>
          <w:szCs w:val="32"/>
          <w:highlight w:val="none"/>
        </w:rPr>
        <w:fldChar w:fldCharType="end"/>
      </w:r>
    </w:p>
    <w:p w14:paraId="698E8C1C">
      <w:pPr>
        <w:spacing w:line="480" w:lineRule="auto"/>
        <w:jc w:val="center"/>
        <w:rPr>
          <w:rFonts w:hint="eastAsia" w:ascii="仿宋" w:hAnsi="仿宋" w:eastAsia="仿宋"/>
          <w:sz w:val="24"/>
          <w:highlight w:val="none"/>
        </w:rPr>
      </w:pPr>
      <w:r>
        <w:rPr>
          <w:rFonts w:ascii="仿宋" w:hAnsi="仿宋" w:eastAsia="仿宋"/>
          <w:szCs w:val="36"/>
          <w:highlight w:val="none"/>
        </w:rPr>
        <w:fldChar w:fldCharType="end"/>
      </w:r>
    </w:p>
    <w:p w14:paraId="517C88BC">
      <w:pPr>
        <w:spacing w:before="120" w:beforeLines="50" w:line="480" w:lineRule="exact"/>
        <w:rPr>
          <w:rFonts w:hint="eastAsia" w:ascii="仿宋" w:hAnsi="仿宋" w:eastAsia="仿宋"/>
          <w:sz w:val="30"/>
          <w:highlight w:val="none"/>
        </w:rPr>
      </w:pPr>
    </w:p>
    <w:p w14:paraId="45FA0922">
      <w:pPr>
        <w:pStyle w:val="16"/>
        <w:rPr>
          <w:rFonts w:hint="eastAsia" w:ascii="仿宋" w:hAnsi="仿宋" w:eastAsia="仿宋" w:cs="宋体"/>
          <w:b/>
          <w:bCs/>
          <w:highlight w:val="none"/>
        </w:rPr>
      </w:pPr>
      <w:bookmarkStart w:id="1" w:name="_Toc254970489"/>
      <w:bookmarkStart w:id="2" w:name="_Toc254970630"/>
    </w:p>
    <w:p w14:paraId="3BE00461">
      <w:pPr>
        <w:pStyle w:val="2"/>
        <w:keepNext w:val="0"/>
        <w:keepLines w:val="0"/>
        <w:tabs>
          <w:tab w:val="left" w:pos="0"/>
          <w:tab w:val="left" w:pos="3165"/>
          <w:tab w:val="center" w:pos="4153"/>
        </w:tabs>
        <w:autoSpaceDE w:val="0"/>
        <w:autoSpaceDN w:val="0"/>
        <w:adjustRightInd w:val="0"/>
        <w:spacing w:before="0" w:after="0" w:line="500" w:lineRule="exact"/>
        <w:jc w:val="center"/>
        <w:rPr>
          <w:rFonts w:hint="eastAsia" w:ascii="仿宋" w:hAnsi="仿宋" w:eastAsia="仿宋" w:cs="宋体"/>
          <w:b w:val="0"/>
          <w:bCs w:val="0"/>
          <w:highlight w:val="none"/>
        </w:rPr>
      </w:pPr>
    </w:p>
    <w:p w14:paraId="21DBEEC2">
      <w:pPr>
        <w:rPr>
          <w:highlight w:val="none"/>
        </w:rPr>
      </w:pPr>
    </w:p>
    <w:p w14:paraId="0846B5F9">
      <w:pPr>
        <w:rPr>
          <w:highlight w:val="none"/>
        </w:rPr>
      </w:pPr>
    </w:p>
    <w:p w14:paraId="2A34BEBD">
      <w:pPr>
        <w:rPr>
          <w:highlight w:val="none"/>
        </w:rPr>
      </w:pPr>
    </w:p>
    <w:p w14:paraId="25042A27">
      <w:pPr>
        <w:rPr>
          <w:highlight w:val="none"/>
        </w:rPr>
      </w:pPr>
    </w:p>
    <w:p w14:paraId="7EA7AB3D">
      <w:pPr>
        <w:rPr>
          <w:highlight w:val="none"/>
        </w:rPr>
      </w:pPr>
    </w:p>
    <w:p w14:paraId="3AD2F5FD">
      <w:pPr>
        <w:rPr>
          <w:highlight w:val="none"/>
        </w:rPr>
      </w:pPr>
    </w:p>
    <w:p w14:paraId="12281363">
      <w:pPr>
        <w:rPr>
          <w:highlight w:val="none"/>
        </w:rPr>
      </w:pPr>
    </w:p>
    <w:p w14:paraId="301B59F3">
      <w:pPr>
        <w:rPr>
          <w:highlight w:val="none"/>
        </w:rPr>
      </w:pPr>
    </w:p>
    <w:p w14:paraId="1BE61F97">
      <w:pPr>
        <w:rPr>
          <w:highlight w:val="none"/>
        </w:rPr>
      </w:pPr>
    </w:p>
    <w:p w14:paraId="23E2FC2E">
      <w:pPr>
        <w:pStyle w:val="2"/>
        <w:keepNext w:val="0"/>
        <w:keepLines w:val="0"/>
        <w:tabs>
          <w:tab w:val="left" w:pos="0"/>
          <w:tab w:val="left" w:pos="3165"/>
          <w:tab w:val="center" w:pos="4153"/>
        </w:tabs>
        <w:autoSpaceDE w:val="0"/>
        <w:autoSpaceDN w:val="0"/>
        <w:adjustRightInd w:val="0"/>
        <w:spacing w:before="0" w:after="0" w:line="500" w:lineRule="exact"/>
        <w:jc w:val="center"/>
        <w:rPr>
          <w:rFonts w:hint="eastAsia" w:ascii="仿宋" w:hAnsi="仿宋" w:eastAsia="仿宋"/>
          <w:highlight w:val="none"/>
        </w:rPr>
        <w:sectPr>
          <w:footerReference r:id="rId7" w:type="first"/>
          <w:headerReference r:id="rId5" w:type="default"/>
          <w:footerReference r:id="rId6" w:type="even"/>
          <w:pgSz w:w="11906" w:h="16838"/>
          <w:pgMar w:top="907" w:right="955" w:bottom="907" w:left="1071" w:header="680" w:footer="510" w:gutter="0"/>
          <w:pgNumType w:fmt="numberInDash" w:start="0"/>
          <w:cols w:space="720" w:num="1"/>
          <w:titlePg/>
          <w:docGrid w:linePitch="312" w:charSpace="0"/>
        </w:sectPr>
      </w:pPr>
    </w:p>
    <w:p w14:paraId="473E972A">
      <w:pPr>
        <w:pStyle w:val="2"/>
        <w:keepNext w:val="0"/>
        <w:keepLines w:val="0"/>
        <w:tabs>
          <w:tab w:val="left" w:pos="0"/>
          <w:tab w:val="left" w:pos="3165"/>
          <w:tab w:val="center" w:pos="4153"/>
        </w:tabs>
        <w:autoSpaceDE w:val="0"/>
        <w:autoSpaceDN w:val="0"/>
        <w:adjustRightInd w:val="0"/>
        <w:spacing w:before="0" w:after="0" w:line="500" w:lineRule="exact"/>
        <w:jc w:val="center"/>
        <w:rPr>
          <w:rFonts w:hint="eastAsia" w:ascii="仿宋" w:hAnsi="仿宋" w:eastAsia="仿宋"/>
          <w:highlight w:val="none"/>
        </w:rPr>
      </w:pPr>
      <w:bookmarkStart w:id="3" w:name="_Toc19327"/>
      <w:r>
        <w:rPr>
          <w:rFonts w:hint="eastAsia" w:ascii="仿宋" w:hAnsi="仿宋" w:eastAsia="仿宋"/>
          <w:highlight w:val="none"/>
        </w:rPr>
        <w:t>第一章</w:t>
      </w:r>
      <w:bookmarkEnd w:id="1"/>
      <w:bookmarkEnd w:id="2"/>
      <w:bookmarkStart w:id="4" w:name="_Toc35393789"/>
      <w:bookmarkStart w:id="5" w:name="_Toc28359001"/>
      <w:r>
        <w:rPr>
          <w:rFonts w:hint="eastAsia" w:ascii="仿宋" w:hAnsi="仿宋" w:eastAsia="仿宋"/>
          <w:highlight w:val="none"/>
        </w:rPr>
        <w:t xml:space="preserve"> 招标公告</w:t>
      </w:r>
      <w:bookmarkEnd w:id="3"/>
      <w:bookmarkEnd w:id="4"/>
      <w:bookmarkEnd w:id="5"/>
    </w:p>
    <w:p w14:paraId="44F421C1">
      <w:pPr>
        <w:bidi w:val="0"/>
        <w:jc w:val="center"/>
        <w:rPr>
          <w:rFonts w:hint="eastAsia" w:ascii="仿宋" w:hAnsi="仿宋" w:eastAsia="仿宋" w:cs="仿宋"/>
          <w:b/>
          <w:bCs/>
          <w:sz w:val="30"/>
          <w:szCs w:val="30"/>
          <w:highlight w:val="none"/>
        </w:rPr>
      </w:pPr>
      <w:bookmarkStart w:id="6" w:name="OLE_LINK12"/>
      <w:bookmarkStart w:id="7" w:name="OLE_LINK38"/>
      <w:r>
        <w:rPr>
          <w:rFonts w:hint="eastAsia" w:ascii="仿宋" w:hAnsi="仿宋" w:eastAsia="仿宋" w:cs="仿宋"/>
          <w:b/>
          <w:bCs/>
          <w:sz w:val="30"/>
          <w:szCs w:val="30"/>
          <w:highlight w:val="none"/>
          <w:lang w:eastAsia="zh-CN"/>
        </w:rPr>
        <w:t>热释光剂量仪等医疗设备采购（</w:t>
      </w:r>
      <w:r>
        <w:rPr>
          <w:rFonts w:hint="eastAsia" w:ascii="仿宋" w:hAnsi="仿宋" w:eastAsia="仿宋" w:cs="仿宋"/>
          <w:b/>
          <w:bCs/>
          <w:sz w:val="30"/>
          <w:szCs w:val="30"/>
          <w:highlight w:val="none"/>
          <w:lang w:val="en-US" w:eastAsia="zh-CN"/>
        </w:rPr>
        <w:t>重</w:t>
      </w:r>
      <w:r>
        <w:rPr>
          <w:rFonts w:hint="eastAsia" w:ascii="仿宋" w:hAnsi="仿宋" w:eastAsia="仿宋" w:cs="仿宋"/>
          <w:b/>
          <w:bCs/>
          <w:sz w:val="30"/>
          <w:szCs w:val="30"/>
          <w:highlight w:val="none"/>
          <w:lang w:eastAsia="zh-CN"/>
        </w:rPr>
        <w:t>）</w:t>
      </w:r>
      <w:r>
        <w:rPr>
          <w:rFonts w:hint="eastAsia" w:ascii="仿宋" w:hAnsi="仿宋" w:eastAsia="仿宋" w:cs="仿宋"/>
          <w:b/>
          <w:bCs/>
          <w:sz w:val="30"/>
          <w:szCs w:val="30"/>
          <w:highlight w:val="none"/>
        </w:rPr>
        <w:t>（</w:t>
      </w:r>
      <w:r>
        <w:rPr>
          <w:rFonts w:hint="eastAsia" w:ascii="仿宋" w:hAnsi="仿宋" w:eastAsia="仿宋" w:cs="仿宋"/>
          <w:b/>
          <w:bCs/>
          <w:sz w:val="30"/>
          <w:szCs w:val="30"/>
          <w:highlight w:val="none"/>
          <w:lang w:eastAsia="zh-CN"/>
        </w:rPr>
        <w:t>GLZC2026-G1-990384-KWZB</w:t>
      </w:r>
      <w:r>
        <w:rPr>
          <w:rFonts w:hint="eastAsia" w:ascii="仿宋" w:hAnsi="仿宋" w:eastAsia="仿宋" w:cs="仿宋"/>
          <w:b/>
          <w:bCs/>
          <w:sz w:val="30"/>
          <w:szCs w:val="30"/>
          <w:highlight w:val="none"/>
        </w:rPr>
        <w:t>）招标公告</w:t>
      </w:r>
    </w:p>
    <w:tbl>
      <w:tblPr>
        <w:tblStyle w:val="50"/>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1E82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9540" w:type="dxa"/>
            <w:vAlign w:val="top"/>
          </w:tcPr>
          <w:p w14:paraId="1802EA78">
            <w:pPr>
              <w:keepNext w:val="0"/>
              <w:keepLines w:val="0"/>
              <w:pageBreakBefore w:val="0"/>
              <w:kinsoku/>
              <w:overflowPunct/>
              <w:topLinePunct w:val="0"/>
              <w:autoSpaceDE/>
              <w:autoSpaceDN/>
              <w:bidi w:val="0"/>
              <w:adjustRightInd/>
              <w:snapToGrid/>
              <w:spacing w:line="360" w:lineRule="exact"/>
              <w:textAlignment w:val="auto"/>
              <w:rPr>
                <w:rFonts w:hint="eastAsia" w:ascii="仿宋" w:hAnsi="仿宋" w:eastAsia="仿宋"/>
                <w:sz w:val="24"/>
                <w:highlight w:val="none"/>
              </w:rPr>
            </w:pPr>
            <w:r>
              <w:rPr>
                <w:rFonts w:hint="eastAsia" w:ascii="仿宋" w:hAnsi="仿宋" w:eastAsia="仿宋"/>
                <w:sz w:val="24"/>
                <w:highlight w:val="none"/>
              </w:rPr>
              <w:t>项目概况</w:t>
            </w:r>
          </w:p>
          <w:p w14:paraId="1A8A5082">
            <w:pPr>
              <w:keepNext w:val="0"/>
              <w:keepLines w:val="0"/>
              <w:pageBreakBefore w:val="0"/>
              <w:kinsoku/>
              <w:overflowPunct/>
              <w:topLinePunct w:val="0"/>
              <w:autoSpaceDE/>
              <w:autoSpaceDN/>
              <w:bidi w:val="0"/>
              <w:adjustRightInd/>
              <w:snapToGrid/>
              <w:spacing w:line="360" w:lineRule="exact"/>
              <w:ind w:firstLine="480" w:firstLineChars="200"/>
              <w:textAlignment w:val="auto"/>
              <w:rPr>
                <w:rFonts w:hint="eastAsia"/>
                <w:highlight w:val="none"/>
                <w:vertAlign w:val="baseline"/>
              </w:rPr>
            </w:pPr>
            <w:r>
              <w:rPr>
                <w:rFonts w:hint="eastAsia" w:ascii="仿宋" w:hAnsi="仿宋" w:eastAsia="仿宋"/>
                <w:sz w:val="24"/>
                <w:highlight w:val="none"/>
                <w:lang w:eastAsia="zh-CN"/>
              </w:rPr>
              <w:t>热释光剂量仪等医疗设备采购（重）</w:t>
            </w:r>
            <w:r>
              <w:rPr>
                <w:rFonts w:hint="eastAsia" w:ascii="仿宋" w:hAnsi="仿宋" w:eastAsia="仿宋"/>
                <w:sz w:val="24"/>
                <w:highlight w:val="none"/>
              </w:rPr>
              <w:t xml:space="preserve">招标项目的潜在投标人应在“广西政府采购云平台”（ </w:t>
            </w:r>
            <w:r>
              <w:rPr>
                <w:rFonts w:hint="eastAsia" w:ascii="仿宋" w:hAnsi="仿宋" w:eastAsia="仿宋"/>
                <w:sz w:val="24"/>
                <w:highlight w:val="none"/>
              </w:rPr>
              <w:fldChar w:fldCharType="begin"/>
            </w:r>
            <w:r>
              <w:rPr>
                <w:rFonts w:hint="eastAsia" w:ascii="仿宋" w:hAnsi="仿宋" w:eastAsia="仿宋"/>
                <w:sz w:val="24"/>
                <w:highlight w:val="none"/>
              </w:rPr>
              <w:instrText xml:space="preserve"> HYPERLINK "https://www.gcy.zfcg.gxzf.gov.cn/）获取招标文件，并于2026年" </w:instrText>
            </w:r>
            <w:r>
              <w:rPr>
                <w:rFonts w:hint="eastAsia" w:ascii="仿宋" w:hAnsi="仿宋" w:eastAsia="仿宋"/>
                <w:sz w:val="24"/>
                <w:highlight w:val="none"/>
              </w:rPr>
              <w:fldChar w:fldCharType="separate"/>
            </w:r>
            <w:r>
              <w:rPr>
                <w:rStyle w:val="55"/>
                <w:rFonts w:hint="eastAsia" w:ascii="仿宋" w:hAnsi="仿宋" w:eastAsia="仿宋"/>
                <w:sz w:val="24"/>
                <w:highlight w:val="none"/>
              </w:rPr>
              <w:t>https://www.gcy.zfcg.gxzf.gov.cn/）获取招标文件，并于202</w:t>
            </w:r>
            <w:r>
              <w:rPr>
                <w:rStyle w:val="55"/>
                <w:rFonts w:hint="eastAsia" w:ascii="仿宋" w:hAnsi="仿宋" w:eastAsia="仿宋"/>
                <w:sz w:val="24"/>
                <w:highlight w:val="none"/>
                <w:lang w:val="en-US" w:eastAsia="zh-CN"/>
              </w:rPr>
              <w:t>6</w:t>
            </w:r>
            <w:r>
              <w:rPr>
                <w:rStyle w:val="55"/>
                <w:rFonts w:hint="eastAsia" w:ascii="仿宋" w:hAnsi="仿宋" w:eastAsia="仿宋"/>
                <w:sz w:val="24"/>
                <w:highlight w:val="none"/>
              </w:rPr>
              <w:t>年</w:t>
            </w:r>
            <w:r>
              <w:rPr>
                <w:rFonts w:hint="eastAsia" w:ascii="仿宋" w:hAnsi="仿宋" w:eastAsia="仿宋"/>
                <w:sz w:val="24"/>
                <w:highlight w:val="none"/>
              </w:rPr>
              <w:fldChar w:fldCharType="end"/>
            </w:r>
            <w:r>
              <w:rPr>
                <w:rFonts w:hint="eastAsia" w:ascii="仿宋" w:hAnsi="仿宋" w:eastAsia="仿宋"/>
                <w:sz w:val="24"/>
                <w:highlight w:val="none"/>
                <w:lang w:val="en-US" w:eastAsia="zh-CN"/>
              </w:rPr>
              <w:t>9</w:t>
            </w:r>
            <w:r>
              <w:rPr>
                <w:rFonts w:hint="eastAsia" w:ascii="仿宋" w:hAnsi="仿宋" w:eastAsia="仿宋"/>
                <w:sz w:val="24"/>
                <w:highlight w:val="none"/>
              </w:rPr>
              <w:t>月</w:t>
            </w:r>
            <w:r>
              <w:rPr>
                <w:rFonts w:hint="eastAsia" w:ascii="仿宋" w:hAnsi="仿宋" w:eastAsia="仿宋"/>
                <w:sz w:val="24"/>
                <w:highlight w:val="none"/>
                <w:lang w:val="en-US" w:eastAsia="zh-CN"/>
              </w:rPr>
              <w:t>28</w:t>
            </w:r>
            <w:r>
              <w:rPr>
                <w:rFonts w:hint="eastAsia" w:ascii="仿宋" w:hAnsi="仿宋" w:eastAsia="仿宋"/>
                <w:sz w:val="24"/>
                <w:highlight w:val="none"/>
              </w:rPr>
              <w:t>日9：30（北京时间）前递交投标文件。</w:t>
            </w:r>
          </w:p>
        </w:tc>
      </w:tr>
    </w:tbl>
    <w:p w14:paraId="47D945F1">
      <w:pPr>
        <w:keepNext w:val="0"/>
        <w:keepLines w:val="0"/>
        <w:pageBreakBefore w:val="0"/>
        <w:widowControl w:val="0"/>
        <w:kinsoku/>
        <w:overflowPunct/>
        <w:topLinePunct w:val="0"/>
        <w:autoSpaceDE/>
        <w:autoSpaceDN/>
        <w:bidi w:val="0"/>
        <w:adjustRightInd/>
        <w:snapToGrid/>
        <w:spacing w:line="360" w:lineRule="exact"/>
        <w:textAlignment w:val="auto"/>
        <w:rPr>
          <w:rFonts w:hint="eastAsia"/>
          <w:highlight w:val="none"/>
        </w:rPr>
      </w:pPr>
    </w:p>
    <w:p w14:paraId="0587F9FD">
      <w:pPr>
        <w:keepNext w:val="0"/>
        <w:keepLines w:val="0"/>
        <w:pageBreakBefore w:val="0"/>
        <w:widowControl w:val="0"/>
        <w:kinsoku/>
        <w:overflowPunct/>
        <w:topLinePunct w:val="0"/>
        <w:autoSpaceDE/>
        <w:autoSpaceDN/>
        <w:bidi w:val="0"/>
        <w:adjustRightInd/>
        <w:snapToGrid/>
        <w:spacing w:line="440" w:lineRule="exact"/>
        <w:textAlignment w:val="auto"/>
        <w:outlineLvl w:val="9"/>
        <w:rPr>
          <w:rFonts w:hint="eastAsia" w:ascii="仿宋" w:hAnsi="仿宋" w:eastAsia="仿宋"/>
          <w:b/>
          <w:bCs/>
          <w:sz w:val="24"/>
          <w:highlight w:val="none"/>
        </w:rPr>
      </w:pPr>
      <w:bookmarkStart w:id="8" w:name="_Toc28359002"/>
      <w:bookmarkStart w:id="9" w:name="_Toc35393790"/>
      <w:bookmarkStart w:id="10" w:name="_Toc35393621"/>
      <w:bookmarkStart w:id="11" w:name="_Toc28359079"/>
      <w:bookmarkStart w:id="12" w:name="_Hlk24379207"/>
      <w:r>
        <w:rPr>
          <w:rFonts w:hint="eastAsia" w:ascii="仿宋" w:hAnsi="仿宋" w:eastAsia="仿宋"/>
          <w:b/>
          <w:bCs/>
          <w:sz w:val="24"/>
          <w:highlight w:val="none"/>
        </w:rPr>
        <w:t>一、项目基本情况</w:t>
      </w:r>
      <w:bookmarkEnd w:id="8"/>
      <w:bookmarkEnd w:id="9"/>
      <w:bookmarkEnd w:id="10"/>
      <w:bookmarkEnd w:id="11"/>
    </w:p>
    <w:p w14:paraId="2A03AB03">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lang w:eastAsia="zh-CN"/>
        </w:rPr>
      </w:pPr>
      <w:r>
        <w:rPr>
          <w:rFonts w:hint="eastAsia" w:ascii="仿宋" w:hAnsi="仿宋" w:eastAsia="仿宋"/>
          <w:sz w:val="24"/>
          <w:highlight w:val="none"/>
        </w:rPr>
        <w:t>项目编号：</w:t>
      </w:r>
      <w:r>
        <w:rPr>
          <w:rFonts w:hint="eastAsia" w:ascii="仿宋" w:hAnsi="仿宋" w:eastAsia="仿宋"/>
          <w:sz w:val="24"/>
          <w:highlight w:val="none"/>
          <w:lang w:eastAsia="zh-CN"/>
        </w:rPr>
        <w:t>GLZC2026-G1-990384-KWZB</w:t>
      </w:r>
    </w:p>
    <w:p w14:paraId="5ECA32A7">
      <w:pPr>
        <w:pStyle w:val="18"/>
        <w:keepNext w:val="0"/>
        <w:keepLines w:val="0"/>
        <w:pageBreakBefore w:val="0"/>
        <w:widowControl w:val="0"/>
        <w:kinsoku/>
        <w:overflowPunct/>
        <w:topLinePunct w:val="0"/>
        <w:autoSpaceDE/>
        <w:autoSpaceDN/>
        <w:bidi w:val="0"/>
        <w:adjustRightInd/>
        <w:snapToGrid/>
        <w:spacing w:line="440" w:lineRule="exact"/>
        <w:ind w:left="2879" w:leftChars="228" w:hanging="2400" w:hangingChars="1000"/>
        <w:jc w:val="left"/>
        <w:textAlignment w:val="auto"/>
        <w:outlineLvl w:val="9"/>
        <w:rPr>
          <w:rFonts w:hint="eastAsia" w:ascii="仿宋" w:hAnsi="仿宋" w:eastAsia="仿宋" w:cs="Times New Roman"/>
          <w:kern w:val="2"/>
          <w:sz w:val="24"/>
          <w:szCs w:val="24"/>
          <w:highlight w:val="none"/>
          <w:lang w:val="en-US" w:eastAsia="zh-CN" w:bidi="ar-SA"/>
        </w:rPr>
      </w:pPr>
      <w:r>
        <w:rPr>
          <w:rFonts w:hint="eastAsia" w:ascii="仿宋" w:hAnsi="仿宋" w:eastAsia="仿宋" w:cs="Times New Roman"/>
          <w:kern w:val="2"/>
          <w:sz w:val="24"/>
          <w:szCs w:val="24"/>
          <w:highlight w:val="none"/>
          <w:lang w:val="en-US" w:eastAsia="zh-CN" w:bidi="ar-SA"/>
        </w:rPr>
        <w:t>政府采购计划编号： GLZC2026-G1-01171-001、GLZC2026-G1-01171-00</w:t>
      </w:r>
      <w:r>
        <w:rPr>
          <w:rFonts w:hint="eastAsia" w:cs="Times New Roman"/>
          <w:kern w:val="2"/>
          <w:sz w:val="24"/>
          <w:szCs w:val="24"/>
          <w:highlight w:val="none"/>
          <w:lang w:val="en-US" w:eastAsia="zh-CN" w:bidi="ar-SA"/>
        </w:rPr>
        <w:t>2、</w:t>
      </w:r>
      <w:r>
        <w:rPr>
          <w:rFonts w:hint="eastAsia" w:ascii="仿宋" w:hAnsi="仿宋" w:eastAsia="仿宋" w:cs="Times New Roman"/>
          <w:kern w:val="2"/>
          <w:sz w:val="24"/>
          <w:szCs w:val="24"/>
          <w:highlight w:val="none"/>
          <w:lang w:val="en-US" w:eastAsia="zh-CN" w:bidi="ar-SA"/>
        </w:rPr>
        <w:t>GLZC2026-G1-01171-00</w:t>
      </w:r>
      <w:r>
        <w:rPr>
          <w:rFonts w:hint="eastAsia" w:cs="Times New Roman"/>
          <w:kern w:val="2"/>
          <w:sz w:val="24"/>
          <w:szCs w:val="24"/>
          <w:highlight w:val="none"/>
          <w:lang w:val="en-US" w:eastAsia="zh-CN" w:bidi="ar-SA"/>
        </w:rPr>
        <w:t>3、</w:t>
      </w:r>
      <w:r>
        <w:rPr>
          <w:rFonts w:hint="eastAsia" w:ascii="仿宋" w:hAnsi="仿宋" w:eastAsia="仿宋" w:cs="Times New Roman"/>
          <w:kern w:val="2"/>
          <w:sz w:val="24"/>
          <w:szCs w:val="24"/>
          <w:highlight w:val="none"/>
          <w:lang w:val="en-US" w:eastAsia="zh-CN" w:bidi="ar-SA"/>
        </w:rPr>
        <w:t>GLZC2026-G1-01171-00</w:t>
      </w:r>
      <w:r>
        <w:rPr>
          <w:rFonts w:hint="eastAsia" w:cs="Times New Roman"/>
          <w:kern w:val="2"/>
          <w:sz w:val="24"/>
          <w:szCs w:val="24"/>
          <w:highlight w:val="none"/>
          <w:lang w:val="en-US" w:eastAsia="zh-CN" w:bidi="ar-SA"/>
        </w:rPr>
        <w:t>4</w:t>
      </w:r>
    </w:p>
    <w:p w14:paraId="5D405A5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lang w:eastAsia="zh-CN"/>
        </w:rPr>
      </w:pPr>
      <w:r>
        <w:rPr>
          <w:rFonts w:hint="eastAsia" w:ascii="仿宋" w:hAnsi="仿宋" w:eastAsia="仿宋"/>
          <w:sz w:val="24"/>
          <w:highlight w:val="none"/>
        </w:rPr>
        <w:t>项目名称：</w:t>
      </w:r>
      <w:r>
        <w:rPr>
          <w:rFonts w:hint="eastAsia" w:ascii="仿宋" w:hAnsi="仿宋" w:eastAsia="仿宋" w:cs="Arial"/>
          <w:bCs/>
          <w:sz w:val="24"/>
          <w:highlight w:val="none"/>
          <w:lang w:eastAsia="zh-CN"/>
        </w:rPr>
        <w:t>热释光剂量仪等医疗设备采购（重）</w:t>
      </w:r>
    </w:p>
    <w:bookmarkEnd w:id="12"/>
    <w:p w14:paraId="4297EE1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预算总金额（元）：</w:t>
      </w:r>
      <w:r>
        <w:rPr>
          <w:rFonts w:hint="eastAsia" w:ascii="仿宋" w:hAnsi="仿宋" w:eastAsia="仿宋"/>
          <w:iCs/>
          <w:sz w:val="24"/>
          <w:highlight w:val="none"/>
          <w:lang w:val="en-US" w:eastAsia="zh-CN"/>
        </w:rPr>
        <w:t>3780000</w:t>
      </w:r>
      <w:r>
        <w:rPr>
          <w:rFonts w:ascii="仿宋" w:hAnsi="仿宋" w:eastAsia="仿宋"/>
          <w:iCs/>
          <w:sz w:val="24"/>
          <w:highlight w:val="none"/>
        </w:rPr>
        <w:t>.00</w:t>
      </w:r>
      <w:r>
        <w:rPr>
          <w:rFonts w:hint="eastAsia" w:ascii="仿宋" w:hAnsi="仿宋" w:eastAsia="仿宋"/>
          <w:sz w:val="24"/>
          <w:highlight w:val="none"/>
        </w:rPr>
        <w:t>元</w:t>
      </w:r>
    </w:p>
    <w:p w14:paraId="54561760">
      <w:pPr>
        <w:pStyle w:val="18"/>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highlight w:val="none"/>
        </w:rPr>
      </w:pPr>
      <w:r>
        <w:rPr>
          <w:rFonts w:hint="eastAsia"/>
          <w:highlight w:val="none"/>
        </w:rPr>
        <w:t>最高限价（如有）：</w:t>
      </w:r>
      <w:r>
        <w:rPr>
          <w:rFonts w:hint="eastAsia"/>
          <w:iCs/>
          <w:sz w:val="24"/>
          <w:highlight w:val="none"/>
          <w:lang w:val="en-US" w:eastAsia="zh-CN"/>
        </w:rPr>
        <w:t>378.00万</w:t>
      </w:r>
      <w:r>
        <w:rPr>
          <w:rFonts w:hint="eastAsia"/>
          <w:highlight w:val="none"/>
        </w:rPr>
        <w:t>元</w:t>
      </w:r>
    </w:p>
    <w:p w14:paraId="16985BD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项目需求：</w:t>
      </w:r>
    </w:p>
    <w:p w14:paraId="466C4506">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 xml:space="preserve">标项一 </w:t>
      </w:r>
    </w:p>
    <w:p w14:paraId="15605F2C">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lang w:val="en-US" w:eastAsia="zh-CN"/>
        </w:rPr>
      </w:pPr>
      <w:r>
        <w:rPr>
          <w:rFonts w:hint="eastAsia" w:ascii="仿宋" w:hAnsi="仿宋" w:eastAsia="仿宋"/>
          <w:sz w:val="24"/>
          <w:highlight w:val="none"/>
        </w:rPr>
        <w:t>标项名称:</w:t>
      </w:r>
      <w:r>
        <w:rPr>
          <w:rFonts w:hint="eastAsia" w:ascii="仿宋" w:hAnsi="仿宋" w:eastAsia="仿宋"/>
          <w:sz w:val="24"/>
          <w:highlight w:val="none"/>
          <w:lang w:val="en-US" w:eastAsia="zh-CN"/>
        </w:rPr>
        <w:t>A</w:t>
      </w:r>
    </w:p>
    <w:p w14:paraId="3BF37E3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数量:不限</w:t>
      </w:r>
    </w:p>
    <w:p w14:paraId="783CA985">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预算金额（元）:</w:t>
      </w:r>
      <w:r>
        <w:rPr>
          <w:rFonts w:hint="eastAsia" w:ascii="仿宋" w:hAnsi="仿宋" w:eastAsia="仿宋"/>
          <w:color w:val="auto"/>
          <w:sz w:val="24"/>
          <w:highlight w:val="none"/>
          <w:lang w:val="en-US" w:eastAsia="zh-CN"/>
        </w:rPr>
        <w:t>3780000</w:t>
      </w:r>
      <w:r>
        <w:rPr>
          <w:rFonts w:hint="eastAsia" w:ascii="仿宋" w:hAnsi="仿宋" w:eastAsia="仿宋"/>
          <w:color w:val="auto"/>
          <w:sz w:val="24"/>
          <w:highlight w:val="none"/>
        </w:rPr>
        <w:t>.00</w:t>
      </w:r>
    </w:p>
    <w:p w14:paraId="529A9D46">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简要规格描述或项目基本概况介绍、用途：</w:t>
      </w:r>
      <w:r>
        <w:rPr>
          <w:rFonts w:hint="eastAsia" w:ascii="仿宋" w:hAnsi="仿宋" w:eastAsia="仿宋"/>
          <w:sz w:val="24"/>
          <w:highlight w:val="none"/>
          <w:lang w:val="en-US" w:eastAsia="zh-CN"/>
        </w:rPr>
        <w:t>热释光剂量仪1台、</w:t>
      </w:r>
      <w:r>
        <w:rPr>
          <w:rFonts w:hint="eastAsia" w:ascii="仿宋" w:hAnsi="仿宋" w:eastAsia="仿宋"/>
          <w:sz w:val="24"/>
          <w:highlight w:val="none"/>
        </w:rPr>
        <w:t>车载X射线机1套</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全自动病毒载量检测系统</w:t>
      </w:r>
      <w:r>
        <w:rPr>
          <w:rFonts w:hint="eastAsia" w:ascii="仿宋" w:hAnsi="仿宋" w:eastAsia="仿宋"/>
          <w:sz w:val="24"/>
          <w:highlight w:val="none"/>
        </w:rPr>
        <w:t>1</w:t>
      </w:r>
      <w:r>
        <w:rPr>
          <w:rFonts w:hint="eastAsia" w:ascii="仿宋" w:hAnsi="仿宋" w:eastAsia="仿宋"/>
          <w:sz w:val="24"/>
          <w:highlight w:val="none"/>
          <w:lang w:val="en-US" w:eastAsia="zh-CN"/>
        </w:rPr>
        <w:t>套、微生物分析系统</w:t>
      </w:r>
      <w:r>
        <w:rPr>
          <w:rFonts w:hint="eastAsia" w:ascii="仿宋" w:hAnsi="仿宋" w:eastAsia="仿宋"/>
          <w:sz w:val="24"/>
          <w:highlight w:val="none"/>
        </w:rPr>
        <w:t>1</w:t>
      </w:r>
      <w:r>
        <w:rPr>
          <w:rFonts w:hint="eastAsia" w:ascii="仿宋" w:hAnsi="仿宋" w:eastAsia="仿宋"/>
          <w:sz w:val="24"/>
          <w:highlight w:val="none"/>
          <w:lang w:val="en-US" w:eastAsia="zh-CN"/>
        </w:rPr>
        <w:t>套</w:t>
      </w:r>
      <w:r>
        <w:rPr>
          <w:rFonts w:hint="eastAsia" w:ascii="仿宋" w:hAnsi="仿宋" w:eastAsia="仿宋"/>
          <w:sz w:val="24"/>
          <w:highlight w:val="none"/>
        </w:rPr>
        <w:t>，具体要求详见招标文件。</w:t>
      </w:r>
    </w:p>
    <w:p w14:paraId="08D6866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default" w:ascii="仿宋" w:hAnsi="仿宋" w:eastAsia="仿宋"/>
          <w:sz w:val="24"/>
          <w:highlight w:val="none"/>
          <w:lang w:val="en-US" w:eastAsia="zh-CN"/>
        </w:rPr>
      </w:pPr>
      <w:r>
        <w:rPr>
          <w:rFonts w:hint="eastAsia" w:ascii="仿宋" w:hAnsi="仿宋" w:eastAsia="仿宋"/>
          <w:sz w:val="24"/>
          <w:highlight w:val="none"/>
        </w:rPr>
        <w:t>最高限价（如有）：</w:t>
      </w:r>
      <w:r>
        <w:rPr>
          <w:rFonts w:hint="eastAsia" w:ascii="仿宋" w:hAnsi="仿宋" w:eastAsia="仿宋"/>
          <w:color w:val="auto"/>
          <w:sz w:val="24"/>
          <w:highlight w:val="none"/>
          <w:lang w:val="en-US" w:eastAsia="zh-CN"/>
        </w:rPr>
        <w:t>378.</w:t>
      </w:r>
      <w:r>
        <w:rPr>
          <w:rFonts w:hint="eastAsia" w:ascii="仿宋" w:hAnsi="仿宋" w:eastAsia="仿宋"/>
          <w:color w:val="auto"/>
          <w:sz w:val="24"/>
          <w:highlight w:val="none"/>
        </w:rPr>
        <w:t>00</w:t>
      </w:r>
      <w:r>
        <w:rPr>
          <w:rFonts w:hint="eastAsia" w:ascii="仿宋" w:hAnsi="仿宋" w:eastAsia="仿宋"/>
          <w:sz w:val="24"/>
          <w:highlight w:val="none"/>
          <w:lang w:val="en-US" w:eastAsia="zh-CN"/>
        </w:rPr>
        <w:t>万元</w:t>
      </w:r>
    </w:p>
    <w:p w14:paraId="3DAE5D43">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合同履约期限：</w:t>
      </w:r>
      <w:r>
        <w:rPr>
          <w:rFonts w:hint="eastAsia" w:ascii="仿宋" w:hAnsi="仿宋" w:eastAsia="仿宋" w:cs="仿宋"/>
          <w:color w:val="auto"/>
          <w:kern w:val="0"/>
          <w:sz w:val="24"/>
          <w:highlight w:val="none"/>
        </w:rPr>
        <w:t>自签订合同之日起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30</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个日历日内，安装调试完毕并交付使用。</w:t>
      </w:r>
    </w:p>
    <w:p w14:paraId="30BAFE7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本标项（否）接受联合体投标</w:t>
      </w:r>
    </w:p>
    <w:p w14:paraId="1AE6A877">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备注：</w:t>
      </w:r>
    </w:p>
    <w:p w14:paraId="6AEF33E7">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p>
    <w:p w14:paraId="353FFEA9">
      <w:pPr>
        <w:keepNext w:val="0"/>
        <w:keepLines w:val="0"/>
        <w:pageBreakBefore w:val="0"/>
        <w:kinsoku/>
        <w:overflowPunct/>
        <w:topLinePunct w:val="0"/>
        <w:autoSpaceDE/>
        <w:autoSpaceDN/>
        <w:bidi w:val="0"/>
        <w:adjustRightInd/>
        <w:snapToGrid/>
        <w:spacing w:line="440" w:lineRule="exact"/>
        <w:textAlignment w:val="auto"/>
        <w:outlineLvl w:val="9"/>
        <w:rPr>
          <w:rFonts w:hint="eastAsia" w:eastAsia="宋体"/>
          <w:lang w:val="en-US" w:eastAsia="zh-CN"/>
        </w:rPr>
      </w:pPr>
    </w:p>
    <w:p w14:paraId="49B613B3">
      <w:pPr>
        <w:keepNext w:val="0"/>
        <w:keepLines w:val="0"/>
        <w:pageBreakBefore w:val="0"/>
        <w:widowControl w:val="0"/>
        <w:kinsoku/>
        <w:overflowPunct/>
        <w:topLinePunct w:val="0"/>
        <w:autoSpaceDE/>
        <w:autoSpaceDN/>
        <w:bidi w:val="0"/>
        <w:adjustRightInd/>
        <w:snapToGrid/>
        <w:spacing w:line="440" w:lineRule="exact"/>
        <w:textAlignment w:val="auto"/>
        <w:outlineLvl w:val="9"/>
        <w:rPr>
          <w:rFonts w:hint="eastAsia" w:ascii="仿宋" w:hAnsi="仿宋" w:eastAsia="仿宋"/>
          <w:b/>
          <w:bCs/>
          <w:sz w:val="24"/>
          <w:highlight w:val="none"/>
        </w:rPr>
      </w:pPr>
      <w:bookmarkStart w:id="13" w:name="_Toc35393791"/>
      <w:bookmarkStart w:id="14" w:name="_Toc28359080"/>
      <w:bookmarkStart w:id="15" w:name="_Toc28359003"/>
      <w:bookmarkStart w:id="16" w:name="_Toc35393622"/>
      <w:r>
        <w:rPr>
          <w:rFonts w:hint="eastAsia" w:ascii="仿宋" w:hAnsi="仿宋" w:eastAsia="仿宋"/>
          <w:b/>
          <w:bCs/>
          <w:sz w:val="24"/>
          <w:highlight w:val="none"/>
        </w:rPr>
        <w:t>二、申请人的资格要求：</w:t>
      </w:r>
      <w:bookmarkEnd w:id="13"/>
      <w:bookmarkEnd w:id="14"/>
      <w:bookmarkEnd w:id="15"/>
      <w:bookmarkEnd w:id="16"/>
    </w:p>
    <w:p w14:paraId="71035D13">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bookmarkStart w:id="17" w:name="_Hlk51746371"/>
      <w:bookmarkStart w:id="18" w:name="_Toc28359004"/>
      <w:bookmarkStart w:id="19" w:name="_Toc28359081"/>
      <w:r>
        <w:rPr>
          <w:rFonts w:hint="eastAsia" w:ascii="仿宋" w:hAnsi="仿宋" w:eastAsia="仿宋"/>
          <w:sz w:val="24"/>
          <w:highlight w:val="none"/>
        </w:rPr>
        <w:t>1、满足《中华人民共和国政府采购法》第二十二条规定；</w:t>
      </w:r>
    </w:p>
    <w:p w14:paraId="08D7296A">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ascii="仿宋" w:hAnsi="仿宋" w:eastAsia="仿宋"/>
          <w:sz w:val="24"/>
          <w:highlight w:val="none"/>
        </w:rPr>
        <w:t>2</w:t>
      </w:r>
      <w:r>
        <w:rPr>
          <w:rFonts w:hint="eastAsia" w:ascii="仿宋" w:hAnsi="仿宋" w:eastAsia="仿宋"/>
          <w:sz w:val="24"/>
          <w:highlight w:val="none"/>
        </w:rPr>
        <w:t>、落实政府采购政策需满足的资格要求：无</w:t>
      </w:r>
    </w:p>
    <w:p w14:paraId="2A1BCD0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3、本项目的特定资格要求：供应商按《医疗器械监督管理条例》（国务院令第739号）医疗器械分类管理要求，具备涵盖本次医疗器械采购标的且有效的医疗器械经营备案凭证或者经营许可证[符合《医疗器械监督管理条例》第四十一条第二款规定的除外]，或者投标人具有《医疗器械监督管理条例》第四十三条规定的注册人凭证。</w:t>
      </w:r>
    </w:p>
    <w:bookmarkEnd w:id="17"/>
    <w:p w14:paraId="10987A67">
      <w:pPr>
        <w:keepNext w:val="0"/>
        <w:keepLines w:val="0"/>
        <w:pageBreakBefore w:val="0"/>
        <w:widowControl w:val="0"/>
        <w:kinsoku/>
        <w:overflowPunct/>
        <w:topLinePunct w:val="0"/>
        <w:autoSpaceDE/>
        <w:autoSpaceDN/>
        <w:bidi w:val="0"/>
        <w:adjustRightInd/>
        <w:snapToGrid/>
        <w:spacing w:line="440" w:lineRule="exact"/>
        <w:textAlignment w:val="auto"/>
        <w:outlineLvl w:val="9"/>
        <w:rPr>
          <w:rFonts w:hint="eastAsia" w:ascii="仿宋" w:hAnsi="仿宋" w:eastAsia="仿宋"/>
          <w:b/>
          <w:bCs/>
          <w:sz w:val="24"/>
          <w:highlight w:val="none"/>
        </w:rPr>
      </w:pPr>
      <w:bookmarkStart w:id="20" w:name="_Toc35393623"/>
      <w:bookmarkStart w:id="21" w:name="_Toc35393792"/>
      <w:r>
        <w:rPr>
          <w:rFonts w:hint="eastAsia" w:ascii="仿宋" w:hAnsi="仿宋" w:eastAsia="仿宋"/>
          <w:b/>
          <w:bCs/>
          <w:sz w:val="24"/>
          <w:highlight w:val="none"/>
        </w:rPr>
        <w:t>三、</w:t>
      </w:r>
      <w:bookmarkStart w:id="22" w:name="OLE_LINK15"/>
      <w:r>
        <w:rPr>
          <w:rFonts w:hint="eastAsia" w:ascii="仿宋" w:hAnsi="仿宋" w:eastAsia="仿宋"/>
          <w:b/>
          <w:bCs/>
          <w:sz w:val="24"/>
          <w:highlight w:val="none"/>
        </w:rPr>
        <w:t>获取招标文件</w:t>
      </w:r>
      <w:bookmarkEnd w:id="18"/>
      <w:bookmarkEnd w:id="19"/>
      <w:bookmarkEnd w:id="20"/>
      <w:bookmarkEnd w:id="21"/>
      <w:bookmarkEnd w:id="22"/>
    </w:p>
    <w:p w14:paraId="12DA58FF">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bCs/>
          <w:kern w:val="0"/>
          <w:sz w:val="24"/>
          <w:highlight w:val="none"/>
        </w:rPr>
      </w:pPr>
      <w:r>
        <w:rPr>
          <w:rFonts w:hint="eastAsia" w:ascii="仿宋" w:hAnsi="仿宋" w:eastAsia="仿宋" w:cs="宋体"/>
          <w:bCs/>
          <w:kern w:val="0"/>
          <w:sz w:val="24"/>
          <w:highlight w:val="none"/>
        </w:rPr>
        <w:t>时间：</w:t>
      </w:r>
      <w:r>
        <w:rPr>
          <w:rFonts w:ascii="仿宋" w:hAnsi="仿宋" w:eastAsia="仿宋" w:cs="Arial"/>
          <w:sz w:val="24"/>
          <w:highlight w:val="none"/>
        </w:rPr>
        <w:t>/</w:t>
      </w:r>
      <w:r>
        <w:rPr>
          <w:rFonts w:hint="eastAsia" w:ascii="仿宋" w:hAnsi="仿宋" w:eastAsia="仿宋" w:cs="Arial"/>
          <w:sz w:val="24"/>
          <w:highlight w:val="none"/>
        </w:rPr>
        <w:t>至</w:t>
      </w:r>
      <w:r>
        <w:rPr>
          <w:rFonts w:hint="eastAsia" w:ascii="仿宋" w:hAnsi="仿宋" w:eastAsia="仿宋" w:cs="Arial"/>
          <w:sz w:val="24"/>
          <w:highlight w:val="none"/>
          <w:lang w:eastAsia="zh-CN"/>
        </w:rPr>
        <w:t>202</w:t>
      </w:r>
      <w:r>
        <w:rPr>
          <w:rFonts w:hint="eastAsia" w:ascii="仿宋" w:hAnsi="仿宋" w:eastAsia="仿宋" w:cs="Arial"/>
          <w:sz w:val="24"/>
          <w:highlight w:val="none"/>
          <w:lang w:val="en-US" w:eastAsia="zh-CN"/>
        </w:rPr>
        <w:t>6</w:t>
      </w:r>
      <w:r>
        <w:rPr>
          <w:rFonts w:hint="eastAsia" w:ascii="仿宋" w:hAnsi="仿宋" w:eastAsia="仿宋" w:cs="Arial"/>
          <w:sz w:val="24"/>
          <w:highlight w:val="none"/>
          <w:lang w:eastAsia="zh-CN"/>
        </w:rPr>
        <w:t>年</w:t>
      </w:r>
      <w:r>
        <w:rPr>
          <w:rFonts w:hint="eastAsia" w:ascii="仿宋" w:hAnsi="仿宋" w:eastAsia="仿宋" w:cs="Arial"/>
          <w:sz w:val="24"/>
          <w:highlight w:val="none"/>
          <w:lang w:val="en-US" w:eastAsia="zh-CN"/>
        </w:rPr>
        <w:t>9</w:t>
      </w:r>
      <w:r>
        <w:rPr>
          <w:rFonts w:hint="eastAsia" w:ascii="仿宋" w:hAnsi="仿宋" w:eastAsia="仿宋" w:cs="Arial"/>
          <w:sz w:val="24"/>
          <w:highlight w:val="none"/>
          <w:lang w:eastAsia="zh-CN"/>
        </w:rPr>
        <w:t>月</w:t>
      </w:r>
      <w:r>
        <w:rPr>
          <w:rFonts w:hint="eastAsia" w:ascii="仿宋" w:hAnsi="仿宋" w:eastAsia="仿宋" w:cs="Arial"/>
          <w:sz w:val="24"/>
          <w:highlight w:val="none"/>
          <w:lang w:val="en-US" w:eastAsia="zh-CN"/>
        </w:rPr>
        <w:t>28</w:t>
      </w:r>
      <w:bookmarkStart w:id="173" w:name="_GoBack"/>
      <w:bookmarkEnd w:id="173"/>
      <w:r>
        <w:rPr>
          <w:rFonts w:hint="eastAsia" w:ascii="仿宋" w:hAnsi="仿宋" w:eastAsia="仿宋" w:cs="Arial"/>
          <w:sz w:val="24"/>
          <w:highlight w:val="none"/>
          <w:lang w:eastAsia="zh-CN"/>
        </w:rPr>
        <w:t>日</w:t>
      </w:r>
      <w:r>
        <w:rPr>
          <w:rFonts w:hint="eastAsia" w:ascii="仿宋" w:hAnsi="仿宋" w:eastAsia="仿宋" w:cs="Arial"/>
          <w:sz w:val="24"/>
          <w:highlight w:val="none"/>
        </w:rPr>
        <w:t>，每天上午00:00至</w:t>
      </w:r>
      <w:r>
        <w:rPr>
          <w:rFonts w:ascii="仿宋" w:hAnsi="仿宋" w:eastAsia="仿宋" w:cs="Arial"/>
          <w:sz w:val="24"/>
          <w:highlight w:val="none"/>
        </w:rPr>
        <w:t>12</w:t>
      </w:r>
      <w:r>
        <w:rPr>
          <w:rFonts w:hint="eastAsia" w:ascii="仿宋" w:hAnsi="仿宋" w:eastAsia="仿宋" w:cs="Arial"/>
          <w:sz w:val="24"/>
          <w:highlight w:val="none"/>
        </w:rPr>
        <w:t>:</w:t>
      </w:r>
      <w:r>
        <w:rPr>
          <w:rFonts w:ascii="仿宋" w:hAnsi="仿宋" w:eastAsia="仿宋" w:cs="Arial"/>
          <w:sz w:val="24"/>
          <w:highlight w:val="none"/>
        </w:rPr>
        <w:t>00</w:t>
      </w:r>
      <w:r>
        <w:rPr>
          <w:rFonts w:hint="eastAsia" w:ascii="仿宋" w:hAnsi="仿宋" w:eastAsia="仿宋" w:cs="Arial"/>
          <w:sz w:val="24"/>
          <w:highlight w:val="none"/>
        </w:rPr>
        <w:t>；下午12:0</w:t>
      </w:r>
      <w:r>
        <w:rPr>
          <w:rFonts w:ascii="仿宋" w:hAnsi="仿宋" w:eastAsia="仿宋" w:cs="Arial"/>
          <w:sz w:val="24"/>
          <w:highlight w:val="none"/>
        </w:rPr>
        <w:t>1</w:t>
      </w:r>
      <w:r>
        <w:rPr>
          <w:rFonts w:hint="eastAsia" w:ascii="仿宋" w:hAnsi="仿宋" w:eastAsia="仿宋" w:cs="Arial"/>
          <w:sz w:val="24"/>
          <w:highlight w:val="none"/>
        </w:rPr>
        <w:t>-23:59（北京时间，</w:t>
      </w:r>
      <w:r>
        <w:rPr>
          <w:rFonts w:ascii="仿宋" w:hAnsi="仿宋" w:eastAsia="仿宋" w:cs="Arial"/>
          <w:sz w:val="24"/>
          <w:highlight w:val="none"/>
        </w:rPr>
        <w:t>法定节假日</w:t>
      </w:r>
      <w:r>
        <w:rPr>
          <w:rFonts w:hint="eastAsia" w:ascii="仿宋" w:hAnsi="仿宋" w:eastAsia="仿宋" w:cs="Arial"/>
          <w:sz w:val="24"/>
          <w:highlight w:val="none"/>
        </w:rPr>
        <w:t>除外）</w:t>
      </w:r>
    </w:p>
    <w:p w14:paraId="2BF5FD93">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bCs/>
          <w:kern w:val="0"/>
          <w:sz w:val="24"/>
          <w:highlight w:val="none"/>
        </w:rPr>
      </w:pPr>
      <w:r>
        <w:rPr>
          <w:rFonts w:hint="eastAsia" w:ascii="仿宋" w:hAnsi="仿宋" w:eastAsia="仿宋" w:cs="宋体"/>
          <w:bCs/>
          <w:kern w:val="0"/>
          <w:sz w:val="24"/>
          <w:highlight w:val="none"/>
        </w:rPr>
        <w:t>地点（网址）：广西政府采购云平台（</w:t>
      </w:r>
      <w:r>
        <w:rPr>
          <w:rFonts w:ascii="仿宋" w:hAnsi="仿宋" w:eastAsia="仿宋" w:cs="宋体"/>
          <w:bCs/>
          <w:kern w:val="0"/>
          <w:sz w:val="24"/>
          <w:highlight w:val="none"/>
        </w:rPr>
        <w:t>https://www.gcy.zfcg.gxzf.gov.cn/</w:t>
      </w:r>
      <w:r>
        <w:rPr>
          <w:rFonts w:hint="eastAsia" w:ascii="仿宋" w:hAnsi="仿宋" w:eastAsia="仿宋" w:cs="宋体"/>
          <w:bCs/>
          <w:kern w:val="0"/>
          <w:sz w:val="24"/>
          <w:highlight w:val="none"/>
        </w:rPr>
        <w:t>）</w:t>
      </w:r>
    </w:p>
    <w:p w14:paraId="5BEA831A">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bCs/>
          <w:kern w:val="0"/>
          <w:sz w:val="24"/>
          <w:highlight w:val="none"/>
        </w:rPr>
      </w:pPr>
      <w:r>
        <w:rPr>
          <w:rFonts w:hint="eastAsia" w:ascii="仿宋" w:hAnsi="仿宋" w:eastAsia="仿宋" w:cs="宋体"/>
          <w:bCs/>
          <w:kern w:val="0"/>
          <w:sz w:val="24"/>
          <w:highlight w:val="none"/>
        </w:rPr>
        <w:t>方式：网上下载。供应商应自行登陆</w:t>
      </w:r>
      <w:r>
        <w:rPr>
          <w:highlight w:val="none"/>
        </w:rPr>
        <w:fldChar w:fldCharType="begin"/>
      </w:r>
      <w:r>
        <w:rPr>
          <w:highlight w:val="none"/>
        </w:rPr>
        <w:instrText xml:space="preserve"> HYPERLINK </w:instrText>
      </w:r>
      <w:r>
        <w:rPr>
          <w:highlight w:val="none"/>
        </w:rPr>
        <w:fldChar w:fldCharType="separate"/>
      </w:r>
      <w:r>
        <w:rPr>
          <w:highlight w:val="none"/>
        </w:rPr>
        <w:fldChar w:fldCharType="end"/>
      </w:r>
      <w:r>
        <w:rPr>
          <w:rFonts w:hint="eastAsia" w:ascii="仿宋" w:hAnsi="仿宋" w:eastAsia="仿宋" w:cs="宋体"/>
          <w:bCs/>
          <w:kern w:val="0"/>
          <w:sz w:val="24"/>
          <w:highlight w:val="none"/>
        </w:rPr>
        <w:t>广西政府采购云平台（</w:t>
      </w:r>
      <w:r>
        <w:rPr>
          <w:rFonts w:ascii="仿宋" w:hAnsi="仿宋" w:eastAsia="仿宋" w:cs="宋体"/>
          <w:bCs/>
          <w:kern w:val="0"/>
          <w:sz w:val="24"/>
          <w:highlight w:val="none"/>
        </w:rPr>
        <w:t>https://www.gcy.zfcg.gxzf.gov.cn/</w:t>
      </w:r>
      <w:r>
        <w:rPr>
          <w:rFonts w:hint="eastAsia" w:ascii="仿宋" w:hAnsi="仿宋" w:eastAsia="仿宋" w:cs="宋体"/>
          <w:bCs/>
          <w:kern w:val="0"/>
          <w:sz w:val="24"/>
          <w:highlight w:val="none"/>
        </w:rPr>
        <w:t>）下载招标文件（操作路径：登录广西政府采购云平台-项目采购-获取采购文件-找到本项目-点击“申请获取采购文件”），电子投标文件制作需要基于“广西政府采购云平台”获取的招标文件编。</w:t>
      </w:r>
    </w:p>
    <w:p w14:paraId="6EA4498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sz w:val="24"/>
          <w:highlight w:val="none"/>
        </w:rPr>
      </w:pPr>
      <w:r>
        <w:rPr>
          <w:rFonts w:hint="eastAsia" w:ascii="仿宋" w:hAnsi="仿宋" w:eastAsia="仿宋" w:cs="宋体"/>
          <w:bCs/>
          <w:kern w:val="0"/>
          <w:sz w:val="24"/>
          <w:highlight w:val="none"/>
        </w:rPr>
        <w:t>售价：0元</w:t>
      </w:r>
    </w:p>
    <w:p w14:paraId="67387FC9">
      <w:pPr>
        <w:keepNext w:val="0"/>
        <w:keepLines w:val="0"/>
        <w:pageBreakBefore w:val="0"/>
        <w:kinsoku/>
        <w:overflowPunct/>
        <w:topLinePunct w:val="0"/>
        <w:autoSpaceDE/>
        <w:autoSpaceDN/>
        <w:bidi w:val="0"/>
        <w:adjustRightInd/>
        <w:snapToGrid/>
        <w:spacing w:line="440" w:lineRule="exact"/>
        <w:textAlignment w:val="auto"/>
        <w:outlineLvl w:val="9"/>
        <w:rPr>
          <w:rFonts w:hint="eastAsia" w:ascii="仿宋" w:hAnsi="仿宋" w:eastAsia="仿宋"/>
          <w:b/>
          <w:bCs/>
          <w:sz w:val="24"/>
          <w:highlight w:val="none"/>
        </w:rPr>
      </w:pPr>
      <w:bookmarkStart w:id="23" w:name="_Toc28359082"/>
      <w:bookmarkStart w:id="24" w:name="_Toc28359005"/>
      <w:bookmarkStart w:id="25" w:name="_Toc35393793"/>
      <w:bookmarkStart w:id="26" w:name="_Toc35393624"/>
      <w:r>
        <w:rPr>
          <w:rFonts w:hint="eastAsia" w:ascii="仿宋" w:hAnsi="仿宋" w:eastAsia="仿宋"/>
          <w:b/>
          <w:bCs/>
          <w:sz w:val="24"/>
          <w:highlight w:val="none"/>
        </w:rPr>
        <w:t>四、提交投标文件</w:t>
      </w:r>
      <w:bookmarkEnd w:id="23"/>
      <w:bookmarkEnd w:id="24"/>
      <w:r>
        <w:rPr>
          <w:rFonts w:hint="eastAsia" w:ascii="仿宋" w:hAnsi="仿宋" w:eastAsia="仿宋"/>
          <w:b/>
          <w:bCs/>
          <w:sz w:val="24"/>
          <w:highlight w:val="none"/>
        </w:rPr>
        <w:t>截止时间、开标时间和地点</w:t>
      </w:r>
      <w:bookmarkEnd w:id="25"/>
      <w:bookmarkEnd w:id="26"/>
    </w:p>
    <w:p w14:paraId="6FBEC661">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sz w:val="24"/>
          <w:highlight w:val="none"/>
        </w:rPr>
      </w:pPr>
      <w:bookmarkStart w:id="27" w:name="_Toc28359007"/>
      <w:bookmarkStart w:id="28" w:name="_Toc28359084"/>
      <w:bookmarkStart w:id="29" w:name="_Toc35393625"/>
      <w:bookmarkStart w:id="30" w:name="_Toc35393794"/>
      <w:r>
        <w:rPr>
          <w:rFonts w:hint="eastAsia" w:ascii="仿宋" w:hAnsi="仿宋" w:eastAsia="仿宋"/>
          <w:sz w:val="24"/>
          <w:highlight w:val="none"/>
        </w:rPr>
        <w:t>1、提交</w:t>
      </w:r>
      <w:r>
        <w:rPr>
          <w:rFonts w:ascii="仿宋" w:hAnsi="仿宋" w:eastAsia="仿宋"/>
          <w:sz w:val="24"/>
          <w:highlight w:val="none"/>
        </w:rPr>
        <w:t>投标文件</w:t>
      </w:r>
      <w:r>
        <w:rPr>
          <w:rFonts w:hint="eastAsia" w:ascii="仿宋" w:hAnsi="仿宋" w:eastAsia="仿宋" w:cs="宋体"/>
          <w:sz w:val="24"/>
          <w:highlight w:val="none"/>
          <w:lang w:bidi="ar"/>
        </w:rPr>
        <w:t>截止时间</w:t>
      </w:r>
      <w:r>
        <w:rPr>
          <w:rFonts w:hint="eastAsia" w:ascii="仿宋" w:hAnsi="仿宋" w:eastAsia="仿宋"/>
          <w:sz w:val="24"/>
          <w:highlight w:val="none"/>
        </w:rPr>
        <w:t>：</w:t>
      </w:r>
      <w:bookmarkStart w:id="31" w:name="OLE_LINK16"/>
      <w:r>
        <w:rPr>
          <w:rFonts w:hint="eastAsia" w:ascii="仿宋" w:hAnsi="仿宋" w:eastAsia="仿宋" w:cs="Arial"/>
          <w:sz w:val="24"/>
          <w:highlight w:val="none"/>
          <w:lang w:eastAsia="zh-CN"/>
        </w:rPr>
        <w:t>202</w:t>
      </w:r>
      <w:r>
        <w:rPr>
          <w:rFonts w:hint="eastAsia" w:ascii="仿宋" w:hAnsi="仿宋" w:eastAsia="仿宋" w:cs="Arial"/>
          <w:sz w:val="24"/>
          <w:highlight w:val="none"/>
          <w:lang w:val="en-US" w:eastAsia="zh-CN"/>
        </w:rPr>
        <w:t>6</w:t>
      </w:r>
      <w:r>
        <w:rPr>
          <w:rFonts w:hint="eastAsia" w:ascii="仿宋" w:hAnsi="仿宋" w:eastAsia="仿宋" w:cs="Arial"/>
          <w:sz w:val="24"/>
          <w:highlight w:val="none"/>
          <w:lang w:eastAsia="zh-CN"/>
        </w:rPr>
        <w:t>年</w:t>
      </w:r>
      <w:r>
        <w:rPr>
          <w:rFonts w:hint="eastAsia" w:ascii="仿宋" w:hAnsi="仿宋" w:eastAsia="仿宋" w:cs="Arial"/>
          <w:sz w:val="24"/>
          <w:highlight w:val="none"/>
          <w:lang w:val="en-US" w:eastAsia="zh-CN"/>
        </w:rPr>
        <w:t>9</w:t>
      </w:r>
      <w:r>
        <w:rPr>
          <w:rFonts w:hint="eastAsia" w:ascii="仿宋" w:hAnsi="仿宋" w:eastAsia="仿宋" w:cs="Arial"/>
          <w:sz w:val="24"/>
          <w:highlight w:val="none"/>
          <w:lang w:eastAsia="zh-CN"/>
        </w:rPr>
        <w:t>月</w:t>
      </w:r>
      <w:r>
        <w:rPr>
          <w:rFonts w:hint="eastAsia" w:ascii="仿宋" w:hAnsi="仿宋" w:eastAsia="仿宋" w:cs="Arial"/>
          <w:sz w:val="24"/>
          <w:highlight w:val="none"/>
          <w:lang w:val="en-US" w:eastAsia="zh-CN"/>
        </w:rPr>
        <w:t>28</w:t>
      </w:r>
      <w:r>
        <w:rPr>
          <w:rFonts w:hint="eastAsia" w:ascii="仿宋" w:hAnsi="仿宋" w:eastAsia="仿宋" w:cs="Arial"/>
          <w:sz w:val="24"/>
          <w:highlight w:val="none"/>
          <w:lang w:eastAsia="zh-CN"/>
        </w:rPr>
        <w:t>日</w:t>
      </w:r>
      <w:r>
        <w:rPr>
          <w:rFonts w:hint="eastAsia" w:ascii="仿宋" w:hAnsi="仿宋" w:eastAsia="仿宋" w:cs="Arial"/>
          <w:sz w:val="24"/>
          <w:highlight w:val="none"/>
        </w:rPr>
        <w:t>0</w:t>
      </w:r>
      <w:r>
        <w:rPr>
          <w:rFonts w:ascii="仿宋" w:hAnsi="仿宋" w:eastAsia="仿宋"/>
          <w:sz w:val="24"/>
          <w:highlight w:val="none"/>
        </w:rPr>
        <w:t>9</w:t>
      </w:r>
      <w:r>
        <w:rPr>
          <w:rFonts w:hint="eastAsia" w:ascii="仿宋" w:hAnsi="仿宋" w:eastAsia="仿宋"/>
          <w:sz w:val="24"/>
          <w:highlight w:val="none"/>
        </w:rPr>
        <w:t>：30</w:t>
      </w:r>
      <w:bookmarkEnd w:id="31"/>
      <w:r>
        <w:rPr>
          <w:rFonts w:hint="eastAsia" w:ascii="仿宋" w:hAnsi="仿宋" w:eastAsia="仿宋"/>
          <w:sz w:val="24"/>
          <w:highlight w:val="none"/>
        </w:rPr>
        <w:t>（北京时间）</w:t>
      </w:r>
    </w:p>
    <w:p w14:paraId="06ADBBB7">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sz w:val="24"/>
          <w:highlight w:val="none"/>
          <w:lang w:bidi="ar"/>
        </w:rPr>
      </w:pPr>
      <w:r>
        <w:rPr>
          <w:rFonts w:hint="eastAsia" w:ascii="仿宋" w:hAnsi="仿宋" w:eastAsia="仿宋"/>
          <w:sz w:val="24"/>
          <w:highlight w:val="none"/>
        </w:rPr>
        <w:t>2、投标地点（网址）：</w:t>
      </w:r>
      <w:r>
        <w:rPr>
          <w:rFonts w:hint="eastAsia" w:ascii="仿宋" w:hAnsi="仿宋" w:eastAsia="仿宋" w:cs="宋体"/>
          <w:sz w:val="24"/>
          <w:highlight w:val="none"/>
          <w:lang w:bidi="ar"/>
        </w:rPr>
        <w:t>通过“广西政府采购云平台”在线提交投标文件</w:t>
      </w:r>
    </w:p>
    <w:p w14:paraId="03B38234">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sz w:val="24"/>
          <w:highlight w:val="none"/>
          <w:lang w:bidi="ar"/>
        </w:rPr>
      </w:pPr>
      <w:r>
        <w:rPr>
          <w:rFonts w:hint="eastAsia" w:ascii="仿宋" w:hAnsi="仿宋" w:eastAsia="仿宋" w:cs="宋体"/>
          <w:sz w:val="24"/>
          <w:highlight w:val="none"/>
          <w:lang w:bidi="ar"/>
        </w:rPr>
        <w:t>3、</w:t>
      </w:r>
      <w:r>
        <w:rPr>
          <w:rFonts w:ascii="仿宋" w:hAnsi="仿宋" w:eastAsia="仿宋" w:cs="宋体"/>
          <w:sz w:val="24"/>
          <w:highlight w:val="none"/>
          <w:lang w:bidi="ar"/>
        </w:rPr>
        <w:t>开标时间：</w:t>
      </w:r>
      <w:r>
        <w:rPr>
          <w:rFonts w:hint="eastAsia" w:ascii="仿宋" w:hAnsi="仿宋" w:eastAsia="仿宋" w:cs="宋体"/>
          <w:sz w:val="24"/>
          <w:highlight w:val="none"/>
          <w:lang w:eastAsia="zh-CN" w:bidi="ar"/>
        </w:rPr>
        <w:t>202</w:t>
      </w:r>
      <w:r>
        <w:rPr>
          <w:rFonts w:hint="eastAsia" w:ascii="仿宋" w:hAnsi="仿宋" w:eastAsia="仿宋" w:cs="宋体"/>
          <w:sz w:val="24"/>
          <w:highlight w:val="none"/>
          <w:lang w:val="en-US" w:eastAsia="zh-CN" w:bidi="ar"/>
        </w:rPr>
        <w:t>6</w:t>
      </w:r>
      <w:r>
        <w:rPr>
          <w:rFonts w:hint="eastAsia" w:ascii="仿宋" w:hAnsi="仿宋" w:eastAsia="仿宋" w:cs="宋体"/>
          <w:sz w:val="24"/>
          <w:highlight w:val="none"/>
          <w:lang w:eastAsia="zh-CN" w:bidi="ar"/>
        </w:rPr>
        <w:t>年</w:t>
      </w:r>
      <w:r>
        <w:rPr>
          <w:rFonts w:hint="eastAsia" w:ascii="仿宋" w:hAnsi="仿宋" w:eastAsia="仿宋" w:cs="宋体"/>
          <w:sz w:val="24"/>
          <w:highlight w:val="none"/>
          <w:lang w:val="en-US" w:eastAsia="zh-CN" w:bidi="ar"/>
        </w:rPr>
        <w:t>9</w:t>
      </w:r>
      <w:r>
        <w:rPr>
          <w:rFonts w:hint="eastAsia" w:ascii="仿宋" w:hAnsi="仿宋" w:eastAsia="仿宋" w:cs="宋体"/>
          <w:sz w:val="24"/>
          <w:highlight w:val="none"/>
          <w:lang w:eastAsia="zh-CN" w:bidi="ar"/>
        </w:rPr>
        <w:t>月</w:t>
      </w:r>
      <w:r>
        <w:rPr>
          <w:rFonts w:hint="eastAsia" w:ascii="仿宋" w:hAnsi="仿宋" w:eastAsia="仿宋" w:cs="宋体"/>
          <w:sz w:val="24"/>
          <w:highlight w:val="none"/>
          <w:lang w:val="en-US" w:eastAsia="zh-CN" w:bidi="ar"/>
        </w:rPr>
        <w:t>28</w:t>
      </w:r>
      <w:r>
        <w:rPr>
          <w:rFonts w:hint="eastAsia" w:ascii="仿宋" w:hAnsi="仿宋" w:eastAsia="仿宋" w:cs="宋体"/>
          <w:sz w:val="24"/>
          <w:highlight w:val="none"/>
          <w:lang w:eastAsia="zh-CN" w:bidi="ar"/>
        </w:rPr>
        <w:t>日</w:t>
      </w:r>
      <w:r>
        <w:rPr>
          <w:rFonts w:hint="eastAsia" w:ascii="仿宋" w:hAnsi="仿宋" w:eastAsia="仿宋" w:cs="宋体"/>
          <w:sz w:val="24"/>
          <w:highlight w:val="none"/>
          <w:lang w:bidi="ar"/>
        </w:rPr>
        <w:t>09：30</w:t>
      </w:r>
    </w:p>
    <w:p w14:paraId="7B8BFB8B">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sz w:val="24"/>
          <w:highlight w:val="none"/>
          <w:lang w:bidi="ar"/>
        </w:rPr>
      </w:pPr>
      <w:r>
        <w:rPr>
          <w:rFonts w:ascii="仿宋" w:hAnsi="仿宋" w:eastAsia="仿宋" w:cs="宋体"/>
          <w:sz w:val="24"/>
          <w:highlight w:val="none"/>
          <w:lang w:bidi="ar"/>
        </w:rPr>
        <w:t>4</w:t>
      </w:r>
      <w:r>
        <w:rPr>
          <w:rFonts w:hint="eastAsia" w:ascii="仿宋" w:hAnsi="仿宋" w:eastAsia="仿宋" w:cs="宋体"/>
          <w:sz w:val="24"/>
          <w:highlight w:val="none"/>
          <w:lang w:bidi="ar"/>
        </w:rPr>
        <w:t>、开标地点：通过“</w:t>
      </w:r>
      <w:r>
        <w:rPr>
          <w:rFonts w:hint="eastAsia" w:ascii="仿宋" w:hAnsi="仿宋" w:eastAsia="仿宋" w:cs="宋体"/>
          <w:bCs/>
          <w:kern w:val="0"/>
          <w:sz w:val="24"/>
          <w:highlight w:val="none"/>
        </w:rPr>
        <w:t>广西政府采购云平台</w:t>
      </w:r>
      <w:r>
        <w:rPr>
          <w:rFonts w:hint="eastAsia" w:ascii="仿宋" w:hAnsi="仿宋" w:eastAsia="仿宋" w:cs="宋体"/>
          <w:sz w:val="24"/>
          <w:highlight w:val="none"/>
          <w:lang w:bidi="ar"/>
        </w:rPr>
        <w:t>”在线开启</w:t>
      </w:r>
      <w:r>
        <w:rPr>
          <w:rFonts w:ascii="仿宋" w:hAnsi="仿宋" w:eastAsia="仿宋" w:cs="宋体"/>
          <w:sz w:val="24"/>
          <w:highlight w:val="none"/>
          <w:lang w:bidi="ar"/>
        </w:rPr>
        <w:t>投标文件</w:t>
      </w:r>
    </w:p>
    <w:p w14:paraId="748AFCE0">
      <w:pPr>
        <w:keepNext w:val="0"/>
        <w:keepLines w:val="0"/>
        <w:pageBreakBefore w:val="0"/>
        <w:kinsoku/>
        <w:overflowPunct/>
        <w:topLinePunct w:val="0"/>
        <w:autoSpaceDE/>
        <w:autoSpaceDN/>
        <w:bidi w:val="0"/>
        <w:adjustRightInd/>
        <w:snapToGrid/>
        <w:spacing w:line="440" w:lineRule="exact"/>
        <w:textAlignment w:val="auto"/>
        <w:outlineLvl w:val="9"/>
        <w:rPr>
          <w:rFonts w:hint="eastAsia" w:ascii="仿宋" w:hAnsi="仿宋" w:eastAsia="仿宋"/>
          <w:b/>
          <w:bCs/>
          <w:sz w:val="24"/>
          <w:highlight w:val="none"/>
        </w:rPr>
      </w:pPr>
      <w:r>
        <w:rPr>
          <w:rFonts w:hint="eastAsia" w:ascii="仿宋" w:hAnsi="仿宋" w:eastAsia="仿宋"/>
          <w:b/>
          <w:bCs/>
          <w:sz w:val="24"/>
          <w:highlight w:val="none"/>
        </w:rPr>
        <w:t>五、公告期限</w:t>
      </w:r>
      <w:bookmarkEnd w:id="27"/>
      <w:bookmarkEnd w:id="28"/>
      <w:bookmarkEnd w:id="29"/>
      <w:bookmarkEnd w:id="30"/>
    </w:p>
    <w:p w14:paraId="63BCF66B">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自本公告发布之日起5个工作日。</w:t>
      </w:r>
    </w:p>
    <w:p w14:paraId="28C68280">
      <w:pPr>
        <w:keepNext w:val="0"/>
        <w:keepLines w:val="0"/>
        <w:pageBreakBefore w:val="0"/>
        <w:kinsoku/>
        <w:overflowPunct/>
        <w:topLinePunct w:val="0"/>
        <w:autoSpaceDE/>
        <w:autoSpaceDN/>
        <w:bidi w:val="0"/>
        <w:adjustRightInd/>
        <w:snapToGrid/>
        <w:spacing w:line="440" w:lineRule="exact"/>
        <w:textAlignment w:val="auto"/>
        <w:outlineLvl w:val="9"/>
        <w:rPr>
          <w:rFonts w:hint="eastAsia" w:ascii="仿宋" w:hAnsi="仿宋" w:eastAsia="仿宋"/>
          <w:b/>
          <w:bCs/>
          <w:sz w:val="24"/>
          <w:highlight w:val="none"/>
        </w:rPr>
      </w:pPr>
      <w:bookmarkStart w:id="32" w:name="_Toc35393795"/>
      <w:bookmarkStart w:id="33" w:name="_Toc35393626"/>
      <w:r>
        <w:rPr>
          <w:rFonts w:hint="eastAsia" w:ascii="仿宋" w:hAnsi="仿宋" w:eastAsia="仿宋"/>
          <w:b/>
          <w:bCs/>
          <w:sz w:val="24"/>
          <w:highlight w:val="none"/>
        </w:rPr>
        <w:t>六、其他补充事宜</w:t>
      </w:r>
      <w:bookmarkEnd w:id="32"/>
      <w:bookmarkEnd w:id="33"/>
    </w:p>
    <w:p w14:paraId="595EE568">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bookmarkStart w:id="34" w:name="_Hlk37429674"/>
      <w:bookmarkStart w:id="35" w:name="OLE_LINK19"/>
      <w:r>
        <w:rPr>
          <w:rFonts w:hint="eastAsia" w:ascii="仿宋" w:hAnsi="仿宋" w:eastAsia="仿宋" w:cs="宋体"/>
          <w:kern w:val="0"/>
          <w:sz w:val="24"/>
          <w:highlight w:val="none"/>
        </w:rPr>
        <w:t>1、投标保证金（人民币）：本项目</w:t>
      </w:r>
      <w:r>
        <w:rPr>
          <w:rFonts w:ascii="仿宋" w:hAnsi="仿宋" w:eastAsia="仿宋" w:cs="宋体"/>
          <w:kern w:val="0"/>
          <w:sz w:val="24"/>
          <w:highlight w:val="none"/>
        </w:rPr>
        <w:t>无需缴纳投标</w:t>
      </w:r>
      <w:r>
        <w:rPr>
          <w:rFonts w:hint="eastAsia" w:ascii="仿宋" w:hAnsi="仿宋" w:eastAsia="仿宋" w:cs="宋体"/>
          <w:kern w:val="0"/>
          <w:sz w:val="24"/>
          <w:highlight w:val="none"/>
        </w:rPr>
        <w:t>保证</w:t>
      </w:r>
      <w:r>
        <w:rPr>
          <w:rFonts w:ascii="仿宋" w:hAnsi="仿宋" w:eastAsia="仿宋" w:cs="宋体"/>
          <w:kern w:val="0"/>
          <w:sz w:val="24"/>
          <w:highlight w:val="none"/>
        </w:rPr>
        <w:t>金</w:t>
      </w:r>
      <w:r>
        <w:rPr>
          <w:rFonts w:hint="eastAsia" w:ascii="仿宋" w:hAnsi="仿宋" w:eastAsia="仿宋" w:cs="宋体"/>
          <w:kern w:val="0"/>
          <w:sz w:val="24"/>
          <w:highlight w:val="none"/>
        </w:rPr>
        <w:t>。</w:t>
      </w:r>
    </w:p>
    <w:p w14:paraId="5A104715">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84CC1F2">
      <w:pPr>
        <w:keepNext w:val="0"/>
        <w:keepLines w:val="0"/>
        <w:pageBreakBefore w:val="0"/>
        <w:kinsoku/>
        <w:wordWrap w:val="0"/>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3、根据财政部《关于在政府采购活动中查询及使用信用记录有关问题的通知》（财库〔2016〕125号）的规定，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728388F">
      <w:pPr>
        <w:keepNext w:val="0"/>
        <w:keepLines w:val="0"/>
        <w:pageBreakBefore w:val="0"/>
        <w:kinsoku/>
        <w:wordWrap w:val="0"/>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4、网上查询地址：中国政府采购网（www.ccgp.gov.cn）、广西政府采购网（zfcg.gxzf.gov.cn）、桂林市政府采购网（zfcg.czj.guilin.gov.cn/）。</w:t>
      </w:r>
    </w:p>
    <w:p w14:paraId="170E5504">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5、本项目需要落实的政府采购政策：</w:t>
      </w:r>
    </w:p>
    <w:p w14:paraId="6FC4E43F">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（1）政府采购促进中小企业发展政策。</w:t>
      </w:r>
    </w:p>
    <w:p w14:paraId="3ECEAD1F">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（2）政府采购支持采用本国产品的政策。</w:t>
      </w:r>
    </w:p>
    <w:p w14:paraId="4663C220">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（3）强制采购节能产品；优先采购节能产品、环境标志产品。</w:t>
      </w:r>
    </w:p>
    <w:p w14:paraId="66B102A7">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（4）政府采购促进残疾人就业政策。</w:t>
      </w:r>
    </w:p>
    <w:p w14:paraId="690BE3B2">
      <w:pPr>
        <w:keepNext w:val="0"/>
        <w:keepLines w:val="0"/>
        <w:pageBreakBefore w:val="0"/>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kern w:val="0"/>
          <w:sz w:val="24"/>
          <w:highlight w:val="none"/>
        </w:rPr>
      </w:pPr>
      <w:r>
        <w:rPr>
          <w:rFonts w:hint="eastAsia" w:ascii="仿宋" w:hAnsi="仿宋" w:eastAsia="仿宋" w:cs="宋体"/>
          <w:kern w:val="0"/>
          <w:sz w:val="24"/>
          <w:highlight w:val="none"/>
        </w:rPr>
        <w:t>（5）政府采购支持监狱企业发展政策。</w:t>
      </w:r>
    </w:p>
    <w:p w14:paraId="04BAF67A">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sz w:val="24"/>
          <w:highlight w:val="none"/>
          <w:lang w:bidi="ar"/>
        </w:rPr>
      </w:pPr>
      <w:r>
        <w:rPr>
          <w:rFonts w:hint="eastAsia" w:ascii="仿宋" w:hAnsi="仿宋" w:eastAsia="仿宋" w:cs="宋体"/>
          <w:sz w:val="24"/>
          <w:highlight w:val="none"/>
          <w:lang w:bidi="ar"/>
        </w:rPr>
        <w:t>6、投标注意事项：</w:t>
      </w:r>
      <w:bookmarkEnd w:id="34"/>
      <w:bookmarkStart w:id="36" w:name="_Toc35393627"/>
      <w:bookmarkStart w:id="37" w:name="_Toc28359008"/>
      <w:bookmarkStart w:id="38" w:name="_Toc35393796"/>
      <w:bookmarkStart w:id="39" w:name="_Toc28359085"/>
    </w:p>
    <w:p w14:paraId="34986871">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sz w:val="24"/>
          <w:highlight w:val="none"/>
          <w:lang w:bidi="ar"/>
        </w:rPr>
      </w:pPr>
      <w:r>
        <w:rPr>
          <w:rFonts w:hint="eastAsia" w:ascii="仿宋" w:hAnsi="仿宋" w:eastAsia="仿宋" w:cs="宋体"/>
          <w:sz w:val="24"/>
          <w:highlight w:val="none"/>
          <w:lang w:bidi="ar"/>
        </w:rPr>
        <w:t>（1）本项目实行全流程电子化采购，投标人通过“广西政府采购云平台”平台参与电子投标，并应做好以下相关准备工作：①在“广西政府采购云平台”平台注册成为正式供应商（操作方法详见广西壮族自治区政府采购网—办事服务—办事指南）；②完成CA证书申领和绑定（费用由投标人自行承担，办理流程详见广西壮族自治区政府采购网—办事服务—下载专区，完成CA证书办理预计一周左右，建议供应商尽快办理）；③下载“广西壮族自治区全流程电子招投分标目管理系统--供应商客户端”（操作方法详见广西壮族自治区政府采购网—办事服务—下载专区，以下称“广西政府采购云平台电子投标客户端”）并安装成功，投标人应当在提交投标文件截止时间前在“广西政府采购云平台”平台完成的身份认证，确保能够对相关数据电文进行加密和使用电子签章；④自备计算机和网络设备并确保能接入互联网（费用由投标人自行承担，设备确保可进行视频通话和读取广西政府采购云平台CA证书）。因投标人未做好相关准备工作等自身原因导致无法参加本项目电子投标或投标失败的，造成的一切后果，由投标人自行承担。</w:t>
      </w:r>
    </w:p>
    <w:p w14:paraId="637AFDF8">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sz w:val="24"/>
          <w:highlight w:val="none"/>
          <w:lang w:bidi="ar"/>
        </w:rPr>
      </w:pPr>
      <w:r>
        <w:rPr>
          <w:rFonts w:hint="eastAsia" w:ascii="仿宋" w:hAnsi="仿宋" w:eastAsia="仿宋" w:cs="宋体"/>
          <w:sz w:val="24"/>
          <w:highlight w:val="none"/>
          <w:lang w:bidi="ar"/>
        </w:rPr>
        <w:t>（2）电子投标具体操作流程参考《政府采购项目电子交易管理操作指南-供应商》（详见桂林市政府采购网—采购资讯—重要通知）；如遇平台技术问题详询95763。</w:t>
      </w:r>
    </w:p>
    <w:p w14:paraId="06014591">
      <w:pPr>
        <w:keepNext w:val="0"/>
        <w:keepLines w:val="0"/>
        <w:pageBreakBefore w:val="0"/>
        <w:widowControl/>
        <w:kinsoku/>
        <w:overflowPunct/>
        <w:topLinePunct w:val="0"/>
        <w:autoSpaceDE/>
        <w:autoSpaceDN/>
        <w:bidi w:val="0"/>
        <w:adjustRightInd/>
        <w:snapToGrid/>
        <w:spacing w:line="440" w:lineRule="exact"/>
        <w:ind w:firstLine="480" w:firstLineChars="200"/>
        <w:textAlignment w:val="auto"/>
        <w:outlineLvl w:val="9"/>
        <w:rPr>
          <w:rFonts w:hint="eastAsia" w:ascii="仿宋" w:hAnsi="仿宋" w:eastAsia="仿宋" w:cs="宋体"/>
          <w:sz w:val="24"/>
          <w:highlight w:val="none"/>
          <w:lang w:bidi="ar"/>
        </w:rPr>
      </w:pPr>
      <w:r>
        <w:rPr>
          <w:rFonts w:hint="eastAsia" w:ascii="仿宋" w:hAnsi="仿宋" w:eastAsia="仿宋" w:cs="宋体"/>
          <w:sz w:val="24"/>
          <w:highlight w:val="none"/>
          <w:lang w:bidi="ar"/>
        </w:rPr>
        <w:t>（3）电子投标文件的制作、加密、提交、解密等相关事宜详见第二章 “投标人须知”。</w:t>
      </w:r>
    </w:p>
    <w:bookmarkEnd w:id="35"/>
    <w:p w14:paraId="25161D7E">
      <w:pPr>
        <w:keepNext w:val="0"/>
        <w:keepLines w:val="0"/>
        <w:pageBreakBefore w:val="0"/>
        <w:kinsoku/>
        <w:overflowPunct/>
        <w:topLinePunct w:val="0"/>
        <w:autoSpaceDE/>
        <w:autoSpaceDN/>
        <w:bidi w:val="0"/>
        <w:adjustRightInd/>
        <w:snapToGrid/>
        <w:spacing w:line="440" w:lineRule="exact"/>
        <w:textAlignment w:val="auto"/>
        <w:outlineLvl w:val="9"/>
        <w:rPr>
          <w:rFonts w:hint="eastAsia" w:ascii="仿宋" w:hAnsi="仿宋" w:eastAsia="仿宋"/>
          <w:b/>
          <w:bCs/>
          <w:sz w:val="24"/>
          <w:highlight w:val="none"/>
        </w:rPr>
      </w:pPr>
      <w:r>
        <w:rPr>
          <w:rFonts w:hint="eastAsia" w:ascii="仿宋" w:hAnsi="仿宋" w:eastAsia="仿宋"/>
          <w:b/>
          <w:bCs/>
          <w:sz w:val="24"/>
          <w:highlight w:val="none"/>
        </w:rPr>
        <w:t>七、对本次招标提出询问，请按</w:t>
      </w:r>
      <w:r>
        <w:rPr>
          <w:rFonts w:ascii="仿宋" w:hAnsi="仿宋" w:eastAsia="仿宋"/>
          <w:b/>
          <w:bCs/>
          <w:sz w:val="24"/>
          <w:highlight w:val="none"/>
        </w:rPr>
        <w:t>以下方式</w:t>
      </w:r>
      <w:r>
        <w:rPr>
          <w:rFonts w:hint="eastAsia" w:ascii="仿宋" w:hAnsi="仿宋" w:eastAsia="仿宋"/>
          <w:b/>
          <w:bCs/>
          <w:sz w:val="24"/>
          <w:highlight w:val="none"/>
        </w:rPr>
        <w:t>联系。</w:t>
      </w:r>
      <w:bookmarkEnd w:id="36"/>
      <w:bookmarkEnd w:id="37"/>
      <w:bookmarkEnd w:id="38"/>
      <w:bookmarkEnd w:id="39"/>
    </w:p>
    <w:p w14:paraId="6AF534D9">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eastAsia" w:ascii="仿宋" w:hAnsi="仿宋" w:eastAsia="仿宋" w:cs="宋体"/>
          <w:sz w:val="24"/>
          <w:highlight w:val="none"/>
        </w:rPr>
      </w:pPr>
      <w:r>
        <w:rPr>
          <w:rFonts w:hint="eastAsia" w:ascii="仿宋" w:hAnsi="仿宋" w:eastAsia="仿宋" w:cs="宋体"/>
          <w:sz w:val="24"/>
          <w:highlight w:val="none"/>
        </w:rPr>
        <w:t>1.采购人信息</w:t>
      </w:r>
    </w:p>
    <w:p w14:paraId="32D4CE5D">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eastAsia" w:ascii="仿宋" w:hAnsi="仿宋" w:eastAsia="仿宋"/>
          <w:sz w:val="24"/>
          <w:highlight w:val="none"/>
          <w:lang w:eastAsia="zh-CN"/>
        </w:rPr>
      </w:pPr>
      <w:r>
        <w:rPr>
          <w:rFonts w:hint="eastAsia" w:ascii="仿宋" w:hAnsi="仿宋" w:eastAsia="仿宋"/>
          <w:sz w:val="24"/>
          <w:highlight w:val="none"/>
        </w:rPr>
        <w:t>名 称：</w:t>
      </w:r>
      <w:r>
        <w:rPr>
          <w:rFonts w:hint="eastAsia" w:ascii="仿宋" w:hAnsi="仿宋" w:eastAsia="仿宋"/>
          <w:sz w:val="24"/>
          <w:highlight w:val="none"/>
          <w:lang w:eastAsia="zh-CN"/>
        </w:rPr>
        <w:t>桂林市疾病预防控制中心</w:t>
      </w:r>
    </w:p>
    <w:p w14:paraId="66226CBC">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eastAsia" w:ascii="仿宋" w:hAnsi="仿宋" w:eastAsia="仿宋"/>
          <w:sz w:val="24"/>
          <w:highlight w:val="none"/>
          <w:lang w:eastAsia="zh-CN"/>
        </w:rPr>
      </w:pPr>
      <w:r>
        <w:rPr>
          <w:rFonts w:hint="eastAsia" w:ascii="仿宋" w:hAnsi="仿宋" w:eastAsia="仿宋"/>
          <w:sz w:val="24"/>
          <w:highlight w:val="none"/>
        </w:rPr>
        <w:t>地址：</w:t>
      </w:r>
      <w:r>
        <w:rPr>
          <w:rFonts w:hint="eastAsia" w:ascii="仿宋" w:hAnsi="仿宋" w:eastAsia="仿宋" w:cs="宋体"/>
          <w:sz w:val="24"/>
          <w:highlight w:val="none"/>
          <w:lang w:eastAsia="zh-CN"/>
        </w:rPr>
        <w:t>桂林市秀峰区四会路7号</w:t>
      </w:r>
    </w:p>
    <w:p w14:paraId="40EE1C49">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eastAsia" w:ascii="仿宋" w:hAnsi="仿宋" w:eastAsia="仿宋"/>
          <w:sz w:val="24"/>
          <w:highlight w:val="none"/>
        </w:rPr>
      </w:pPr>
      <w:bookmarkStart w:id="40" w:name="_Toc28359086"/>
      <w:bookmarkStart w:id="41" w:name="_Toc28359009"/>
      <w:r>
        <w:rPr>
          <w:rFonts w:hint="eastAsia" w:ascii="仿宋" w:hAnsi="仿宋" w:eastAsia="仿宋"/>
          <w:sz w:val="24"/>
          <w:highlight w:val="none"/>
        </w:rPr>
        <w:t>项目联系人：</w:t>
      </w:r>
      <w:r>
        <w:rPr>
          <w:rFonts w:hint="eastAsia" w:ascii="仿宋" w:hAnsi="仿宋" w:eastAsia="仿宋"/>
          <w:sz w:val="24"/>
          <w:highlight w:val="none"/>
          <w:lang w:val="en-US" w:eastAsia="zh-CN"/>
        </w:rPr>
        <w:t>黄丹</w:t>
      </w:r>
    </w:p>
    <w:p w14:paraId="5DEF64A1">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eastAsia" w:ascii="仿宋" w:hAnsi="仿宋" w:eastAsia="仿宋"/>
          <w:sz w:val="24"/>
          <w:highlight w:val="none"/>
          <w:lang w:eastAsia="zh-CN"/>
        </w:rPr>
      </w:pPr>
      <w:r>
        <w:rPr>
          <w:rFonts w:hint="eastAsia" w:ascii="仿宋" w:hAnsi="仿宋" w:eastAsia="仿宋"/>
          <w:sz w:val="24"/>
          <w:highlight w:val="none"/>
        </w:rPr>
        <w:t>项目联系方式：</w:t>
      </w:r>
      <w:r>
        <w:rPr>
          <w:rFonts w:hint="eastAsia" w:ascii="仿宋" w:hAnsi="仿宋" w:eastAsia="仿宋"/>
          <w:sz w:val="24"/>
          <w:highlight w:val="none"/>
          <w:lang w:eastAsia="zh-CN"/>
        </w:rPr>
        <w:t>0773-2883212</w:t>
      </w:r>
    </w:p>
    <w:p w14:paraId="40A50CB4">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eastAsia" w:ascii="仿宋" w:hAnsi="仿宋" w:eastAsia="仿宋"/>
          <w:sz w:val="24"/>
          <w:highlight w:val="none"/>
        </w:rPr>
      </w:pPr>
      <w:r>
        <w:rPr>
          <w:rFonts w:hint="eastAsia" w:ascii="仿宋" w:hAnsi="仿宋" w:eastAsia="仿宋" w:cs="宋体"/>
          <w:sz w:val="24"/>
          <w:highlight w:val="none"/>
        </w:rPr>
        <w:t>2.采购代理机构信息</w:t>
      </w:r>
      <w:bookmarkEnd w:id="40"/>
      <w:bookmarkEnd w:id="41"/>
    </w:p>
    <w:p w14:paraId="38AF2235">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eastAsia" w:ascii="仿宋" w:hAnsi="仿宋" w:eastAsia="仿宋"/>
          <w:sz w:val="24"/>
          <w:highlight w:val="none"/>
        </w:rPr>
      </w:pPr>
      <w:r>
        <w:rPr>
          <w:rFonts w:hint="eastAsia" w:ascii="仿宋" w:hAnsi="仿宋" w:eastAsia="仿宋"/>
          <w:sz w:val="24"/>
          <w:highlight w:val="none"/>
        </w:rPr>
        <w:t>名  称：广西科文</w:t>
      </w:r>
      <w:r>
        <w:rPr>
          <w:rFonts w:ascii="仿宋" w:hAnsi="仿宋" w:eastAsia="仿宋"/>
          <w:sz w:val="24"/>
          <w:highlight w:val="none"/>
        </w:rPr>
        <w:t>招标有限公司</w:t>
      </w:r>
    </w:p>
    <w:p w14:paraId="77181FAE">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eastAsia" w:ascii="仿宋" w:hAnsi="仿宋" w:eastAsia="仿宋"/>
          <w:sz w:val="24"/>
          <w:highlight w:val="none"/>
        </w:rPr>
      </w:pPr>
      <w:r>
        <w:rPr>
          <w:rFonts w:hint="eastAsia" w:ascii="仿宋" w:hAnsi="仿宋" w:eastAsia="仿宋"/>
          <w:sz w:val="24"/>
          <w:highlight w:val="none"/>
        </w:rPr>
        <w:t>地　址：</w:t>
      </w:r>
      <w:bookmarkStart w:id="42" w:name="OLE_LINK21"/>
      <w:r>
        <w:rPr>
          <w:rFonts w:hint="eastAsia" w:ascii="仿宋" w:hAnsi="仿宋" w:eastAsia="仿宋"/>
          <w:sz w:val="24"/>
          <w:highlight w:val="none"/>
        </w:rPr>
        <w:t>桂林市七星区穿山东路41号彰泰</w:t>
      </w:r>
      <w:r>
        <w:rPr>
          <w:rFonts w:hint="eastAsia" w:ascii="微软雅黑" w:hAnsi="微软雅黑" w:eastAsia="微软雅黑" w:cs="微软雅黑"/>
          <w:sz w:val="24"/>
          <w:highlight w:val="none"/>
        </w:rPr>
        <w:t>•</w:t>
      </w:r>
      <w:r>
        <w:rPr>
          <w:rFonts w:hint="eastAsia" w:ascii="仿宋" w:hAnsi="仿宋" w:eastAsia="仿宋"/>
          <w:sz w:val="24"/>
          <w:highlight w:val="none"/>
        </w:rPr>
        <w:t>天街V+国际中心1#楼八层802号</w:t>
      </w:r>
      <w:bookmarkEnd w:id="42"/>
    </w:p>
    <w:p w14:paraId="401AF047">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default" w:ascii="仿宋" w:hAnsi="仿宋" w:eastAsia="仿宋"/>
          <w:sz w:val="24"/>
          <w:highlight w:val="none"/>
          <w:lang w:val="en-US" w:eastAsia="zh-CN"/>
        </w:rPr>
      </w:pPr>
      <w:r>
        <w:rPr>
          <w:rFonts w:hint="eastAsia" w:ascii="仿宋" w:hAnsi="仿宋" w:eastAsia="仿宋"/>
          <w:sz w:val="24"/>
          <w:highlight w:val="none"/>
        </w:rPr>
        <w:t>项目联系人：</w:t>
      </w:r>
      <w:r>
        <w:rPr>
          <w:rFonts w:hint="eastAsia" w:ascii="仿宋" w:hAnsi="仿宋" w:eastAsia="仿宋"/>
          <w:sz w:val="24"/>
          <w:highlight w:val="none"/>
          <w:lang w:val="en-US" w:eastAsia="zh-CN"/>
        </w:rPr>
        <w:t>谢敏聪、李冰华</w:t>
      </w:r>
    </w:p>
    <w:p w14:paraId="3EBE0E22">
      <w:pPr>
        <w:keepNext w:val="0"/>
        <w:keepLines w:val="0"/>
        <w:pageBreakBefore w:val="0"/>
        <w:kinsoku/>
        <w:overflowPunct/>
        <w:topLinePunct w:val="0"/>
        <w:autoSpaceDE/>
        <w:autoSpaceDN/>
        <w:bidi w:val="0"/>
        <w:adjustRightInd/>
        <w:snapToGrid/>
        <w:spacing w:line="440" w:lineRule="exact"/>
        <w:ind w:firstLine="648" w:firstLineChars="270"/>
        <w:jc w:val="left"/>
        <w:textAlignment w:val="auto"/>
        <w:outlineLvl w:val="9"/>
        <w:rPr>
          <w:rFonts w:hint="eastAsia" w:ascii="仿宋" w:hAnsi="仿宋" w:eastAsia="仿宋"/>
          <w:sz w:val="24"/>
          <w:highlight w:val="none"/>
          <w:lang w:val="en-US" w:eastAsia="zh-CN"/>
        </w:rPr>
      </w:pPr>
      <w:r>
        <w:rPr>
          <w:rFonts w:hint="eastAsia" w:ascii="仿宋" w:hAnsi="仿宋" w:eastAsia="仿宋"/>
          <w:sz w:val="24"/>
          <w:highlight w:val="none"/>
        </w:rPr>
        <w:t>电　话：</w:t>
      </w:r>
      <w:bookmarkEnd w:id="6"/>
      <w:r>
        <w:rPr>
          <w:rFonts w:hint="eastAsia" w:ascii="仿宋" w:hAnsi="仿宋" w:eastAsia="仿宋"/>
          <w:sz w:val="24"/>
          <w:highlight w:val="none"/>
          <w:lang w:eastAsia="zh-CN"/>
        </w:rPr>
        <w:t>0773-8998923</w:t>
      </w:r>
    </w:p>
    <w:bookmarkEnd w:id="7"/>
    <w:p w14:paraId="72102DBF">
      <w:pPr>
        <w:wordWrap w:val="0"/>
        <w:spacing w:line="400" w:lineRule="exact"/>
        <w:jc w:val="right"/>
        <w:rPr>
          <w:rFonts w:hint="eastAsia" w:ascii="仿宋" w:hAnsi="仿宋" w:eastAsia="仿宋"/>
          <w:sz w:val="24"/>
          <w:highlight w:val="none"/>
        </w:rPr>
      </w:pPr>
      <w:r>
        <w:rPr>
          <w:rFonts w:hint="eastAsia" w:ascii="仿宋" w:hAnsi="仿宋" w:eastAsia="仿宋" w:cs="Arial"/>
          <w:sz w:val="24"/>
          <w:highlight w:val="none"/>
        </w:rPr>
        <w:t xml:space="preserve"> </w:t>
      </w:r>
    </w:p>
    <w:p w14:paraId="72F69E22">
      <w:pPr>
        <w:pStyle w:val="2"/>
        <w:keepNext w:val="0"/>
        <w:keepLines w:val="0"/>
        <w:pageBreakBefore/>
        <w:spacing w:before="0" w:after="0" w:line="500" w:lineRule="exact"/>
        <w:jc w:val="center"/>
        <w:rPr>
          <w:rFonts w:hint="eastAsia" w:ascii="仿宋" w:hAnsi="仿宋" w:eastAsia="仿宋"/>
          <w:highlight w:val="none"/>
        </w:rPr>
      </w:pPr>
      <w:bookmarkStart w:id="43" w:name="_Toc31332"/>
      <w:r>
        <w:rPr>
          <w:rFonts w:hint="eastAsia" w:ascii="仿宋" w:hAnsi="仿宋" w:eastAsia="仿宋"/>
          <w:highlight w:val="none"/>
        </w:rPr>
        <w:t>第二章  采购需求</w:t>
      </w:r>
      <w:bookmarkEnd w:id="43"/>
    </w:p>
    <w:p w14:paraId="563F6E17">
      <w:pPr>
        <w:spacing w:line="400" w:lineRule="exact"/>
        <w:jc w:val="left"/>
        <w:rPr>
          <w:rFonts w:hint="eastAsia" w:ascii="仿宋" w:hAnsi="仿宋" w:eastAsia="仿宋" w:cs="宋体"/>
          <w:b/>
          <w:sz w:val="24"/>
          <w:highlight w:val="none"/>
        </w:rPr>
      </w:pPr>
      <w:bookmarkStart w:id="44" w:name="_Toc254970631"/>
      <w:bookmarkStart w:id="45" w:name="_Toc254970490"/>
      <w:r>
        <w:rPr>
          <w:rFonts w:hint="eastAsia" w:ascii="仿宋" w:hAnsi="仿宋" w:eastAsia="仿宋" w:cs="宋体"/>
          <w:b/>
          <w:sz w:val="24"/>
          <w:highlight w:val="none"/>
        </w:rPr>
        <w:t>说明：</w:t>
      </w:r>
    </w:p>
    <w:p w14:paraId="0178D831">
      <w:pPr>
        <w:spacing w:line="400" w:lineRule="exact"/>
        <w:ind w:firstLine="482" w:firstLineChars="200"/>
        <w:jc w:val="left"/>
        <w:rPr>
          <w:rFonts w:hint="eastAsia" w:ascii="仿宋" w:hAnsi="仿宋" w:eastAsia="仿宋" w:cs="宋体"/>
          <w:b/>
          <w:sz w:val="24"/>
          <w:highlight w:val="none"/>
        </w:rPr>
      </w:pPr>
      <w:r>
        <w:rPr>
          <w:rFonts w:hint="eastAsia" w:ascii="仿宋" w:hAnsi="仿宋" w:eastAsia="仿宋"/>
          <w:b/>
          <w:bCs/>
          <w:sz w:val="24"/>
          <w:highlight w:val="none"/>
        </w:rPr>
        <w:t>1、采购需求中如出现品牌、型号或者生产厂家等均仅起参考作用，不属于指定品牌、型号或者生产厂家的情形，投标人可参照或者选用其他相当的品牌、型号或者生产厂家替代。但投标人的产品实质上应相当于或优于本需求</w:t>
      </w:r>
      <w:r>
        <w:rPr>
          <w:rFonts w:ascii="仿宋" w:hAnsi="仿宋" w:eastAsia="仿宋"/>
          <w:b/>
          <w:bCs/>
          <w:sz w:val="24"/>
          <w:highlight w:val="none"/>
        </w:rPr>
        <w:t>中</w:t>
      </w:r>
      <w:r>
        <w:rPr>
          <w:rFonts w:hint="eastAsia" w:ascii="仿宋" w:hAnsi="仿宋" w:eastAsia="仿宋"/>
          <w:b/>
          <w:bCs/>
          <w:sz w:val="24"/>
          <w:highlight w:val="none"/>
        </w:rPr>
        <w:t>的技术要求。</w:t>
      </w:r>
    </w:p>
    <w:p w14:paraId="2FC4D64A">
      <w:pPr>
        <w:spacing w:line="400" w:lineRule="exact"/>
        <w:ind w:firstLine="482" w:firstLineChars="200"/>
        <w:jc w:val="left"/>
        <w:rPr>
          <w:rFonts w:hint="eastAsia" w:ascii="仿宋" w:hAnsi="仿宋" w:eastAsia="仿宋" w:cs="宋体"/>
          <w:b/>
          <w:sz w:val="24"/>
          <w:highlight w:val="none"/>
        </w:rPr>
      </w:pPr>
      <w:r>
        <w:rPr>
          <w:rFonts w:hint="eastAsia" w:ascii="仿宋" w:hAnsi="仿宋" w:eastAsia="仿宋"/>
          <w:b/>
          <w:bCs/>
          <w:sz w:val="24"/>
          <w:highlight w:val="none"/>
        </w:rPr>
        <w:t>2、</w:t>
      </w:r>
      <w:r>
        <w:rPr>
          <w:rFonts w:ascii="仿宋" w:hAnsi="仿宋" w:eastAsia="仿宋"/>
          <w:b/>
          <w:bCs/>
          <w:sz w:val="24"/>
          <w:highlight w:val="none"/>
        </w:rPr>
        <w:t>根据《财政部 发展改革委 生态环境部 市场监管总局关于调整优化节能产品、环境标志产品政府采购执行机制的通知》（财库〔2019〕9号）和《关于印发节能产品政府采购品目清单的通知》（财库〔2019〕19 号）的规定，采购需求中的产品属于节能产品政府采购品目清单内标注“★”的（详见本章后附的节能产品政府采购品目清单），投标人的投标货物必须使用政府强制采购的节能产品</w:t>
      </w:r>
      <w:r>
        <w:rPr>
          <w:rFonts w:hint="eastAsia" w:ascii="仿宋" w:hAnsi="仿宋" w:eastAsia="仿宋"/>
          <w:b/>
          <w:bCs/>
          <w:sz w:val="24"/>
          <w:highlight w:val="none"/>
        </w:rPr>
        <w:t>，投标文件中必须提供国家有关行政部门认可的认证机构出具的、处于有效期之内的节能产品认证证书复印件</w:t>
      </w:r>
      <w:r>
        <w:rPr>
          <w:rFonts w:ascii="仿宋" w:hAnsi="仿宋" w:eastAsia="仿宋"/>
          <w:b/>
          <w:bCs/>
          <w:sz w:val="24"/>
          <w:highlight w:val="none"/>
        </w:rPr>
        <w:t>，否则投标文件作无效处理。</w:t>
      </w:r>
    </w:p>
    <w:p w14:paraId="145464A5">
      <w:pPr>
        <w:spacing w:line="400" w:lineRule="exact"/>
        <w:ind w:firstLine="482" w:firstLineChars="200"/>
        <w:jc w:val="left"/>
        <w:rPr>
          <w:rFonts w:hint="eastAsia" w:ascii="仿宋" w:hAnsi="仿宋" w:eastAsia="仿宋" w:cs="宋体"/>
          <w:b/>
          <w:sz w:val="24"/>
          <w:highlight w:val="none"/>
        </w:rPr>
      </w:pPr>
      <w:r>
        <w:rPr>
          <w:rFonts w:ascii="仿宋" w:hAnsi="仿宋" w:eastAsia="仿宋"/>
          <w:b/>
          <w:bCs/>
          <w:sz w:val="24"/>
          <w:highlight w:val="none"/>
        </w:rPr>
        <w:t>3</w:t>
      </w:r>
      <w:r>
        <w:rPr>
          <w:rFonts w:hint="eastAsia" w:ascii="仿宋" w:hAnsi="仿宋" w:eastAsia="仿宋"/>
          <w:b/>
          <w:bCs/>
          <w:sz w:val="24"/>
          <w:highlight w:val="none"/>
        </w:rPr>
        <w:t>、如投标人投标产品存在侵犯他人的知识产权或者专利成果行为的，由投标人自行承担相应法律责任。</w:t>
      </w:r>
    </w:p>
    <w:p w14:paraId="18F3052B">
      <w:pPr>
        <w:spacing w:line="400" w:lineRule="exact"/>
        <w:ind w:firstLine="482" w:firstLineChars="200"/>
        <w:jc w:val="left"/>
        <w:rPr>
          <w:rFonts w:hint="eastAsia" w:ascii="仿宋" w:hAnsi="仿宋" w:eastAsia="仿宋"/>
          <w:b/>
          <w:bCs/>
          <w:sz w:val="24"/>
          <w:highlight w:val="none"/>
        </w:rPr>
      </w:pPr>
      <w:r>
        <w:rPr>
          <w:rFonts w:hint="eastAsia" w:ascii="仿宋" w:hAnsi="仿宋" w:eastAsia="仿宋"/>
          <w:b/>
          <w:bCs/>
          <w:sz w:val="24"/>
          <w:highlight w:val="none"/>
          <w:lang w:val="en-US" w:eastAsia="zh-CN"/>
        </w:rPr>
        <w:t>4</w:t>
      </w:r>
      <w:r>
        <w:rPr>
          <w:rFonts w:hint="eastAsia" w:ascii="仿宋" w:hAnsi="仿宋" w:eastAsia="仿宋"/>
          <w:b/>
          <w:bCs/>
          <w:sz w:val="24"/>
          <w:highlight w:val="none"/>
        </w:rPr>
        <w:t>、“实质性要求”是指招标文件中已经指明不满足则投标无效的条款，或者不能负偏离的条款，或者采购需求中标注</w:t>
      </w:r>
      <w:r>
        <w:rPr>
          <w:rFonts w:hint="eastAsia" w:ascii="仿宋" w:hAnsi="仿宋" w:eastAsia="仿宋"/>
          <w:b/>
          <w:bCs/>
          <w:color w:val="auto"/>
          <w:sz w:val="24"/>
          <w:highlight w:val="none"/>
        </w:rPr>
        <w:t>“</w:t>
      </w:r>
      <w:r>
        <w:rPr>
          <w:rFonts w:hint="eastAsia" w:ascii="仿宋" w:hAnsi="仿宋" w:eastAsia="仿宋" w:cs="仿宋"/>
          <w:color w:val="auto"/>
          <w:sz w:val="24"/>
          <w:highlight w:val="none"/>
          <w:lang w:val="en-US" w:eastAsia="zh-CN"/>
        </w:rPr>
        <w:t>▲</w:t>
      </w:r>
      <w:r>
        <w:rPr>
          <w:rFonts w:hint="eastAsia" w:ascii="仿宋" w:hAnsi="仿宋" w:eastAsia="仿宋"/>
          <w:b/>
          <w:bCs/>
          <w:color w:val="auto"/>
          <w:sz w:val="24"/>
          <w:highlight w:val="none"/>
        </w:rPr>
        <w:t>”</w:t>
      </w:r>
      <w:r>
        <w:rPr>
          <w:rFonts w:hint="eastAsia" w:ascii="仿宋" w:hAnsi="仿宋" w:eastAsia="仿宋"/>
          <w:b/>
          <w:bCs/>
          <w:sz w:val="24"/>
          <w:highlight w:val="none"/>
        </w:rPr>
        <w:t>号的条款。</w:t>
      </w:r>
    </w:p>
    <w:p w14:paraId="07962EDD">
      <w:pPr>
        <w:spacing w:line="400" w:lineRule="exact"/>
        <w:ind w:firstLine="482" w:firstLineChars="200"/>
        <w:jc w:val="left"/>
        <w:rPr>
          <w:rFonts w:hint="eastAsia" w:ascii="仿宋" w:hAnsi="仿宋" w:eastAsia="仿宋" w:cs="宋体"/>
          <w:b/>
          <w:bCs/>
          <w:sz w:val="24"/>
          <w:highlight w:val="none"/>
        </w:rPr>
      </w:pPr>
      <w:r>
        <w:rPr>
          <w:rFonts w:hint="eastAsia" w:ascii="仿宋" w:hAnsi="仿宋" w:eastAsia="仿宋"/>
          <w:b/>
          <w:bCs/>
          <w:sz w:val="24"/>
          <w:highlight w:val="none"/>
          <w:lang w:val="en-US" w:eastAsia="zh-CN"/>
        </w:rPr>
        <w:t>5</w:t>
      </w:r>
      <w:r>
        <w:rPr>
          <w:rFonts w:hint="eastAsia" w:ascii="仿宋" w:hAnsi="仿宋" w:eastAsia="仿宋"/>
          <w:b/>
          <w:bCs/>
          <w:sz w:val="24"/>
          <w:highlight w:val="none"/>
        </w:rPr>
        <w:t>、</w:t>
      </w:r>
      <w:bookmarkStart w:id="46" w:name="OLE_LINK2"/>
      <w:r>
        <w:rPr>
          <w:rFonts w:hint="eastAsia" w:ascii="仿宋" w:hAnsi="仿宋" w:eastAsia="仿宋"/>
          <w:b/>
          <w:bCs/>
          <w:sz w:val="24"/>
          <w:highlight w:val="none"/>
        </w:rPr>
        <w:t>本项目</w:t>
      </w:r>
      <w:bookmarkEnd w:id="46"/>
      <w:r>
        <w:rPr>
          <w:rFonts w:hint="eastAsia" w:ascii="仿宋" w:hAnsi="仿宋" w:eastAsia="仿宋" w:cs="宋体"/>
          <w:b/>
          <w:bCs/>
          <w:sz w:val="24"/>
          <w:highlight w:val="none"/>
        </w:rPr>
        <w:t>中小企业划分标准所属行业名称（行业名称及划分见本章附件</w:t>
      </w:r>
      <w:r>
        <w:rPr>
          <w:rFonts w:ascii="仿宋" w:hAnsi="仿宋" w:eastAsia="仿宋" w:cs="宋体"/>
          <w:b/>
          <w:bCs/>
          <w:sz w:val="24"/>
          <w:highlight w:val="none"/>
        </w:rPr>
        <w:t>2</w:t>
      </w:r>
      <w:r>
        <w:rPr>
          <w:rFonts w:hint="eastAsia" w:ascii="仿宋" w:hAnsi="仿宋" w:eastAsia="仿宋" w:cs="宋体"/>
          <w:b/>
          <w:bCs/>
          <w:sz w:val="24"/>
          <w:highlight w:val="none"/>
        </w:rPr>
        <w:t>）：详见下表。</w:t>
      </w:r>
    </w:p>
    <w:p w14:paraId="536C2989">
      <w:pPr>
        <w:spacing w:line="400" w:lineRule="exact"/>
        <w:ind w:firstLine="482" w:firstLineChars="200"/>
        <w:jc w:val="left"/>
        <w:rPr>
          <w:rFonts w:hint="default" w:ascii="仿宋" w:hAnsi="仿宋" w:eastAsia="仿宋" w:cs="宋体"/>
          <w:b/>
          <w:bCs/>
          <w:sz w:val="24"/>
          <w:highlight w:val="none"/>
          <w:lang w:val="en-US" w:eastAsia="zh-CN"/>
        </w:rPr>
      </w:pPr>
      <w:r>
        <w:rPr>
          <w:rFonts w:hint="eastAsia" w:ascii="仿宋" w:hAnsi="仿宋" w:eastAsia="仿宋" w:cs="宋体"/>
          <w:b/>
          <w:bCs/>
          <w:sz w:val="24"/>
          <w:highlight w:val="none"/>
          <w:lang w:val="en-US" w:eastAsia="zh-CN"/>
        </w:rPr>
        <w:t>A分标   本分标所属行业：工业</w:t>
      </w:r>
    </w:p>
    <w:tbl>
      <w:tblPr>
        <w:tblStyle w:val="49"/>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992"/>
        <w:gridCol w:w="331"/>
        <w:gridCol w:w="5419"/>
        <w:gridCol w:w="712"/>
        <w:gridCol w:w="713"/>
        <w:gridCol w:w="1276"/>
      </w:tblGrid>
      <w:tr w14:paraId="14E4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0100" w:type="dxa"/>
            <w:gridSpan w:val="7"/>
            <w:tcBorders>
              <w:top w:val="single" w:color="auto" w:sz="4" w:space="0"/>
              <w:left w:val="single" w:color="auto" w:sz="4" w:space="0"/>
              <w:bottom w:val="single" w:color="auto" w:sz="4" w:space="0"/>
              <w:right w:val="single" w:color="auto" w:sz="4" w:space="0"/>
            </w:tcBorders>
            <w:vAlign w:val="center"/>
          </w:tcPr>
          <w:p w14:paraId="2EB4D494">
            <w:pPr>
              <w:adjustRightInd w:val="0"/>
              <w:snapToGrid w:val="0"/>
              <w:spacing w:line="35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一、采购内容及技术要求</w:t>
            </w:r>
          </w:p>
        </w:tc>
      </w:tr>
      <w:tr w14:paraId="7715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34F5DE69">
            <w:pPr>
              <w:adjustRightInd w:val="0"/>
              <w:snapToGrid w:val="0"/>
              <w:spacing w:line="350" w:lineRule="exact"/>
              <w:jc w:val="center"/>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项号</w:t>
            </w:r>
          </w:p>
        </w:tc>
        <w:tc>
          <w:tcPr>
            <w:tcW w:w="992" w:type="dxa"/>
            <w:tcBorders>
              <w:top w:val="single" w:color="auto" w:sz="4" w:space="0"/>
              <w:left w:val="single" w:color="auto" w:sz="4" w:space="0"/>
              <w:bottom w:val="single" w:color="auto" w:sz="4" w:space="0"/>
              <w:right w:val="single" w:color="auto" w:sz="4" w:space="0"/>
            </w:tcBorders>
            <w:vAlign w:val="center"/>
          </w:tcPr>
          <w:p w14:paraId="0E1441D2">
            <w:pPr>
              <w:adjustRightInd w:val="0"/>
              <w:snapToGrid w:val="0"/>
              <w:spacing w:line="35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标的的名称</w:t>
            </w:r>
          </w:p>
        </w:tc>
        <w:tc>
          <w:tcPr>
            <w:tcW w:w="5750" w:type="dxa"/>
            <w:gridSpan w:val="2"/>
            <w:tcBorders>
              <w:top w:val="single" w:color="auto" w:sz="4" w:space="0"/>
              <w:left w:val="single" w:color="auto" w:sz="4" w:space="0"/>
              <w:bottom w:val="single" w:color="auto" w:sz="4" w:space="0"/>
              <w:right w:val="single" w:color="auto" w:sz="4" w:space="0"/>
            </w:tcBorders>
            <w:vAlign w:val="center"/>
          </w:tcPr>
          <w:p w14:paraId="13852E30">
            <w:pPr>
              <w:adjustRightInd w:val="0"/>
              <w:snapToGrid w:val="0"/>
              <w:spacing w:line="35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技术要求</w:t>
            </w:r>
          </w:p>
        </w:tc>
        <w:tc>
          <w:tcPr>
            <w:tcW w:w="712" w:type="dxa"/>
            <w:tcBorders>
              <w:top w:val="single" w:color="auto" w:sz="4" w:space="0"/>
              <w:left w:val="single" w:color="auto" w:sz="4" w:space="0"/>
              <w:bottom w:val="single" w:color="auto" w:sz="4" w:space="0"/>
              <w:right w:val="single" w:color="auto" w:sz="4" w:space="0"/>
            </w:tcBorders>
            <w:vAlign w:val="center"/>
          </w:tcPr>
          <w:p w14:paraId="078EFA23">
            <w:pPr>
              <w:adjustRightInd w:val="0"/>
              <w:snapToGrid w:val="0"/>
              <w:spacing w:line="35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713" w:type="dxa"/>
            <w:tcBorders>
              <w:top w:val="single" w:color="auto" w:sz="4" w:space="0"/>
              <w:left w:val="single" w:color="auto" w:sz="4" w:space="0"/>
              <w:bottom w:val="single" w:color="auto" w:sz="4" w:space="0"/>
              <w:right w:val="single" w:color="auto" w:sz="4" w:space="0"/>
            </w:tcBorders>
            <w:vAlign w:val="center"/>
          </w:tcPr>
          <w:p w14:paraId="0C46F852">
            <w:pPr>
              <w:adjustRightInd w:val="0"/>
              <w:snapToGrid w:val="0"/>
              <w:spacing w:line="35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单位</w:t>
            </w:r>
          </w:p>
        </w:tc>
        <w:tc>
          <w:tcPr>
            <w:tcW w:w="1276" w:type="dxa"/>
            <w:tcBorders>
              <w:top w:val="single" w:color="auto" w:sz="4" w:space="0"/>
              <w:left w:val="single" w:color="auto" w:sz="4" w:space="0"/>
              <w:bottom w:val="single" w:color="auto" w:sz="4" w:space="0"/>
              <w:right w:val="single" w:color="auto" w:sz="4" w:space="0"/>
            </w:tcBorders>
            <w:vAlign w:val="center"/>
          </w:tcPr>
          <w:p w14:paraId="443BF957">
            <w:pPr>
              <w:adjustRightInd w:val="0"/>
              <w:snapToGrid w:val="0"/>
              <w:spacing w:line="35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参考</w:t>
            </w:r>
            <w:r>
              <w:rPr>
                <w:rFonts w:hint="eastAsia" w:ascii="仿宋" w:hAnsi="仿宋" w:eastAsia="仿宋" w:cs="仿宋"/>
                <w:b/>
                <w:color w:val="auto"/>
                <w:sz w:val="24"/>
                <w:highlight w:val="none"/>
                <w:lang w:val="en-US" w:eastAsia="zh-CN"/>
              </w:rPr>
              <w:t>单</w:t>
            </w:r>
            <w:r>
              <w:rPr>
                <w:rFonts w:hint="eastAsia" w:ascii="仿宋" w:hAnsi="仿宋" w:eastAsia="仿宋" w:cs="仿宋"/>
                <w:b/>
                <w:color w:val="auto"/>
                <w:sz w:val="24"/>
                <w:highlight w:val="none"/>
              </w:rPr>
              <w:t>价</w:t>
            </w:r>
          </w:p>
          <w:p w14:paraId="39C28C53">
            <w:pPr>
              <w:adjustRightInd w:val="0"/>
              <w:snapToGrid w:val="0"/>
              <w:spacing w:line="35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（万元）</w:t>
            </w:r>
          </w:p>
        </w:tc>
      </w:tr>
      <w:tr w14:paraId="5153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7088F8EA">
            <w:pPr>
              <w:spacing w:line="460" w:lineRule="exact"/>
              <w:jc w:val="center"/>
              <w:rPr>
                <w:rFonts w:hint="eastAsia" w:ascii="仿宋" w:hAnsi="仿宋" w:eastAsia="仿宋" w:cs="仿宋"/>
                <w:color w:val="auto"/>
                <w:sz w:val="24"/>
                <w:highlight w:val="none"/>
              </w:rPr>
            </w:pPr>
            <w:r>
              <w:rPr>
                <w:rFonts w:hint="eastAsia" w:ascii="仿宋" w:hAnsi="仿宋" w:eastAsia="仿宋" w:cs="仿宋"/>
                <w:bCs/>
                <w:color w:val="auto"/>
                <w:sz w:val="24"/>
                <w:highlight w:val="none"/>
              </w:rPr>
              <w:t>1</w:t>
            </w:r>
          </w:p>
        </w:tc>
        <w:tc>
          <w:tcPr>
            <w:tcW w:w="992" w:type="dxa"/>
            <w:tcBorders>
              <w:top w:val="single" w:color="auto" w:sz="4" w:space="0"/>
              <w:left w:val="single" w:color="auto" w:sz="4" w:space="0"/>
              <w:bottom w:val="single" w:color="auto" w:sz="4" w:space="0"/>
              <w:right w:val="single" w:color="auto" w:sz="4" w:space="0"/>
            </w:tcBorders>
            <w:vAlign w:val="center"/>
          </w:tcPr>
          <w:p w14:paraId="2C7BDDFB">
            <w:pPr>
              <w:spacing w:line="4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热释光剂量仪</w:t>
            </w:r>
          </w:p>
        </w:tc>
        <w:tc>
          <w:tcPr>
            <w:tcW w:w="5750" w:type="dxa"/>
            <w:gridSpan w:val="2"/>
            <w:tcBorders>
              <w:top w:val="single" w:color="auto" w:sz="4" w:space="0"/>
              <w:left w:val="single" w:color="auto" w:sz="4" w:space="0"/>
              <w:bottom w:val="single" w:color="auto" w:sz="4" w:space="0"/>
              <w:right w:val="single" w:color="auto" w:sz="4" w:space="0"/>
            </w:tcBorders>
            <w:vAlign w:val="center"/>
          </w:tcPr>
          <w:p w14:paraId="753D14B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仪器可测量探测器形状：玻璃管状、方形、圆形、粉末、薄膜（热释光元件适配类型不小于：圆形φ4.5mm、方形3.4×3.4×0.9/0.4mm、棒状2mmφ×12mm）等（供货时提供相关证明材料，包括但不限于彩页、说明书或实物图片）；</w:t>
            </w:r>
          </w:p>
          <w:p w14:paraId="3F439C4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2.热释光剂量仪可连接单独的有线键盘或者无线键盘对热释光剂量仪里面的编码或者数据进行保存（供货时提供相关证明材料，包括但不限于彩页、说明书或实物图片）；</w:t>
            </w:r>
          </w:p>
          <w:p w14:paraId="283FD62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3.加热方式：不充气加热；</w:t>
            </w:r>
          </w:p>
          <w:p w14:paraId="1740980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▲4.每次可放置并自动测量不少于30个样品,测量样品速度不低于60个/小时；可存储并显示不少于一万组测量数据（供货时提供相关证明材料，包括但不限于彩页、说明书或实物图片）；</w:t>
            </w:r>
          </w:p>
          <w:p w14:paraId="0804899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4.1仪器自动计算平均值、标准偏差、变异系数等；</w:t>
            </w:r>
          </w:p>
          <w:p w14:paraId="49DE343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4.2测量范围：0.01μGy-10Gy；</w:t>
            </w:r>
          </w:p>
          <w:p w14:paraId="04123EA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4.3升温速率：1-60°C/s；</w:t>
            </w:r>
          </w:p>
          <w:p w14:paraId="79F0306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4.4恒温温度：≥400°C（误差&lt;±0.5%）；</w:t>
            </w:r>
          </w:p>
          <w:p w14:paraId="5A11546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4.5稳定性：连续10次测量，标准偏差小于2.0μGy；</w:t>
            </w:r>
          </w:p>
          <w:p w14:paraId="57A2126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▲4.6提供不少于四段测量量程，满足不同的测量需要；（仪器装机验收时，中标供应商必须向采购人在验收现场提供满足本项技术要求的实际证明，否则采购人不予以验收）</w:t>
            </w:r>
          </w:p>
          <w:p w14:paraId="11E7E33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4.7可灵活设置的三阶段程序升温；</w:t>
            </w:r>
          </w:p>
          <w:p w14:paraId="36E514D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▲4.8仪器能自动扫描标签无需外接其它辅助设备（供货时提供相关证明材料，包括但不限于彩页、说明书或实物图片）；</w:t>
            </w:r>
          </w:p>
          <w:p w14:paraId="3D19AF6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4.9仪器自动本底扣除（供货时提供相关证明材料，包括但不限于彩页、说明书或实物图片）；</w:t>
            </w:r>
          </w:p>
          <w:p w14:paraId="4FFB87B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4.10线性：小于2%偏差；</w:t>
            </w:r>
          </w:p>
          <w:p w14:paraId="2EF19A0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4.11每个探测器位置采用独立的加热盘，每个位置的加热盘可单独取出清洁维护和检查；（供货时提供相关证明材料，包括但不限于彩页、说明书或实物图片）；</w:t>
            </w:r>
          </w:p>
          <w:p w14:paraId="4AAE7A8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4.12系统具备探测器（剂量片）筛选功能：对测量过的多个探测器（剂量片）按照对分散性要求的设置进行选片。输入档差(分散性)，选中所要分档值后，所有符合该档范围的值都会被标记出，仪器转盘可依次按标记转动，方便取出探测器（剂量片）避免量大出错 ，也可显示在哪个位置上（供货时提供相关证明材料，包括但不限于彩页、说明书或实物图片）；</w:t>
            </w:r>
          </w:p>
          <w:p w14:paraId="6C4B75A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4.13仪器本身能定位每个探测器所放置的位置；</w:t>
            </w:r>
          </w:p>
          <w:p w14:paraId="581472A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4.14菜单和参数设定：中文操作界面、计算吸收剂量、通过键盘输入剂量计编号、每次记录自动加载日期和时间、手动测量的提示帮助文件；</w:t>
            </w:r>
          </w:p>
          <w:p w14:paraId="48672A9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4.15个人剂量监测数据处理软件系统性能要求：</w:t>
            </w:r>
          </w:p>
          <w:p w14:paraId="00628DE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（1）可由热释光测量仪接口传入数据；</w:t>
            </w:r>
          </w:p>
          <w:p w14:paraId="3D306D4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（2）数据库可与Excel兼容；</w:t>
            </w:r>
          </w:p>
          <w:p w14:paraId="614B278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（3）可实现数据、统计、分析、报告、报表功能；</w:t>
            </w:r>
          </w:p>
          <w:p w14:paraId="504500E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（4）可接收条形码输入；</w:t>
            </w:r>
          </w:p>
          <w:p w14:paraId="7DF0C41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（5）数据库包括个人剂量监测所有信息，（数据库包括但不限于人员编号、姓名、单位、性别、工种、佩戴日期、剂量）；</w:t>
            </w:r>
          </w:p>
          <w:p w14:paraId="0AF3FB8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（6）可自动和手工扣除本底，可对不同单位、根据监测时间自动或手工设置不同的本底扣除；</w:t>
            </w:r>
          </w:p>
          <w:p w14:paraId="73E84D7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（7）可输入每周期不同的刻度系数；</w:t>
            </w:r>
          </w:p>
          <w:p w14:paraId="1EDFC3D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（8）可自动计算，打印报告；</w:t>
            </w:r>
          </w:p>
          <w:p w14:paraId="49314E4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（9）可手工设置剂量调查水平，根据佩戴时间不同自动选择超调查水平人员，形成报表；</w:t>
            </w:r>
          </w:p>
          <w:p w14:paraId="26BABBC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（10）有较好的缺失数据、异常数据、名义剂量的处理功能，报表中应剔除异常数据；</w:t>
            </w:r>
          </w:p>
          <w:p w14:paraId="5396BFE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（11）可以通过软件直接打印人员条形码编码并且可以导出数据、在条码纸上或者导出的数据需有不少于： 人员编码信息：单位名称、人员名称、人员编码、二维码等（供货时提供相关证明材料，包括但不限于彩页、说明书或实物图片）；</w:t>
            </w:r>
          </w:p>
          <w:p w14:paraId="42E916E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（12）不少于3种模板选择，每种模板不少于出具四种报表（周期检测报告，大剂量报告，年度报告，统计报告）；（供货时提供相关证明材料，包括但不限于彩页、说明书或实物图片）</w:t>
            </w:r>
          </w:p>
          <w:p w14:paraId="26973DD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5.配套对应数据处理工作站；</w:t>
            </w:r>
          </w:p>
          <w:p w14:paraId="60F0C17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en-US" w:eastAsia="zh-CN"/>
              </w:rPr>
              <w:t>6.供货时设备须提供中国计量院检定和校准证书(含有刻度因子)。</w:t>
            </w:r>
          </w:p>
        </w:tc>
        <w:tc>
          <w:tcPr>
            <w:tcW w:w="712" w:type="dxa"/>
            <w:tcBorders>
              <w:top w:val="single" w:color="auto" w:sz="4" w:space="0"/>
              <w:left w:val="single" w:color="auto" w:sz="4" w:space="0"/>
              <w:bottom w:val="single" w:color="auto" w:sz="4" w:space="0"/>
              <w:right w:val="single" w:color="auto" w:sz="4" w:space="0"/>
            </w:tcBorders>
            <w:vAlign w:val="center"/>
          </w:tcPr>
          <w:p w14:paraId="45E4CE74">
            <w:pPr>
              <w:spacing w:line="460" w:lineRule="exact"/>
              <w:jc w:val="center"/>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1</w:t>
            </w:r>
          </w:p>
        </w:tc>
        <w:tc>
          <w:tcPr>
            <w:tcW w:w="713" w:type="dxa"/>
            <w:tcBorders>
              <w:top w:val="single" w:color="auto" w:sz="4" w:space="0"/>
              <w:left w:val="single" w:color="auto" w:sz="4" w:space="0"/>
              <w:bottom w:val="single" w:color="auto" w:sz="4" w:space="0"/>
              <w:right w:val="single" w:color="auto" w:sz="4" w:space="0"/>
            </w:tcBorders>
            <w:vAlign w:val="center"/>
          </w:tcPr>
          <w:p w14:paraId="2D270F0A">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台</w:t>
            </w:r>
          </w:p>
        </w:tc>
        <w:tc>
          <w:tcPr>
            <w:tcW w:w="1276" w:type="dxa"/>
            <w:tcBorders>
              <w:top w:val="single" w:color="auto" w:sz="4" w:space="0"/>
              <w:left w:val="single" w:color="auto" w:sz="4" w:space="0"/>
              <w:bottom w:val="single" w:color="auto" w:sz="4" w:space="0"/>
              <w:right w:val="single" w:color="auto" w:sz="4" w:space="0"/>
            </w:tcBorders>
            <w:vAlign w:val="center"/>
          </w:tcPr>
          <w:p w14:paraId="42A3CC69">
            <w:pPr>
              <w:spacing w:line="460" w:lineRule="exact"/>
              <w:jc w:val="center"/>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40.00</w:t>
            </w:r>
          </w:p>
        </w:tc>
      </w:tr>
      <w:tr w14:paraId="37FF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0C443A2F">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2</w:t>
            </w:r>
          </w:p>
        </w:tc>
        <w:tc>
          <w:tcPr>
            <w:tcW w:w="992" w:type="dxa"/>
            <w:tcBorders>
              <w:top w:val="single" w:color="auto" w:sz="4" w:space="0"/>
              <w:left w:val="single" w:color="auto" w:sz="4" w:space="0"/>
              <w:bottom w:val="single" w:color="auto" w:sz="4" w:space="0"/>
              <w:right w:val="single" w:color="auto" w:sz="4" w:space="0"/>
            </w:tcBorders>
            <w:vAlign w:val="center"/>
          </w:tcPr>
          <w:p w14:paraId="5823B301">
            <w:pPr>
              <w:spacing w:line="460" w:lineRule="exact"/>
              <w:jc w:val="center"/>
              <w:rPr>
                <w:rFonts w:hint="eastAsia"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车载X射线机</w:t>
            </w:r>
          </w:p>
        </w:tc>
        <w:tc>
          <w:tcPr>
            <w:tcW w:w="5750" w:type="dxa"/>
            <w:gridSpan w:val="2"/>
            <w:tcBorders>
              <w:top w:val="single" w:color="auto" w:sz="4" w:space="0"/>
              <w:left w:val="single" w:color="auto" w:sz="4" w:space="0"/>
              <w:bottom w:val="single" w:color="auto" w:sz="4" w:space="0"/>
              <w:right w:val="single" w:color="auto" w:sz="4" w:space="0"/>
            </w:tcBorders>
            <w:vAlign w:val="center"/>
          </w:tcPr>
          <w:p w14:paraId="05612FD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1.功能及要求</w:t>
            </w:r>
          </w:p>
          <w:p w14:paraId="7966922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所招设备为车载X射线机，采用可移动平板探测器，完成拍片检查。车载X射线机的质量控制和防护性能满足WS 76-2020《医用X射线诊断设备质量控制检测规范》要求；</w:t>
            </w:r>
          </w:p>
          <w:p w14:paraId="7C841B1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▲1.2为保证整机兼容及售后保障，投标产品配备的高压发生器、平板探测器，X射线管为同一制造商；</w:t>
            </w:r>
            <w:r>
              <w:rPr>
                <w:rFonts w:hint="eastAsia" w:ascii="仿宋" w:hAnsi="仿宋" w:eastAsia="仿宋" w:cs="仿宋"/>
                <w:color w:val="auto"/>
                <w:sz w:val="24"/>
                <w:szCs w:val="24"/>
                <w:highlight w:val="none"/>
                <w:lang w:val="en-US" w:eastAsia="zh-CN"/>
              </w:rPr>
              <w:t>（供货时提供相关证明文件）</w:t>
            </w:r>
          </w:p>
          <w:p w14:paraId="2E48368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1.3所投设备可用于机动条件下，在远离医院的现场开展X射线摄影等检查；</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1FE62DC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2.主要技术规格和要求</w:t>
            </w:r>
          </w:p>
          <w:p w14:paraId="56A5517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平板探测器：</w:t>
            </w:r>
          </w:p>
          <w:p w14:paraId="6237A1E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2.1.1 探测器尺寸≥420mm×420mm；</w:t>
            </w:r>
          </w:p>
          <w:p w14:paraId="2B6B6C3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2.1.2 像素尺寸≤143μm；</w:t>
            </w:r>
          </w:p>
          <w:p w14:paraId="58664D4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2.1.3采集灰阶度≥14bits；</w:t>
            </w:r>
          </w:p>
          <w:p w14:paraId="7807BF8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▲2.1.4空间分辨率≥3.7lp/mm；</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23BB2BE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2.1.5采集矩阵≥3000×3000；</w:t>
            </w:r>
          </w:p>
          <w:p w14:paraId="447F5C4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2.1.6平板探测器与整机品牌一致；</w:t>
            </w:r>
          </w:p>
          <w:p w14:paraId="424C12C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2.1.7成像时间≤5s；</w:t>
            </w:r>
          </w:p>
          <w:p w14:paraId="0EC85FB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2.1.8 DQE≥65%；</w:t>
            </w:r>
          </w:p>
          <w:p w14:paraId="1FF6F58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▲2.1.9 具备消除平板探测器线噪声的技术和功能；</w:t>
            </w:r>
            <w:r>
              <w:rPr>
                <w:rFonts w:hint="eastAsia" w:ascii="仿宋" w:hAnsi="仿宋" w:eastAsia="仿宋" w:cs="仿宋"/>
                <w:color w:val="auto"/>
                <w:sz w:val="24"/>
                <w:szCs w:val="24"/>
                <w:highlight w:val="none"/>
                <w:lang w:val="en-US" w:eastAsia="zh-CN"/>
              </w:rPr>
              <w:t>（供货时提供相关证明文件）</w:t>
            </w:r>
          </w:p>
          <w:p w14:paraId="7C17D09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▲2.1.10 具备图像线噪声消除技术，可以有效消除线噪声的同时不会损失图像细节，完好的保持边缘和分辨率；</w:t>
            </w:r>
            <w:r>
              <w:rPr>
                <w:rFonts w:hint="eastAsia" w:ascii="仿宋" w:hAnsi="仿宋" w:eastAsia="仿宋" w:cs="仿宋"/>
                <w:color w:val="auto"/>
                <w:sz w:val="24"/>
                <w:szCs w:val="24"/>
                <w:highlight w:val="none"/>
                <w:lang w:val="en-US" w:eastAsia="zh-CN"/>
              </w:rPr>
              <w:t>（供货时提供相关证明文件）</w:t>
            </w:r>
          </w:p>
          <w:p w14:paraId="573DA35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▲2.1.11 具备无线平板探测器的通讯控制系统，可在更短的时间内完成图像的采集和传输；</w:t>
            </w:r>
            <w:r>
              <w:rPr>
                <w:rFonts w:hint="eastAsia" w:ascii="仿宋" w:hAnsi="仿宋" w:eastAsia="仿宋" w:cs="仿宋"/>
                <w:color w:val="auto"/>
                <w:sz w:val="24"/>
                <w:szCs w:val="24"/>
                <w:highlight w:val="none"/>
                <w:lang w:val="en-US" w:eastAsia="zh-CN"/>
              </w:rPr>
              <w:t>（供货时提供相关证明文件）</w:t>
            </w:r>
          </w:p>
          <w:p w14:paraId="4F60FB3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X线球管及支架系统：</w:t>
            </w:r>
          </w:p>
          <w:p w14:paraId="7927149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2.2.1车载式双立柱机械结构，非C形臂或U形臂；</w:t>
            </w:r>
          </w:p>
          <w:p w14:paraId="11EF573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2.2.2 X射线管焦点距地最低≤920mm；</w:t>
            </w:r>
          </w:p>
          <w:p w14:paraId="7E23CDA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▲2.2.3 X射线管焦点距地最大≥1360mm；</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2AC583E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2.2.4具备X射线管组件与探测器组件的自动跟随； </w:t>
            </w:r>
          </w:p>
          <w:p w14:paraId="18C25B6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2.2.5大焦点尺寸 ≤1.2mm，小焦点尺寸 ≤0.6mm；</w:t>
            </w:r>
          </w:p>
          <w:p w14:paraId="2CF524D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▲2.2.6阳极热容量≥300kHU；</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2DE2C8D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2.2.7</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管套热容量≥1340kHU；</w:t>
            </w:r>
          </w:p>
          <w:p w14:paraId="23C0CB1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高压发生器：</w:t>
            </w:r>
          </w:p>
          <w:p w14:paraId="436A2DC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2.3.1输出功率≥48KW；</w:t>
            </w:r>
          </w:p>
          <w:p w14:paraId="020A7E7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2.3.2千伏范围:40—150KV；</w:t>
            </w:r>
          </w:p>
          <w:p w14:paraId="2451CF5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2.3.3APR自动控制功能；</w:t>
            </w:r>
          </w:p>
          <w:p w14:paraId="656CDF8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▲2.3.4曝光时间范围：最短系统曝光时间≤1ms，最长系统曝光时间≥10s；</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r>
              <w:rPr>
                <w:rFonts w:hint="eastAsia" w:ascii="仿宋" w:hAnsi="仿宋" w:eastAsia="仿宋" w:cs="仿宋"/>
                <w:color w:val="auto"/>
                <w:sz w:val="24"/>
                <w:highlight w:val="none"/>
                <w:lang w:val="en-US" w:eastAsia="zh-CN"/>
              </w:rPr>
              <w:t xml:space="preserve"> </w:t>
            </w:r>
          </w:p>
          <w:p w14:paraId="3554279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2.3.5最大输出电流≥620mA；</w:t>
            </w:r>
          </w:p>
          <w:p w14:paraId="2C5D91F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2.3.6最小电流时间积≤0.1mAs；</w:t>
            </w:r>
          </w:p>
          <w:p w14:paraId="503A597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2.3.7最大电流时间积≥500mAs；</w:t>
            </w:r>
          </w:p>
          <w:p w14:paraId="0D98286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▲2.3.8逆变频率≥490kHZ；</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67892B2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2.3.9 具备发生器关机保护功能和发生器曝光保护功能；</w:t>
            </w:r>
          </w:p>
          <w:p w14:paraId="50E1F04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 xml:space="preserve">胸片架：  </w:t>
            </w:r>
          </w:p>
          <w:p w14:paraId="7C28AC0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2.4.1摄影台垂直移动范围≥480mm；</w:t>
            </w:r>
          </w:p>
          <w:p w14:paraId="2B5B5D6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2.4.2探测器中心的标线距地最低≤1000mm；</w:t>
            </w:r>
          </w:p>
          <w:p w14:paraId="5B8DFF2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2.4.3滤线栅密度≥60L/cm，焦距≥130cm，栅比≥10:1；</w:t>
            </w:r>
          </w:p>
          <w:p w14:paraId="197D9A1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2.4.4支持平板充电；</w:t>
            </w:r>
          </w:p>
          <w:p w14:paraId="41FA703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图像采集工作站：</w:t>
            </w:r>
          </w:p>
          <w:p w14:paraId="3181977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2.5.1 windows 7或以上操作系统；</w:t>
            </w:r>
          </w:p>
          <w:p w14:paraId="3ACE7C4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2.5.2软件采用全中文操作界面；</w:t>
            </w:r>
          </w:p>
          <w:p w14:paraId="4C10BE5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2.5.3高压发生器控制与系统操作高度集成，可在系统界面上进行高压发生器曝光参数的调节、设置和显示；</w:t>
            </w:r>
          </w:p>
          <w:p w14:paraId="174683E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2.5.4具有图像放大及漫游功能；</w:t>
            </w:r>
          </w:p>
          <w:p w14:paraId="2D61FA8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2.5.5具有曝光参数记录和显示功能；</w:t>
            </w:r>
          </w:p>
          <w:p w14:paraId="76DD77E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2.5.6具有边缘增强功能；</w:t>
            </w:r>
          </w:p>
          <w:p w14:paraId="5543082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2.5.7具有窗宽窗位调节功能；</w:t>
            </w:r>
          </w:p>
          <w:p w14:paraId="36C36F1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2.5.8具有图像翻转及旋转功能；</w:t>
            </w:r>
          </w:p>
          <w:p w14:paraId="577AE81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2.5.9具有图像正负像翻转功能；</w:t>
            </w:r>
          </w:p>
          <w:p w14:paraId="01A8FA7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2.5.10具有图像标注功能；</w:t>
            </w:r>
          </w:p>
          <w:p w14:paraId="6C910BA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▲2.5.11 具有辐射剂量的记录和显示功能；</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r>
              <w:rPr>
                <w:rFonts w:hint="eastAsia" w:ascii="仿宋" w:hAnsi="仿宋" w:eastAsia="仿宋" w:cs="仿宋"/>
                <w:color w:val="auto"/>
                <w:sz w:val="24"/>
                <w:highlight w:val="none"/>
                <w:lang w:val="en-US" w:eastAsia="zh-CN"/>
              </w:rPr>
              <w:t xml:space="preserve"> </w:t>
            </w:r>
          </w:p>
          <w:p w14:paraId="5C7572C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2.5.12</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具有病人登记、病人及图像信息管理功能；</w:t>
            </w:r>
          </w:p>
          <w:p w14:paraId="2386D39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2.5.13</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支持WORKLIST，MPPS；</w:t>
            </w:r>
          </w:p>
          <w:p w14:paraId="6F3392C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2.5.14</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具有DICOM图像导出、移动硬盘存储和刻盘功能；</w:t>
            </w:r>
          </w:p>
          <w:p w14:paraId="031169C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2.5.15</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支持远程升级、远程故障诊断和故障处理、远程桌面协助；</w:t>
            </w:r>
          </w:p>
          <w:p w14:paraId="0A6C6DC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2.5.16</w:t>
            </w:r>
            <w:r>
              <w:rPr>
                <w:rFonts w:hint="eastAsia" w:ascii="仿宋" w:hAnsi="仿宋" w:eastAsia="仿宋" w:cs="仿宋"/>
                <w:color w:val="auto"/>
                <w:sz w:val="24"/>
                <w:highlight w:val="none"/>
                <w:lang w:val="en-US" w:eastAsia="zh-CN"/>
              </w:rPr>
              <w:tab/>
            </w:r>
            <w:r>
              <w:rPr>
                <w:rFonts w:hint="eastAsia" w:ascii="仿宋" w:hAnsi="仿宋" w:eastAsia="仿宋" w:cs="仿宋"/>
                <w:color w:val="auto"/>
                <w:sz w:val="24"/>
                <w:highlight w:val="none"/>
                <w:lang w:val="en-US" w:eastAsia="zh-CN"/>
              </w:rPr>
              <w:t xml:space="preserve">有统计功能，可统计曝光数量，拍摄部位，拍摄量等； </w:t>
            </w:r>
          </w:p>
          <w:p w14:paraId="5C7C365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2.5.17 根据设备需求安全拆除原医疗体检车安装的DR设备及测听室，对医疗体检车进行专业的装修及铅防护； </w:t>
            </w:r>
          </w:p>
          <w:p w14:paraId="1870E66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2.6装修要求：</w:t>
            </w:r>
          </w:p>
          <w:p w14:paraId="015463D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车辆改装所用原材料的环保标准完全符合国标标准的环保要求，相应材料的各项性能符合国家及行业标准符合设计规定；框架式隔断（方管骨架），封闭式独立空间，铅皮、装饰板与骨架矩形管整体固定，保证铅皮不下垂；</w:t>
            </w:r>
          </w:p>
          <w:p w14:paraId="6B14D61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2）外购器材、原材料选用符合国家标准、行业标准的产品，质量稳定，</w:t>
            </w:r>
            <w:r>
              <w:rPr>
                <w:rFonts w:hint="eastAsia" w:ascii="仿宋" w:hAnsi="仿宋" w:eastAsia="仿宋" w:cs="仿宋"/>
                <w:color w:val="auto"/>
                <w:sz w:val="24"/>
                <w:szCs w:val="24"/>
                <w:highlight w:val="none"/>
                <w:lang w:val="en-US" w:eastAsia="zh-CN"/>
              </w:rPr>
              <w:t>供货时</w:t>
            </w:r>
            <w:r>
              <w:rPr>
                <w:rFonts w:hint="eastAsia" w:ascii="仿宋" w:hAnsi="仿宋" w:eastAsia="仿宋" w:cs="仿宋"/>
                <w:color w:val="auto"/>
                <w:sz w:val="24"/>
                <w:highlight w:val="none"/>
                <w:lang w:val="en-US" w:eastAsia="zh-CN"/>
              </w:rPr>
              <w:t>提供质量检测报告或合格证；</w:t>
            </w:r>
          </w:p>
          <w:p w14:paraId="19C4653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3）隔断墙与原车骨架采用焊接，其刚性能满足车辆行进过程中适度冲击的要求；</w:t>
            </w:r>
          </w:p>
          <w:p w14:paraId="4C754EE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4）防辐射隔墙采用铅板，其防辐射效果符合GBZ 130标准，经有资质的放射卫生技术服务机构检测，并在车辆交付时提供检测合格报告（包括但不限于DR计量检定报告、辐射防护检测报告及预控评报告）；</w:t>
            </w:r>
          </w:p>
          <w:p w14:paraId="792D5D6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5）机房及操作区地板革更换；机房内饰更新；隔断采用高档铝塑板材质；</w:t>
            </w:r>
          </w:p>
          <w:p w14:paraId="5C7BCCB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6）电路改造，入户电缆线满足DR供电及整车负荷；</w:t>
            </w:r>
          </w:p>
          <w:p w14:paraId="3660D9C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7）外出体检，直接接220v正常用电，电源接入稳压设备，保证电源、电压稳定性，可靠性。</w:t>
            </w:r>
          </w:p>
          <w:p w14:paraId="75E4B9C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2.7机房防护要求：</w:t>
            </w:r>
          </w:p>
          <w:p w14:paraId="4B287AA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1）机房有用线束方向铅当量不低于3 mmPb，非有用线束方向铅当量不低于2 mmPb，底部不低于2 mmPb，顶部不低于 1mmPb，机房外30cm处的周围剂量当量率不大于2.5μSv/h。需要保证车辆载重量不超，能正常通过交管部门验收，保证车辆能正常行驶；</w:t>
            </w:r>
          </w:p>
          <w:p w14:paraId="20A90B7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2）两扇遥控电动滑移铅门，天地轨设计，长久使用不下坠，铅门防护铅板≥4mmPb。铅门外30cm处的周围剂量当量率不大于2.5μSv/h；</w:t>
            </w:r>
          </w:p>
          <w:p w14:paraId="4A2A4B0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3）铅玻璃尺寸不小于600×400×18mm，周边镶嵌压条，铅当量不低于3 mmPb，观察窗外30cm处的周围剂量当量率不大于2.5μSv/h；</w:t>
            </w:r>
          </w:p>
          <w:p w14:paraId="1891422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4）曝光警示灯牌亮时为红色警示，位于铅房门外正上方；</w:t>
            </w:r>
          </w:p>
          <w:p w14:paraId="6168573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5）摄像头安装，拍摄位置覆盖探测器立柱，便于观察到受检者状态及防护门开闭情况；</w:t>
            </w:r>
          </w:p>
          <w:p w14:paraId="130273D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6）紫外线消毒灯不低于 10w（带开关）安装固定；</w:t>
            </w:r>
          </w:p>
          <w:p w14:paraId="1D992CC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7）拥有空调系统，保障各区域温度；</w:t>
            </w:r>
          </w:p>
          <w:p w14:paraId="0739B51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8）配备双向语音对讲系统；</w:t>
            </w:r>
          </w:p>
          <w:p w14:paraId="72E2153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9）配备临时控制区边界上设立清晰可见的警告标志牌和电离辐射警告标志；</w:t>
            </w:r>
          </w:p>
          <w:p w14:paraId="40A8065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10）改造后，防护铅板加厚，加厚防护铅板厚之后，球管与平板距离要保证≥1800mm。</w:t>
            </w:r>
          </w:p>
          <w:p w14:paraId="12B635F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2.8测听室要求：</w:t>
            </w:r>
          </w:p>
          <w:p w14:paraId="1D8531F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1）隔音测听需符合：GB/T16296.1-2018、体检测听：2）GB7583的规定，当外部环境噪声≤55db时，测听室内本底噪声≤32db；</w:t>
            </w:r>
          </w:p>
          <w:p w14:paraId="742F6EE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3）空气质量满足：GB/T18883-2022；</w:t>
            </w:r>
          </w:p>
          <w:p w14:paraId="5B4FDB6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4）结构稳定性满足：GBT28046.3-2011道路车辆电气及电子设备环境条件试验第3部分机械负载稳定性测试；</w:t>
            </w:r>
          </w:p>
          <w:p w14:paraId="726A652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szCs w:val="24"/>
                <w:highlight w:val="none"/>
                <w:lang w:val="en-US" w:eastAsia="zh-CN"/>
              </w:rPr>
              <w:t>供货时</w:t>
            </w:r>
            <w:r>
              <w:rPr>
                <w:rFonts w:hint="eastAsia" w:ascii="仿宋" w:hAnsi="仿宋" w:eastAsia="仿宋" w:cs="仿宋"/>
                <w:color w:val="auto"/>
                <w:sz w:val="24"/>
                <w:highlight w:val="none"/>
                <w:lang w:val="en-US" w:eastAsia="zh-CN"/>
              </w:rPr>
              <w:t>提供中国科学计量院出具的产品隔音性能检测合格报告；</w:t>
            </w:r>
          </w:p>
          <w:p w14:paraId="646203B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6）防火等级为A级；</w:t>
            </w:r>
          </w:p>
          <w:p w14:paraId="5E22A44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7）测听室内部填充环保无异味、防火等级为B1级阻燃隔音材料，厚度50mm。钢板壳体可拆卸板式结构；</w:t>
            </w:r>
          </w:p>
          <w:p w14:paraId="6A26C77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8）单层隔音消声墙面,现场整体拼装，隔音室整体采用≥1.2mm优质冷轧钢板制作，门为≥1.5mm冷轧钢板；内层为多孔吸引板，板厚≥1.2mm；</w:t>
            </w:r>
          </w:p>
          <w:p w14:paraId="2E2CEE1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9）隔音室门现场可调配左右开门方向，双门磁吸密封，隔音量大于30分贝。窗户内置两层中空隔音钢化玻璃；</w:t>
            </w:r>
          </w:p>
          <w:p w14:paraId="2F00B96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10）整体喷塑处理；</w:t>
            </w:r>
          </w:p>
          <w:p w14:paraId="68CA6D6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11）独立通风消音系统；</w:t>
            </w:r>
          </w:p>
          <w:p w14:paraId="3253214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12）电测听仪气导耳机、骨导耳机、应答开关屏蔽转接器、屏蔽信号线、专用固定装置；</w:t>
            </w:r>
          </w:p>
          <w:p w14:paraId="30D99C9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13）电压：220+/-5V；</w:t>
            </w:r>
          </w:p>
          <w:p w14:paraId="6838A81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14）测听室照明度&gt;100LX；</w:t>
            </w:r>
          </w:p>
          <w:p w14:paraId="2E70C5B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15）光触媒技术材料, 内装鉓面为聚酯纤维吸音板；</w:t>
            </w:r>
          </w:p>
          <w:p w14:paraId="0D2B7EC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16）A计权环境声压级:操作室:&lt;55dB(A)；测听室:&lt;32dB(A)</w:t>
            </w:r>
          </w:p>
          <w:p w14:paraId="566B8F8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17）测听室尺寸：1000mm×900mm×1800mm；</w:t>
            </w:r>
          </w:p>
          <w:p w14:paraId="3FCCABA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▲2.9 投标产品的生产厂家具备DR、CT、DSA、MR和胃肠机的生产能力，保障售后服务能力(供货时提供</w:t>
            </w:r>
            <w:r>
              <w:rPr>
                <w:rFonts w:hint="eastAsia" w:ascii="仿宋" w:hAnsi="仿宋" w:eastAsia="仿宋" w:cs="仿宋"/>
                <w:color w:val="auto"/>
                <w:sz w:val="24"/>
                <w:szCs w:val="24"/>
                <w:highlight w:val="none"/>
                <w:lang w:val="en-US" w:eastAsia="zh-CN"/>
              </w:rPr>
              <w:t>相关</w:t>
            </w:r>
            <w:r>
              <w:rPr>
                <w:rFonts w:hint="eastAsia" w:ascii="仿宋" w:hAnsi="仿宋" w:eastAsia="仿宋" w:cs="仿宋"/>
                <w:color w:val="auto"/>
                <w:sz w:val="24"/>
                <w:highlight w:val="none"/>
                <w:lang w:val="en-US" w:eastAsia="zh-CN"/>
              </w:rPr>
              <w:t>证明材料)</w:t>
            </w:r>
          </w:p>
          <w:p w14:paraId="7DD3DF6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3.配置要求：</w:t>
            </w:r>
          </w:p>
          <w:p w14:paraId="4AAD50E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3.1、高频高压发生装置   一套</w:t>
            </w:r>
          </w:p>
          <w:p w14:paraId="0466F69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3.2、平板探测器  一套</w:t>
            </w:r>
          </w:p>
          <w:p w14:paraId="2E6A928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3.3、X射线管组件  一套</w:t>
            </w:r>
          </w:p>
          <w:p w14:paraId="0ED109C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3.4、限束器    一套</w:t>
            </w:r>
          </w:p>
          <w:p w14:paraId="3F900A4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3.5、立式摄影架   一套</w:t>
            </w:r>
          </w:p>
          <w:p w14:paraId="2C3A4A7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3.6、X射线源组件支柱   一套</w:t>
            </w:r>
          </w:p>
          <w:p w14:paraId="488AA24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3.7、图像采集系统   一套</w:t>
            </w:r>
          </w:p>
          <w:p w14:paraId="49C8EC0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3.8、工作站服务器   二套</w:t>
            </w:r>
          </w:p>
          <w:p w14:paraId="4B8E89A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3.9、显示终端    二套</w:t>
            </w:r>
          </w:p>
          <w:p w14:paraId="35A2236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3.10、双向对讲系统    一套</w:t>
            </w:r>
          </w:p>
          <w:p w14:paraId="28E9AF0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3.11、滤线栅   一套</w:t>
            </w:r>
          </w:p>
          <w:p w14:paraId="58CB6FC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3.12、高压电缆   一套</w:t>
            </w:r>
          </w:p>
          <w:p w14:paraId="617F8BC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3.13、测听室     一套</w:t>
            </w:r>
          </w:p>
        </w:tc>
        <w:tc>
          <w:tcPr>
            <w:tcW w:w="712" w:type="dxa"/>
            <w:tcBorders>
              <w:top w:val="single" w:color="auto" w:sz="4" w:space="0"/>
              <w:left w:val="single" w:color="auto" w:sz="4" w:space="0"/>
              <w:bottom w:val="single" w:color="auto" w:sz="4" w:space="0"/>
              <w:right w:val="single" w:color="auto" w:sz="4" w:space="0"/>
            </w:tcBorders>
            <w:vAlign w:val="center"/>
          </w:tcPr>
          <w:p w14:paraId="1D3A8E3E">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1</w:t>
            </w:r>
          </w:p>
        </w:tc>
        <w:tc>
          <w:tcPr>
            <w:tcW w:w="713" w:type="dxa"/>
            <w:tcBorders>
              <w:top w:val="single" w:color="auto" w:sz="4" w:space="0"/>
              <w:left w:val="single" w:color="auto" w:sz="4" w:space="0"/>
              <w:bottom w:val="single" w:color="auto" w:sz="4" w:space="0"/>
              <w:right w:val="single" w:color="auto" w:sz="4" w:space="0"/>
            </w:tcBorders>
            <w:vAlign w:val="center"/>
          </w:tcPr>
          <w:p w14:paraId="3C2D05FE">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套</w:t>
            </w:r>
          </w:p>
        </w:tc>
        <w:tc>
          <w:tcPr>
            <w:tcW w:w="1276" w:type="dxa"/>
            <w:tcBorders>
              <w:top w:val="single" w:color="auto" w:sz="4" w:space="0"/>
              <w:left w:val="single" w:color="auto" w:sz="4" w:space="0"/>
              <w:bottom w:val="single" w:color="auto" w:sz="4" w:space="0"/>
              <w:right w:val="single" w:color="auto" w:sz="4" w:space="0"/>
            </w:tcBorders>
            <w:vAlign w:val="center"/>
          </w:tcPr>
          <w:p w14:paraId="55D7EDFF">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198.00</w:t>
            </w:r>
          </w:p>
        </w:tc>
      </w:tr>
      <w:tr w14:paraId="3DC9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19E6C243">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3</w:t>
            </w:r>
          </w:p>
        </w:tc>
        <w:tc>
          <w:tcPr>
            <w:tcW w:w="992" w:type="dxa"/>
            <w:tcBorders>
              <w:top w:val="single" w:color="auto" w:sz="4" w:space="0"/>
              <w:left w:val="single" w:color="auto" w:sz="4" w:space="0"/>
              <w:bottom w:val="single" w:color="auto" w:sz="4" w:space="0"/>
              <w:right w:val="single" w:color="auto" w:sz="4" w:space="0"/>
            </w:tcBorders>
            <w:vAlign w:val="center"/>
          </w:tcPr>
          <w:p w14:paraId="6940FA38">
            <w:pPr>
              <w:spacing w:line="460" w:lineRule="exact"/>
              <w:jc w:val="center"/>
              <w:rPr>
                <w:rFonts w:hint="eastAsia" w:ascii="仿宋" w:hAnsi="仿宋" w:eastAsia="仿宋" w:cs="仿宋"/>
                <w:color w:val="auto"/>
                <w:sz w:val="24"/>
                <w:highlight w:val="none"/>
                <w:lang w:val="en-US" w:eastAsia="zh-CN"/>
              </w:rPr>
            </w:pPr>
            <w:r>
              <w:rPr>
                <w:rFonts w:hint="default" w:ascii="仿宋" w:hAnsi="仿宋" w:eastAsia="仿宋" w:cs="仿宋"/>
                <w:color w:val="auto"/>
                <w:sz w:val="24"/>
                <w:highlight w:val="none"/>
                <w:lang w:val="en-US" w:eastAsia="zh-CN"/>
              </w:rPr>
              <w:t>全自动病毒载量检测系统</w:t>
            </w:r>
          </w:p>
        </w:tc>
        <w:tc>
          <w:tcPr>
            <w:tcW w:w="5750" w:type="dxa"/>
            <w:gridSpan w:val="2"/>
            <w:tcBorders>
              <w:top w:val="single" w:color="auto" w:sz="4" w:space="0"/>
              <w:left w:val="single" w:color="auto" w:sz="4" w:space="0"/>
              <w:bottom w:val="single" w:color="auto" w:sz="4" w:space="0"/>
              <w:right w:val="single" w:color="auto" w:sz="4" w:space="0"/>
            </w:tcBorders>
            <w:vAlign w:val="center"/>
          </w:tcPr>
          <w:p w14:paraId="3599FBB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检测原理：全自动核酸磁珠提取、PCR反应液加样配制、扩增和实时荧光定量检测一体机 （</w:t>
            </w:r>
            <w:r>
              <w:rPr>
                <w:rFonts w:hint="eastAsia" w:ascii="仿宋" w:hAnsi="仿宋" w:eastAsia="仿宋" w:cs="仿宋"/>
                <w:color w:val="auto"/>
                <w:sz w:val="24"/>
                <w:highlight w:val="none"/>
                <w:lang w:val="en-US" w:eastAsia="zh-CN"/>
              </w:rPr>
              <w:t>提供全自动核酸提取及荧光PCR系统</w:t>
            </w:r>
            <w:r>
              <w:rPr>
                <w:rFonts w:hint="eastAsia" w:ascii="仿宋" w:hAnsi="仿宋" w:eastAsia="仿宋" w:cs="仿宋"/>
                <w:color w:val="auto"/>
                <w:sz w:val="24"/>
                <w:highlight w:val="none"/>
                <w:lang w:eastAsia="zh-CN"/>
              </w:rPr>
              <w:t>国家三类医疗器械注册证</w:t>
            </w:r>
            <w:r>
              <w:rPr>
                <w:rFonts w:hint="eastAsia" w:ascii="仿宋" w:hAnsi="仿宋" w:eastAsia="仿宋" w:cs="仿宋"/>
                <w:color w:val="auto"/>
                <w:sz w:val="24"/>
                <w:highlight w:val="none"/>
                <w:lang w:val="en-US" w:eastAsia="zh-CN"/>
              </w:rPr>
              <w:t>复印件并加盖投标人公章</w:t>
            </w:r>
            <w:r>
              <w:rPr>
                <w:rFonts w:hint="eastAsia" w:ascii="仿宋" w:hAnsi="仿宋" w:eastAsia="仿宋" w:cs="仿宋"/>
                <w:color w:val="auto"/>
                <w:sz w:val="24"/>
                <w:highlight w:val="none"/>
                <w:lang w:eastAsia="zh-CN"/>
              </w:rPr>
              <w:t>）；</w:t>
            </w:r>
          </w:p>
          <w:p w14:paraId="5D4DCEC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定量原理：采用具有核酸定量作用的内部标准品来进行病毒载量的定量，从而消除管间差异，精准定量；同时该内标也起到了监测整个样本前处理和PCR扩增步骤正常与否的作用；</w:t>
            </w:r>
          </w:p>
          <w:p w14:paraId="63D6D52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样本容量：单台设备可一次性上载样本≥96管；</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581CE60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样本管：原始采血管直接上机，无需转移至二级管，管径12-16mm，高度65-100mm；</w:t>
            </w:r>
          </w:p>
          <w:p w14:paraId="5F91305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5</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样本优先级：软件支持设置优先级载架与优先级检测项目（优先级高的样本将会在最早的批次被处理），系统自动识别；</w:t>
            </w:r>
          </w:p>
          <w:p w14:paraId="574992E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6</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无人值守：全自动样本制备、核酸扩增和检测，完全无需人工干预；</w:t>
            </w:r>
          </w:p>
          <w:p w14:paraId="2D89F3E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7</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检测通量：8小时≥140测试；</w:t>
            </w:r>
          </w:p>
          <w:p w14:paraId="7160027C">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8</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物料上载：样本、试剂与耗材均支持不停机上载，无需等待上一批检测结束后再进行上载；</w:t>
            </w:r>
          </w:p>
          <w:p w14:paraId="7E101AB5">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9</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具备LDT（实验室自建）功能：可用于实验室自主开发提取检测一体的标准化LDT项目；</w:t>
            </w:r>
          </w:p>
          <w:p w14:paraId="10C9A1DF">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10</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具有防污染和生物安全系统： UNG-dUTP或等效酶配对系统防产物污染；</w:t>
            </w:r>
          </w:p>
          <w:p w14:paraId="6AF8B07D">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11</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控制系统：内置服务器，一套系统可控制多套一体机检测系统；</w:t>
            </w:r>
          </w:p>
          <w:p w14:paraId="6C63060A">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12</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PCR模块：多个独立的PCR检测模块，可同时进行检测；</w:t>
            </w:r>
          </w:p>
          <w:p w14:paraId="56FB46B5">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13</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设备内置温控区域可存放试剂，不同检测项目的试剂可同时存放，设备根据检测需求自动调取；</w:t>
            </w:r>
          </w:p>
          <w:p w14:paraId="6F40E54F">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样本条码类型：可兼容多种条码类型，支持多种来源的标本；</w:t>
            </w:r>
          </w:p>
          <w:p w14:paraId="60BEB0C8">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15</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试剂配制：即开即用，无需任何试剂配制操作，直接加载运行；</w:t>
            </w:r>
          </w:p>
          <w:p w14:paraId="7157571C">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16</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配套试剂：HIV-1检测下限≤20 copies/mL，定量下限≤30 copies/mL；</w:t>
            </w:r>
          </w:p>
          <w:p w14:paraId="25030345">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▲17</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开展项目：系统可开展MTB、HBV、HCV、HIV等项目；</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5ADB0516">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18</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样品制备、核酸扩增和检测试剂均即开即用并配有条形码；</w:t>
            </w:r>
          </w:p>
          <w:p w14:paraId="47FE3CEC">
            <w:pPr>
              <w:keepNext w:val="0"/>
              <w:keepLines w:val="0"/>
              <w:pageBreakBefore w:val="0"/>
              <w:widowControl w:val="0"/>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▲19</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检测靶点：HIV基因型检测至少覆盖 M 型、N 型、O 型，检测的靶位点至少满足LTR、POL、GAG等中的两种；</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7260A5A2">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jc w:val="left"/>
              <w:textAlignment w:val="auto"/>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20.配置实验操作移动数据处理工作站×2，支持蓝牙，内存容量32GB及以上；硬盘容量1TB；尺寸</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14.2英寸。</w:t>
            </w:r>
          </w:p>
        </w:tc>
        <w:tc>
          <w:tcPr>
            <w:tcW w:w="712" w:type="dxa"/>
            <w:tcBorders>
              <w:top w:val="single" w:color="auto" w:sz="4" w:space="0"/>
              <w:left w:val="single" w:color="auto" w:sz="4" w:space="0"/>
              <w:bottom w:val="single" w:color="auto" w:sz="4" w:space="0"/>
              <w:right w:val="single" w:color="auto" w:sz="4" w:space="0"/>
            </w:tcBorders>
            <w:vAlign w:val="center"/>
          </w:tcPr>
          <w:p w14:paraId="583210AE">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1</w:t>
            </w:r>
          </w:p>
        </w:tc>
        <w:tc>
          <w:tcPr>
            <w:tcW w:w="713" w:type="dxa"/>
            <w:tcBorders>
              <w:top w:val="single" w:color="auto" w:sz="4" w:space="0"/>
              <w:left w:val="single" w:color="auto" w:sz="4" w:space="0"/>
              <w:bottom w:val="single" w:color="auto" w:sz="4" w:space="0"/>
              <w:right w:val="single" w:color="auto" w:sz="4" w:space="0"/>
            </w:tcBorders>
            <w:vAlign w:val="center"/>
          </w:tcPr>
          <w:p w14:paraId="127A36B4">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套</w:t>
            </w:r>
          </w:p>
        </w:tc>
        <w:tc>
          <w:tcPr>
            <w:tcW w:w="1276" w:type="dxa"/>
            <w:tcBorders>
              <w:top w:val="single" w:color="auto" w:sz="4" w:space="0"/>
              <w:left w:val="single" w:color="auto" w:sz="4" w:space="0"/>
              <w:bottom w:val="single" w:color="auto" w:sz="4" w:space="0"/>
              <w:right w:val="single" w:color="auto" w:sz="4" w:space="0"/>
            </w:tcBorders>
            <w:vAlign w:val="center"/>
          </w:tcPr>
          <w:p w14:paraId="3FF52CED">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100.00</w:t>
            </w:r>
          </w:p>
        </w:tc>
      </w:tr>
      <w:tr w14:paraId="5B8F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5D9E3BD2">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4</w:t>
            </w:r>
          </w:p>
        </w:tc>
        <w:tc>
          <w:tcPr>
            <w:tcW w:w="992" w:type="dxa"/>
            <w:tcBorders>
              <w:top w:val="single" w:color="auto" w:sz="4" w:space="0"/>
              <w:left w:val="single" w:color="auto" w:sz="4" w:space="0"/>
              <w:bottom w:val="single" w:color="auto" w:sz="4" w:space="0"/>
              <w:right w:val="single" w:color="auto" w:sz="4" w:space="0"/>
            </w:tcBorders>
            <w:vAlign w:val="center"/>
          </w:tcPr>
          <w:p w14:paraId="2497C564">
            <w:pPr>
              <w:spacing w:line="46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微生物分析系统</w:t>
            </w:r>
          </w:p>
        </w:tc>
        <w:tc>
          <w:tcPr>
            <w:tcW w:w="5750" w:type="dxa"/>
            <w:gridSpan w:val="2"/>
            <w:tcBorders>
              <w:top w:val="single" w:color="auto" w:sz="4" w:space="0"/>
              <w:left w:val="single" w:color="auto" w:sz="4" w:space="0"/>
              <w:bottom w:val="single" w:color="auto" w:sz="4" w:space="0"/>
              <w:right w:val="single" w:color="auto" w:sz="4" w:space="0"/>
            </w:tcBorders>
            <w:vAlign w:val="center"/>
          </w:tcPr>
          <w:p w14:paraId="2719E1B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设备（软件）的主要技术参数要求：</w:t>
            </w:r>
          </w:p>
          <w:p w14:paraId="7C0C27E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 xml:space="preserve">宏基因组分析模块支持开展基于二代和三代测序数据的宏基因组分析，16S分析，ITS分析以及比对鉴定分析，可在同一个分析界面中，实现此8项分析功能，便于系统性和简便性操作； </w:t>
            </w:r>
          </w:p>
          <w:p w14:paraId="5285059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eastAsia="zh-CN"/>
              </w:rPr>
              <w:t xml:space="preserve">宏基因组任务创建，支持用户自定义分析流程，通过勾选的方式，选择本次分析所需内容，重新组建新流程； </w:t>
            </w:r>
          </w:p>
          <w:p w14:paraId="3CCB437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 xml:space="preserve">软件内置宿主基因组可编辑数据库，用户可自主增加宿主基因组；软件同时提供477条宿主基因组连接数据库，支持用户搜索物种名称，并在软件内完成基因组下载，无需跳转第三方平台，简单快速获取目标基因组，实现高效去宿主宏基因组分析； </w:t>
            </w:r>
          </w:p>
          <w:p w14:paraId="06D1903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宏基因组可同时检测≥60000种物种信息条目，包括病毒&gt;30000种、细菌&gt;28000种、真菌&gt;5000种、寄生虫&gt;300种，可判定501种病原微生物危害程度等级；</w:t>
            </w:r>
          </w:p>
          <w:p w14:paraId="2889B12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 xml:space="preserve">宏基因组鉴定结果，可按不同物种类别汇总，至少需提供“古菌”、“细菌”、“真核生物”和“病毒”4大类物种汇总结果； </w:t>
            </w:r>
          </w:p>
          <w:p w14:paraId="4A3D0C5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宏基因组鉴定结果，至少可提供物种中文名、覆盖度、定值信息和致病性信息，软件支持下拉式选择【门纲目科属种】，展示</w:t>
            </w:r>
            <w:r>
              <w:rPr>
                <w:rFonts w:hint="eastAsia" w:ascii="仿宋" w:hAnsi="仿宋" w:eastAsia="仿宋" w:cs="仿宋"/>
                <w:color w:val="auto"/>
                <w:sz w:val="24"/>
                <w:highlight w:val="none"/>
                <w:lang w:val="en-US" w:eastAsia="zh-CN"/>
              </w:rPr>
              <w:t>不少于</w:t>
            </w:r>
            <w:r>
              <w:rPr>
                <w:rFonts w:hint="eastAsia" w:ascii="仿宋" w:hAnsi="仿宋" w:eastAsia="仿宋" w:cs="仿宋"/>
                <w:color w:val="auto"/>
                <w:sz w:val="24"/>
                <w:highlight w:val="none"/>
                <w:lang w:eastAsia="zh-CN"/>
              </w:rPr>
              <w:t>6种不同分类水平结果，以及下载对应水平物种的原始序列；</w:t>
            </w:r>
          </w:p>
          <w:p w14:paraId="44E12C8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lang w:eastAsia="zh-CN"/>
              </w:rPr>
              <w:t>软件内置</w:t>
            </w:r>
            <w:r>
              <w:rPr>
                <w:rFonts w:hint="eastAsia" w:ascii="仿宋" w:hAnsi="仿宋" w:eastAsia="仿宋" w:cs="仿宋"/>
                <w:color w:val="auto"/>
                <w:sz w:val="24"/>
                <w:highlight w:val="none"/>
                <w:lang w:val="en-US" w:eastAsia="zh-CN"/>
              </w:rPr>
              <w:t>不少于</w:t>
            </w:r>
            <w:r>
              <w:rPr>
                <w:rFonts w:hint="eastAsia" w:ascii="仿宋" w:hAnsi="仿宋" w:eastAsia="仿宋" w:cs="仿宋"/>
                <w:color w:val="auto"/>
                <w:sz w:val="24"/>
                <w:highlight w:val="none"/>
                <w:lang w:eastAsia="zh-CN"/>
              </w:rPr>
              <w:t>78000条高质量基因组，支持开展宏基因组数据覆盖度分析，提供</w:t>
            </w:r>
            <w:r>
              <w:rPr>
                <w:rFonts w:hint="eastAsia" w:ascii="仿宋" w:hAnsi="仿宋" w:eastAsia="仿宋" w:cs="仿宋"/>
                <w:color w:val="auto"/>
                <w:sz w:val="24"/>
                <w:highlight w:val="none"/>
                <w:lang w:val="en-US" w:eastAsia="zh-CN"/>
              </w:rPr>
              <w:t>不少于</w:t>
            </w:r>
            <w:r>
              <w:rPr>
                <w:rFonts w:hint="eastAsia" w:ascii="仿宋" w:hAnsi="仿宋" w:eastAsia="仿宋" w:cs="仿宋"/>
                <w:color w:val="auto"/>
                <w:sz w:val="24"/>
                <w:highlight w:val="none"/>
                <w:lang w:eastAsia="zh-CN"/>
              </w:rPr>
              <w:t>2种覆盖度分析方式：批量开展物种覆盖度分析，和指定单一物种开展覆盖度分析，结果可展示覆盖图，并提供1×，10×和30×三个测序深度的覆盖度；</w:t>
            </w:r>
          </w:p>
          <w:p w14:paraId="3883DEF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lang w:eastAsia="zh-CN"/>
              </w:rPr>
              <w:t>支持宏基因组数据开展单一物种的有参和无参全基因组组装分析，每个物种均可实现一键创建组装任务，无需单独下载reads，再进行组装；</w:t>
            </w:r>
          </w:p>
          <w:p w14:paraId="2BE9185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lang w:eastAsia="zh-CN"/>
              </w:rPr>
              <w:t>支持宏基因组数据开展blast分析，目标物种基于鉴定到的reads开展blast比较分析，允许用户自定义reads数量，结果可呈现支持序列数，同时支持查看每条reads的blast结果，提供taxid，blast条目数，是否支持鉴定结果，错配碱基数量等信息，进一步核实结果准确性;</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6D92CDE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lang w:eastAsia="zh-CN"/>
              </w:rPr>
              <w:t>支持用户自建病原核酸序列本地数据库，利用构建好的数据库，用户可选择blast和mapping两种序列比较方法进行物种鉴定；</w:t>
            </w:r>
          </w:p>
          <w:p w14:paraId="4CCB7A0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lang w:eastAsia="zh-CN"/>
              </w:rPr>
              <w:t>内置病毒呼吸道和肠道亚型数据库、FDA-RVDB以及FDA-AGROS数据库；</w:t>
            </w:r>
          </w:p>
          <w:p w14:paraId="33361EA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lang w:eastAsia="zh-CN"/>
              </w:rPr>
              <w:t>提供宏基因组科研分析模块，分析内容包括但不限于PFAM、COG、KEGG、GO、CAZy等功能注释，Alpha和Beta多样性分析，宏基因组组装分析，可基于congtig水平进行物种鉴定、耐药与毒力注释，组间差异比较图表提供二次调整美化功能；</w:t>
            </w:r>
          </w:p>
          <w:p w14:paraId="25A4B45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13.</w:t>
            </w:r>
            <w:r>
              <w:rPr>
                <w:rFonts w:hint="eastAsia" w:ascii="仿宋" w:hAnsi="仿宋" w:eastAsia="仿宋" w:cs="仿宋"/>
                <w:color w:val="auto"/>
                <w:sz w:val="24"/>
                <w:highlight w:val="none"/>
                <w:lang w:eastAsia="zh-CN"/>
              </w:rPr>
              <w:t>支持三代16s rDNA和ITS全长扩增子测序数据分析，提供物种鉴定结果表，同时基于物种相似度阈值，提供物种合并的鉴定结果表，通过提供两份鉴定结果表，可提升鉴定结果准确性；</w:t>
            </w:r>
          </w:p>
          <w:p w14:paraId="5DFE80E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lang w:eastAsia="zh-CN"/>
              </w:rPr>
              <w:t>支持二代16s rDNA和ITS区段扩增子测序数据分析，提供OTU表格、代表序列进化树、alpha指数表、稀释曲线和物种堆积图分析；</w:t>
            </w:r>
          </w:p>
          <w:p w14:paraId="54EA5C5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highlight w:val="none"/>
                <w:lang w:val="en-US" w:eastAsia="zh-CN"/>
              </w:rPr>
              <w:t>15.软件制造商</w:t>
            </w:r>
            <w:r>
              <w:rPr>
                <w:rFonts w:hint="eastAsia" w:ascii="仿宋" w:hAnsi="仿宋" w:eastAsia="仿宋" w:cs="仿宋"/>
                <w:color w:val="auto"/>
                <w:sz w:val="24"/>
                <w:highlight w:val="none"/>
                <w:lang w:eastAsia="zh-CN"/>
              </w:rPr>
              <w:t>需具有与生信分析系统同品牌的病原微生物全基因组捕获建库试剂盒≥40款，可实现通过引物数据库精准高效去除引物序列，获取准确的病原全基因组序列。同时试剂盒要求可以适配本单位Miseq测序平台</w:t>
            </w:r>
            <w:r>
              <w:rPr>
                <w:rFonts w:hint="eastAsia" w:ascii="仿宋" w:hAnsi="仿宋" w:eastAsia="仿宋" w:cs="仿宋"/>
                <w:color w:val="auto"/>
                <w:sz w:val="24"/>
                <w:szCs w:val="24"/>
                <w:highlight w:val="none"/>
                <w:lang w:val="en-US" w:eastAsia="zh-CN"/>
              </w:rPr>
              <w:t>（需提供≥40款同品牌试剂盒说明书）</w:t>
            </w:r>
          </w:p>
          <w:p w14:paraId="06FD1C8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16.</w:t>
            </w:r>
            <w:r>
              <w:rPr>
                <w:rFonts w:hint="eastAsia" w:ascii="仿宋" w:hAnsi="仿宋" w:eastAsia="仿宋" w:cs="仿宋"/>
                <w:color w:val="auto"/>
                <w:sz w:val="24"/>
                <w:highlight w:val="none"/>
                <w:lang w:eastAsia="zh-CN"/>
              </w:rPr>
              <w:t>提供16s科研分析模块，支持组间差异比较分析，提供优势物种分析，样本间距离分析， Anosim分析，Adnois分析和多样本共有物种分析，其中优势物种分析结果需提供不少于3种可视化展示形式，便于直观理解；结果图表支持界面侧边栏参数调整，实现二次分析，操作方便简单；</w:t>
            </w:r>
          </w:p>
          <w:p w14:paraId="283D5CD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17.</w:t>
            </w:r>
            <w:r>
              <w:rPr>
                <w:rFonts w:hint="eastAsia" w:ascii="仿宋" w:hAnsi="仿宋" w:eastAsia="仿宋" w:cs="仿宋"/>
                <w:color w:val="auto"/>
                <w:sz w:val="24"/>
                <w:highlight w:val="none"/>
                <w:lang w:eastAsia="zh-CN"/>
              </w:rPr>
              <w:t>提供tNGS分析模块，支持不少于三种tNGS分析方案，至少包含呼吸道、肠道和分枝杆菌方案，鉴定结果中每个物种需提供置信度和总映射分数，协助判断物种准确性。同时软件制造商需能提供与软件相同品牌的呼吸道、肠道和分枝杆菌tNGS试剂盒，确保软件的最佳分析性能。</w:t>
            </w:r>
          </w:p>
          <w:p w14:paraId="7C3F045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18.</w:t>
            </w:r>
            <w:r>
              <w:rPr>
                <w:rFonts w:hint="eastAsia" w:ascii="仿宋" w:hAnsi="仿宋" w:eastAsia="仿宋" w:cs="仿宋"/>
                <w:color w:val="auto"/>
                <w:sz w:val="24"/>
                <w:highlight w:val="none"/>
                <w:lang w:eastAsia="zh-CN"/>
              </w:rPr>
              <w:t>支持细菌开展全基因组测序数据分析，任务创建界面，用户可通过下拉栏，自行选择物种，任务创建界面可显示具体分析物种中文名；</w:t>
            </w:r>
          </w:p>
          <w:p w14:paraId="02C0520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19.</w:t>
            </w:r>
            <w:r>
              <w:rPr>
                <w:rFonts w:hint="eastAsia" w:ascii="仿宋" w:hAnsi="仿宋" w:eastAsia="仿宋" w:cs="仿宋"/>
                <w:color w:val="auto"/>
                <w:sz w:val="24"/>
                <w:highlight w:val="none"/>
                <w:lang w:eastAsia="zh-CN"/>
              </w:rPr>
              <w:t>细菌基因组分析任务创建，可使用快速分析模式，定向分析数据，系统提供不少于8项分析内容，用户可任意组合，勾选本次分析所需内容，组建新流程，节约分析时间；已完成分析任务，可在结果界面，勾选未分析内容，继续分析，灵活高效；</w:t>
            </w:r>
          </w:p>
          <w:p w14:paraId="1C20E246">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20.</w:t>
            </w:r>
            <w:r>
              <w:rPr>
                <w:rFonts w:hint="eastAsia" w:ascii="仿宋" w:hAnsi="仿宋" w:eastAsia="仿宋" w:cs="仿宋"/>
                <w:color w:val="auto"/>
                <w:sz w:val="24"/>
                <w:highlight w:val="none"/>
                <w:lang w:eastAsia="zh-CN"/>
              </w:rPr>
              <w:t>细菌全基因组组装方法，支持无参、有参和二+三混合组装3种方法，三代无参组装提供不少于5款软件，至少包含flye、canu和unicycler，可支持调整抛光次数，满足不同组装条件需求。组装结果提供：contig成环信息，质粒分型信息，contig和scaffolds数量信息；可通过勾选，下载目的contig信息；组装可视化结果提供基因注释环形图和功能注释环形图；</w:t>
            </w:r>
          </w:p>
          <w:p w14:paraId="00E4F37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21.</w:t>
            </w:r>
            <w:r>
              <w:rPr>
                <w:rFonts w:hint="eastAsia" w:ascii="仿宋" w:hAnsi="仿宋" w:eastAsia="仿宋" w:cs="仿宋"/>
                <w:color w:val="auto"/>
                <w:sz w:val="24"/>
                <w:highlight w:val="none"/>
                <w:lang w:eastAsia="zh-CN"/>
              </w:rPr>
              <w:t>支持用户每种细菌自建基因组本地可编辑数据库，支持自建数据库导入本地公共数据库，用于本地溯源分析；软件支持3种一致性序列生成方式：核心snp、核心基因以及kmer，可基于MLST、cgMLST和wgSNP的群体分析结果表，分别构建最小生成树、系统进化树、距离热图和SNP距离分布图；</w:t>
            </w:r>
          </w:p>
          <w:p w14:paraId="67032D7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22.</w:t>
            </w:r>
            <w:r>
              <w:rPr>
                <w:rFonts w:hint="eastAsia" w:ascii="仿宋" w:hAnsi="仿宋" w:eastAsia="仿宋" w:cs="仿宋"/>
                <w:color w:val="auto"/>
                <w:sz w:val="24"/>
                <w:highlight w:val="none"/>
                <w:lang w:eastAsia="zh-CN"/>
              </w:rPr>
              <w:t>提供</w:t>
            </w:r>
            <w:r>
              <w:rPr>
                <w:rFonts w:hint="eastAsia" w:ascii="仿宋" w:hAnsi="仿宋" w:eastAsia="仿宋" w:cs="仿宋"/>
                <w:color w:val="auto"/>
                <w:sz w:val="24"/>
                <w:highlight w:val="none"/>
                <w:lang w:val="en-US" w:eastAsia="zh-CN"/>
              </w:rPr>
              <w:t>不少于</w:t>
            </w:r>
            <w:r>
              <w:rPr>
                <w:rFonts w:hint="eastAsia" w:ascii="仿宋" w:hAnsi="仿宋" w:eastAsia="仿宋" w:cs="仿宋"/>
                <w:color w:val="auto"/>
                <w:sz w:val="24"/>
                <w:highlight w:val="none"/>
                <w:lang w:eastAsia="zh-CN"/>
              </w:rPr>
              <w:t>110种细菌cgMLST分型体系，提供cgMLST体系开发平台，支持用户基于不同的细菌基因组数据库，开发新的cgMLST分型体系，可与自建基因组数据库联动，同时满足监测和科研需求；</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7013AD6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23.</w:t>
            </w:r>
            <w:r>
              <w:rPr>
                <w:rFonts w:hint="eastAsia" w:ascii="仿宋" w:hAnsi="仿宋" w:eastAsia="仿宋" w:cs="仿宋"/>
                <w:color w:val="auto"/>
                <w:sz w:val="24"/>
                <w:highlight w:val="none"/>
                <w:lang w:eastAsia="zh-CN"/>
              </w:rPr>
              <w:t>支持霍乱、沙门、志贺、大肠、单增李斯特、副溶血弧菌等致病菌开展分子血清型分析，提供O抗原、H1相抗原、H2相抗原、血清型、血清型注释信息等结果；支持布鲁氏菌多位点VNTR分析，金葡特征基因注释，脑膜炎奈瑟菌亚型鉴定，芽孢杆菌亚群鉴定和肺克多种分型。</w:t>
            </w:r>
          </w:p>
          <w:p w14:paraId="37B43A5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24.</w:t>
            </w:r>
            <w:r>
              <w:rPr>
                <w:rFonts w:hint="eastAsia" w:ascii="仿宋" w:hAnsi="仿宋" w:eastAsia="仿宋" w:cs="仿宋"/>
                <w:color w:val="auto"/>
                <w:sz w:val="24"/>
                <w:highlight w:val="none"/>
                <w:lang w:eastAsia="zh-CN"/>
              </w:rPr>
              <w:t xml:space="preserve">细菌基因组分析界面需提供独立的“demo”功能模块，至少需包含“创建三代有参组装”、“创建三代无参组装”、“创建二代有参组装”、“创建二代无参组装”、“二+三混合组装”、“基因注释”、“溯源分析”7种任务，实现一键创建，无需任何参数选择及数据导入，便于软件bug分析，以及结果展示； </w:t>
            </w:r>
          </w:p>
          <w:p w14:paraId="23514E6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25.</w:t>
            </w:r>
            <w:r>
              <w:rPr>
                <w:rFonts w:hint="eastAsia" w:ascii="仿宋" w:hAnsi="仿宋" w:eastAsia="仿宋" w:cs="仿宋"/>
                <w:color w:val="auto"/>
                <w:sz w:val="24"/>
                <w:highlight w:val="none"/>
                <w:lang w:eastAsia="zh-CN"/>
              </w:rPr>
              <w:t>内置可编辑参考基因组数据库，数据库字段不少于11个，至少需包含物种名称、中文名、NCBI编号、TaxID、基因组大小、分类信息、组装水平、致病性和危害程度等级；每个字段支持升降序，以及模糊搜索和精确搜索，便于快速精准选择目的参考基因组；数据库覆盖不少于4.8万种物种，包含不少于12万个参考基因组，允许用户以图形界面方式，导入新的参考基因组。</w:t>
            </w:r>
          </w:p>
          <w:p w14:paraId="7C9D1E5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26.</w:t>
            </w:r>
            <w:r>
              <w:rPr>
                <w:rFonts w:hint="eastAsia" w:ascii="仿宋" w:hAnsi="仿宋" w:eastAsia="仿宋" w:cs="仿宋"/>
                <w:color w:val="auto"/>
                <w:sz w:val="24"/>
                <w:highlight w:val="none"/>
                <w:lang w:eastAsia="zh-CN"/>
              </w:rPr>
              <w:t>内置自动定位基因组浏览器，支持可视化验证位点突变真实性与模式，同时与突变位点表建立联动机制，实现一键定位，无需手动输入突变位点位置；</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09697AB7">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27.</w:t>
            </w:r>
            <w:r>
              <w:rPr>
                <w:rFonts w:hint="eastAsia" w:ascii="仿宋" w:hAnsi="仿宋" w:eastAsia="仿宋" w:cs="仿宋"/>
                <w:color w:val="auto"/>
                <w:sz w:val="24"/>
                <w:highlight w:val="none"/>
                <w:lang w:eastAsia="zh-CN"/>
              </w:rPr>
              <w:t>支持开展tNGS物种鉴定分析，每个物种鉴定结果需提供置信度和总映射分数，协助判断物种准确性；</w:t>
            </w:r>
          </w:p>
          <w:p w14:paraId="4179CBB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28.</w:t>
            </w:r>
            <w:r>
              <w:rPr>
                <w:rFonts w:hint="eastAsia" w:ascii="仿宋" w:hAnsi="仿宋" w:eastAsia="仿宋" w:cs="仿宋"/>
                <w:color w:val="auto"/>
                <w:sz w:val="24"/>
                <w:highlight w:val="none"/>
                <w:lang w:eastAsia="zh-CN"/>
              </w:rPr>
              <w:t xml:space="preserve">支持二代（illumina、真迈、圣湘、华大、ion torrent）和三代（Nanopore、Pacbio、普译、今是）测序下机数据的分析，允许pod5，fast5，fastq，barcode fastq以及对应压缩包等多种数据格式直接导入一键分析，无需额外处理；同时支持fasta格式数据一键分析。； </w:t>
            </w:r>
          </w:p>
          <w:p w14:paraId="6A038E0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29.</w:t>
            </w:r>
            <w:r>
              <w:rPr>
                <w:rFonts w:hint="eastAsia" w:ascii="仿宋" w:hAnsi="仿宋" w:eastAsia="仿宋" w:cs="仿宋"/>
                <w:color w:val="auto"/>
                <w:sz w:val="24"/>
                <w:highlight w:val="none"/>
                <w:lang w:eastAsia="zh-CN"/>
              </w:rPr>
              <w:t>分析任务创建，支持</w:t>
            </w:r>
            <w:r>
              <w:rPr>
                <w:rFonts w:hint="eastAsia" w:ascii="仿宋" w:hAnsi="仿宋" w:eastAsia="仿宋" w:cs="仿宋"/>
                <w:color w:val="auto"/>
                <w:sz w:val="24"/>
                <w:highlight w:val="none"/>
                <w:lang w:val="en-US" w:eastAsia="zh-CN"/>
              </w:rPr>
              <w:t>不少于</w:t>
            </w:r>
            <w:r>
              <w:rPr>
                <w:rFonts w:hint="eastAsia" w:ascii="仿宋" w:hAnsi="仿宋" w:eastAsia="仿宋" w:cs="仿宋"/>
                <w:color w:val="auto"/>
                <w:sz w:val="24"/>
                <w:highlight w:val="none"/>
                <w:lang w:eastAsia="zh-CN"/>
              </w:rPr>
              <w:t>3种创建方式：可直接通过文件夹批量上传数据创建任务，也可通过txt文档批量上传数据创建任务，也可每份样本单独上传数据创建任务，满足不同用户的使用需求；</w:t>
            </w:r>
          </w:p>
          <w:p w14:paraId="4B846B5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lang w:eastAsia="zh-CN"/>
              </w:rPr>
              <w:t>分析任务创建界面，测序数据上传后，支持每份样本名称编辑功能，便于名称格式统一；</w:t>
            </w:r>
          </w:p>
          <w:p w14:paraId="01450E7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31.</w:t>
            </w:r>
            <w:r>
              <w:rPr>
                <w:rFonts w:hint="eastAsia" w:ascii="仿宋" w:hAnsi="仿宋" w:eastAsia="仿宋" w:cs="仿宋"/>
                <w:color w:val="auto"/>
                <w:sz w:val="24"/>
                <w:highlight w:val="none"/>
                <w:lang w:eastAsia="zh-CN"/>
              </w:rPr>
              <w:t>提供样本管理系统，支持菌毒株原始测序数据和拼接后数据的管理编辑功能，允许单样本和批量样本导入、增加、删减、修改信息；允许对列进行排序、筛选，以及自定义添加列信息；允许对整个数据管理表格进行模糊查询和精准查询；允许表格列宽调整；支持定义数据形式：可以类型包括日期类型，固定列表，自定义输入类型，数值限制范围类型；支持数据快速上传/下载；样本数据和分析结果相互关联，数据分析结束后，分析结果可自动回填管理系统；</w:t>
            </w:r>
          </w:p>
          <w:p w14:paraId="223166A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w:t>
            </w:r>
            <w:r>
              <w:rPr>
                <w:rFonts w:hint="eastAsia" w:ascii="仿宋" w:hAnsi="仿宋" w:eastAsia="仿宋" w:cs="仿宋"/>
                <w:color w:val="auto"/>
                <w:sz w:val="24"/>
                <w:highlight w:val="none"/>
                <w:lang w:eastAsia="zh-CN"/>
              </w:rPr>
              <w:t>支持大数据可视化，基于可编辑数据库，允许对信息按照周，月，年进行统计和可视化展示；允许自定义数据展示形式：饼图、条形图、折线图、地图、扇形图、文字描述；允许随时切换展示的内容与形式；</w:t>
            </w:r>
          </w:p>
          <w:p w14:paraId="382A001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33.</w:t>
            </w:r>
            <w:r>
              <w:rPr>
                <w:rFonts w:hint="eastAsia" w:ascii="仿宋" w:hAnsi="仿宋" w:eastAsia="仿宋" w:cs="仿宋"/>
                <w:color w:val="auto"/>
                <w:sz w:val="24"/>
                <w:highlight w:val="none"/>
                <w:lang w:eastAsia="zh-CN"/>
              </w:rPr>
              <w:t>支持病原数据监测与预警，提供毒株/菌株基因组检出率，毒株/菌株地理分布地图，和不同毒株/菌株构成比；提供“聚集性预警”，参数可个性化调整；提供“关键物种预警”，可个性化预设病原体；提供其他预警信息定制功能，比如耐药基因、毒力基因、关键性位点等；</w:t>
            </w:r>
          </w:p>
          <w:p w14:paraId="2E8D3E2C">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34.</w:t>
            </w:r>
            <w:r>
              <w:rPr>
                <w:rFonts w:hint="eastAsia" w:ascii="仿宋" w:hAnsi="仿宋" w:eastAsia="仿宋" w:cs="仿宋"/>
                <w:color w:val="auto"/>
                <w:sz w:val="24"/>
                <w:highlight w:val="none"/>
                <w:lang w:eastAsia="zh-CN"/>
              </w:rPr>
              <w:t>提供用户管理系统，支持用户角色管理，管理员可创建不同用户角色，并对其访问内容、访问时间、增删改查等权限进行管理；</w:t>
            </w:r>
          </w:p>
          <w:p w14:paraId="4084825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35.</w:t>
            </w:r>
            <w:r>
              <w:rPr>
                <w:rFonts w:hint="eastAsia" w:ascii="仿宋" w:hAnsi="仿宋" w:eastAsia="仿宋" w:cs="仿宋"/>
                <w:color w:val="auto"/>
                <w:sz w:val="24"/>
                <w:highlight w:val="none"/>
                <w:lang w:eastAsia="zh-CN"/>
              </w:rPr>
              <w:t>一个服务器主机允许多个用户端电脑同时访问使用，且相互不干扰，用户端电脑访问形式：使用分析系统的同品牌远程访问APP，通过局域网访问，用户端电脑系统支持liunx系统、windows系统和MAC系统，保证数据安全性及使用便利性；</w:t>
            </w:r>
          </w:p>
          <w:p w14:paraId="1865169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36.</w:t>
            </w:r>
            <w:r>
              <w:rPr>
                <w:rFonts w:hint="eastAsia" w:ascii="仿宋" w:hAnsi="仿宋" w:eastAsia="仿宋" w:cs="仿宋"/>
                <w:color w:val="auto"/>
                <w:sz w:val="24"/>
                <w:highlight w:val="none"/>
                <w:lang w:eastAsia="zh-CN"/>
              </w:rPr>
              <w:t>支持用户一键升级分析系统，提供两种升级操作方式：离线更新和在线更新，无需制造商技术远程命令行操作，实现简单高效升级；</w:t>
            </w:r>
          </w:p>
          <w:p w14:paraId="3E7EC86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37.</w:t>
            </w:r>
            <w:r>
              <w:rPr>
                <w:rFonts w:hint="eastAsia" w:ascii="仿宋" w:hAnsi="仿宋" w:eastAsia="仿宋" w:cs="仿宋"/>
                <w:color w:val="auto"/>
                <w:sz w:val="24"/>
                <w:highlight w:val="none"/>
                <w:lang w:eastAsia="zh-CN"/>
              </w:rPr>
              <w:t xml:space="preserve">提供不少于15个生信工具，至少包含fast5转fastq（3种转换模式：SUP、HAC、FAST）、自定义barcode拆分、接头和barcode序列去除、fastq/fasta相互转换、序列合并与拆分、序列转换、序列挑选、序列条件过滤、bed位置提取、比对位置分析、以及linux与windows格式转换功能，每种功能均有独立界面，以图形界面形式实现； </w:t>
            </w:r>
          </w:p>
          <w:p w14:paraId="6B14E46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38.</w:t>
            </w:r>
            <w:r>
              <w:rPr>
                <w:rFonts w:hint="eastAsia" w:ascii="仿宋" w:hAnsi="仿宋" w:eastAsia="仿宋" w:cs="仿宋"/>
                <w:color w:val="auto"/>
                <w:sz w:val="24"/>
                <w:highlight w:val="none"/>
                <w:lang w:eastAsia="zh-CN"/>
              </w:rPr>
              <w:t>提供本地化终身版系统发育树美化功能模块，实现树的形式，颜色，注释等自定义设置，美化结果可存储，二次登录可持续美化；仅需上传nwk文件和meta文件，即可启动美化功能，软件自动识别meta文件内容，可通过下拉选项增加注释信息。</w:t>
            </w:r>
            <w:r>
              <w:rPr>
                <w:rFonts w:hint="eastAsia" w:ascii="仿宋" w:hAnsi="仿宋" w:eastAsia="仿宋" w:cs="仿宋"/>
                <w:color w:val="auto"/>
                <w:sz w:val="24"/>
                <w:szCs w:val="24"/>
                <w:highlight w:val="none"/>
                <w:lang w:val="en-US" w:eastAsia="zh-CN"/>
              </w:rPr>
              <w:t>（仪器装机验收时，成交供应商必须向采购人在验收现场提供满足本项技术要求的实际证明，否则采购人不予以验收）</w:t>
            </w:r>
          </w:p>
          <w:p w14:paraId="12D4ED2A">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39.</w:t>
            </w:r>
            <w:r>
              <w:rPr>
                <w:rFonts w:hint="eastAsia" w:ascii="仿宋" w:hAnsi="仿宋" w:eastAsia="仿宋" w:cs="仿宋"/>
                <w:color w:val="auto"/>
                <w:sz w:val="24"/>
                <w:highlight w:val="none"/>
                <w:lang w:eastAsia="zh-CN"/>
              </w:rPr>
              <w:t>生信分析系统安装部署环境要求基于开源linux操作系统，如华为EulerOS、统信UOS、乌班图（Ubuntu）、中标麒麟等，并支持操作系统的版本更新和安全维护升级等。</w:t>
            </w:r>
          </w:p>
          <w:p w14:paraId="6A669882">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40.</w:t>
            </w:r>
            <w:r>
              <w:rPr>
                <w:rFonts w:hint="eastAsia" w:ascii="仿宋" w:hAnsi="仿宋" w:eastAsia="仿宋" w:cs="仿宋"/>
                <w:color w:val="auto"/>
                <w:sz w:val="24"/>
                <w:highlight w:val="none"/>
                <w:lang w:eastAsia="zh-CN"/>
              </w:rPr>
              <w:t>提供人类腺病毒、人类合胞病毒、诺如病毒、新型布尼亚病毒、登革热病毒、基孔肯亚病毒、偏肺病毒、副流感病毒、鼻病毒、黄热病毒、寨卡病毒、非洲猪瘟病毒等30种以上常见病毒全基因组数据分析，每种病毒在任务创建时可展示病毒名称，确保每种病毒分析独特性</w:t>
            </w:r>
            <w:r>
              <w:rPr>
                <w:rFonts w:hint="eastAsia" w:ascii="仿宋" w:hAnsi="仿宋" w:eastAsia="仿宋" w:cs="仿宋"/>
                <w:color w:val="auto"/>
                <w:sz w:val="24"/>
                <w:szCs w:val="24"/>
                <w:highlight w:val="none"/>
                <w:lang w:val="en-US" w:eastAsia="zh-CN"/>
              </w:rPr>
              <w:t>（需提供能满足30种以上常见病毒全基因组数据分析功能截图证明）</w:t>
            </w:r>
          </w:p>
          <w:p w14:paraId="7203D58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41.</w:t>
            </w:r>
            <w:r>
              <w:rPr>
                <w:rFonts w:hint="eastAsia" w:ascii="仿宋" w:hAnsi="仿宋" w:eastAsia="仿宋" w:cs="仿宋"/>
                <w:color w:val="auto"/>
                <w:sz w:val="24"/>
                <w:highlight w:val="none"/>
                <w:lang w:eastAsia="zh-CN"/>
              </w:rPr>
              <w:t>内置每种病毒公共基因组数据库和本地自建数据库，提供群体比较分析，结果展示变异比较列表、进化热图、系统进化树和最小生成树</w:t>
            </w:r>
            <w:r>
              <w:rPr>
                <w:rFonts w:hint="eastAsia" w:ascii="仿宋" w:hAnsi="仿宋" w:eastAsia="仿宋" w:cs="仿宋"/>
                <w:color w:val="auto"/>
                <w:sz w:val="24"/>
                <w:szCs w:val="24"/>
                <w:highlight w:val="none"/>
                <w:lang w:val="en-US" w:eastAsia="zh-CN"/>
              </w:rPr>
              <w:t>（提供满足变异比较列表、进化热图、系统进化树和最小生成树功能截图证明）</w:t>
            </w:r>
          </w:p>
          <w:p w14:paraId="7F6C045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42.数据处理终端：一套；</w:t>
            </w:r>
          </w:p>
          <w:p w14:paraId="72CF448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43.冻存管标签输出终端：</w:t>
            </w:r>
          </w:p>
          <w:p w14:paraId="7F4504EE">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eastAsia="zh-CN"/>
              </w:rPr>
              <w:t>用于冻存管标签的</w:t>
            </w:r>
            <w:r>
              <w:rPr>
                <w:rFonts w:hint="eastAsia" w:ascii="仿宋" w:hAnsi="仿宋" w:eastAsia="仿宋" w:cs="仿宋"/>
                <w:color w:val="auto"/>
                <w:sz w:val="24"/>
                <w:highlight w:val="none"/>
                <w:lang w:val="en-US" w:eastAsia="zh-CN"/>
              </w:rPr>
              <w:t>印制</w:t>
            </w:r>
            <w:r>
              <w:rPr>
                <w:rFonts w:hint="eastAsia" w:ascii="仿宋" w:hAnsi="仿宋" w:eastAsia="仿宋" w:cs="仿宋"/>
                <w:color w:val="auto"/>
                <w:sz w:val="24"/>
                <w:highlight w:val="none"/>
                <w:lang w:eastAsia="zh-CN"/>
              </w:rPr>
              <w:t>，适配耐液氮 (-196℃) 存储的标签和碳带；</w:t>
            </w:r>
          </w:p>
          <w:p w14:paraId="6F00BD2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2）印制</w:t>
            </w:r>
            <w:r>
              <w:rPr>
                <w:rFonts w:hint="eastAsia" w:ascii="仿宋" w:hAnsi="仿宋" w:eastAsia="仿宋" w:cs="仿宋"/>
                <w:color w:val="auto"/>
                <w:sz w:val="24"/>
                <w:highlight w:val="none"/>
                <w:lang w:eastAsia="zh-CN"/>
              </w:rPr>
              <w:t>方式：热转印；</w:t>
            </w:r>
          </w:p>
          <w:p w14:paraId="3372F14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lang w:eastAsia="zh-CN"/>
              </w:rPr>
              <w:t>显示屏：≥4.5</w:t>
            </w:r>
            <w:r>
              <w:rPr>
                <w:rFonts w:hint="eastAsia" w:ascii="仿宋" w:hAnsi="仿宋" w:eastAsia="仿宋" w:cs="仿宋"/>
                <w:color w:val="auto"/>
                <w:sz w:val="24"/>
                <w:highlight w:val="none"/>
                <w:lang w:val="en-US" w:eastAsia="zh-CN"/>
              </w:rPr>
              <w:t>英</w:t>
            </w:r>
            <w:r>
              <w:rPr>
                <w:rFonts w:hint="eastAsia" w:ascii="仿宋" w:hAnsi="仿宋" w:eastAsia="仿宋" w:cs="仿宋"/>
                <w:color w:val="auto"/>
                <w:sz w:val="24"/>
                <w:highlight w:val="none"/>
                <w:lang w:eastAsia="zh-CN"/>
              </w:rPr>
              <w:t>寸触控屏，可在</w:t>
            </w:r>
            <w:r>
              <w:rPr>
                <w:rFonts w:hint="eastAsia" w:ascii="仿宋" w:hAnsi="仿宋" w:eastAsia="仿宋" w:cs="仿宋"/>
                <w:color w:val="auto"/>
                <w:sz w:val="24"/>
                <w:highlight w:val="none"/>
                <w:lang w:val="en-US" w:eastAsia="zh-CN"/>
              </w:rPr>
              <w:t>输出终端</w:t>
            </w:r>
            <w:r>
              <w:rPr>
                <w:rFonts w:hint="eastAsia" w:ascii="仿宋" w:hAnsi="仿宋" w:eastAsia="仿宋" w:cs="仿宋"/>
                <w:color w:val="auto"/>
                <w:sz w:val="24"/>
                <w:highlight w:val="none"/>
                <w:lang w:eastAsia="zh-CN"/>
              </w:rPr>
              <w:t>上直接构建应用，操作直观便捷；</w:t>
            </w:r>
          </w:p>
          <w:p w14:paraId="1EF88C0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打印分辦率：≥300 dpi；</w:t>
            </w:r>
          </w:p>
          <w:p w14:paraId="432102A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最大打印速度：≥200mm/秒；</w:t>
            </w:r>
          </w:p>
          <w:p w14:paraId="583750AF">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最大打印长度：≥5000mm；</w:t>
            </w:r>
          </w:p>
          <w:p w14:paraId="3F522D6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lang w:eastAsia="zh-CN"/>
              </w:rPr>
              <w:t>最大打印宽度：≥105mm；</w:t>
            </w:r>
          </w:p>
          <w:p w14:paraId="3FFEDE1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lang w:eastAsia="zh-CN"/>
              </w:rPr>
              <w:t>处理器：64位、主频≥1.8GHz；</w:t>
            </w:r>
          </w:p>
          <w:p w14:paraId="31CC5DB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lang w:eastAsia="zh-CN"/>
              </w:rPr>
              <w:t>内存（RAM）：≥2G；</w:t>
            </w:r>
          </w:p>
          <w:p w14:paraId="6E01C2E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lang w:eastAsia="zh-CN"/>
              </w:rPr>
              <w:t>接口：RS-232串口、10/100/1000 Mbps以太网口、USB 2.0；</w:t>
            </w:r>
          </w:p>
          <w:p w14:paraId="36FFD8D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lang w:eastAsia="zh-CN"/>
              </w:rPr>
              <w:t>无线通讯功能：WiFi、蓝牙5.0；</w:t>
            </w:r>
          </w:p>
          <w:p w14:paraId="39B06F2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lang w:eastAsia="zh-CN"/>
              </w:rPr>
              <w:t>具有纸张、碳尾探测功能；</w:t>
            </w:r>
          </w:p>
          <w:p w14:paraId="0D18802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13）</w:t>
            </w:r>
            <w:r>
              <w:rPr>
                <w:rFonts w:hint="eastAsia" w:ascii="仿宋" w:hAnsi="仿宋" w:eastAsia="仿宋" w:cs="仿宋"/>
                <w:color w:val="auto"/>
                <w:sz w:val="24"/>
                <w:highlight w:val="none"/>
                <w:lang w:eastAsia="zh-CN"/>
              </w:rPr>
              <w:t>适用标签卷：宽度25-112mm；</w:t>
            </w:r>
          </w:p>
          <w:p w14:paraId="508B9CD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lang w:eastAsia="zh-CN"/>
              </w:rPr>
              <w:t>适用标签厚度：0.08-0.2mm（包括底纸）；</w:t>
            </w:r>
          </w:p>
          <w:p w14:paraId="3473C6A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lang w:eastAsia="zh-CN"/>
              </w:rPr>
              <w:t>适用碳带类型：外碳；</w:t>
            </w:r>
          </w:p>
          <w:p w14:paraId="35AE3773">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16）</w:t>
            </w:r>
            <w:r>
              <w:rPr>
                <w:rFonts w:hint="eastAsia" w:ascii="仿宋" w:hAnsi="仿宋" w:eastAsia="仿宋" w:cs="仿宋"/>
                <w:color w:val="auto"/>
                <w:sz w:val="24"/>
                <w:highlight w:val="none"/>
                <w:lang w:eastAsia="zh-CN"/>
              </w:rPr>
              <w:t>配置清单：</w:t>
            </w:r>
            <w:r>
              <w:rPr>
                <w:rFonts w:hint="eastAsia" w:ascii="仿宋" w:hAnsi="仿宋" w:eastAsia="仿宋" w:cs="仿宋"/>
                <w:color w:val="auto"/>
                <w:sz w:val="24"/>
                <w:highlight w:val="none"/>
                <w:lang w:val="en-US" w:eastAsia="zh-CN"/>
              </w:rPr>
              <w:t>数据输出终端</w:t>
            </w:r>
            <w:r>
              <w:rPr>
                <w:rFonts w:hint="eastAsia" w:ascii="仿宋" w:hAnsi="仿宋" w:eastAsia="仿宋" w:cs="仿宋"/>
                <w:color w:val="auto"/>
                <w:sz w:val="24"/>
                <w:highlight w:val="none"/>
                <w:lang w:eastAsia="zh-CN"/>
              </w:rPr>
              <w:t>1台、数据线1根、电源线1根、软件1套。</w:t>
            </w:r>
          </w:p>
          <w:p w14:paraId="7C2D9B7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配置清单：</w:t>
            </w:r>
          </w:p>
          <w:p w14:paraId="1238695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1.致病菌全基因组分析系统1套</w:t>
            </w:r>
          </w:p>
          <w:p w14:paraId="035395E0">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2.广谱病原微生物及耐药分析系统1套</w:t>
            </w:r>
          </w:p>
          <w:p w14:paraId="2AD21AB1">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3.宏基因组测序分析系统1套</w:t>
            </w:r>
          </w:p>
          <w:p w14:paraId="60B643FD">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4.tNGS靶向测序分析软件1套</w:t>
            </w:r>
          </w:p>
          <w:p w14:paraId="445AE9C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5.16s扩增子测序分析系统1套</w:t>
            </w:r>
          </w:p>
          <w:p w14:paraId="5203732F">
            <w:pPr>
              <w:keepNext w:val="0"/>
              <w:keepLines w:val="0"/>
              <w:pageBreakBefore w:val="0"/>
              <w:widowControl w:val="0"/>
              <w:numPr>
                <w:ilvl w:val="0"/>
                <w:numId w:val="4"/>
              </w:numPr>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塔式分析工作站1台</w:t>
            </w:r>
          </w:p>
          <w:p w14:paraId="1D39B5BB">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7.</w:t>
            </w:r>
            <w:r>
              <w:rPr>
                <w:rFonts w:hint="eastAsia" w:ascii="仿宋" w:hAnsi="仿宋" w:eastAsia="仿宋" w:cs="仿宋"/>
                <w:color w:val="auto"/>
                <w:sz w:val="24"/>
                <w:highlight w:val="none"/>
                <w:lang w:val="en-US" w:eastAsia="zh-CN"/>
              </w:rPr>
              <w:t>数据处理终端</w:t>
            </w:r>
            <w:r>
              <w:rPr>
                <w:rFonts w:hint="eastAsia" w:ascii="仿宋" w:hAnsi="仿宋" w:eastAsia="仿宋" w:cs="仿宋"/>
                <w:color w:val="auto"/>
                <w:sz w:val="24"/>
                <w:highlight w:val="none"/>
                <w:lang w:eastAsia="zh-CN"/>
              </w:rPr>
              <w:t>1</w:t>
            </w:r>
            <w:r>
              <w:rPr>
                <w:rFonts w:hint="eastAsia" w:ascii="仿宋" w:hAnsi="仿宋" w:eastAsia="仿宋" w:cs="仿宋"/>
                <w:color w:val="auto"/>
                <w:sz w:val="24"/>
                <w:highlight w:val="none"/>
                <w:lang w:val="en-US" w:eastAsia="zh-CN"/>
              </w:rPr>
              <w:t>套</w:t>
            </w:r>
          </w:p>
          <w:p w14:paraId="6CFC5CB4">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8.</w:t>
            </w:r>
            <w:r>
              <w:rPr>
                <w:rFonts w:hint="eastAsia" w:ascii="仿宋" w:hAnsi="仿宋" w:eastAsia="仿宋" w:cs="仿宋"/>
                <w:color w:val="auto"/>
                <w:sz w:val="24"/>
                <w:highlight w:val="none"/>
                <w:lang w:val="en-US" w:eastAsia="zh-CN"/>
              </w:rPr>
              <w:t>冻存管</w:t>
            </w:r>
            <w:r>
              <w:rPr>
                <w:rFonts w:hint="eastAsia" w:ascii="仿宋" w:hAnsi="仿宋" w:eastAsia="仿宋" w:cs="仿宋"/>
                <w:color w:val="auto"/>
                <w:sz w:val="24"/>
                <w:highlight w:val="none"/>
                <w:lang w:eastAsia="zh-CN"/>
              </w:rPr>
              <w:t>标签</w:t>
            </w:r>
            <w:r>
              <w:rPr>
                <w:rFonts w:hint="eastAsia" w:ascii="仿宋" w:hAnsi="仿宋" w:eastAsia="仿宋" w:cs="仿宋"/>
                <w:color w:val="auto"/>
                <w:sz w:val="24"/>
                <w:highlight w:val="none"/>
                <w:lang w:val="en-US" w:eastAsia="zh-CN"/>
              </w:rPr>
              <w:t>输出终端</w:t>
            </w:r>
            <w:r>
              <w:rPr>
                <w:rFonts w:hint="eastAsia" w:ascii="仿宋" w:hAnsi="仿宋" w:eastAsia="仿宋" w:cs="仿宋"/>
                <w:color w:val="auto"/>
                <w:sz w:val="24"/>
                <w:highlight w:val="none"/>
                <w:lang w:eastAsia="zh-CN"/>
              </w:rPr>
              <w:t>1台</w:t>
            </w:r>
          </w:p>
          <w:p w14:paraId="5EE6C2DC">
            <w:pPr>
              <w:keepNext w:val="0"/>
              <w:keepLines w:val="0"/>
              <w:pageBreakBefore w:val="0"/>
              <w:widowControl w:val="0"/>
              <w:numPr>
                <w:ilvl w:val="0"/>
                <w:numId w:val="0"/>
              </w:numPr>
              <w:kinsoku/>
              <w:wordWrap/>
              <w:overflowPunct/>
              <w:topLinePunct w:val="0"/>
              <w:autoSpaceDE/>
              <w:autoSpaceDN/>
              <w:bidi w:val="0"/>
              <w:adjustRightInd/>
              <w:snapToGrid w:val="0"/>
              <w:spacing w:line="320" w:lineRule="exact"/>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9.病毒全基因组分析系统1套</w:t>
            </w:r>
          </w:p>
        </w:tc>
        <w:tc>
          <w:tcPr>
            <w:tcW w:w="712" w:type="dxa"/>
            <w:tcBorders>
              <w:top w:val="single" w:color="auto" w:sz="4" w:space="0"/>
              <w:left w:val="single" w:color="auto" w:sz="4" w:space="0"/>
              <w:bottom w:val="single" w:color="auto" w:sz="4" w:space="0"/>
              <w:right w:val="single" w:color="auto" w:sz="4" w:space="0"/>
            </w:tcBorders>
            <w:vAlign w:val="center"/>
          </w:tcPr>
          <w:p w14:paraId="2EB80A40">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1</w:t>
            </w:r>
          </w:p>
        </w:tc>
        <w:tc>
          <w:tcPr>
            <w:tcW w:w="713" w:type="dxa"/>
            <w:tcBorders>
              <w:top w:val="single" w:color="auto" w:sz="4" w:space="0"/>
              <w:left w:val="single" w:color="auto" w:sz="4" w:space="0"/>
              <w:bottom w:val="single" w:color="auto" w:sz="4" w:space="0"/>
              <w:right w:val="single" w:color="auto" w:sz="4" w:space="0"/>
            </w:tcBorders>
            <w:vAlign w:val="center"/>
          </w:tcPr>
          <w:p w14:paraId="7077584F">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套</w:t>
            </w:r>
          </w:p>
        </w:tc>
        <w:tc>
          <w:tcPr>
            <w:tcW w:w="1276" w:type="dxa"/>
            <w:tcBorders>
              <w:top w:val="single" w:color="auto" w:sz="4" w:space="0"/>
              <w:left w:val="single" w:color="auto" w:sz="4" w:space="0"/>
              <w:bottom w:val="single" w:color="auto" w:sz="4" w:space="0"/>
              <w:right w:val="single" w:color="auto" w:sz="4" w:space="0"/>
            </w:tcBorders>
            <w:vAlign w:val="center"/>
          </w:tcPr>
          <w:p w14:paraId="51E7D3DB">
            <w:pPr>
              <w:spacing w:line="460" w:lineRule="exact"/>
              <w:jc w:val="center"/>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40.00</w:t>
            </w:r>
          </w:p>
        </w:tc>
      </w:tr>
      <w:tr w14:paraId="71C63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100" w:type="dxa"/>
            <w:gridSpan w:val="7"/>
            <w:tcBorders>
              <w:top w:val="single" w:color="auto" w:sz="4" w:space="0"/>
              <w:left w:val="single" w:color="auto" w:sz="4" w:space="0"/>
              <w:bottom w:val="single" w:color="auto" w:sz="4" w:space="0"/>
              <w:right w:val="single" w:color="auto" w:sz="4" w:space="0"/>
            </w:tcBorders>
            <w:vAlign w:val="center"/>
          </w:tcPr>
          <w:p w14:paraId="1DE467D9">
            <w:pPr>
              <w:spacing w:line="460" w:lineRule="exact"/>
              <w:jc w:val="both"/>
              <w:rPr>
                <w:rFonts w:hint="eastAsia" w:ascii="仿宋" w:hAnsi="仿宋" w:eastAsia="仿宋" w:cs="仿宋"/>
                <w:bCs/>
                <w:color w:val="auto"/>
                <w:sz w:val="24"/>
                <w:highlight w:val="none"/>
                <w:lang w:val="en-US" w:eastAsia="zh-CN"/>
              </w:rPr>
            </w:pPr>
            <w:r>
              <w:rPr>
                <w:rFonts w:hint="eastAsia" w:ascii="仿宋" w:hAnsi="仿宋" w:eastAsia="仿宋" w:cs="仿宋"/>
                <w:b/>
                <w:color w:val="auto"/>
                <w:sz w:val="24"/>
                <w:highlight w:val="none"/>
              </w:rPr>
              <w:t>核心产品：</w:t>
            </w:r>
            <w:r>
              <w:rPr>
                <w:rFonts w:hint="eastAsia" w:ascii="仿宋" w:hAnsi="仿宋" w:eastAsia="仿宋" w:cs="仿宋"/>
                <w:b w:val="0"/>
                <w:bCs/>
                <w:color w:val="auto"/>
                <w:sz w:val="24"/>
                <w:highlight w:val="none"/>
              </w:rPr>
              <w:t>本</w:t>
            </w:r>
            <w:r>
              <w:rPr>
                <w:rFonts w:hint="eastAsia" w:ascii="仿宋" w:hAnsi="仿宋" w:eastAsia="仿宋" w:cs="仿宋"/>
                <w:b w:val="0"/>
                <w:bCs/>
                <w:color w:val="auto"/>
                <w:sz w:val="24"/>
                <w:highlight w:val="none"/>
                <w:lang w:val="en-US" w:eastAsia="zh-CN"/>
              </w:rPr>
              <w:t>分标</w:t>
            </w:r>
            <w:r>
              <w:rPr>
                <w:rFonts w:hint="eastAsia" w:ascii="仿宋" w:hAnsi="仿宋" w:eastAsia="仿宋" w:cs="仿宋"/>
                <w:b w:val="0"/>
                <w:bCs/>
                <w:color w:val="auto"/>
                <w:sz w:val="24"/>
                <w:highlight w:val="none"/>
              </w:rPr>
              <w:t>核心产品为第</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bCs w:val="0"/>
                <w:color w:val="auto"/>
                <w:sz w:val="24"/>
                <w:highlight w:val="none"/>
                <w:u w:val="single"/>
                <w:lang w:val="en-US" w:eastAsia="zh-CN"/>
              </w:rPr>
              <w:t>2</w:t>
            </w:r>
            <w:r>
              <w:rPr>
                <w:rFonts w:hint="eastAsia" w:ascii="仿宋" w:hAnsi="仿宋" w:eastAsia="仿宋" w:cs="仿宋"/>
                <w:b w:val="0"/>
                <w:bCs/>
                <w:color w:val="auto"/>
                <w:sz w:val="24"/>
                <w:highlight w:val="none"/>
                <w:u w:val="single"/>
                <w:lang w:val="en-US" w:eastAsia="zh-CN"/>
              </w:rPr>
              <w:t xml:space="preserve"> </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val="0"/>
                <w:bCs/>
                <w:color w:val="auto"/>
                <w:sz w:val="24"/>
                <w:highlight w:val="none"/>
              </w:rPr>
              <w:t>项标的</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bCs w:val="0"/>
                <w:color w:val="auto"/>
                <w:sz w:val="24"/>
                <w:highlight w:val="none"/>
                <w:u w:val="single"/>
                <w:lang w:val="en-US" w:eastAsia="zh-CN"/>
              </w:rPr>
              <w:t>车载X射线机</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color w:val="auto"/>
                <w:sz w:val="24"/>
                <w:highlight w:val="none"/>
              </w:rPr>
              <w:t>。</w:t>
            </w:r>
          </w:p>
        </w:tc>
      </w:tr>
      <w:tr w14:paraId="256E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100" w:type="dxa"/>
            <w:gridSpan w:val="7"/>
            <w:tcBorders>
              <w:top w:val="single" w:color="auto" w:sz="4" w:space="0"/>
              <w:left w:val="single" w:color="auto" w:sz="4" w:space="0"/>
              <w:bottom w:val="single" w:color="auto" w:sz="4" w:space="0"/>
              <w:right w:val="single" w:color="auto" w:sz="4" w:space="0"/>
            </w:tcBorders>
            <w:vAlign w:val="center"/>
          </w:tcPr>
          <w:p w14:paraId="47F4D27B">
            <w:pPr>
              <w:spacing w:line="460" w:lineRule="exact"/>
              <w:jc w:val="left"/>
              <w:rPr>
                <w:rFonts w:hint="eastAsia" w:ascii="仿宋" w:hAnsi="仿宋" w:eastAsia="仿宋" w:cs="仿宋"/>
                <w:b/>
                <w:color w:val="auto"/>
                <w:kern w:val="0"/>
                <w:sz w:val="24"/>
                <w:highlight w:val="none"/>
              </w:rPr>
            </w:pPr>
            <w:r>
              <w:rPr>
                <w:rFonts w:hint="eastAsia" w:ascii="仿宋" w:hAnsi="仿宋" w:eastAsia="仿宋" w:cs="仿宋"/>
                <w:b/>
                <w:color w:val="auto"/>
                <w:sz w:val="24"/>
                <w:highlight w:val="none"/>
              </w:rPr>
              <w:t>二、商务要求</w:t>
            </w:r>
          </w:p>
        </w:tc>
      </w:tr>
      <w:tr w14:paraId="4FED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582FF3E7">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b/>
                <w:color w:val="auto"/>
                <w:sz w:val="24"/>
                <w:highlight w:val="none"/>
              </w:rPr>
              <w:t>免费</w:t>
            </w:r>
            <w:r>
              <w:rPr>
                <w:rFonts w:hint="eastAsia" w:ascii="仿宋" w:hAnsi="仿宋" w:eastAsia="仿宋" w:cs="仿宋"/>
                <w:b/>
                <w:color w:val="auto"/>
                <w:kern w:val="0"/>
                <w:sz w:val="24"/>
                <w:highlight w:val="none"/>
              </w:rPr>
              <w:t>保修期</w:t>
            </w:r>
          </w:p>
        </w:tc>
        <w:tc>
          <w:tcPr>
            <w:tcW w:w="8120" w:type="dxa"/>
            <w:gridSpan w:val="4"/>
            <w:vAlign w:val="center"/>
          </w:tcPr>
          <w:p w14:paraId="216BCE4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1、本项目全部标的设备的免费保修期自交货验收合格之日起不少于</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1</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年，</w:t>
            </w:r>
            <w:r>
              <w:rPr>
                <w:rFonts w:hint="eastAsia" w:ascii="仿宋" w:hAnsi="仿宋" w:eastAsia="仿宋" w:cs="仿宋"/>
                <w:color w:val="auto"/>
                <w:kern w:val="0"/>
                <w:sz w:val="24"/>
                <w:highlight w:val="none"/>
                <w:lang w:val="en-US" w:eastAsia="zh-CN"/>
              </w:rPr>
              <w:t>提供免费上门维修服务（若厂家免费质保期超过1年的，按厂家规定保修），</w:t>
            </w:r>
            <w:r>
              <w:rPr>
                <w:rFonts w:hint="eastAsia" w:ascii="仿宋" w:hAnsi="仿宋" w:eastAsia="仿宋" w:cs="仿宋"/>
                <w:color w:val="auto"/>
                <w:kern w:val="0"/>
                <w:sz w:val="24"/>
                <w:highlight w:val="none"/>
              </w:rPr>
              <w:t>并按国家有关产品“三包”规定执行“三包”。产品在免费保修期内出现故障的，免费保修期时间相应顺延。</w:t>
            </w:r>
          </w:p>
        </w:tc>
      </w:tr>
      <w:tr w14:paraId="3709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1F3AF3CB">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b/>
                <w:color w:val="auto"/>
                <w:kern w:val="0"/>
                <w:sz w:val="24"/>
                <w:highlight w:val="none"/>
              </w:rPr>
              <w:t>售后服务要求</w:t>
            </w:r>
          </w:p>
        </w:tc>
        <w:tc>
          <w:tcPr>
            <w:tcW w:w="8120" w:type="dxa"/>
            <w:gridSpan w:val="4"/>
            <w:vAlign w:val="center"/>
          </w:tcPr>
          <w:p w14:paraId="504B04BD">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一、总体要求</w:t>
            </w:r>
          </w:p>
          <w:p w14:paraId="3C0E94CA">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1、免费送货上门、免费安装调试合格，免费培训采购人相关工作人员能熟练使用，提供产品终身免费上门维修服务。</w:t>
            </w:r>
          </w:p>
          <w:p w14:paraId="56413B02">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2、在免费保修期内因产品本身的质量问题发生故障，中标供应商应负责免费修理和更换零部件。对达不到技术要求者，根据实际情况，经双方协商，可按以下办法处理：</w:t>
            </w:r>
          </w:p>
          <w:p w14:paraId="112AA12E">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（1）更换：由中标供应商承担所有发生的全部费用。</w:t>
            </w:r>
          </w:p>
          <w:p w14:paraId="2E104274">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（2）贬值处理：由采购人、中标供应商双方合议定价。</w:t>
            </w:r>
          </w:p>
          <w:p w14:paraId="0719B08F">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（3）退货处理：中标供应商应退还采购人支付的合同款，同时应承担该货物的直接费用（运输、保险、检验、贷款利息及银行手续费等）。</w:t>
            </w:r>
          </w:p>
          <w:p w14:paraId="74E6E663">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3、免费保修期内定期上门保养、设备故障时提供上门维修。保修期内在使用过程中若产品发生质量问题或故障，在接到采购人通知后厂家工程师提供</w:t>
            </w:r>
            <w:r>
              <w:rPr>
                <w:rFonts w:hint="eastAsia" w:ascii="仿宋" w:hAnsi="仿宋" w:eastAsia="仿宋" w:cs="仿宋"/>
                <w:color w:val="auto"/>
                <w:kern w:val="0"/>
                <w:sz w:val="24"/>
                <w:highlight w:val="none"/>
                <w:u w:val="single"/>
              </w:rPr>
              <w:t xml:space="preserve">    24</w:t>
            </w:r>
            <w:r>
              <w:rPr>
                <w:rFonts w:hint="eastAsia" w:ascii="仿宋" w:hAnsi="仿宋" w:eastAsia="仿宋" w:cs="仿宋"/>
                <w:color w:val="auto"/>
                <w:kern w:val="0"/>
                <w:sz w:val="24"/>
                <w:highlight w:val="none"/>
              </w:rPr>
              <w:t>小时在线服务。如需更换配件，应当在</w:t>
            </w:r>
            <w:r>
              <w:rPr>
                <w:rFonts w:hint="eastAsia" w:ascii="仿宋" w:hAnsi="仿宋" w:eastAsia="仿宋" w:cs="仿宋"/>
                <w:color w:val="auto"/>
                <w:kern w:val="0"/>
                <w:sz w:val="24"/>
                <w:highlight w:val="none"/>
                <w:u w:val="single"/>
              </w:rPr>
              <w:t xml:space="preserve">  48  </w:t>
            </w:r>
            <w:r>
              <w:rPr>
                <w:rFonts w:hint="eastAsia" w:ascii="仿宋" w:hAnsi="仿宋" w:eastAsia="仿宋" w:cs="仿宋"/>
                <w:color w:val="auto"/>
                <w:kern w:val="0"/>
                <w:sz w:val="24"/>
                <w:highlight w:val="none"/>
              </w:rPr>
              <w:t>小时内解决问题；重大故障考虑到需要更换备件以及故障的复杂程度，双方友好协商处理。维修中如需要更换配件的，要求更换的配件应跟被更换的品牌、类型相一致或者是同类同档次的替代品，后者需提供相应证明文件并征得采购人同意。</w:t>
            </w:r>
          </w:p>
          <w:p w14:paraId="13445D1E">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4、若产品自带软件的，则须提供免费保修期内提供软件升级服务。</w:t>
            </w:r>
          </w:p>
          <w:p w14:paraId="660D0881">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如将设备运离采购人处进行维修，须事先征得采购人同意，并办理书面移交手续。免费保修期内厂家应每年对设备进行不少于1次的巡回检修，并出具检修报告。由设备本身原因产生的事故、纠纷、安全事故等由中标供应商负责。</w:t>
            </w:r>
          </w:p>
          <w:p w14:paraId="0DBEF32E">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6、设备进入医院后需与采购人信息系统连接的，开通端口及连接所需花费的费用由中标供应商承担。</w:t>
            </w:r>
          </w:p>
          <w:p w14:paraId="48324CF9">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7、投标报价包含该设备含第一次检定、校准费用。</w:t>
            </w:r>
          </w:p>
        </w:tc>
      </w:tr>
      <w:tr w14:paraId="50DB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1C78224C">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b/>
                <w:color w:val="auto"/>
                <w:kern w:val="0"/>
                <w:sz w:val="24"/>
                <w:highlight w:val="none"/>
              </w:rPr>
              <w:t>交付时间</w:t>
            </w:r>
          </w:p>
        </w:tc>
        <w:tc>
          <w:tcPr>
            <w:tcW w:w="8120" w:type="dxa"/>
            <w:gridSpan w:val="4"/>
          </w:tcPr>
          <w:p w14:paraId="7244A852">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自签订合同之日起</w:t>
            </w:r>
            <w:r>
              <w:rPr>
                <w:rFonts w:hint="eastAsia" w:ascii="仿宋" w:hAnsi="仿宋" w:eastAsia="仿宋" w:cs="仿宋"/>
                <w:color w:val="auto"/>
                <w:kern w:val="0"/>
                <w:sz w:val="24"/>
                <w:highlight w:val="none"/>
                <w:u w:val="single"/>
                <w:lang w:val="en-US" w:eastAsia="zh-CN"/>
              </w:rPr>
              <w:t xml:space="preserve"> 45</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个日历日内，安装调试完毕并交付使用。</w:t>
            </w:r>
          </w:p>
        </w:tc>
      </w:tr>
      <w:tr w14:paraId="3F0E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2836BBE0">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交付地点</w:t>
            </w:r>
          </w:p>
        </w:tc>
        <w:tc>
          <w:tcPr>
            <w:tcW w:w="8120" w:type="dxa"/>
            <w:gridSpan w:val="4"/>
          </w:tcPr>
          <w:p w14:paraId="2D47BBE1">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采购人指定地点。</w:t>
            </w:r>
          </w:p>
        </w:tc>
      </w:tr>
      <w:tr w14:paraId="0A98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231FDFBC">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b/>
                <w:color w:val="auto"/>
                <w:kern w:val="0"/>
                <w:sz w:val="24"/>
                <w:highlight w:val="none"/>
              </w:rPr>
              <w:t>付款方式</w:t>
            </w:r>
          </w:p>
        </w:tc>
        <w:tc>
          <w:tcPr>
            <w:tcW w:w="8120" w:type="dxa"/>
            <w:gridSpan w:val="4"/>
            <w:vAlign w:val="center"/>
          </w:tcPr>
          <w:p w14:paraId="4AEB7C52">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除车载X射线机外的其他设备：合同签订生效后30个日历日内甲方向市财政申请支付合同金额的30%给乙方。设备安装调试并经甲方验收合格后，乙方开具足额发票给甲方，甲方收到发票后30个日历日内向市财政申请支付合同金额的67%(无息)支付乙方，剩余的3%合同金额待履行完合同约定的权利义务事项后【成交供应商承诺保质期（免费保修、维护、升级期）满】且不存在争议的,成交供应商凭合同和《政府采购项目验收单》向采购人申请办理支付手续，22个工作日内</w:t>
            </w:r>
            <w:r>
              <w:rPr>
                <w:rFonts w:hint="eastAsia" w:ascii="仿宋" w:hAnsi="仿宋" w:eastAsia="仿宋" w:cs="仿宋"/>
                <w:color w:val="auto"/>
                <w:kern w:val="0"/>
                <w:sz w:val="24"/>
                <w:highlight w:val="none"/>
                <w:lang w:val="en-US" w:eastAsia="zh-CN"/>
              </w:rPr>
              <w:t>向市财政申请</w:t>
            </w:r>
            <w:r>
              <w:rPr>
                <w:rFonts w:hint="eastAsia" w:ascii="仿宋" w:hAnsi="仿宋" w:eastAsia="仿宋" w:cs="仿宋"/>
                <w:color w:val="auto"/>
                <w:kern w:val="0"/>
                <w:sz w:val="24"/>
                <w:highlight w:val="none"/>
              </w:rPr>
              <w:t>支付，不计息。</w:t>
            </w:r>
          </w:p>
          <w:p w14:paraId="5B74567C">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2.车载X射线机设备：设备完成安装调试并验收合格后，乙方开具合同总金额50% 的合规足额发票，采购人收到合规发票后15个工作日内无息支付；自设备验收合格之日起满12个月，设备运行稳定、质保履约无误后，乙方开具合同总金额50% 的合规足额发票，采购人收票后15个工作日内无息支付。</w:t>
            </w:r>
          </w:p>
        </w:tc>
      </w:tr>
      <w:tr w14:paraId="76DE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70E18249">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包装和运输</w:t>
            </w:r>
          </w:p>
        </w:tc>
        <w:tc>
          <w:tcPr>
            <w:tcW w:w="8120" w:type="dxa"/>
            <w:gridSpan w:val="4"/>
            <w:vAlign w:val="center"/>
          </w:tcPr>
          <w:p w14:paraId="31C6464C">
            <w:pPr>
              <w:keepNext w:val="0"/>
              <w:keepLines w:val="0"/>
              <w:pageBreakBefore w:val="0"/>
              <w:widowControl w:val="0"/>
              <w:kinsoku/>
              <w:wordWrap/>
              <w:overflowPunct/>
              <w:topLinePunct w:val="0"/>
              <w:autoSpaceDE/>
              <w:autoSpaceDN/>
              <w:bidi w:val="0"/>
              <w:adjustRightInd w:val="0"/>
              <w:snapToGrid w:val="0"/>
              <w:spacing w:line="300" w:lineRule="exact"/>
              <w:textAlignment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1.原厂原包装，包装完好完整、无破损、未开封。</w:t>
            </w:r>
          </w:p>
          <w:p w14:paraId="60BD8336">
            <w:pPr>
              <w:keepNext w:val="0"/>
              <w:keepLines w:val="0"/>
              <w:pageBreakBefore w:val="0"/>
              <w:widowControl w:val="0"/>
              <w:kinsoku/>
              <w:wordWrap/>
              <w:overflowPunct/>
              <w:topLinePunct w:val="0"/>
              <w:autoSpaceDE/>
              <w:autoSpaceDN/>
              <w:bidi w:val="0"/>
              <w:adjustRightInd w:val="0"/>
              <w:snapToGrid w:val="0"/>
              <w:spacing w:line="300" w:lineRule="exact"/>
              <w:textAlignment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2.包装及运输方式应综合考虑运输距离、防潮、防震、防锈和防破损装卸等要求。</w:t>
            </w:r>
          </w:p>
          <w:p w14:paraId="730000B5">
            <w:pPr>
              <w:keepNext w:val="0"/>
              <w:keepLines w:val="0"/>
              <w:pageBreakBefore w:val="0"/>
              <w:widowControl w:val="0"/>
              <w:kinsoku/>
              <w:wordWrap/>
              <w:overflowPunct/>
              <w:topLinePunct w:val="0"/>
              <w:autoSpaceDE/>
              <w:autoSpaceDN/>
              <w:bidi w:val="0"/>
              <w:adjustRightInd w:val="0"/>
              <w:snapToGrid w:val="0"/>
              <w:spacing w:line="300" w:lineRule="exact"/>
              <w:textAlignment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3.国家对包装及运输有相关强制性标准或要求的，中标供应商应当执行。</w:t>
            </w:r>
          </w:p>
          <w:p w14:paraId="7C9D98C1">
            <w:pPr>
              <w:keepNext w:val="0"/>
              <w:keepLines w:val="0"/>
              <w:pageBreakBefore w:val="0"/>
              <w:widowControl w:val="0"/>
              <w:kinsoku/>
              <w:wordWrap/>
              <w:overflowPunct/>
              <w:topLinePunct w:val="0"/>
              <w:autoSpaceDE/>
              <w:autoSpaceDN/>
              <w:bidi w:val="0"/>
              <w:spacing w:line="30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4.产品（含包装）运抵采购人指定交付地点前发生损坏、丢失等全部风险和责任均由中标供应商自行承担。</w:t>
            </w:r>
          </w:p>
        </w:tc>
      </w:tr>
      <w:tr w14:paraId="56C5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4BFE3F7C">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保险</w:t>
            </w:r>
          </w:p>
        </w:tc>
        <w:tc>
          <w:tcPr>
            <w:tcW w:w="8120" w:type="dxa"/>
            <w:gridSpan w:val="4"/>
            <w:vAlign w:val="center"/>
          </w:tcPr>
          <w:p w14:paraId="50FE3087">
            <w:pPr>
              <w:keepNext w:val="0"/>
              <w:keepLines w:val="0"/>
              <w:pageBreakBefore w:val="0"/>
              <w:widowControl w:val="0"/>
              <w:kinsoku/>
              <w:wordWrap/>
              <w:overflowPunct/>
              <w:topLinePunct w:val="0"/>
              <w:autoSpaceDE/>
              <w:autoSpaceDN/>
              <w:bidi w:val="0"/>
              <w:adjustRightInd w:val="0"/>
              <w:snapToGrid w:val="0"/>
              <w:spacing w:line="300" w:lineRule="exact"/>
              <w:textAlignment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本项目执行中相关的一切税费、保险均由供应商自行负担。</w:t>
            </w:r>
          </w:p>
        </w:tc>
      </w:tr>
      <w:tr w14:paraId="234D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20162304">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b/>
                <w:color w:val="auto"/>
                <w:kern w:val="0"/>
                <w:sz w:val="24"/>
                <w:highlight w:val="none"/>
              </w:rPr>
              <w:t>验收标准</w:t>
            </w:r>
          </w:p>
        </w:tc>
        <w:tc>
          <w:tcPr>
            <w:tcW w:w="8120" w:type="dxa"/>
            <w:gridSpan w:val="4"/>
            <w:vAlign w:val="center"/>
          </w:tcPr>
          <w:p w14:paraId="10B556E8">
            <w:pPr>
              <w:keepNext w:val="0"/>
              <w:keepLines w:val="0"/>
              <w:pageBreakBefore w:val="0"/>
              <w:widowControl w:val="0"/>
              <w:kinsoku/>
              <w:wordWrap/>
              <w:overflowPunct/>
              <w:topLinePunct w:val="0"/>
              <w:autoSpaceDE/>
              <w:autoSpaceDN/>
              <w:bidi w:val="0"/>
              <w:adjustRightInd w:val="0"/>
              <w:snapToGrid w:val="0"/>
              <w:spacing w:line="300" w:lineRule="exact"/>
              <w:textAlignment w:val="center"/>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1.投标人提供的产品必须符合国家强制执行的相关质量标准要求以及产品制造厂家合格产品的出厂质量标准。</w:t>
            </w:r>
          </w:p>
          <w:p w14:paraId="30B5DDE6">
            <w:pPr>
              <w:keepNext w:val="0"/>
              <w:keepLines w:val="0"/>
              <w:pageBreakBefore w:val="0"/>
              <w:widowControl w:val="0"/>
              <w:kinsoku/>
              <w:wordWrap/>
              <w:overflowPunct/>
              <w:topLinePunct w:val="0"/>
              <w:autoSpaceDE/>
              <w:autoSpaceDN/>
              <w:bidi w:val="0"/>
              <w:adjustRightInd w:val="0"/>
              <w:snapToGrid w:val="0"/>
              <w:spacing w:line="300" w:lineRule="exact"/>
              <w:textAlignment w:val="center"/>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2.设备需全新、完好、无破损</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产品到货后，采购人现场根据招标文件要求及投标文件承诺逐条对应进行核验，必要时，采购人有权邀请国家质量监督检验部门或国家认可的检测机构参与共同验收。如产品不满足招标文件要求、投标文件承诺或国家强制执行的相关质量标准要求以及产品制造厂家合格产品的出厂质量标准，采购人有权不予验收，由此造成采购人的经济损失由中标人承担全部赔偿责任。</w:t>
            </w:r>
          </w:p>
          <w:p w14:paraId="5E2B4584">
            <w:pPr>
              <w:keepNext w:val="0"/>
              <w:keepLines w:val="0"/>
              <w:pageBreakBefore w:val="0"/>
              <w:widowControl w:val="0"/>
              <w:kinsoku/>
              <w:wordWrap/>
              <w:overflowPunct/>
              <w:topLinePunct w:val="0"/>
              <w:autoSpaceDE/>
              <w:autoSpaceDN/>
              <w:bidi w:val="0"/>
              <w:adjustRightInd w:val="0"/>
              <w:snapToGrid w:val="0"/>
              <w:spacing w:line="300" w:lineRule="exact"/>
              <w:textAlignment w:val="center"/>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3.验收其他要求按合同条款以及政府采购相关法律法规规定执行。</w:t>
            </w:r>
          </w:p>
          <w:p w14:paraId="61DA7DB7">
            <w:pPr>
              <w:keepNext w:val="0"/>
              <w:keepLines w:val="0"/>
              <w:pageBreakBefore w:val="0"/>
              <w:widowControl w:val="0"/>
              <w:kinsoku/>
              <w:wordWrap/>
              <w:overflowPunct/>
              <w:topLinePunct w:val="0"/>
              <w:autoSpaceDE/>
              <w:autoSpaceDN/>
              <w:bidi w:val="0"/>
              <w:adjustRightInd w:val="0"/>
              <w:snapToGrid w:val="0"/>
              <w:spacing w:line="300" w:lineRule="exact"/>
              <w:textAlignment w:val="center"/>
              <w:outlineLvl w:val="9"/>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4.中标供应商必须于供货时项采购人提供所投产品的资格文件、注册产品标准、产品彩页或参数说明书、由生产厂家出具的售后服务承诺书和生产厂家出具的产品供货证明等资料，以便核实相关技术参数，否则不予验收。同时，供应商应将所提供货物的装箱清单、用户手册、原厂保修卡、随机资料、工具和备品、备件等一并交付给采购人。中标供应商不能完整交付货物及本款规定的证明材料和工具的，必须在采购人指定的期限内补齐，否则视为逾期交货。</w:t>
            </w:r>
          </w:p>
        </w:tc>
      </w:tr>
      <w:tr w14:paraId="5607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56A34AA5">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验收程序</w:t>
            </w:r>
          </w:p>
        </w:tc>
        <w:tc>
          <w:tcPr>
            <w:tcW w:w="8120" w:type="dxa"/>
            <w:gridSpan w:val="4"/>
            <w:shd w:val="clear" w:color="auto" w:fill="auto"/>
            <w:vAlign w:val="center"/>
          </w:tcPr>
          <w:p w14:paraId="77763544">
            <w:pPr>
              <w:keepNext w:val="0"/>
              <w:keepLines w:val="0"/>
              <w:pageBreakBefore w:val="0"/>
              <w:widowControl w:val="0"/>
              <w:kinsoku/>
              <w:wordWrap/>
              <w:overflowPunct/>
              <w:topLinePunct w:val="0"/>
              <w:autoSpaceDE/>
              <w:autoSpaceDN/>
              <w:bidi w:val="0"/>
              <w:adjustRightInd w:val="0"/>
              <w:snapToGrid w:val="0"/>
              <w:spacing w:line="300" w:lineRule="exact"/>
              <w:textAlignment w:val="center"/>
              <w:rPr>
                <w:rFonts w:hint="eastAsia" w:ascii="仿宋" w:hAnsi="仿宋" w:eastAsia="仿宋" w:cs="仿宋"/>
                <w:color w:val="auto"/>
                <w:kern w:val="0"/>
                <w:sz w:val="24"/>
                <w:highlight w:val="none"/>
                <w:shd w:val="clear" w:color="auto" w:fill="C6D9F0"/>
              </w:rPr>
            </w:pPr>
            <w:r>
              <w:rPr>
                <w:rFonts w:hint="eastAsia" w:ascii="仿宋" w:hAnsi="仿宋" w:eastAsia="仿宋" w:cs="仿宋"/>
                <w:color w:val="auto"/>
                <w:kern w:val="0"/>
                <w:sz w:val="24"/>
                <w:highlight w:val="none"/>
              </w:rPr>
              <w:t>货物送至采购人指定地点后，供应商与采购人共同对货物数量、外观等进行初步验收；货物安装调试完毕后7个工作日内，供应商与采购人根据采购合同相关要求对全部硬件和软件进行试运行</w:t>
            </w:r>
            <w:r>
              <w:rPr>
                <w:rFonts w:hint="eastAsia" w:ascii="仿宋" w:hAnsi="仿宋" w:eastAsia="仿宋" w:cs="仿宋"/>
                <w:color w:val="auto"/>
                <w:kern w:val="0"/>
                <w:sz w:val="24"/>
                <w:highlight w:val="none"/>
                <w:lang w:val="en-US" w:eastAsia="zh-CN"/>
              </w:rPr>
              <w:t>7个工作日</w:t>
            </w:r>
            <w:r>
              <w:rPr>
                <w:rFonts w:hint="eastAsia" w:ascii="仿宋" w:hAnsi="仿宋" w:eastAsia="仿宋" w:cs="仿宋"/>
                <w:color w:val="auto"/>
                <w:kern w:val="0"/>
                <w:sz w:val="24"/>
                <w:highlight w:val="none"/>
              </w:rPr>
              <w:t>，试运行期间硬件和软件能够正常运行的，并交付采购人使用，采购人给予验收合格；对不符合质量要求的硬件和软件，供应商应在采购人要求时间内免费更换或调试直至合格，验收结果应由双方盖章、签字。</w:t>
            </w:r>
          </w:p>
        </w:tc>
      </w:tr>
      <w:tr w14:paraId="26BC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22224725">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进口产品说明</w:t>
            </w:r>
          </w:p>
        </w:tc>
        <w:tc>
          <w:tcPr>
            <w:tcW w:w="8120" w:type="dxa"/>
            <w:gridSpan w:val="4"/>
            <w:vAlign w:val="center"/>
          </w:tcPr>
          <w:p w14:paraId="004E97BB">
            <w:pPr>
              <w:keepNext w:val="0"/>
              <w:keepLines w:val="0"/>
              <w:pageBreakBefore w:val="0"/>
              <w:widowControl w:val="0"/>
              <w:kinsoku/>
              <w:wordWrap/>
              <w:overflowPunct/>
              <w:topLinePunct w:val="0"/>
              <w:autoSpaceDE/>
              <w:autoSpaceDN/>
              <w:bidi w:val="0"/>
              <w:spacing w:line="300" w:lineRule="exact"/>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本分标所有产品均</w:t>
            </w:r>
            <w:r>
              <w:rPr>
                <w:rFonts w:hint="eastAsia" w:ascii="仿宋" w:hAnsi="仿宋" w:eastAsia="仿宋" w:cs="仿宋"/>
                <w:color w:val="auto"/>
                <w:kern w:val="0"/>
                <w:sz w:val="24"/>
                <w:highlight w:val="none"/>
              </w:rPr>
              <w:t>不接受进口产品（即通过中国海关报关验放进入中国境内且产自关境外的产品）投标，如投标产品为进口产品的，投标无效。</w:t>
            </w:r>
          </w:p>
        </w:tc>
      </w:tr>
      <w:tr w14:paraId="1FFF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3"/>
            <w:vAlign w:val="center"/>
          </w:tcPr>
          <w:p w14:paraId="4B0D39B2">
            <w:pPr>
              <w:spacing w:line="460" w:lineRule="exact"/>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其他要求</w:t>
            </w:r>
          </w:p>
        </w:tc>
        <w:tc>
          <w:tcPr>
            <w:tcW w:w="8120" w:type="dxa"/>
            <w:gridSpan w:val="4"/>
            <w:vAlign w:val="center"/>
          </w:tcPr>
          <w:p w14:paraId="6DC4C22B">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1、本项目“采购需求”中标注</w:t>
            </w:r>
            <w:r>
              <w:rPr>
                <w:rFonts w:hint="eastAsia" w:ascii="仿宋" w:hAnsi="仿宋" w:eastAsia="仿宋" w:cs="仿宋"/>
                <w:color w:val="auto"/>
                <w:sz w:val="24"/>
                <w:highlight w:val="none"/>
                <w:lang w:eastAsia="zh-CN"/>
              </w:rPr>
              <w:t>▲</w:t>
            </w:r>
            <w:r>
              <w:rPr>
                <w:rFonts w:hint="eastAsia" w:ascii="仿宋" w:hAnsi="仿宋" w:eastAsia="仿宋" w:cs="仿宋"/>
                <w:color w:val="auto"/>
                <w:kern w:val="0"/>
                <w:sz w:val="24"/>
                <w:highlight w:val="none"/>
              </w:rPr>
              <w:t>号项的条款为实质性要求，投标文件相应内容如不满足，按投标无效处理。</w:t>
            </w:r>
          </w:p>
          <w:p w14:paraId="2C49CC35">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2</w:t>
            </w:r>
            <w:r>
              <w:rPr>
                <w:rFonts w:hint="eastAsia" w:ascii="仿宋" w:hAnsi="仿宋" w:eastAsia="仿宋" w:cs="仿宋"/>
                <w:color w:val="auto"/>
                <w:kern w:val="0"/>
                <w:sz w:val="24"/>
                <w:highlight w:val="none"/>
              </w:rPr>
              <w:t>、本项目“技术要求”的技术条款负偏离≤</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5</w:t>
            </w:r>
            <w:r>
              <w:rPr>
                <w:rFonts w:hint="eastAsia" w:ascii="仿宋" w:hAnsi="仿宋" w:eastAsia="仿宋" w:cs="仿宋"/>
                <w:color w:val="auto"/>
                <w:kern w:val="0"/>
                <w:sz w:val="24"/>
                <w:highlight w:val="none"/>
              </w:rPr>
              <w:t>项（经评标委员会认定的负偏离），投标人所投产品技术参数超过规定的负偏离数量的，投标文件按无效处理。</w:t>
            </w:r>
          </w:p>
        </w:tc>
      </w:tr>
    </w:tbl>
    <w:p w14:paraId="6D8C5221">
      <w:pPr>
        <w:spacing w:line="400" w:lineRule="exact"/>
        <w:jc w:val="left"/>
        <w:rPr>
          <w:rFonts w:hint="eastAsia" w:ascii="仿宋" w:hAnsi="仿宋" w:eastAsia="仿宋"/>
          <w:b/>
          <w:bCs/>
          <w:sz w:val="30"/>
          <w:szCs w:val="30"/>
          <w:highlight w:val="none"/>
        </w:rPr>
      </w:pPr>
    </w:p>
    <w:p w14:paraId="392D4F61">
      <w:pPr>
        <w:pageBreakBefore/>
        <w:spacing w:line="320" w:lineRule="exact"/>
        <w:rPr>
          <w:rFonts w:hint="eastAsia" w:ascii="仿宋" w:hAnsi="仿宋" w:eastAsia="仿宋" w:cs="宋体"/>
          <w:sz w:val="28"/>
          <w:szCs w:val="32"/>
          <w:highlight w:val="none"/>
        </w:rPr>
      </w:pPr>
      <w:r>
        <w:rPr>
          <w:rFonts w:hint="eastAsia" w:ascii="仿宋" w:hAnsi="仿宋" w:eastAsia="仿宋" w:cs="宋体"/>
          <w:sz w:val="28"/>
          <w:szCs w:val="32"/>
          <w:highlight w:val="none"/>
        </w:rPr>
        <w:t>附件1：</w:t>
      </w:r>
    </w:p>
    <w:p w14:paraId="50C4FDEB">
      <w:pPr>
        <w:spacing w:line="528" w:lineRule="exact"/>
        <w:jc w:val="center"/>
        <w:rPr>
          <w:rFonts w:hint="eastAsia" w:ascii="仿宋" w:hAnsi="仿宋" w:eastAsia="仿宋" w:cs="宋体"/>
          <w:sz w:val="28"/>
          <w:szCs w:val="28"/>
          <w:highlight w:val="none"/>
        </w:rPr>
      </w:pPr>
      <w:r>
        <w:rPr>
          <w:rFonts w:hint="eastAsia" w:ascii="仿宋" w:hAnsi="仿宋" w:eastAsia="仿宋" w:cs="宋体"/>
          <w:sz w:val="28"/>
          <w:szCs w:val="28"/>
          <w:highlight w:val="none"/>
        </w:rPr>
        <w:t>节能产品政府采购品目清单</w:t>
      </w:r>
    </w:p>
    <w:tbl>
      <w:tblPr>
        <w:tblStyle w:val="49"/>
        <w:tblW w:w="10205" w:type="dxa"/>
        <w:jc w:val="center"/>
        <w:tblLayout w:type="fixed"/>
        <w:tblCellMar>
          <w:top w:w="0" w:type="dxa"/>
          <w:left w:w="0" w:type="dxa"/>
          <w:bottom w:w="0" w:type="dxa"/>
          <w:right w:w="0" w:type="dxa"/>
        </w:tblCellMar>
      </w:tblPr>
      <w:tblGrid>
        <w:gridCol w:w="715"/>
        <w:gridCol w:w="1589"/>
        <w:gridCol w:w="1986"/>
        <w:gridCol w:w="2007"/>
        <w:gridCol w:w="3908"/>
      </w:tblGrid>
      <w:tr w14:paraId="466EC429">
        <w:tblPrEx>
          <w:tblCellMar>
            <w:top w:w="0" w:type="dxa"/>
            <w:left w:w="0" w:type="dxa"/>
            <w:bottom w:w="0" w:type="dxa"/>
            <w:right w:w="0" w:type="dxa"/>
          </w:tblCellMar>
        </w:tblPrEx>
        <w:trPr>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3FFB2655">
            <w:pPr>
              <w:pStyle w:val="109"/>
              <w:spacing w:before="124" w:line="283" w:lineRule="auto"/>
              <w:ind w:left="7" w:right="4"/>
              <w:jc w:val="center"/>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品目序号</w:t>
            </w:r>
          </w:p>
        </w:tc>
        <w:tc>
          <w:tcPr>
            <w:tcW w:w="558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60B064E">
            <w:pPr>
              <w:pStyle w:val="109"/>
              <w:spacing w:before="124" w:line="283" w:lineRule="auto"/>
              <w:ind w:left="7" w:right="4"/>
              <w:jc w:val="center"/>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名称</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095CF00B">
            <w:pPr>
              <w:pStyle w:val="109"/>
              <w:spacing w:before="124" w:line="283" w:lineRule="auto"/>
              <w:ind w:left="7" w:right="4"/>
              <w:jc w:val="center"/>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依据的标准</w:t>
            </w:r>
          </w:p>
        </w:tc>
      </w:tr>
      <w:tr w14:paraId="5EB65A67">
        <w:tblPrEx>
          <w:tblCellMar>
            <w:top w:w="0" w:type="dxa"/>
            <w:left w:w="0" w:type="dxa"/>
            <w:bottom w:w="0" w:type="dxa"/>
            <w:right w:w="0" w:type="dxa"/>
          </w:tblCellMar>
        </w:tblPrEx>
        <w:trPr>
          <w:jc w:val="center"/>
        </w:trPr>
        <w:tc>
          <w:tcPr>
            <w:tcW w:w="7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575966">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1</w:t>
            </w:r>
          </w:p>
        </w:tc>
        <w:tc>
          <w:tcPr>
            <w:tcW w:w="15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C552CA">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A020101计算机设备</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5EA73763">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★A02010104台式计算机</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18D1FD4B">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44018023">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《微型计算机能效限定值及能效等级》（GB28380）</w:t>
            </w:r>
          </w:p>
        </w:tc>
      </w:tr>
      <w:tr w14:paraId="3A422DDE">
        <w:tblPrEx>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6455C7">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F9DE17">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0F9E82E7">
            <w:pPr>
              <w:pStyle w:val="109"/>
              <w:spacing w:before="44" w:line="283" w:lineRule="auto"/>
              <w:ind w:left="7" w:right="5"/>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★A02010105便携式计算机</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5E7DCE76">
            <w:pPr>
              <w:jc w:val="center"/>
              <w:rPr>
                <w:rFonts w:hint="eastAsia" w:ascii="仿宋" w:hAnsi="仿宋" w:eastAsia="仿宋" w:cs="宋体"/>
                <w:kern w:val="0"/>
                <w:szCs w:val="21"/>
                <w:highlight w:val="none"/>
                <w:lang w:eastAsia="en-US"/>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579D60EA">
            <w:pPr>
              <w:pStyle w:val="109"/>
              <w:spacing w:before="4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《微型计算机能效限定值及能效等级》（GB28380）</w:t>
            </w:r>
          </w:p>
        </w:tc>
      </w:tr>
      <w:tr w14:paraId="6380654F">
        <w:tblPrEx>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458601">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ED4646">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3106D58A">
            <w:pPr>
              <w:pStyle w:val="109"/>
              <w:spacing w:before="64" w:line="283" w:lineRule="auto"/>
              <w:ind w:left="7" w:right="5"/>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★A02010107平板式微型计算机</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40455C8A">
            <w:pPr>
              <w:jc w:val="center"/>
              <w:rPr>
                <w:rFonts w:hint="eastAsia" w:ascii="仿宋" w:hAnsi="仿宋" w:eastAsia="仿宋" w:cs="宋体"/>
                <w:kern w:val="0"/>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4CC0F883">
            <w:pPr>
              <w:pStyle w:val="109"/>
              <w:spacing w:before="6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《微型计算机能效限定值及能效等级》（GB28380）</w:t>
            </w:r>
          </w:p>
        </w:tc>
      </w:tr>
      <w:tr w14:paraId="75084EA1">
        <w:tblPrEx>
          <w:tblCellMar>
            <w:top w:w="0" w:type="dxa"/>
            <w:left w:w="0" w:type="dxa"/>
            <w:bottom w:w="0" w:type="dxa"/>
            <w:right w:w="0" w:type="dxa"/>
          </w:tblCellMar>
        </w:tblPrEx>
        <w:trPr>
          <w:jc w:val="center"/>
        </w:trPr>
        <w:tc>
          <w:tcPr>
            <w:tcW w:w="7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4BA173">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2</w:t>
            </w:r>
          </w:p>
        </w:tc>
        <w:tc>
          <w:tcPr>
            <w:tcW w:w="15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EA33C6">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A020106输入输出设备</w:t>
            </w:r>
          </w:p>
        </w:tc>
        <w:tc>
          <w:tcPr>
            <w:tcW w:w="19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8066E5">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A02010601打印设备</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506268EF">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A0201060101喷墨打</w:t>
            </w:r>
          </w:p>
          <w:p w14:paraId="7F2903C9">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印机</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53F6105E">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《复印机、打印机和传真机能效限定值及能效等级》（GB21521）</w:t>
            </w:r>
          </w:p>
        </w:tc>
      </w:tr>
      <w:tr w14:paraId="7DA15E18">
        <w:tblPrEx>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462F5C">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C2B9DD">
            <w:pPr>
              <w:widowControl/>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225E1E">
            <w:pPr>
              <w:widowControl/>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0C45B417">
            <w:pPr>
              <w:pStyle w:val="109"/>
              <w:spacing w:before="52"/>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★A0201060102激光</w:t>
            </w:r>
          </w:p>
          <w:p w14:paraId="6565DF47">
            <w:pPr>
              <w:pStyle w:val="109"/>
              <w:spacing w:before="50"/>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打印机</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26298A02">
            <w:pPr>
              <w:pStyle w:val="109"/>
              <w:spacing w:before="52"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《复印机、打印机和传真机能效限定值及能效等级》（GB21521）</w:t>
            </w:r>
          </w:p>
        </w:tc>
      </w:tr>
      <w:tr w14:paraId="6370A9B1">
        <w:tblPrEx>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B4F34F">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D72DA6">
            <w:pPr>
              <w:widowControl/>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76B2EE">
            <w:pPr>
              <w:widowControl/>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4B8B488B">
            <w:pPr>
              <w:pStyle w:val="109"/>
              <w:spacing w:before="52"/>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★A0201060104针式</w:t>
            </w:r>
          </w:p>
          <w:p w14:paraId="44E98834">
            <w:pPr>
              <w:pStyle w:val="109"/>
              <w:spacing w:before="50"/>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打印机</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07C99C34">
            <w:pPr>
              <w:pStyle w:val="109"/>
              <w:spacing w:before="52"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《复印机、打印机和传真机能效限定值及能效等级》（GB21521）</w:t>
            </w:r>
          </w:p>
        </w:tc>
      </w:tr>
      <w:tr w14:paraId="42E5A817">
        <w:tblPrEx>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0AFD25">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FCD580">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2C9F459A">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A02010604显示设备</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6B59F32">
            <w:pPr>
              <w:pStyle w:val="109"/>
              <w:spacing w:before="68"/>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★A0201060401液晶</w:t>
            </w:r>
          </w:p>
          <w:p w14:paraId="3CDA2FB7">
            <w:pPr>
              <w:pStyle w:val="109"/>
              <w:spacing w:before="50"/>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显示器</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2D19CA51">
            <w:pPr>
              <w:pStyle w:val="109"/>
              <w:spacing w:before="68"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《计算机显示器能效限定值及能效等级》（GB21520）</w:t>
            </w:r>
          </w:p>
        </w:tc>
      </w:tr>
      <w:tr w14:paraId="4631638F">
        <w:tblPrEx>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641A61">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7BF0D2">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1ECAFA17">
            <w:pPr>
              <w:pStyle w:val="109"/>
              <w:spacing w:line="283" w:lineRule="auto"/>
              <w:ind w:right="5"/>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A02010609图形图像输入设备</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3B1D018B">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A0201060901扫描仪</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42CB2580">
            <w:pPr>
              <w:pStyle w:val="109"/>
              <w:spacing w:before="49"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参照《复印机、打印机和传真机能效限定值及能效等级》（GB21521</w:t>
            </w:r>
          </w:p>
          <w:p w14:paraId="0C7594B4">
            <w:pPr>
              <w:pStyle w:val="109"/>
              <w:spacing w:before="12" w:line="283" w:lineRule="auto"/>
              <w:ind w:left="7" w:right="5"/>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中打印速度为15页/分的针式打印机相关要求</w:t>
            </w:r>
          </w:p>
        </w:tc>
      </w:tr>
      <w:tr w14:paraId="353126C7">
        <w:tblPrEx>
          <w:tblCellMar>
            <w:top w:w="0" w:type="dxa"/>
            <w:left w:w="0" w:type="dxa"/>
            <w:bottom w:w="0" w:type="dxa"/>
            <w:right w:w="0" w:type="dxa"/>
          </w:tblCellMar>
        </w:tblPrEx>
        <w:trPr>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025D65D3">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3</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4A3608A3">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A020202投影仪</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230849FF">
            <w:pPr>
              <w:pStyle w:val="109"/>
              <w:spacing w:before="124" w:line="283" w:lineRule="auto"/>
              <w:ind w:left="7" w:right="4"/>
              <w:jc w:val="center"/>
              <w:rPr>
                <w:rFonts w:hint="eastAsia" w:ascii="仿宋" w:hAnsi="仿宋" w:eastAsia="仿宋" w:cs="宋体"/>
                <w:sz w:val="21"/>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5975E9DC">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6482ADAC">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《投影机能效限定值及能效等级</w:t>
            </w:r>
          </w:p>
          <w:p w14:paraId="1D9151AA">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（GB32028）</w:t>
            </w:r>
          </w:p>
        </w:tc>
      </w:tr>
      <w:tr w14:paraId="0DE261E4">
        <w:tblPrEx>
          <w:tblCellMar>
            <w:top w:w="0" w:type="dxa"/>
            <w:left w:w="0" w:type="dxa"/>
            <w:bottom w:w="0" w:type="dxa"/>
            <w:right w:w="0" w:type="dxa"/>
          </w:tblCellMar>
        </w:tblPrEx>
        <w:trPr>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35701D0B">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4</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3E575E02">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A020204多功能一体机</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41F62884">
            <w:pPr>
              <w:pStyle w:val="109"/>
              <w:spacing w:before="124" w:line="283" w:lineRule="auto"/>
              <w:ind w:left="7" w:right="4"/>
              <w:jc w:val="center"/>
              <w:rPr>
                <w:rFonts w:hint="eastAsia" w:ascii="仿宋" w:hAnsi="仿宋" w:eastAsia="仿宋" w:cs="宋体"/>
                <w:sz w:val="21"/>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7DC35A3">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5A2A5267">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《复印机、打印机和传真机能效限定值及能效等级》（GB21521）</w:t>
            </w:r>
          </w:p>
        </w:tc>
      </w:tr>
      <w:tr w14:paraId="748E8F8C">
        <w:tblPrEx>
          <w:tblCellMar>
            <w:top w:w="0" w:type="dxa"/>
            <w:left w:w="0" w:type="dxa"/>
            <w:bottom w:w="0" w:type="dxa"/>
            <w:right w:w="0" w:type="dxa"/>
          </w:tblCellMar>
        </w:tblPrEx>
        <w:trPr>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796410F2">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5</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3775B25E">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A020519泵</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2C76BF61">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A02051901离心泵</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3D44245E">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192534C7">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《清水离心泵能效限定值及节能评价值》（GB19762）</w:t>
            </w:r>
          </w:p>
        </w:tc>
      </w:tr>
      <w:tr w14:paraId="6A447073">
        <w:tblPrEx>
          <w:tblCellMar>
            <w:top w:w="0" w:type="dxa"/>
            <w:left w:w="0" w:type="dxa"/>
            <w:bottom w:w="0" w:type="dxa"/>
            <w:right w:w="0" w:type="dxa"/>
          </w:tblCellMar>
        </w:tblPrEx>
        <w:trPr>
          <w:jc w:val="center"/>
        </w:trPr>
        <w:tc>
          <w:tcPr>
            <w:tcW w:w="7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3A9C4D">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6</w:t>
            </w:r>
          </w:p>
        </w:tc>
        <w:tc>
          <w:tcPr>
            <w:tcW w:w="15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9E15C5">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A020523制冷空调设备</w:t>
            </w:r>
          </w:p>
        </w:tc>
        <w:tc>
          <w:tcPr>
            <w:tcW w:w="19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172DE2">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★A02052301制冷压缩机</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10428170">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冷水机组</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7FD5EB6A">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《冷水机组能效限定值及能效等级》（GB19577），《低环境温度空气源热泵（冷水）机组能效限定值及能效等级》（GB37480）</w:t>
            </w:r>
          </w:p>
        </w:tc>
      </w:tr>
      <w:tr w14:paraId="541D7FD6">
        <w:tblPrEx>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161E2C">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B3B099">
            <w:pPr>
              <w:widowControl/>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16DE6D">
            <w:pPr>
              <w:widowControl/>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2F5D633">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水源热泵机组</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28AD1015">
            <w:pPr>
              <w:pStyle w:val="109"/>
              <w:spacing w:before="52"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《水（地）源热泵机组能效限定值及能效等级》（GB30721）</w:t>
            </w:r>
          </w:p>
        </w:tc>
      </w:tr>
      <w:tr w14:paraId="329F861F">
        <w:tblPrEx>
          <w:tblCellMar>
            <w:top w:w="0" w:type="dxa"/>
            <w:left w:w="0" w:type="dxa"/>
            <w:bottom w:w="0" w:type="dxa"/>
            <w:right w:w="0" w:type="dxa"/>
          </w:tblCellMar>
        </w:tblPrEx>
        <w:trPr>
          <w:trHeight w:val="647" w:hRule="atLeast"/>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2ECCD6">
            <w:pPr>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E83A0D">
            <w:pPr>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AC17C2">
            <w:pPr>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71D1B43D">
            <w:pPr>
              <w:pStyle w:val="109"/>
              <w:spacing w:before="93"/>
              <w:ind w:lef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溴化锂吸收式冷水机组</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34CD7864">
            <w:pPr>
              <w:pStyle w:val="109"/>
              <w:spacing w:before="93"/>
              <w:ind w:lef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《溴化锂吸收式冷水机组能效限定值及能效等级》（GB29540）</w:t>
            </w:r>
          </w:p>
        </w:tc>
      </w:tr>
      <w:tr w14:paraId="094703DA">
        <w:tblPrEx>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F92855">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A4F305">
            <w:pPr>
              <w:widowControl/>
              <w:jc w:val="center"/>
              <w:rPr>
                <w:rFonts w:hint="eastAsia" w:ascii="仿宋" w:hAnsi="仿宋" w:eastAsia="仿宋" w:cs="宋体"/>
                <w:kern w:val="0"/>
                <w:szCs w:val="21"/>
                <w:highlight w:val="none"/>
              </w:rPr>
            </w:pPr>
          </w:p>
        </w:tc>
        <w:tc>
          <w:tcPr>
            <w:tcW w:w="19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E419F8D">
            <w:pPr>
              <w:pStyle w:val="109"/>
              <w:spacing w:line="283" w:lineRule="auto"/>
              <w:ind w:right="5"/>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★A02052305空调机组</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EF6AFAA">
            <w:pPr>
              <w:pStyle w:val="109"/>
              <w:spacing w:before="4"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多联式空调（热泵）机组(制冷量&gt;14000W)</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1207CC57">
            <w:pPr>
              <w:pStyle w:val="109"/>
              <w:spacing w:before="160"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《多联式空调（热泵）机组能效限定值及能源效率等级》（GB21454</w:t>
            </w:r>
          </w:p>
        </w:tc>
      </w:tr>
      <w:tr w14:paraId="0AD040B8">
        <w:tblPrEx>
          <w:tblCellMar>
            <w:top w:w="0" w:type="dxa"/>
            <w:left w:w="0" w:type="dxa"/>
            <w:bottom w:w="0" w:type="dxa"/>
            <w:right w:w="0" w:type="dxa"/>
          </w:tblCellMar>
        </w:tblPrEx>
        <w:trPr>
          <w:trHeight w:val="241" w:hRule="atLeast"/>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37FD6C">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20C44E">
            <w:pPr>
              <w:widowControl/>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FF7063">
            <w:pPr>
              <w:widowControl/>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69A8F208">
            <w:pPr>
              <w:pStyle w:val="109"/>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单元式空气调节机</w:t>
            </w:r>
          </w:p>
          <w:p w14:paraId="39849497">
            <w:pPr>
              <w:pStyle w:val="109"/>
              <w:spacing w:line="256" w:lineRule="exact"/>
              <w:ind w:lef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(制冷量&gt;14000W)</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0E7EC9D2">
            <w:pPr>
              <w:pStyle w:val="109"/>
              <w:spacing w:before="9"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《单元式空气调节机能效限定值及能效等级》（GB19576）《风管送风式空调机组能效限定值及能效等级》（GB37479）</w:t>
            </w:r>
          </w:p>
        </w:tc>
      </w:tr>
      <w:tr w14:paraId="78E71DFF">
        <w:tblPrEx>
          <w:tblCellMar>
            <w:top w:w="0" w:type="dxa"/>
            <w:left w:w="0" w:type="dxa"/>
            <w:bottom w:w="0" w:type="dxa"/>
            <w:right w:w="0" w:type="dxa"/>
          </w:tblCellMar>
        </w:tblPrEx>
        <w:trPr>
          <w:trHeight w:val="637" w:hRule="atLeast"/>
          <w:jc w:val="center"/>
        </w:trPr>
        <w:tc>
          <w:tcPr>
            <w:tcW w:w="715" w:type="dxa"/>
            <w:vMerge w:val="continue"/>
            <w:tcBorders>
              <w:top w:val="single" w:color="auto" w:sz="4" w:space="0"/>
              <w:left w:val="single" w:color="auto" w:sz="4" w:space="0"/>
              <w:right w:val="single" w:color="auto" w:sz="4" w:space="0"/>
            </w:tcBorders>
            <w:shd w:val="clear" w:color="auto" w:fill="auto"/>
            <w:vAlign w:val="center"/>
          </w:tcPr>
          <w:p w14:paraId="20ABBF8A">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right w:val="single" w:color="auto" w:sz="4" w:space="0"/>
            </w:tcBorders>
            <w:shd w:val="clear" w:color="auto" w:fill="auto"/>
            <w:vAlign w:val="center"/>
          </w:tcPr>
          <w:p w14:paraId="551D0851">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right w:val="single" w:color="auto" w:sz="4" w:space="0"/>
            </w:tcBorders>
            <w:shd w:val="clear" w:color="auto" w:fill="auto"/>
            <w:vAlign w:val="center"/>
          </w:tcPr>
          <w:p w14:paraId="70B57B99">
            <w:pPr>
              <w:pStyle w:val="109"/>
              <w:spacing w:before="83"/>
              <w:ind w:lef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★A02052309专用制冷、空调设备</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0B62D31E">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机房空调</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7B0DA559">
            <w:pPr>
              <w:pStyle w:val="109"/>
              <w:spacing w:before="83"/>
              <w:ind w:lef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《单元式空气调节机能效限定值及能效等级》（GB19576）</w:t>
            </w:r>
          </w:p>
        </w:tc>
      </w:tr>
      <w:tr w14:paraId="5A0BE443">
        <w:tblPrEx>
          <w:tblCellMar>
            <w:top w:w="0" w:type="dxa"/>
            <w:left w:w="0" w:type="dxa"/>
            <w:bottom w:w="0" w:type="dxa"/>
            <w:right w:w="0" w:type="dxa"/>
          </w:tblCellMar>
        </w:tblPrEx>
        <w:trPr>
          <w:trHeight w:val="1070" w:hRule="atLeast"/>
          <w:jc w:val="center"/>
        </w:trPr>
        <w:tc>
          <w:tcPr>
            <w:tcW w:w="715" w:type="dxa"/>
            <w:vMerge w:val="continue"/>
            <w:tcBorders>
              <w:left w:val="single" w:color="auto" w:sz="4" w:space="0"/>
              <w:right w:val="single" w:color="auto" w:sz="4" w:space="0"/>
            </w:tcBorders>
            <w:shd w:val="clear" w:color="auto" w:fill="auto"/>
            <w:vAlign w:val="center"/>
          </w:tcPr>
          <w:p w14:paraId="3172D369">
            <w:pPr>
              <w:widowControl/>
              <w:jc w:val="center"/>
              <w:rPr>
                <w:rFonts w:hint="eastAsia" w:ascii="仿宋" w:hAnsi="仿宋" w:eastAsia="仿宋" w:cs="宋体"/>
                <w:kern w:val="0"/>
                <w:szCs w:val="21"/>
                <w:highlight w:val="none"/>
              </w:rPr>
            </w:pPr>
          </w:p>
        </w:tc>
        <w:tc>
          <w:tcPr>
            <w:tcW w:w="1589" w:type="dxa"/>
            <w:vMerge w:val="continue"/>
            <w:tcBorders>
              <w:left w:val="single" w:color="auto" w:sz="4" w:space="0"/>
              <w:right w:val="single" w:color="auto" w:sz="4" w:space="0"/>
            </w:tcBorders>
            <w:shd w:val="clear" w:color="auto" w:fill="auto"/>
            <w:vAlign w:val="center"/>
          </w:tcPr>
          <w:p w14:paraId="3FB350C8">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right w:val="single" w:color="auto" w:sz="4" w:space="0"/>
            </w:tcBorders>
            <w:shd w:val="clear" w:color="auto" w:fill="auto"/>
            <w:vAlign w:val="center"/>
          </w:tcPr>
          <w:p w14:paraId="700BBED6">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A02052399其他制冷空调设备</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0E11F318">
            <w:pPr>
              <w:pStyle w:val="109"/>
              <w:spacing w:before="16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冷却塔</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3095A7B9">
            <w:pPr>
              <w:pStyle w:val="109"/>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《机械通风冷却塔第1部分：中小型开式冷却塔》（GB/T7190.1）</w:t>
            </w:r>
          </w:p>
          <w:p w14:paraId="1795FC0F">
            <w:pPr>
              <w:pStyle w:val="109"/>
              <w:spacing w:line="256" w:lineRule="exact"/>
              <w:ind w:lef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《机械通风冷却塔第2部分：大型开式冷却塔》（GB/T7190.2</w:t>
            </w:r>
          </w:p>
        </w:tc>
      </w:tr>
      <w:tr w14:paraId="4EF8FAA2">
        <w:tblPrEx>
          <w:tblCellMar>
            <w:top w:w="0" w:type="dxa"/>
            <w:left w:w="0" w:type="dxa"/>
            <w:bottom w:w="0" w:type="dxa"/>
            <w:right w:w="0" w:type="dxa"/>
          </w:tblCellMar>
        </w:tblPrEx>
        <w:trPr>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623C8CDB">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7</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3D7F746F">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A020601电机</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3DA7F980">
            <w:pPr>
              <w:pStyle w:val="109"/>
              <w:spacing w:before="124" w:line="283" w:lineRule="auto"/>
              <w:ind w:left="7" w:right="4"/>
              <w:jc w:val="center"/>
              <w:rPr>
                <w:rFonts w:hint="eastAsia" w:ascii="仿宋" w:hAnsi="仿宋" w:eastAsia="仿宋" w:cs="宋体"/>
                <w:sz w:val="21"/>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36FAEA59">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7856FC1E">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《中小型三相异步电动机能效限定值及能效等级》（GB18613）</w:t>
            </w:r>
          </w:p>
        </w:tc>
      </w:tr>
      <w:tr w14:paraId="4B82F8E2">
        <w:tblPrEx>
          <w:tblCellMar>
            <w:top w:w="0" w:type="dxa"/>
            <w:left w:w="0" w:type="dxa"/>
            <w:bottom w:w="0" w:type="dxa"/>
            <w:right w:w="0" w:type="dxa"/>
          </w:tblCellMar>
        </w:tblPrEx>
        <w:trPr>
          <w:trHeight w:val="558" w:hRule="atLeast"/>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3BFE911E">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8</w:t>
            </w:r>
          </w:p>
        </w:tc>
        <w:tc>
          <w:tcPr>
            <w:tcW w:w="1589" w:type="dxa"/>
            <w:tcBorders>
              <w:top w:val="single" w:color="auto" w:sz="4" w:space="0"/>
              <w:left w:val="single" w:color="auto" w:sz="4" w:space="0"/>
              <w:right w:val="single" w:color="auto" w:sz="4" w:space="0"/>
            </w:tcBorders>
            <w:shd w:val="clear" w:color="auto" w:fill="auto"/>
            <w:vAlign w:val="center"/>
          </w:tcPr>
          <w:p w14:paraId="54AB6A12">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A020602变压器</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66669703">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配电变压器</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0FB27A14">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22929427">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《三相配电变压器能效限定值及能效等级》（GB20052）</w:t>
            </w:r>
          </w:p>
        </w:tc>
      </w:tr>
      <w:tr w14:paraId="2F53A2DE">
        <w:tblPrEx>
          <w:tblCellMar>
            <w:top w:w="0" w:type="dxa"/>
            <w:left w:w="0" w:type="dxa"/>
            <w:bottom w:w="0" w:type="dxa"/>
            <w:right w:w="0" w:type="dxa"/>
          </w:tblCellMar>
        </w:tblPrEx>
        <w:trPr>
          <w:trHeight w:val="660" w:hRule="atLeast"/>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03668EDD">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9</w:t>
            </w:r>
          </w:p>
        </w:tc>
        <w:tc>
          <w:tcPr>
            <w:tcW w:w="1589" w:type="dxa"/>
            <w:tcBorders>
              <w:top w:val="single" w:color="auto" w:sz="4" w:space="0"/>
              <w:left w:val="single" w:color="auto" w:sz="4" w:space="0"/>
              <w:right w:val="single" w:color="auto" w:sz="4" w:space="0"/>
            </w:tcBorders>
            <w:shd w:val="clear" w:color="auto" w:fill="auto"/>
            <w:vAlign w:val="center"/>
          </w:tcPr>
          <w:p w14:paraId="1008467C">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★A020609镇流器</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1DB3A8F3">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管型荧光灯镇流器</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1F02B65C">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10ABB0B6">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《管形荧光灯镇流器能效限定值及能效等级》（GB17896）</w:t>
            </w:r>
          </w:p>
        </w:tc>
      </w:tr>
      <w:tr w14:paraId="1AA8D4D9">
        <w:tblPrEx>
          <w:tblCellMar>
            <w:top w:w="0" w:type="dxa"/>
            <w:left w:w="0" w:type="dxa"/>
            <w:bottom w:w="0" w:type="dxa"/>
            <w:right w:w="0" w:type="dxa"/>
          </w:tblCellMar>
        </w:tblPrEx>
        <w:trPr>
          <w:trHeight w:val="562" w:hRule="atLeast"/>
          <w:jc w:val="center"/>
        </w:trPr>
        <w:tc>
          <w:tcPr>
            <w:tcW w:w="715" w:type="dxa"/>
            <w:vMerge w:val="restart"/>
            <w:tcBorders>
              <w:top w:val="single" w:color="auto" w:sz="4" w:space="0"/>
              <w:left w:val="single" w:color="auto" w:sz="4" w:space="0"/>
              <w:right w:val="single" w:color="auto" w:sz="4" w:space="0"/>
            </w:tcBorders>
            <w:shd w:val="clear" w:color="auto" w:fill="auto"/>
            <w:vAlign w:val="center"/>
          </w:tcPr>
          <w:p w14:paraId="6002D03B">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10</w:t>
            </w:r>
          </w:p>
        </w:tc>
        <w:tc>
          <w:tcPr>
            <w:tcW w:w="1589" w:type="dxa"/>
            <w:vMerge w:val="restart"/>
            <w:tcBorders>
              <w:top w:val="single" w:color="auto" w:sz="4" w:space="0"/>
              <w:left w:val="single" w:color="auto" w:sz="4" w:space="0"/>
              <w:right w:val="single" w:color="auto" w:sz="4" w:space="0"/>
            </w:tcBorders>
            <w:shd w:val="clear" w:color="auto" w:fill="auto"/>
            <w:vAlign w:val="center"/>
          </w:tcPr>
          <w:p w14:paraId="632842E6">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A020618生活用电器</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1995AC46">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A0206180101电冰箱</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7306B5D4">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1A5A8D92">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《家用电冰箱耗电量限定值及能效等级》（GB12021.2）</w:t>
            </w:r>
          </w:p>
        </w:tc>
      </w:tr>
      <w:tr w14:paraId="54C6AEEA">
        <w:tblPrEx>
          <w:tblCellMar>
            <w:top w:w="0" w:type="dxa"/>
            <w:left w:w="0" w:type="dxa"/>
            <w:bottom w:w="0" w:type="dxa"/>
            <w:right w:w="0" w:type="dxa"/>
          </w:tblCellMar>
        </w:tblPrEx>
        <w:trPr>
          <w:trHeight w:val="1496" w:hRule="atLeast"/>
          <w:jc w:val="center"/>
        </w:trPr>
        <w:tc>
          <w:tcPr>
            <w:tcW w:w="715" w:type="dxa"/>
            <w:vMerge w:val="continue"/>
            <w:tcBorders>
              <w:left w:val="single" w:color="auto" w:sz="4" w:space="0"/>
              <w:right w:val="single" w:color="auto" w:sz="4" w:space="0"/>
            </w:tcBorders>
            <w:shd w:val="clear" w:color="auto" w:fill="auto"/>
            <w:vAlign w:val="center"/>
          </w:tcPr>
          <w:p w14:paraId="777D4420">
            <w:pPr>
              <w:widowControl/>
              <w:jc w:val="center"/>
              <w:rPr>
                <w:rFonts w:hint="eastAsia" w:ascii="仿宋" w:hAnsi="仿宋" w:eastAsia="仿宋" w:cs="宋体"/>
                <w:kern w:val="0"/>
                <w:szCs w:val="21"/>
                <w:highlight w:val="none"/>
              </w:rPr>
            </w:pPr>
          </w:p>
        </w:tc>
        <w:tc>
          <w:tcPr>
            <w:tcW w:w="1589" w:type="dxa"/>
            <w:vMerge w:val="continue"/>
            <w:tcBorders>
              <w:left w:val="single" w:color="auto" w:sz="4" w:space="0"/>
              <w:right w:val="single" w:color="auto" w:sz="4" w:space="0"/>
            </w:tcBorders>
            <w:shd w:val="clear" w:color="auto" w:fill="auto"/>
            <w:vAlign w:val="center"/>
          </w:tcPr>
          <w:p w14:paraId="53F52C7E">
            <w:pPr>
              <w:widowControl/>
              <w:jc w:val="center"/>
              <w:rPr>
                <w:rFonts w:hint="eastAsia" w:ascii="仿宋" w:hAnsi="仿宋" w:eastAsia="仿宋" w:cs="宋体"/>
                <w:kern w:val="0"/>
                <w:szCs w:val="21"/>
                <w:highlight w:val="none"/>
              </w:rPr>
            </w:pPr>
          </w:p>
        </w:tc>
        <w:tc>
          <w:tcPr>
            <w:tcW w:w="19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F066D1">
            <w:pPr>
              <w:pStyle w:val="109"/>
              <w:spacing w:before="171"/>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★A0206180203空调</w:t>
            </w:r>
          </w:p>
          <w:p w14:paraId="350DFA80">
            <w:pPr>
              <w:pStyle w:val="109"/>
              <w:spacing w:before="50"/>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机</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17327B86">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房间空气调节器</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399C5056">
            <w:pPr>
              <w:pStyle w:val="109"/>
              <w:spacing w:before="4"/>
              <w:ind w:lef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《转速可控型房间空气调节器能效限定值及能效等级》（GB21455-2013），待2019年修订发布后，按《房间空气调节器能效限定值及能效等级》（GB21455-2019）实施。</w:t>
            </w:r>
          </w:p>
        </w:tc>
      </w:tr>
      <w:tr w14:paraId="419B74E7">
        <w:tblPrEx>
          <w:tblCellMar>
            <w:top w:w="0" w:type="dxa"/>
            <w:left w:w="0" w:type="dxa"/>
            <w:bottom w:w="0" w:type="dxa"/>
            <w:right w:w="0" w:type="dxa"/>
          </w:tblCellMar>
        </w:tblPrEx>
        <w:trPr>
          <w:jc w:val="center"/>
        </w:trPr>
        <w:tc>
          <w:tcPr>
            <w:tcW w:w="715" w:type="dxa"/>
            <w:vMerge w:val="continue"/>
            <w:tcBorders>
              <w:left w:val="single" w:color="auto" w:sz="4" w:space="0"/>
              <w:right w:val="single" w:color="auto" w:sz="4" w:space="0"/>
            </w:tcBorders>
            <w:shd w:val="clear" w:color="auto" w:fill="auto"/>
            <w:vAlign w:val="center"/>
          </w:tcPr>
          <w:p w14:paraId="57DF3A59">
            <w:pPr>
              <w:widowControl/>
              <w:jc w:val="center"/>
              <w:rPr>
                <w:rFonts w:hint="eastAsia" w:ascii="仿宋" w:hAnsi="仿宋" w:eastAsia="仿宋" w:cs="宋体"/>
                <w:kern w:val="0"/>
                <w:szCs w:val="21"/>
                <w:highlight w:val="none"/>
              </w:rPr>
            </w:pPr>
          </w:p>
        </w:tc>
        <w:tc>
          <w:tcPr>
            <w:tcW w:w="1589" w:type="dxa"/>
            <w:vMerge w:val="continue"/>
            <w:tcBorders>
              <w:left w:val="single" w:color="auto" w:sz="4" w:space="0"/>
              <w:right w:val="single" w:color="auto" w:sz="4" w:space="0"/>
            </w:tcBorders>
            <w:shd w:val="clear" w:color="auto" w:fill="auto"/>
            <w:vAlign w:val="center"/>
          </w:tcPr>
          <w:p w14:paraId="16C4B139">
            <w:pPr>
              <w:widowControl/>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6A2DD9">
            <w:pPr>
              <w:widowControl/>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FF55118">
            <w:pPr>
              <w:pStyle w:val="109"/>
              <w:spacing w:before="4"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多联式空调（热泵）机组（制冷量≤14000W）</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13864D8B">
            <w:pPr>
              <w:pStyle w:val="109"/>
              <w:spacing w:before="160"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《多联式空调（热泵）机组能效限定值及能源效率等级》（GB21454</w:t>
            </w:r>
          </w:p>
        </w:tc>
      </w:tr>
      <w:tr w14:paraId="62EA8C70">
        <w:tblPrEx>
          <w:tblCellMar>
            <w:top w:w="0" w:type="dxa"/>
            <w:left w:w="0" w:type="dxa"/>
            <w:bottom w:w="0" w:type="dxa"/>
            <w:right w:w="0" w:type="dxa"/>
          </w:tblCellMar>
        </w:tblPrEx>
        <w:trPr>
          <w:trHeight w:val="512" w:hRule="atLeast"/>
          <w:jc w:val="center"/>
        </w:trPr>
        <w:tc>
          <w:tcPr>
            <w:tcW w:w="715" w:type="dxa"/>
            <w:vMerge w:val="continue"/>
            <w:tcBorders>
              <w:left w:val="single" w:color="auto" w:sz="4" w:space="0"/>
              <w:right w:val="single" w:color="auto" w:sz="4" w:space="0"/>
            </w:tcBorders>
            <w:shd w:val="clear" w:color="auto" w:fill="auto"/>
            <w:vAlign w:val="center"/>
          </w:tcPr>
          <w:p w14:paraId="709190A1">
            <w:pPr>
              <w:widowControl/>
              <w:jc w:val="center"/>
              <w:rPr>
                <w:rFonts w:hint="eastAsia" w:ascii="仿宋" w:hAnsi="仿宋" w:eastAsia="仿宋" w:cs="宋体"/>
                <w:kern w:val="0"/>
                <w:szCs w:val="21"/>
                <w:highlight w:val="none"/>
              </w:rPr>
            </w:pPr>
          </w:p>
        </w:tc>
        <w:tc>
          <w:tcPr>
            <w:tcW w:w="1589" w:type="dxa"/>
            <w:vMerge w:val="continue"/>
            <w:tcBorders>
              <w:left w:val="single" w:color="auto" w:sz="4" w:space="0"/>
              <w:right w:val="single" w:color="auto" w:sz="4" w:space="0"/>
            </w:tcBorders>
            <w:shd w:val="clear" w:color="auto" w:fill="auto"/>
            <w:vAlign w:val="center"/>
          </w:tcPr>
          <w:p w14:paraId="4785EB06">
            <w:pPr>
              <w:widowControl/>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36E2C1">
            <w:pPr>
              <w:widowControl/>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434CBC4E">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单元式空气调节机</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7A9D7B97">
            <w:pPr>
              <w:pStyle w:val="109"/>
              <w:spacing w:before="4"/>
              <w:ind w:lef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《单元式空气调节机能效限定值及能源效率等级》（GB19576）《风</w:t>
            </w:r>
          </w:p>
        </w:tc>
      </w:tr>
      <w:tr w14:paraId="754408FD">
        <w:tblPrEx>
          <w:tblCellMar>
            <w:top w:w="0" w:type="dxa"/>
            <w:left w:w="0" w:type="dxa"/>
            <w:bottom w:w="0" w:type="dxa"/>
            <w:right w:w="0" w:type="dxa"/>
          </w:tblCellMar>
        </w:tblPrEx>
        <w:trPr>
          <w:trHeight w:val="492" w:hRule="atLeast"/>
          <w:jc w:val="center"/>
        </w:trPr>
        <w:tc>
          <w:tcPr>
            <w:tcW w:w="715" w:type="dxa"/>
            <w:vMerge w:val="continue"/>
            <w:tcBorders>
              <w:left w:val="single" w:color="auto" w:sz="4" w:space="0"/>
              <w:right w:val="single" w:color="auto" w:sz="4" w:space="0"/>
            </w:tcBorders>
            <w:shd w:val="clear" w:color="auto" w:fill="auto"/>
            <w:vAlign w:val="center"/>
          </w:tcPr>
          <w:p w14:paraId="71BC7932">
            <w:pPr>
              <w:widowControl/>
              <w:jc w:val="center"/>
              <w:rPr>
                <w:rFonts w:hint="eastAsia" w:ascii="仿宋" w:hAnsi="仿宋" w:eastAsia="仿宋" w:cs="宋体"/>
                <w:kern w:val="0"/>
                <w:szCs w:val="21"/>
                <w:highlight w:val="none"/>
              </w:rPr>
            </w:pPr>
          </w:p>
        </w:tc>
        <w:tc>
          <w:tcPr>
            <w:tcW w:w="1589" w:type="dxa"/>
            <w:vMerge w:val="continue"/>
            <w:tcBorders>
              <w:left w:val="single" w:color="auto" w:sz="4" w:space="0"/>
              <w:right w:val="single" w:color="auto" w:sz="4" w:space="0"/>
            </w:tcBorders>
            <w:shd w:val="clear" w:color="auto" w:fill="auto"/>
            <w:vAlign w:val="center"/>
          </w:tcPr>
          <w:p w14:paraId="6228BB03">
            <w:pPr>
              <w:widowControl/>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18AD1A">
            <w:pPr>
              <w:widowControl/>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52E67EDB">
            <w:pPr>
              <w:pStyle w:val="109"/>
              <w:spacing w:line="256" w:lineRule="exact"/>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(制冷量≤14000W)</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6FCE3CD0">
            <w:pPr>
              <w:pStyle w:val="109"/>
              <w:spacing w:line="256" w:lineRule="exact"/>
              <w:ind w:lef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管送风式空调机组能效限定值及能效等级》（GB37479）</w:t>
            </w:r>
          </w:p>
        </w:tc>
      </w:tr>
      <w:tr w14:paraId="7E8EFBBE">
        <w:tblPrEx>
          <w:tblCellMar>
            <w:top w:w="0" w:type="dxa"/>
            <w:left w:w="0" w:type="dxa"/>
            <w:bottom w:w="0" w:type="dxa"/>
            <w:right w:w="0" w:type="dxa"/>
          </w:tblCellMar>
        </w:tblPrEx>
        <w:trPr>
          <w:jc w:val="center"/>
        </w:trPr>
        <w:tc>
          <w:tcPr>
            <w:tcW w:w="715" w:type="dxa"/>
            <w:vMerge w:val="continue"/>
            <w:tcBorders>
              <w:left w:val="single" w:color="auto" w:sz="4" w:space="0"/>
              <w:right w:val="single" w:color="auto" w:sz="4" w:space="0"/>
            </w:tcBorders>
            <w:shd w:val="clear" w:color="auto" w:fill="auto"/>
            <w:vAlign w:val="center"/>
          </w:tcPr>
          <w:p w14:paraId="6592C75C">
            <w:pPr>
              <w:widowControl/>
              <w:jc w:val="center"/>
              <w:rPr>
                <w:rFonts w:hint="eastAsia" w:ascii="仿宋" w:hAnsi="仿宋" w:eastAsia="仿宋" w:cs="宋体"/>
                <w:kern w:val="0"/>
                <w:szCs w:val="21"/>
                <w:highlight w:val="none"/>
              </w:rPr>
            </w:pPr>
          </w:p>
        </w:tc>
        <w:tc>
          <w:tcPr>
            <w:tcW w:w="1589" w:type="dxa"/>
            <w:vMerge w:val="continue"/>
            <w:tcBorders>
              <w:left w:val="single" w:color="auto" w:sz="4" w:space="0"/>
              <w:right w:val="single" w:color="auto" w:sz="4" w:space="0"/>
            </w:tcBorders>
            <w:shd w:val="clear" w:color="auto" w:fill="auto"/>
            <w:vAlign w:val="center"/>
          </w:tcPr>
          <w:p w14:paraId="6C8BF96B">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3A3B0077">
            <w:pPr>
              <w:pStyle w:val="109"/>
              <w:spacing w:before="162"/>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A0206180301洗衣机</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79BF0BA7">
            <w:pPr>
              <w:jc w:val="center"/>
              <w:rPr>
                <w:rFonts w:hint="eastAsia" w:ascii="仿宋" w:hAnsi="仿宋" w:eastAsia="仿宋" w:cs="宋体"/>
                <w:kern w:val="0"/>
                <w:szCs w:val="21"/>
                <w:highlight w:val="none"/>
                <w:lang w:eastAsia="en-US"/>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3934F0F5">
            <w:pPr>
              <w:pStyle w:val="109"/>
              <w:spacing w:before="6"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《电动洗衣机能效水效限定值及等级》（GB12021.4）</w:t>
            </w:r>
          </w:p>
        </w:tc>
      </w:tr>
      <w:tr w14:paraId="32482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tcBorders>
              <w:left w:val="single" w:color="auto" w:sz="4" w:space="0"/>
              <w:right w:val="single" w:color="auto" w:sz="4" w:space="0"/>
            </w:tcBorders>
            <w:shd w:val="clear" w:color="auto" w:fill="auto"/>
            <w:vAlign w:val="center"/>
          </w:tcPr>
          <w:p w14:paraId="7CFC5EFC">
            <w:pPr>
              <w:jc w:val="center"/>
              <w:rPr>
                <w:rFonts w:hint="eastAsia" w:ascii="仿宋" w:hAnsi="仿宋" w:eastAsia="仿宋" w:cs="宋体"/>
                <w:kern w:val="0"/>
                <w:szCs w:val="21"/>
                <w:highlight w:val="none"/>
              </w:rPr>
            </w:pPr>
          </w:p>
        </w:tc>
        <w:tc>
          <w:tcPr>
            <w:tcW w:w="1589" w:type="dxa"/>
            <w:vMerge w:val="continue"/>
            <w:tcBorders>
              <w:left w:val="single" w:color="auto" w:sz="4" w:space="0"/>
              <w:right w:val="single" w:color="auto" w:sz="4" w:space="0"/>
            </w:tcBorders>
            <w:shd w:val="clear" w:color="auto" w:fill="auto"/>
            <w:vAlign w:val="center"/>
          </w:tcPr>
          <w:p w14:paraId="169D241B">
            <w:pPr>
              <w:jc w:val="center"/>
              <w:rPr>
                <w:rFonts w:hint="eastAsia" w:ascii="仿宋" w:hAnsi="仿宋" w:eastAsia="仿宋" w:cs="宋体"/>
                <w:kern w:val="0"/>
                <w:szCs w:val="21"/>
                <w:highlight w:val="none"/>
              </w:rPr>
            </w:pPr>
          </w:p>
        </w:tc>
        <w:tc>
          <w:tcPr>
            <w:tcW w:w="19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CDEF8CA">
            <w:pPr>
              <w:pStyle w:val="109"/>
              <w:spacing w:before="161"/>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A02061808热水器</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7FACD695">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★电热水器</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2D9BDE96">
            <w:pPr>
              <w:pStyle w:val="109"/>
              <w:tabs>
                <w:tab w:val="left" w:pos="1608"/>
              </w:tabs>
              <w:spacing w:before="52"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《储水式电热水器能效限定值及能效等级》（GB21519）</w:t>
            </w:r>
          </w:p>
        </w:tc>
      </w:tr>
      <w:tr w14:paraId="2E36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tcBorders>
              <w:left w:val="single" w:color="auto" w:sz="4" w:space="0"/>
              <w:right w:val="single" w:color="auto" w:sz="4" w:space="0"/>
            </w:tcBorders>
            <w:shd w:val="clear" w:color="auto" w:fill="auto"/>
            <w:vAlign w:val="center"/>
          </w:tcPr>
          <w:p w14:paraId="0CFA4CD4">
            <w:pPr>
              <w:widowControl/>
              <w:jc w:val="center"/>
              <w:rPr>
                <w:rFonts w:hint="eastAsia" w:ascii="仿宋" w:hAnsi="仿宋" w:eastAsia="仿宋" w:cs="宋体"/>
                <w:kern w:val="0"/>
                <w:szCs w:val="21"/>
                <w:highlight w:val="none"/>
              </w:rPr>
            </w:pPr>
          </w:p>
        </w:tc>
        <w:tc>
          <w:tcPr>
            <w:tcW w:w="1589" w:type="dxa"/>
            <w:vMerge w:val="continue"/>
            <w:tcBorders>
              <w:left w:val="single" w:color="auto" w:sz="4" w:space="0"/>
              <w:right w:val="single" w:color="auto" w:sz="4" w:space="0"/>
            </w:tcBorders>
            <w:shd w:val="clear" w:color="auto" w:fill="auto"/>
            <w:vAlign w:val="center"/>
          </w:tcPr>
          <w:p w14:paraId="131EC8AC">
            <w:pPr>
              <w:widowControl/>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D39912">
            <w:pPr>
              <w:widowControl/>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74F02F1B">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燃气热水器</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08F172EE">
            <w:pPr>
              <w:pStyle w:val="109"/>
              <w:spacing w:before="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《家用燃气快速热水器和燃气采暖热水炉能效限定值及能效等级》</w:t>
            </w:r>
          </w:p>
          <w:p w14:paraId="002291C4">
            <w:pPr>
              <w:pStyle w:val="109"/>
              <w:spacing w:before="12"/>
              <w:ind w:left="7"/>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（GB20665）</w:t>
            </w:r>
          </w:p>
        </w:tc>
      </w:tr>
      <w:tr w14:paraId="57A5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tcBorders>
              <w:left w:val="single" w:color="auto" w:sz="4" w:space="0"/>
              <w:right w:val="single" w:color="auto" w:sz="4" w:space="0"/>
            </w:tcBorders>
            <w:shd w:val="clear" w:color="auto" w:fill="auto"/>
            <w:vAlign w:val="center"/>
          </w:tcPr>
          <w:p w14:paraId="06ECFA46">
            <w:pPr>
              <w:widowControl/>
              <w:jc w:val="center"/>
              <w:rPr>
                <w:rFonts w:hint="eastAsia" w:ascii="仿宋" w:hAnsi="仿宋" w:eastAsia="仿宋" w:cs="宋体"/>
                <w:kern w:val="0"/>
                <w:szCs w:val="21"/>
                <w:highlight w:val="none"/>
                <w:lang w:eastAsia="en-US"/>
              </w:rPr>
            </w:pPr>
          </w:p>
        </w:tc>
        <w:tc>
          <w:tcPr>
            <w:tcW w:w="1589" w:type="dxa"/>
            <w:vMerge w:val="continue"/>
            <w:tcBorders>
              <w:left w:val="single" w:color="auto" w:sz="4" w:space="0"/>
              <w:right w:val="single" w:color="auto" w:sz="4" w:space="0"/>
            </w:tcBorders>
            <w:shd w:val="clear" w:color="auto" w:fill="auto"/>
            <w:vAlign w:val="center"/>
          </w:tcPr>
          <w:p w14:paraId="189009B7">
            <w:pPr>
              <w:widowControl/>
              <w:jc w:val="center"/>
              <w:rPr>
                <w:rFonts w:hint="eastAsia" w:ascii="仿宋" w:hAnsi="仿宋" w:eastAsia="仿宋" w:cs="宋体"/>
                <w:kern w:val="0"/>
                <w:szCs w:val="21"/>
                <w:highlight w:val="none"/>
                <w:lang w:eastAsia="en-US"/>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7D8426">
            <w:pPr>
              <w:widowControl/>
              <w:jc w:val="center"/>
              <w:rPr>
                <w:rFonts w:hint="eastAsia" w:ascii="仿宋" w:hAnsi="仿宋" w:eastAsia="仿宋" w:cs="宋体"/>
                <w:kern w:val="0"/>
                <w:szCs w:val="21"/>
                <w:highlight w:val="none"/>
                <w:lang w:eastAsia="en-US"/>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67CD28DE">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热泵热水器</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4E94F681">
            <w:pPr>
              <w:pStyle w:val="109"/>
              <w:spacing w:before="93"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《热泵热水机（器）能效限定值及能效等级》（GB29541）</w:t>
            </w:r>
          </w:p>
        </w:tc>
      </w:tr>
      <w:tr w14:paraId="61CB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tcBorders>
              <w:left w:val="single" w:color="auto" w:sz="4" w:space="0"/>
              <w:bottom w:val="single" w:color="auto" w:sz="4" w:space="0"/>
              <w:right w:val="single" w:color="auto" w:sz="4" w:space="0"/>
            </w:tcBorders>
            <w:shd w:val="clear" w:color="auto" w:fill="auto"/>
            <w:vAlign w:val="center"/>
          </w:tcPr>
          <w:p w14:paraId="312317B7">
            <w:pPr>
              <w:widowControl/>
              <w:jc w:val="center"/>
              <w:rPr>
                <w:rFonts w:hint="eastAsia" w:ascii="仿宋" w:hAnsi="仿宋" w:eastAsia="仿宋" w:cs="宋体"/>
                <w:kern w:val="0"/>
                <w:szCs w:val="21"/>
                <w:highlight w:val="none"/>
              </w:rPr>
            </w:pPr>
          </w:p>
        </w:tc>
        <w:tc>
          <w:tcPr>
            <w:tcW w:w="1589" w:type="dxa"/>
            <w:vMerge w:val="continue"/>
            <w:tcBorders>
              <w:left w:val="single" w:color="auto" w:sz="4" w:space="0"/>
              <w:bottom w:val="single" w:color="auto" w:sz="4" w:space="0"/>
              <w:right w:val="single" w:color="auto" w:sz="4" w:space="0"/>
            </w:tcBorders>
            <w:shd w:val="clear" w:color="auto" w:fill="auto"/>
            <w:vAlign w:val="center"/>
          </w:tcPr>
          <w:p w14:paraId="54459C6B">
            <w:pPr>
              <w:widowControl/>
              <w:jc w:val="center"/>
              <w:rPr>
                <w:rFonts w:hint="eastAsia" w:ascii="仿宋" w:hAnsi="仿宋" w:eastAsia="仿宋" w:cs="宋体"/>
                <w:kern w:val="0"/>
                <w:szCs w:val="21"/>
                <w:highlight w:val="none"/>
              </w:rPr>
            </w:pPr>
          </w:p>
        </w:tc>
        <w:tc>
          <w:tcPr>
            <w:tcW w:w="19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D69635">
            <w:pPr>
              <w:widowControl/>
              <w:jc w:val="center"/>
              <w:rPr>
                <w:rFonts w:hint="eastAsia" w:ascii="仿宋" w:hAnsi="仿宋" w:eastAsia="仿宋" w:cs="宋体"/>
                <w:kern w:val="0"/>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192E948B">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太阳能热水系统</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68D9F661">
            <w:pPr>
              <w:pStyle w:val="109"/>
              <w:spacing w:before="52"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《家用太阳能热水系统能效限定值及能效等级》（GB26969）</w:t>
            </w:r>
          </w:p>
        </w:tc>
      </w:tr>
      <w:tr w14:paraId="1DC8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FBDA01">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11</w:t>
            </w:r>
          </w:p>
        </w:tc>
        <w:tc>
          <w:tcPr>
            <w:tcW w:w="15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75A8B8">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A020619照明设备</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4DE31E0F">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★普通照明用双端荧光灯</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60AA34B8">
            <w:pPr>
              <w:pStyle w:val="109"/>
              <w:spacing w:before="124" w:line="283" w:lineRule="auto"/>
              <w:ind w:left="7" w:right="4"/>
              <w:jc w:val="center"/>
              <w:rPr>
                <w:rFonts w:hint="eastAsia" w:ascii="仿宋" w:hAnsi="仿宋" w:eastAsia="仿宋" w:cs="宋体"/>
                <w:sz w:val="21"/>
                <w:szCs w:val="21"/>
                <w:highlight w:val="none"/>
                <w:lang w:eastAsia="zh-CN"/>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773FF960">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《普通照明用双端荧光灯能效限定值及能效等级》（GB19043）</w:t>
            </w:r>
          </w:p>
        </w:tc>
      </w:tr>
      <w:tr w14:paraId="58B1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9067FA">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723FE0">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5106C858">
            <w:pPr>
              <w:pStyle w:val="109"/>
              <w:spacing w:before="92" w:line="283" w:lineRule="auto"/>
              <w:ind w:left="7" w:right="2"/>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LED道路/隧道照明产品</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6C52CBE9">
            <w:pPr>
              <w:jc w:val="center"/>
              <w:rPr>
                <w:rFonts w:hint="eastAsia" w:ascii="仿宋" w:hAnsi="仿宋" w:eastAsia="仿宋" w:cs="宋体"/>
                <w:kern w:val="0"/>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59999F07">
            <w:pPr>
              <w:pStyle w:val="109"/>
              <w:spacing w:before="92"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《道路和隧道照明用LED灯具能效限定值及能效等级》（GB37478</w:t>
            </w:r>
          </w:p>
        </w:tc>
      </w:tr>
      <w:tr w14:paraId="676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B2702B">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2641A5">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44075970">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LED筒灯</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08AEDD77">
            <w:pPr>
              <w:jc w:val="center"/>
              <w:rPr>
                <w:rFonts w:hint="eastAsia" w:ascii="仿宋" w:hAnsi="仿宋" w:eastAsia="仿宋" w:cs="宋体"/>
                <w:kern w:val="0"/>
                <w:szCs w:val="21"/>
                <w:highlight w:val="none"/>
                <w:lang w:eastAsia="en-US"/>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18E4DE60">
            <w:pPr>
              <w:pStyle w:val="109"/>
              <w:spacing w:before="83" w:line="283" w:lineRule="auto"/>
              <w:ind w:left="7"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《室内照明用LED产品能效限定值及能效等级》（GB30255）</w:t>
            </w:r>
          </w:p>
        </w:tc>
      </w:tr>
      <w:tr w14:paraId="51D4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047F6E">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312D6D">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42C4D845">
            <w:pPr>
              <w:pStyle w:val="109"/>
              <w:spacing w:line="283" w:lineRule="auto"/>
              <w:ind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普通照明用非定向自镇流LED灯</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40C0B7DF">
            <w:pPr>
              <w:jc w:val="center"/>
              <w:rPr>
                <w:rFonts w:hint="eastAsia" w:ascii="仿宋" w:hAnsi="仿宋" w:eastAsia="仿宋" w:cs="宋体"/>
                <w:kern w:val="0"/>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47C2ABDF">
            <w:pPr>
              <w:pStyle w:val="109"/>
              <w:spacing w:line="283" w:lineRule="auto"/>
              <w:ind w:right="7"/>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《室内照明用LED产品能效限定值及能效等级》（GB30255）</w:t>
            </w:r>
          </w:p>
        </w:tc>
      </w:tr>
      <w:tr w14:paraId="123D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4A7FAAEE">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12</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636F0400">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★A020910电视设备</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5DAF1B60">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A02091001普通电视设备（电视机）</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7A80DF70">
            <w:pPr>
              <w:pStyle w:val="109"/>
              <w:spacing w:before="124" w:line="283" w:lineRule="auto"/>
              <w:ind w:left="7" w:right="4"/>
              <w:jc w:val="center"/>
              <w:rPr>
                <w:rFonts w:hint="eastAsia" w:ascii="仿宋" w:hAnsi="仿宋" w:eastAsia="仿宋" w:cs="宋体"/>
                <w:sz w:val="21"/>
                <w:szCs w:val="21"/>
                <w:highlight w:val="none"/>
                <w:lang w:eastAsia="zh-CN"/>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25C2B65E">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《平板电视能效限定值及能效等级》（GB24850）</w:t>
            </w:r>
          </w:p>
        </w:tc>
      </w:tr>
      <w:tr w14:paraId="782F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644B465E">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13</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2621A7B2">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★A020911视频设备</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20BDCDF6">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A02091107视频监控设备</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F61CECD">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监视器</w:t>
            </w: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3AD7F86A">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1DA0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3EDAD0F6">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14</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27A19CD0">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A031210饮食炊事机械</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2F824A86">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商用燃气灶具</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BB48743">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4F6E0BE6">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《商用燃气灶具能效限定值及能效等级》（GB30531）</w:t>
            </w:r>
          </w:p>
        </w:tc>
      </w:tr>
      <w:tr w14:paraId="4A51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E41D6D">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15</w:t>
            </w:r>
          </w:p>
        </w:tc>
        <w:tc>
          <w:tcPr>
            <w:tcW w:w="15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D36F40">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★A060805便器</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4A6FE401">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坐便器</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764FE992">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749920DF">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《坐便器水效限定值及水效等级》</w:t>
            </w:r>
          </w:p>
          <w:p w14:paraId="39F9C918">
            <w:pPr>
              <w:pStyle w:val="109"/>
              <w:spacing w:before="124" w:line="283" w:lineRule="auto"/>
              <w:ind w:left="7" w:right="4"/>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（GB25502）</w:t>
            </w:r>
          </w:p>
        </w:tc>
      </w:tr>
      <w:tr w14:paraId="74D3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3E6B8A">
            <w:pPr>
              <w:widowControl/>
              <w:jc w:val="center"/>
              <w:rPr>
                <w:rFonts w:hint="eastAsia" w:ascii="仿宋" w:hAnsi="仿宋" w:eastAsia="仿宋" w:cs="宋体"/>
                <w:kern w:val="0"/>
                <w:szCs w:val="21"/>
                <w:highlight w:val="none"/>
                <w:lang w:eastAsia="en-US"/>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D048C0">
            <w:pPr>
              <w:widowControl/>
              <w:jc w:val="center"/>
              <w:rPr>
                <w:rFonts w:hint="eastAsia" w:ascii="仿宋" w:hAnsi="仿宋" w:eastAsia="仿宋" w:cs="宋体"/>
                <w:kern w:val="0"/>
                <w:szCs w:val="21"/>
                <w:highlight w:val="none"/>
                <w:lang w:eastAsia="en-US"/>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5C96D31F">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蹲便器</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0086C97C">
            <w:pPr>
              <w:jc w:val="center"/>
              <w:rPr>
                <w:rFonts w:hint="eastAsia" w:ascii="仿宋" w:hAnsi="仿宋" w:eastAsia="仿宋" w:cs="宋体"/>
                <w:kern w:val="0"/>
                <w:szCs w:val="21"/>
                <w:highlight w:val="none"/>
                <w:lang w:eastAsia="en-US"/>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6811B4C9">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《蹲便器用水效率限定值及用水效率等级》（GB30717）</w:t>
            </w:r>
          </w:p>
        </w:tc>
      </w:tr>
      <w:tr w14:paraId="13AA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566518">
            <w:pPr>
              <w:widowControl/>
              <w:jc w:val="center"/>
              <w:rPr>
                <w:rFonts w:hint="eastAsia" w:ascii="仿宋" w:hAnsi="仿宋" w:eastAsia="仿宋" w:cs="宋体"/>
                <w:kern w:val="0"/>
                <w:szCs w:val="21"/>
                <w:highlight w:val="none"/>
              </w:rPr>
            </w:pPr>
          </w:p>
        </w:tc>
        <w:tc>
          <w:tcPr>
            <w:tcW w:w="15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126FDD">
            <w:pPr>
              <w:widowControl/>
              <w:jc w:val="center"/>
              <w:rPr>
                <w:rFonts w:hint="eastAsia" w:ascii="仿宋" w:hAnsi="仿宋" w:eastAsia="仿宋" w:cs="宋体"/>
                <w:kern w:val="0"/>
                <w:szCs w:val="21"/>
                <w:highlight w:val="none"/>
              </w:rPr>
            </w:pP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76AD729A">
            <w:pPr>
              <w:pStyle w:val="109"/>
              <w:jc w:val="center"/>
              <w:rPr>
                <w:rFonts w:hint="eastAsia" w:ascii="仿宋" w:hAnsi="仿宋" w:eastAsia="仿宋" w:cs="宋体"/>
                <w:sz w:val="21"/>
                <w:szCs w:val="21"/>
                <w:highlight w:val="none"/>
              </w:rPr>
            </w:pPr>
            <w:r>
              <w:rPr>
                <w:rFonts w:hint="eastAsia" w:ascii="仿宋" w:hAnsi="仿宋" w:eastAsia="仿宋" w:cs="宋体"/>
                <w:sz w:val="21"/>
                <w:szCs w:val="21"/>
                <w:highlight w:val="none"/>
              </w:rPr>
              <w:t>小便器</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20D97AB8">
            <w:pPr>
              <w:jc w:val="center"/>
              <w:rPr>
                <w:rFonts w:hint="eastAsia" w:ascii="仿宋" w:hAnsi="仿宋" w:eastAsia="仿宋" w:cs="宋体"/>
                <w:kern w:val="0"/>
                <w:szCs w:val="21"/>
                <w:highlight w:val="none"/>
                <w:lang w:eastAsia="en-US"/>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5B29779D">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《小便器用水效率限定值及用水效率等级》（GB28377）</w:t>
            </w:r>
          </w:p>
        </w:tc>
      </w:tr>
      <w:tr w14:paraId="7E1E92D0">
        <w:tblPrEx>
          <w:tblCellMar>
            <w:top w:w="0" w:type="dxa"/>
            <w:left w:w="0" w:type="dxa"/>
            <w:bottom w:w="0" w:type="dxa"/>
            <w:right w:w="0" w:type="dxa"/>
          </w:tblCellMar>
        </w:tblPrEx>
        <w:trPr>
          <w:trHeight w:val="90" w:hRule="atLeast"/>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1E96B004">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16</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00367B4A">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★A060806水嘴</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3BF5FAC6">
            <w:pPr>
              <w:pStyle w:val="109"/>
              <w:spacing w:before="124" w:line="283" w:lineRule="auto"/>
              <w:ind w:left="7" w:right="4"/>
              <w:jc w:val="center"/>
              <w:rPr>
                <w:rFonts w:hint="eastAsia" w:ascii="仿宋" w:hAnsi="仿宋" w:eastAsia="仿宋" w:cs="宋体"/>
                <w:sz w:val="21"/>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6CA5172F">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70765782">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《水嘴用水效率限定值及用水效率等级》（GB 25501）</w:t>
            </w:r>
          </w:p>
        </w:tc>
      </w:tr>
      <w:tr w14:paraId="5628FB26">
        <w:tblPrEx>
          <w:tblCellMar>
            <w:top w:w="0" w:type="dxa"/>
            <w:left w:w="0" w:type="dxa"/>
            <w:bottom w:w="0" w:type="dxa"/>
            <w:right w:w="0" w:type="dxa"/>
          </w:tblCellMar>
        </w:tblPrEx>
        <w:trPr>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360DAF84">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17</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781548B8">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A060807便器冲洗阀</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541F5615">
            <w:pPr>
              <w:pStyle w:val="109"/>
              <w:spacing w:before="124" w:line="283" w:lineRule="auto"/>
              <w:ind w:left="7" w:right="4"/>
              <w:jc w:val="center"/>
              <w:rPr>
                <w:rFonts w:hint="eastAsia" w:ascii="仿宋" w:hAnsi="仿宋" w:eastAsia="仿宋" w:cs="宋体"/>
                <w:sz w:val="21"/>
                <w:szCs w:val="21"/>
                <w:highlight w:val="none"/>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0B5FE3B7">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2AE259F8">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《便器冲洗阀用水效率限定值及用水效率等级》（GB28379）</w:t>
            </w:r>
          </w:p>
        </w:tc>
      </w:tr>
      <w:tr w14:paraId="3AD64A3E">
        <w:tblPrEx>
          <w:tblCellMar>
            <w:top w:w="0" w:type="dxa"/>
            <w:left w:w="0" w:type="dxa"/>
            <w:bottom w:w="0" w:type="dxa"/>
            <w:right w:w="0" w:type="dxa"/>
          </w:tblCellMar>
        </w:tblPrEx>
        <w:trPr>
          <w:trHeight w:val="902" w:hRule="exact"/>
          <w:jc w:val="center"/>
        </w:trPr>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50527087">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18</w:t>
            </w:r>
          </w:p>
        </w:tc>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14:paraId="7AA57C53">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A060810淋浴器</w:t>
            </w:r>
          </w:p>
        </w:tc>
        <w:tc>
          <w:tcPr>
            <w:tcW w:w="1986" w:type="dxa"/>
            <w:tcBorders>
              <w:top w:val="single" w:color="auto" w:sz="4" w:space="0"/>
              <w:left w:val="single" w:color="auto" w:sz="4" w:space="0"/>
              <w:bottom w:val="single" w:color="auto" w:sz="4" w:space="0"/>
              <w:right w:val="single" w:color="auto" w:sz="4" w:space="0"/>
            </w:tcBorders>
            <w:shd w:val="clear" w:color="auto" w:fill="auto"/>
            <w:vAlign w:val="center"/>
          </w:tcPr>
          <w:p w14:paraId="1FC2394A">
            <w:pPr>
              <w:pStyle w:val="109"/>
              <w:spacing w:before="124" w:line="283" w:lineRule="auto"/>
              <w:ind w:left="7" w:right="4"/>
              <w:jc w:val="center"/>
              <w:rPr>
                <w:rFonts w:hint="eastAsia" w:ascii="仿宋" w:hAnsi="仿宋" w:eastAsia="仿宋" w:cs="宋体"/>
                <w:sz w:val="21"/>
                <w:szCs w:val="21"/>
                <w:highlight w:val="none"/>
                <w:lang w:eastAsia="zh-CN"/>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0F89306E">
            <w:pPr>
              <w:pStyle w:val="109"/>
              <w:spacing w:before="124" w:line="283" w:lineRule="auto"/>
              <w:ind w:left="7" w:right="4"/>
              <w:jc w:val="center"/>
              <w:rPr>
                <w:rFonts w:hint="eastAsia" w:ascii="仿宋" w:hAnsi="仿宋" w:eastAsia="仿宋" w:cs="宋体"/>
                <w:sz w:val="21"/>
                <w:szCs w:val="21"/>
                <w:highlight w:val="none"/>
              </w:rPr>
            </w:pPr>
          </w:p>
        </w:tc>
        <w:tc>
          <w:tcPr>
            <w:tcW w:w="3908" w:type="dxa"/>
            <w:tcBorders>
              <w:top w:val="single" w:color="auto" w:sz="4" w:space="0"/>
              <w:left w:val="single" w:color="auto" w:sz="4" w:space="0"/>
              <w:bottom w:val="single" w:color="auto" w:sz="4" w:space="0"/>
              <w:right w:val="single" w:color="auto" w:sz="4" w:space="0"/>
            </w:tcBorders>
            <w:shd w:val="clear" w:color="auto" w:fill="auto"/>
            <w:vAlign w:val="center"/>
          </w:tcPr>
          <w:p w14:paraId="61264BAE">
            <w:pPr>
              <w:pStyle w:val="109"/>
              <w:spacing w:before="124" w:line="283" w:lineRule="auto"/>
              <w:ind w:left="7" w:right="4"/>
              <w:jc w:val="center"/>
              <w:rPr>
                <w:rFonts w:hint="eastAsia" w:ascii="仿宋" w:hAnsi="仿宋" w:eastAsia="仿宋" w:cs="宋体"/>
                <w:sz w:val="21"/>
                <w:szCs w:val="21"/>
                <w:highlight w:val="none"/>
                <w:lang w:eastAsia="zh-CN"/>
              </w:rPr>
            </w:pPr>
            <w:r>
              <w:rPr>
                <w:rFonts w:hint="eastAsia" w:ascii="仿宋" w:hAnsi="仿宋" w:eastAsia="仿宋" w:cs="宋体"/>
                <w:sz w:val="21"/>
                <w:szCs w:val="21"/>
                <w:highlight w:val="none"/>
                <w:lang w:eastAsia="zh-CN"/>
              </w:rPr>
              <w:t>《淋浴器用水效率限定值及用水效率等级》（GB28378）</w:t>
            </w:r>
          </w:p>
        </w:tc>
      </w:tr>
    </w:tbl>
    <w:p w14:paraId="3EF0EA28">
      <w:pPr>
        <w:pStyle w:val="18"/>
        <w:rPr>
          <w:rFonts w:hint="eastAsia"/>
          <w:highlight w:val="none"/>
        </w:rPr>
      </w:pPr>
      <w:r>
        <w:rPr>
          <w:rFonts w:hint="eastAsia"/>
          <w:highlight w:val="none"/>
        </w:rPr>
        <w:t>注：1.节能产品认证应依据相关国家标准的最新版本，依据国家标准中二级能效（水效）指标。</w:t>
      </w:r>
    </w:p>
    <w:p w14:paraId="036A2F49">
      <w:pPr>
        <w:pStyle w:val="18"/>
        <w:rPr>
          <w:rFonts w:hint="eastAsia"/>
          <w:highlight w:val="none"/>
        </w:rPr>
      </w:pPr>
      <w:r>
        <w:rPr>
          <w:rFonts w:hint="eastAsia"/>
          <w:highlight w:val="none"/>
        </w:rPr>
        <w:t xml:space="preserve">    2.本表</w:t>
      </w:r>
      <w:r>
        <w:rPr>
          <w:highlight w:val="none"/>
        </w:rPr>
        <w:t>中</w:t>
      </w:r>
      <w:r>
        <w:rPr>
          <w:rFonts w:hint="eastAsia"/>
          <w:highlight w:val="none"/>
        </w:rPr>
        <w:t>标注“</w:t>
      </w:r>
      <w:bookmarkStart w:id="47" w:name="OLE_LINK9"/>
      <w:r>
        <w:rPr>
          <w:rFonts w:hint="eastAsia"/>
          <w:highlight w:val="none"/>
        </w:rPr>
        <w:t>★</w:t>
      </w:r>
      <w:bookmarkEnd w:id="47"/>
      <w:r>
        <w:rPr>
          <w:rFonts w:hint="eastAsia"/>
          <w:highlight w:val="none"/>
        </w:rPr>
        <w:t>”号为政府强制采购的节能产品。</w:t>
      </w:r>
    </w:p>
    <w:p w14:paraId="740EA6D3">
      <w:pPr>
        <w:spacing w:line="360" w:lineRule="auto"/>
        <w:jc w:val="left"/>
        <w:rPr>
          <w:rFonts w:hint="eastAsia" w:ascii="仿宋" w:hAnsi="仿宋" w:eastAsia="仿宋" w:cs="Arial"/>
          <w:b/>
          <w:bCs/>
          <w:sz w:val="24"/>
          <w:highlight w:val="none"/>
        </w:rPr>
      </w:pPr>
    </w:p>
    <w:p w14:paraId="27E30EAA">
      <w:pPr>
        <w:spacing w:line="360" w:lineRule="auto"/>
        <w:jc w:val="left"/>
        <w:rPr>
          <w:rFonts w:hint="eastAsia" w:ascii="仿宋" w:hAnsi="仿宋" w:eastAsia="仿宋" w:cs="Arial"/>
          <w:b/>
          <w:bCs/>
          <w:sz w:val="24"/>
          <w:highlight w:val="none"/>
        </w:rPr>
      </w:pPr>
    </w:p>
    <w:p w14:paraId="3D6D9A63">
      <w:pPr>
        <w:spacing w:line="360" w:lineRule="auto"/>
        <w:jc w:val="left"/>
        <w:rPr>
          <w:rFonts w:hint="eastAsia" w:ascii="仿宋" w:hAnsi="仿宋" w:eastAsia="仿宋" w:cs="Arial"/>
          <w:b/>
          <w:bCs/>
          <w:sz w:val="24"/>
          <w:highlight w:val="none"/>
        </w:rPr>
      </w:pPr>
    </w:p>
    <w:p w14:paraId="6E8B7816">
      <w:pPr>
        <w:spacing w:line="360" w:lineRule="auto"/>
        <w:jc w:val="left"/>
        <w:rPr>
          <w:rFonts w:hint="eastAsia" w:ascii="仿宋" w:hAnsi="仿宋" w:eastAsia="仿宋" w:cs="Arial"/>
          <w:b/>
          <w:bCs/>
          <w:sz w:val="24"/>
          <w:highlight w:val="none"/>
        </w:rPr>
      </w:pPr>
    </w:p>
    <w:p w14:paraId="1508BCD1">
      <w:pPr>
        <w:spacing w:line="360" w:lineRule="auto"/>
        <w:jc w:val="left"/>
        <w:rPr>
          <w:rFonts w:hint="eastAsia" w:ascii="仿宋" w:hAnsi="仿宋" w:eastAsia="仿宋" w:cs="Arial"/>
          <w:b/>
          <w:bCs/>
          <w:sz w:val="24"/>
          <w:highlight w:val="none"/>
        </w:rPr>
      </w:pPr>
    </w:p>
    <w:p w14:paraId="441769C2">
      <w:pPr>
        <w:spacing w:line="360" w:lineRule="auto"/>
        <w:jc w:val="left"/>
        <w:rPr>
          <w:rFonts w:hint="eastAsia" w:ascii="仿宋" w:hAnsi="仿宋" w:eastAsia="仿宋" w:cs="Arial"/>
          <w:b/>
          <w:bCs/>
          <w:sz w:val="24"/>
          <w:highlight w:val="none"/>
        </w:rPr>
      </w:pPr>
    </w:p>
    <w:p w14:paraId="3DAECED9">
      <w:pPr>
        <w:spacing w:line="360" w:lineRule="auto"/>
        <w:jc w:val="left"/>
        <w:rPr>
          <w:rFonts w:hint="eastAsia" w:ascii="仿宋" w:hAnsi="仿宋" w:eastAsia="仿宋" w:cs="Arial"/>
          <w:b/>
          <w:bCs/>
          <w:sz w:val="24"/>
          <w:highlight w:val="none"/>
        </w:rPr>
      </w:pPr>
    </w:p>
    <w:p w14:paraId="683347A2">
      <w:pPr>
        <w:spacing w:line="360" w:lineRule="auto"/>
        <w:jc w:val="left"/>
        <w:rPr>
          <w:rFonts w:hint="eastAsia" w:ascii="仿宋" w:hAnsi="仿宋" w:eastAsia="仿宋" w:cs="Arial"/>
          <w:b/>
          <w:bCs/>
          <w:sz w:val="24"/>
          <w:highlight w:val="none"/>
        </w:rPr>
      </w:pPr>
    </w:p>
    <w:p w14:paraId="254A528C">
      <w:pPr>
        <w:pStyle w:val="18"/>
        <w:rPr>
          <w:rFonts w:hint="eastAsia"/>
          <w:highlight w:val="none"/>
        </w:rPr>
      </w:pPr>
    </w:p>
    <w:p w14:paraId="4DEB8687">
      <w:pPr>
        <w:spacing w:line="360" w:lineRule="auto"/>
        <w:jc w:val="left"/>
        <w:rPr>
          <w:rFonts w:hint="eastAsia" w:ascii="仿宋" w:hAnsi="仿宋" w:eastAsia="仿宋" w:cs="Arial"/>
          <w:b/>
          <w:bCs/>
          <w:sz w:val="24"/>
          <w:highlight w:val="none"/>
        </w:rPr>
      </w:pPr>
    </w:p>
    <w:p w14:paraId="10DDC784">
      <w:pPr>
        <w:spacing w:line="320" w:lineRule="exact"/>
        <w:rPr>
          <w:rFonts w:hint="eastAsia" w:ascii="仿宋" w:hAnsi="仿宋" w:eastAsia="仿宋" w:cs="Arial"/>
          <w:bCs/>
          <w:sz w:val="32"/>
          <w:szCs w:val="32"/>
          <w:highlight w:val="none"/>
        </w:rPr>
      </w:pPr>
    </w:p>
    <w:p w14:paraId="224413CA">
      <w:pPr>
        <w:keepNext w:val="0"/>
        <w:keepLines w:val="0"/>
        <w:pageBreakBefore/>
        <w:widowControl w:val="0"/>
        <w:kinsoku/>
        <w:wordWrap/>
        <w:overflowPunct/>
        <w:topLinePunct w:val="0"/>
        <w:autoSpaceDE/>
        <w:autoSpaceDN/>
        <w:bidi w:val="0"/>
        <w:adjustRightInd/>
        <w:snapToGrid/>
        <w:spacing w:line="280" w:lineRule="exact"/>
        <w:textAlignment w:val="auto"/>
        <w:outlineLvl w:val="9"/>
        <w:rPr>
          <w:rFonts w:hint="eastAsia" w:ascii="仿宋" w:hAnsi="仿宋" w:eastAsia="仿宋" w:cs="Arial"/>
          <w:bCs/>
          <w:sz w:val="28"/>
          <w:szCs w:val="28"/>
          <w:highlight w:val="none"/>
        </w:rPr>
      </w:pPr>
      <w:r>
        <w:rPr>
          <w:rFonts w:hint="eastAsia" w:ascii="仿宋" w:hAnsi="仿宋" w:eastAsia="仿宋" w:cs="Arial"/>
          <w:bCs/>
          <w:sz w:val="28"/>
          <w:szCs w:val="28"/>
          <w:highlight w:val="none"/>
        </w:rPr>
        <w:t>附件2：</w:t>
      </w:r>
    </w:p>
    <w:bookmarkEnd w:id="44"/>
    <w:bookmarkEnd w:id="45"/>
    <w:p w14:paraId="1C3953AD">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仿宋" w:hAnsi="仿宋" w:eastAsia="仿宋" w:cs="Arial Unicode MS"/>
          <w:sz w:val="24"/>
          <w:highlight w:val="none"/>
        </w:rPr>
      </w:pPr>
      <w:r>
        <w:rPr>
          <w:rFonts w:hint="eastAsia" w:ascii="仿宋" w:hAnsi="仿宋" w:eastAsia="仿宋" w:cs="Arial Unicode MS"/>
          <w:sz w:val="24"/>
          <w:highlight w:val="none"/>
        </w:rPr>
        <w:t>中小微企业划型标准</w:t>
      </w:r>
    </w:p>
    <w:tbl>
      <w:tblPr>
        <w:tblStyle w:val="49"/>
        <w:tblW w:w="10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1502"/>
        <w:gridCol w:w="778"/>
        <w:gridCol w:w="1234"/>
        <w:gridCol w:w="1867"/>
        <w:gridCol w:w="1686"/>
        <w:gridCol w:w="966"/>
      </w:tblGrid>
      <w:tr w14:paraId="411F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tblHeader/>
          <w:jc w:val="center"/>
        </w:trPr>
        <w:tc>
          <w:tcPr>
            <w:tcW w:w="2320" w:type="dxa"/>
            <w:shd w:val="clear" w:color="auto" w:fill="FFFFFF"/>
            <w:vAlign w:val="center"/>
          </w:tcPr>
          <w:p w14:paraId="33F5D92C">
            <w:pPr>
              <w:widowControl/>
              <w:spacing w:line="240" w:lineRule="exact"/>
              <w:jc w:val="center"/>
              <w:rPr>
                <w:rFonts w:hint="eastAsia" w:ascii="仿宋" w:hAnsi="仿宋" w:eastAsia="仿宋"/>
                <w:b/>
                <w:bCs/>
                <w:kern w:val="0"/>
                <w:sz w:val="18"/>
                <w:szCs w:val="18"/>
                <w:highlight w:val="none"/>
              </w:rPr>
            </w:pPr>
            <w:r>
              <w:rPr>
                <w:rFonts w:ascii="仿宋" w:hAnsi="仿宋" w:eastAsia="仿宋"/>
                <w:b/>
                <w:bCs/>
                <w:kern w:val="0"/>
                <w:sz w:val="18"/>
                <w:szCs w:val="18"/>
                <w:highlight w:val="none"/>
              </w:rPr>
              <w:t>行业名称</w:t>
            </w:r>
          </w:p>
        </w:tc>
        <w:tc>
          <w:tcPr>
            <w:tcW w:w="1502" w:type="dxa"/>
            <w:shd w:val="clear" w:color="auto" w:fill="FFFFFF"/>
            <w:vAlign w:val="center"/>
          </w:tcPr>
          <w:p w14:paraId="7395B310">
            <w:pPr>
              <w:widowControl/>
              <w:spacing w:line="240" w:lineRule="exact"/>
              <w:jc w:val="center"/>
              <w:rPr>
                <w:rFonts w:hint="eastAsia" w:ascii="仿宋" w:hAnsi="仿宋" w:eastAsia="仿宋"/>
                <w:b/>
                <w:bCs/>
                <w:kern w:val="0"/>
                <w:sz w:val="18"/>
                <w:szCs w:val="18"/>
                <w:highlight w:val="none"/>
              </w:rPr>
            </w:pPr>
            <w:r>
              <w:rPr>
                <w:rFonts w:ascii="仿宋" w:hAnsi="仿宋" w:eastAsia="仿宋"/>
                <w:b/>
                <w:bCs/>
                <w:kern w:val="0"/>
                <w:sz w:val="18"/>
                <w:szCs w:val="18"/>
                <w:highlight w:val="none"/>
              </w:rPr>
              <w:t>指标名称</w:t>
            </w:r>
          </w:p>
        </w:tc>
        <w:tc>
          <w:tcPr>
            <w:tcW w:w="778" w:type="dxa"/>
            <w:shd w:val="clear" w:color="auto" w:fill="FFFFFF"/>
            <w:vAlign w:val="center"/>
          </w:tcPr>
          <w:p w14:paraId="2BBD2B6F">
            <w:pPr>
              <w:widowControl/>
              <w:spacing w:line="240" w:lineRule="exact"/>
              <w:jc w:val="center"/>
              <w:rPr>
                <w:rFonts w:hint="eastAsia" w:ascii="仿宋" w:hAnsi="仿宋" w:eastAsia="仿宋"/>
                <w:b/>
                <w:bCs/>
                <w:kern w:val="0"/>
                <w:sz w:val="18"/>
                <w:szCs w:val="18"/>
                <w:highlight w:val="none"/>
              </w:rPr>
            </w:pPr>
            <w:r>
              <w:rPr>
                <w:rFonts w:ascii="仿宋" w:hAnsi="仿宋" w:eastAsia="仿宋"/>
                <w:b/>
                <w:bCs/>
                <w:kern w:val="0"/>
                <w:sz w:val="18"/>
                <w:szCs w:val="18"/>
                <w:highlight w:val="none"/>
              </w:rPr>
              <w:t>计量</w:t>
            </w:r>
            <w:r>
              <w:rPr>
                <w:rFonts w:ascii="仿宋" w:hAnsi="仿宋" w:eastAsia="仿宋"/>
                <w:b/>
                <w:bCs/>
                <w:kern w:val="0"/>
                <w:sz w:val="18"/>
                <w:szCs w:val="18"/>
                <w:highlight w:val="none"/>
              </w:rPr>
              <w:br w:type="textWrapping"/>
            </w:r>
            <w:r>
              <w:rPr>
                <w:rFonts w:ascii="仿宋" w:hAnsi="仿宋" w:eastAsia="仿宋"/>
                <w:b/>
                <w:bCs/>
                <w:kern w:val="0"/>
                <w:sz w:val="18"/>
                <w:szCs w:val="18"/>
                <w:highlight w:val="none"/>
              </w:rPr>
              <w:t>单位</w:t>
            </w:r>
          </w:p>
        </w:tc>
        <w:tc>
          <w:tcPr>
            <w:tcW w:w="1234" w:type="dxa"/>
            <w:shd w:val="clear" w:color="auto" w:fill="FFFFFF"/>
            <w:vAlign w:val="center"/>
          </w:tcPr>
          <w:p w14:paraId="3ED31228">
            <w:pPr>
              <w:widowControl/>
              <w:spacing w:line="240" w:lineRule="exact"/>
              <w:jc w:val="center"/>
              <w:rPr>
                <w:rFonts w:hint="eastAsia" w:ascii="仿宋" w:hAnsi="仿宋" w:eastAsia="仿宋"/>
                <w:b/>
                <w:bCs/>
                <w:kern w:val="0"/>
                <w:sz w:val="18"/>
                <w:szCs w:val="18"/>
                <w:highlight w:val="none"/>
              </w:rPr>
            </w:pPr>
            <w:r>
              <w:rPr>
                <w:rFonts w:ascii="仿宋" w:hAnsi="仿宋" w:eastAsia="仿宋"/>
                <w:b/>
                <w:bCs/>
                <w:kern w:val="0"/>
                <w:sz w:val="18"/>
                <w:szCs w:val="18"/>
                <w:highlight w:val="none"/>
              </w:rPr>
              <w:t>大型</w:t>
            </w:r>
          </w:p>
        </w:tc>
        <w:tc>
          <w:tcPr>
            <w:tcW w:w="1867" w:type="dxa"/>
            <w:shd w:val="clear" w:color="auto" w:fill="FFFFFF"/>
            <w:vAlign w:val="center"/>
          </w:tcPr>
          <w:p w14:paraId="79100260">
            <w:pPr>
              <w:widowControl/>
              <w:spacing w:line="240" w:lineRule="exact"/>
              <w:jc w:val="center"/>
              <w:rPr>
                <w:rFonts w:hint="eastAsia" w:ascii="仿宋" w:hAnsi="仿宋" w:eastAsia="仿宋"/>
                <w:b/>
                <w:bCs/>
                <w:kern w:val="0"/>
                <w:sz w:val="18"/>
                <w:szCs w:val="18"/>
                <w:highlight w:val="none"/>
              </w:rPr>
            </w:pPr>
            <w:r>
              <w:rPr>
                <w:rFonts w:ascii="仿宋" w:hAnsi="仿宋" w:eastAsia="仿宋"/>
                <w:b/>
                <w:bCs/>
                <w:kern w:val="0"/>
                <w:sz w:val="18"/>
                <w:szCs w:val="18"/>
                <w:highlight w:val="none"/>
              </w:rPr>
              <w:t>中型</w:t>
            </w:r>
          </w:p>
        </w:tc>
        <w:tc>
          <w:tcPr>
            <w:tcW w:w="1686" w:type="dxa"/>
            <w:shd w:val="clear" w:color="auto" w:fill="FFFFFF"/>
            <w:vAlign w:val="center"/>
          </w:tcPr>
          <w:p w14:paraId="7A51E1D5">
            <w:pPr>
              <w:widowControl/>
              <w:spacing w:line="240" w:lineRule="exact"/>
              <w:jc w:val="center"/>
              <w:rPr>
                <w:rFonts w:hint="eastAsia" w:ascii="仿宋" w:hAnsi="仿宋" w:eastAsia="仿宋"/>
                <w:b/>
                <w:bCs/>
                <w:kern w:val="0"/>
                <w:sz w:val="18"/>
                <w:szCs w:val="18"/>
                <w:highlight w:val="none"/>
              </w:rPr>
            </w:pPr>
            <w:r>
              <w:rPr>
                <w:rFonts w:ascii="仿宋" w:hAnsi="仿宋" w:eastAsia="仿宋"/>
                <w:b/>
                <w:bCs/>
                <w:kern w:val="0"/>
                <w:sz w:val="18"/>
                <w:szCs w:val="18"/>
                <w:highlight w:val="none"/>
              </w:rPr>
              <w:t>小型</w:t>
            </w:r>
          </w:p>
        </w:tc>
        <w:tc>
          <w:tcPr>
            <w:tcW w:w="966" w:type="dxa"/>
            <w:shd w:val="clear" w:color="auto" w:fill="FFFFFF"/>
            <w:vAlign w:val="center"/>
          </w:tcPr>
          <w:p w14:paraId="61F87A98">
            <w:pPr>
              <w:widowControl/>
              <w:spacing w:line="240" w:lineRule="exact"/>
              <w:jc w:val="center"/>
              <w:rPr>
                <w:rFonts w:hint="eastAsia" w:ascii="仿宋" w:hAnsi="仿宋" w:eastAsia="仿宋"/>
                <w:b/>
                <w:bCs/>
                <w:kern w:val="0"/>
                <w:sz w:val="18"/>
                <w:szCs w:val="18"/>
                <w:highlight w:val="none"/>
              </w:rPr>
            </w:pPr>
            <w:r>
              <w:rPr>
                <w:rFonts w:ascii="仿宋" w:hAnsi="仿宋" w:eastAsia="仿宋"/>
                <w:b/>
                <w:bCs/>
                <w:kern w:val="0"/>
                <w:sz w:val="18"/>
                <w:szCs w:val="18"/>
                <w:highlight w:val="none"/>
              </w:rPr>
              <w:t>微型</w:t>
            </w:r>
          </w:p>
        </w:tc>
      </w:tr>
      <w:tr w14:paraId="2979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Align w:val="center"/>
          </w:tcPr>
          <w:p w14:paraId="4364D8D2">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农、林、牧、渔业</w:t>
            </w:r>
          </w:p>
        </w:tc>
        <w:tc>
          <w:tcPr>
            <w:tcW w:w="1502" w:type="dxa"/>
            <w:vAlign w:val="center"/>
          </w:tcPr>
          <w:p w14:paraId="2E7B96C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02453D5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27AC00E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Y≥20000</w:t>
            </w:r>
          </w:p>
        </w:tc>
        <w:tc>
          <w:tcPr>
            <w:tcW w:w="1867" w:type="dxa"/>
            <w:vAlign w:val="center"/>
          </w:tcPr>
          <w:p w14:paraId="0182758E">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500≤Y＜20000</w:t>
            </w:r>
          </w:p>
        </w:tc>
        <w:tc>
          <w:tcPr>
            <w:tcW w:w="1686" w:type="dxa"/>
            <w:vAlign w:val="center"/>
          </w:tcPr>
          <w:p w14:paraId="7BD7CEC0">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50≤Y＜500</w:t>
            </w:r>
          </w:p>
        </w:tc>
        <w:tc>
          <w:tcPr>
            <w:tcW w:w="966" w:type="dxa"/>
            <w:vAlign w:val="center"/>
          </w:tcPr>
          <w:p w14:paraId="55D13F60">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Y＜50</w:t>
            </w:r>
          </w:p>
        </w:tc>
      </w:tr>
      <w:tr w14:paraId="299A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1C27C2BE">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工业 *</w:t>
            </w:r>
          </w:p>
        </w:tc>
        <w:tc>
          <w:tcPr>
            <w:tcW w:w="1502" w:type="dxa"/>
            <w:vAlign w:val="center"/>
          </w:tcPr>
          <w:p w14:paraId="1A3E7CA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1BC6A76D">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56A25E7D">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X≥1000</w:t>
            </w:r>
          </w:p>
        </w:tc>
        <w:tc>
          <w:tcPr>
            <w:tcW w:w="1867" w:type="dxa"/>
            <w:vAlign w:val="center"/>
          </w:tcPr>
          <w:p w14:paraId="6AFA8D8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300≤X＜1000</w:t>
            </w:r>
          </w:p>
        </w:tc>
        <w:tc>
          <w:tcPr>
            <w:tcW w:w="1686" w:type="dxa"/>
            <w:vAlign w:val="center"/>
          </w:tcPr>
          <w:p w14:paraId="1CB82FD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20≤X＜300</w:t>
            </w:r>
          </w:p>
        </w:tc>
        <w:tc>
          <w:tcPr>
            <w:tcW w:w="966" w:type="dxa"/>
            <w:vAlign w:val="center"/>
          </w:tcPr>
          <w:p w14:paraId="56C4A41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X＜20</w:t>
            </w:r>
          </w:p>
        </w:tc>
      </w:tr>
      <w:tr w14:paraId="7D65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119F9072">
            <w:pPr>
              <w:widowControl/>
              <w:spacing w:line="240" w:lineRule="exact"/>
              <w:jc w:val="left"/>
              <w:rPr>
                <w:rFonts w:hint="eastAsia" w:ascii="仿宋" w:hAnsi="仿宋" w:eastAsia="仿宋"/>
                <w:kern w:val="0"/>
                <w:sz w:val="18"/>
                <w:szCs w:val="18"/>
                <w:highlight w:val="none"/>
              </w:rPr>
            </w:pPr>
          </w:p>
        </w:tc>
        <w:tc>
          <w:tcPr>
            <w:tcW w:w="1502" w:type="dxa"/>
            <w:vAlign w:val="center"/>
          </w:tcPr>
          <w:p w14:paraId="4773D7EE">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3E0C5D1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232AADC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Y≥40000</w:t>
            </w:r>
          </w:p>
        </w:tc>
        <w:tc>
          <w:tcPr>
            <w:tcW w:w="1867" w:type="dxa"/>
            <w:vAlign w:val="center"/>
          </w:tcPr>
          <w:p w14:paraId="1130746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2000≤Y＜40000</w:t>
            </w:r>
          </w:p>
        </w:tc>
        <w:tc>
          <w:tcPr>
            <w:tcW w:w="1686" w:type="dxa"/>
            <w:vAlign w:val="center"/>
          </w:tcPr>
          <w:p w14:paraId="3CBFB2B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300≤Y＜2000</w:t>
            </w:r>
          </w:p>
        </w:tc>
        <w:tc>
          <w:tcPr>
            <w:tcW w:w="966" w:type="dxa"/>
            <w:vAlign w:val="center"/>
          </w:tcPr>
          <w:p w14:paraId="1D9756C8">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Y＜300</w:t>
            </w:r>
          </w:p>
        </w:tc>
      </w:tr>
      <w:tr w14:paraId="44D7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4AAFEAED">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建筑业</w:t>
            </w:r>
          </w:p>
        </w:tc>
        <w:tc>
          <w:tcPr>
            <w:tcW w:w="1502" w:type="dxa"/>
            <w:vAlign w:val="center"/>
          </w:tcPr>
          <w:p w14:paraId="617C757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593F5B08">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036CB07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Y≥80000</w:t>
            </w:r>
          </w:p>
        </w:tc>
        <w:tc>
          <w:tcPr>
            <w:tcW w:w="1867" w:type="dxa"/>
            <w:vAlign w:val="center"/>
          </w:tcPr>
          <w:p w14:paraId="4F4E504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6000≤Y＜80000</w:t>
            </w:r>
          </w:p>
        </w:tc>
        <w:tc>
          <w:tcPr>
            <w:tcW w:w="1686" w:type="dxa"/>
            <w:vAlign w:val="center"/>
          </w:tcPr>
          <w:p w14:paraId="6101E36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300≤Y＜6000</w:t>
            </w:r>
          </w:p>
        </w:tc>
        <w:tc>
          <w:tcPr>
            <w:tcW w:w="966" w:type="dxa"/>
            <w:vAlign w:val="center"/>
          </w:tcPr>
          <w:p w14:paraId="289DB8F8">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Y＜300</w:t>
            </w:r>
          </w:p>
        </w:tc>
      </w:tr>
      <w:tr w14:paraId="3CCE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45B5C48E">
            <w:pPr>
              <w:widowControl/>
              <w:spacing w:line="240" w:lineRule="exact"/>
              <w:jc w:val="left"/>
              <w:rPr>
                <w:rFonts w:hint="eastAsia" w:ascii="仿宋" w:hAnsi="仿宋" w:eastAsia="仿宋"/>
                <w:kern w:val="0"/>
                <w:sz w:val="18"/>
                <w:szCs w:val="18"/>
                <w:highlight w:val="none"/>
              </w:rPr>
            </w:pPr>
          </w:p>
        </w:tc>
        <w:tc>
          <w:tcPr>
            <w:tcW w:w="1502" w:type="dxa"/>
            <w:vAlign w:val="center"/>
          </w:tcPr>
          <w:p w14:paraId="4D2E8DE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资产总额(Z)</w:t>
            </w:r>
          </w:p>
        </w:tc>
        <w:tc>
          <w:tcPr>
            <w:tcW w:w="778" w:type="dxa"/>
            <w:vAlign w:val="center"/>
          </w:tcPr>
          <w:p w14:paraId="27CAE68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5AB24D07">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Z≥80000</w:t>
            </w:r>
          </w:p>
        </w:tc>
        <w:tc>
          <w:tcPr>
            <w:tcW w:w="1867" w:type="dxa"/>
            <w:vAlign w:val="center"/>
          </w:tcPr>
          <w:p w14:paraId="2F5F7FC0">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5000≤Z＜80000</w:t>
            </w:r>
          </w:p>
        </w:tc>
        <w:tc>
          <w:tcPr>
            <w:tcW w:w="1686" w:type="dxa"/>
            <w:vAlign w:val="center"/>
          </w:tcPr>
          <w:p w14:paraId="2D70563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300≤Z＜5000</w:t>
            </w:r>
          </w:p>
        </w:tc>
        <w:tc>
          <w:tcPr>
            <w:tcW w:w="966" w:type="dxa"/>
            <w:vAlign w:val="center"/>
          </w:tcPr>
          <w:p w14:paraId="07C9609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Z＜300</w:t>
            </w:r>
          </w:p>
        </w:tc>
      </w:tr>
      <w:tr w14:paraId="35FF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5B462EAC">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批发业</w:t>
            </w:r>
          </w:p>
        </w:tc>
        <w:tc>
          <w:tcPr>
            <w:tcW w:w="1502" w:type="dxa"/>
            <w:vAlign w:val="center"/>
          </w:tcPr>
          <w:p w14:paraId="6260BF3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7A99E817">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62E2B98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X≥200</w:t>
            </w:r>
          </w:p>
        </w:tc>
        <w:tc>
          <w:tcPr>
            <w:tcW w:w="1867" w:type="dxa"/>
            <w:vAlign w:val="center"/>
          </w:tcPr>
          <w:p w14:paraId="68C3CB0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20≤X＜200</w:t>
            </w:r>
          </w:p>
        </w:tc>
        <w:tc>
          <w:tcPr>
            <w:tcW w:w="1686" w:type="dxa"/>
            <w:vAlign w:val="center"/>
          </w:tcPr>
          <w:p w14:paraId="4BEFB3A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5≤X＜20</w:t>
            </w:r>
          </w:p>
        </w:tc>
        <w:tc>
          <w:tcPr>
            <w:tcW w:w="966" w:type="dxa"/>
            <w:vAlign w:val="center"/>
          </w:tcPr>
          <w:p w14:paraId="7D83585A">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X＜5</w:t>
            </w:r>
          </w:p>
        </w:tc>
      </w:tr>
      <w:tr w14:paraId="2AFA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1E19F63B">
            <w:pPr>
              <w:widowControl/>
              <w:spacing w:line="240" w:lineRule="exact"/>
              <w:jc w:val="left"/>
              <w:rPr>
                <w:rFonts w:hint="eastAsia" w:ascii="仿宋" w:hAnsi="仿宋" w:eastAsia="仿宋"/>
                <w:kern w:val="0"/>
                <w:sz w:val="18"/>
                <w:szCs w:val="18"/>
                <w:highlight w:val="none"/>
              </w:rPr>
            </w:pPr>
          </w:p>
        </w:tc>
        <w:tc>
          <w:tcPr>
            <w:tcW w:w="1502" w:type="dxa"/>
            <w:vAlign w:val="center"/>
          </w:tcPr>
          <w:p w14:paraId="0841E30E">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58DD9D3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357E8C2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Y≥40000</w:t>
            </w:r>
          </w:p>
        </w:tc>
        <w:tc>
          <w:tcPr>
            <w:tcW w:w="1867" w:type="dxa"/>
            <w:vAlign w:val="center"/>
          </w:tcPr>
          <w:p w14:paraId="49D64DDE">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5000≤Y＜40000</w:t>
            </w:r>
          </w:p>
        </w:tc>
        <w:tc>
          <w:tcPr>
            <w:tcW w:w="1686" w:type="dxa"/>
            <w:vAlign w:val="center"/>
          </w:tcPr>
          <w:p w14:paraId="1F741290">
            <w:pPr>
              <w:widowControl/>
              <w:spacing w:line="240" w:lineRule="exact"/>
              <w:ind w:left="-1" w:leftChars="-1" w:hanging="1"/>
              <w:jc w:val="center"/>
              <w:rPr>
                <w:rFonts w:hint="eastAsia" w:ascii="仿宋" w:hAnsi="仿宋" w:eastAsia="仿宋"/>
                <w:kern w:val="0"/>
                <w:sz w:val="18"/>
                <w:szCs w:val="18"/>
                <w:highlight w:val="none"/>
              </w:rPr>
            </w:pPr>
            <w:r>
              <w:rPr>
                <w:rFonts w:ascii="仿宋" w:hAnsi="仿宋" w:eastAsia="仿宋"/>
                <w:kern w:val="0"/>
                <w:sz w:val="18"/>
                <w:szCs w:val="18"/>
                <w:highlight w:val="none"/>
              </w:rPr>
              <w:t>1000≤Y＜5000</w:t>
            </w:r>
          </w:p>
        </w:tc>
        <w:tc>
          <w:tcPr>
            <w:tcW w:w="966" w:type="dxa"/>
            <w:vAlign w:val="center"/>
          </w:tcPr>
          <w:p w14:paraId="1F1E64A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Y＜1000</w:t>
            </w:r>
          </w:p>
        </w:tc>
      </w:tr>
      <w:tr w14:paraId="79B9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3A53EF52">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零售业</w:t>
            </w:r>
          </w:p>
        </w:tc>
        <w:tc>
          <w:tcPr>
            <w:tcW w:w="1502" w:type="dxa"/>
            <w:vAlign w:val="center"/>
          </w:tcPr>
          <w:p w14:paraId="2C022C3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10A8C3D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36113358">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X≥300</w:t>
            </w:r>
          </w:p>
        </w:tc>
        <w:tc>
          <w:tcPr>
            <w:tcW w:w="1867" w:type="dxa"/>
            <w:vAlign w:val="center"/>
          </w:tcPr>
          <w:p w14:paraId="34E327E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50≤X＜300</w:t>
            </w:r>
          </w:p>
        </w:tc>
        <w:tc>
          <w:tcPr>
            <w:tcW w:w="1686" w:type="dxa"/>
            <w:vAlign w:val="center"/>
          </w:tcPr>
          <w:p w14:paraId="719FB832">
            <w:pPr>
              <w:widowControl/>
              <w:spacing w:line="240" w:lineRule="exact"/>
              <w:ind w:left="-1" w:leftChars="-1" w:hanging="1"/>
              <w:jc w:val="center"/>
              <w:rPr>
                <w:rFonts w:hint="eastAsia" w:ascii="仿宋" w:hAnsi="仿宋" w:eastAsia="仿宋"/>
                <w:kern w:val="0"/>
                <w:sz w:val="18"/>
                <w:szCs w:val="18"/>
                <w:highlight w:val="none"/>
              </w:rPr>
            </w:pPr>
            <w:r>
              <w:rPr>
                <w:rFonts w:ascii="仿宋" w:hAnsi="仿宋" w:eastAsia="仿宋"/>
                <w:kern w:val="0"/>
                <w:sz w:val="18"/>
                <w:szCs w:val="18"/>
                <w:highlight w:val="none"/>
              </w:rPr>
              <w:t xml:space="preserve">10≤X＜50 </w:t>
            </w:r>
          </w:p>
        </w:tc>
        <w:tc>
          <w:tcPr>
            <w:tcW w:w="966" w:type="dxa"/>
            <w:vAlign w:val="center"/>
          </w:tcPr>
          <w:p w14:paraId="7AC389F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w:t>
            </w:r>
          </w:p>
        </w:tc>
      </w:tr>
      <w:tr w14:paraId="52B5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07B0283D">
            <w:pPr>
              <w:widowControl/>
              <w:spacing w:line="240" w:lineRule="exact"/>
              <w:jc w:val="left"/>
              <w:rPr>
                <w:rFonts w:hint="eastAsia" w:ascii="仿宋" w:hAnsi="仿宋" w:eastAsia="仿宋"/>
                <w:kern w:val="0"/>
                <w:sz w:val="18"/>
                <w:szCs w:val="18"/>
                <w:highlight w:val="none"/>
              </w:rPr>
            </w:pPr>
          </w:p>
        </w:tc>
        <w:tc>
          <w:tcPr>
            <w:tcW w:w="1502" w:type="dxa"/>
            <w:vAlign w:val="center"/>
          </w:tcPr>
          <w:p w14:paraId="2584130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6CD36A2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3264967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Y≥20000</w:t>
            </w:r>
          </w:p>
        </w:tc>
        <w:tc>
          <w:tcPr>
            <w:tcW w:w="1867" w:type="dxa"/>
            <w:vAlign w:val="center"/>
          </w:tcPr>
          <w:p w14:paraId="5749EBB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500≤Y＜20000</w:t>
            </w:r>
          </w:p>
        </w:tc>
        <w:tc>
          <w:tcPr>
            <w:tcW w:w="1686" w:type="dxa"/>
            <w:vAlign w:val="center"/>
          </w:tcPr>
          <w:p w14:paraId="24C9BDFB">
            <w:pPr>
              <w:widowControl/>
              <w:spacing w:line="240" w:lineRule="exact"/>
              <w:ind w:left="-1" w:leftChars="-1" w:hanging="1"/>
              <w:jc w:val="center"/>
              <w:rPr>
                <w:rFonts w:hint="eastAsia" w:ascii="仿宋" w:hAnsi="仿宋" w:eastAsia="仿宋"/>
                <w:kern w:val="0"/>
                <w:sz w:val="18"/>
                <w:szCs w:val="18"/>
                <w:highlight w:val="none"/>
              </w:rPr>
            </w:pPr>
            <w:r>
              <w:rPr>
                <w:rFonts w:ascii="仿宋" w:hAnsi="仿宋" w:eastAsia="仿宋"/>
                <w:kern w:val="0"/>
                <w:sz w:val="18"/>
                <w:szCs w:val="18"/>
                <w:highlight w:val="none"/>
              </w:rPr>
              <w:t>100≤Y＜500</w:t>
            </w:r>
          </w:p>
        </w:tc>
        <w:tc>
          <w:tcPr>
            <w:tcW w:w="966" w:type="dxa"/>
            <w:vAlign w:val="center"/>
          </w:tcPr>
          <w:p w14:paraId="273BC30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w:t>
            </w:r>
          </w:p>
        </w:tc>
      </w:tr>
      <w:tr w14:paraId="5E64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1392C3A5">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交通运输业 *</w:t>
            </w:r>
          </w:p>
        </w:tc>
        <w:tc>
          <w:tcPr>
            <w:tcW w:w="1502" w:type="dxa"/>
            <w:vAlign w:val="center"/>
          </w:tcPr>
          <w:p w14:paraId="513BEB0D">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6C7ED91A">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67296EA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X≥1000</w:t>
            </w:r>
          </w:p>
        </w:tc>
        <w:tc>
          <w:tcPr>
            <w:tcW w:w="1867" w:type="dxa"/>
            <w:vAlign w:val="center"/>
          </w:tcPr>
          <w:p w14:paraId="5C459AB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300≤X＜1000</w:t>
            </w:r>
          </w:p>
        </w:tc>
        <w:tc>
          <w:tcPr>
            <w:tcW w:w="1686" w:type="dxa"/>
            <w:vAlign w:val="center"/>
          </w:tcPr>
          <w:p w14:paraId="54EF240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20≤X＜300</w:t>
            </w:r>
          </w:p>
        </w:tc>
        <w:tc>
          <w:tcPr>
            <w:tcW w:w="966" w:type="dxa"/>
            <w:vAlign w:val="center"/>
          </w:tcPr>
          <w:p w14:paraId="185A66E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X＜20</w:t>
            </w:r>
          </w:p>
        </w:tc>
      </w:tr>
      <w:tr w14:paraId="148B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57529F3C">
            <w:pPr>
              <w:widowControl/>
              <w:spacing w:line="240" w:lineRule="exact"/>
              <w:jc w:val="left"/>
              <w:rPr>
                <w:rFonts w:hint="eastAsia" w:ascii="仿宋" w:hAnsi="仿宋" w:eastAsia="仿宋"/>
                <w:kern w:val="0"/>
                <w:sz w:val="18"/>
                <w:szCs w:val="18"/>
                <w:highlight w:val="none"/>
              </w:rPr>
            </w:pPr>
          </w:p>
        </w:tc>
        <w:tc>
          <w:tcPr>
            <w:tcW w:w="1502" w:type="dxa"/>
            <w:vAlign w:val="center"/>
          </w:tcPr>
          <w:p w14:paraId="06D4071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21BA5B2A">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3408F94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Y≥30000</w:t>
            </w:r>
          </w:p>
        </w:tc>
        <w:tc>
          <w:tcPr>
            <w:tcW w:w="1867" w:type="dxa"/>
            <w:vAlign w:val="center"/>
          </w:tcPr>
          <w:p w14:paraId="797A34F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3000≤Y＜30000</w:t>
            </w:r>
          </w:p>
        </w:tc>
        <w:tc>
          <w:tcPr>
            <w:tcW w:w="1686" w:type="dxa"/>
            <w:vAlign w:val="center"/>
          </w:tcPr>
          <w:p w14:paraId="4B996A3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200≤Y＜3000</w:t>
            </w:r>
          </w:p>
        </w:tc>
        <w:tc>
          <w:tcPr>
            <w:tcW w:w="966" w:type="dxa"/>
            <w:vAlign w:val="center"/>
          </w:tcPr>
          <w:p w14:paraId="3DA0A7F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Y＜200</w:t>
            </w:r>
          </w:p>
        </w:tc>
      </w:tr>
      <w:tr w14:paraId="7070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6504523F">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仓储业*</w:t>
            </w:r>
          </w:p>
        </w:tc>
        <w:tc>
          <w:tcPr>
            <w:tcW w:w="1502" w:type="dxa"/>
            <w:vAlign w:val="center"/>
          </w:tcPr>
          <w:p w14:paraId="02B45F5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094FDBA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38D3F74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X≥200</w:t>
            </w:r>
          </w:p>
        </w:tc>
        <w:tc>
          <w:tcPr>
            <w:tcW w:w="1867" w:type="dxa"/>
            <w:vAlign w:val="center"/>
          </w:tcPr>
          <w:p w14:paraId="03D6375C">
            <w:pPr>
              <w:widowControl/>
              <w:spacing w:line="240" w:lineRule="exact"/>
              <w:ind w:left="1" w:leftChars="-51" w:hanging="108" w:hangingChars="60"/>
              <w:jc w:val="center"/>
              <w:rPr>
                <w:rFonts w:hint="eastAsia" w:ascii="仿宋" w:hAnsi="仿宋" w:eastAsia="仿宋"/>
                <w:kern w:val="0"/>
                <w:sz w:val="18"/>
                <w:szCs w:val="18"/>
                <w:highlight w:val="none"/>
              </w:rPr>
            </w:pPr>
            <w:r>
              <w:rPr>
                <w:rFonts w:ascii="仿宋" w:hAnsi="仿宋" w:eastAsia="仿宋"/>
                <w:kern w:val="0"/>
                <w:sz w:val="18"/>
                <w:szCs w:val="18"/>
                <w:highlight w:val="none"/>
              </w:rPr>
              <w:t>100≤X＜200</w:t>
            </w:r>
          </w:p>
        </w:tc>
        <w:tc>
          <w:tcPr>
            <w:tcW w:w="1686" w:type="dxa"/>
            <w:vAlign w:val="center"/>
          </w:tcPr>
          <w:p w14:paraId="4D907CC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20≤X＜100</w:t>
            </w:r>
          </w:p>
        </w:tc>
        <w:tc>
          <w:tcPr>
            <w:tcW w:w="966" w:type="dxa"/>
            <w:vAlign w:val="center"/>
          </w:tcPr>
          <w:p w14:paraId="4F4684D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X＜20</w:t>
            </w:r>
          </w:p>
        </w:tc>
      </w:tr>
      <w:tr w14:paraId="7676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4ABE33B1">
            <w:pPr>
              <w:widowControl/>
              <w:spacing w:line="240" w:lineRule="exact"/>
              <w:jc w:val="left"/>
              <w:rPr>
                <w:rFonts w:hint="eastAsia" w:ascii="仿宋" w:hAnsi="仿宋" w:eastAsia="仿宋"/>
                <w:kern w:val="0"/>
                <w:sz w:val="18"/>
                <w:szCs w:val="18"/>
                <w:highlight w:val="none"/>
              </w:rPr>
            </w:pPr>
          </w:p>
        </w:tc>
        <w:tc>
          <w:tcPr>
            <w:tcW w:w="1502" w:type="dxa"/>
            <w:vAlign w:val="center"/>
          </w:tcPr>
          <w:p w14:paraId="35F73B88">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5C4F538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7DD0BBA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Y≥30000</w:t>
            </w:r>
          </w:p>
        </w:tc>
        <w:tc>
          <w:tcPr>
            <w:tcW w:w="1867" w:type="dxa"/>
            <w:vAlign w:val="center"/>
          </w:tcPr>
          <w:p w14:paraId="0B08DF30">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1000≤Y＜30000</w:t>
            </w:r>
          </w:p>
        </w:tc>
        <w:tc>
          <w:tcPr>
            <w:tcW w:w="1686" w:type="dxa"/>
            <w:vAlign w:val="center"/>
          </w:tcPr>
          <w:p w14:paraId="4FA988F7">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100≤Y＜1000</w:t>
            </w:r>
          </w:p>
        </w:tc>
        <w:tc>
          <w:tcPr>
            <w:tcW w:w="966" w:type="dxa"/>
            <w:vAlign w:val="center"/>
          </w:tcPr>
          <w:p w14:paraId="12FE9C70">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w:t>
            </w:r>
          </w:p>
        </w:tc>
      </w:tr>
      <w:tr w14:paraId="37CC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090DA410">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邮政业</w:t>
            </w:r>
          </w:p>
        </w:tc>
        <w:tc>
          <w:tcPr>
            <w:tcW w:w="1502" w:type="dxa"/>
            <w:vAlign w:val="center"/>
          </w:tcPr>
          <w:p w14:paraId="47B5202D">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2765C85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141DCE0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X≥1000</w:t>
            </w:r>
          </w:p>
        </w:tc>
        <w:tc>
          <w:tcPr>
            <w:tcW w:w="1867" w:type="dxa"/>
            <w:vAlign w:val="center"/>
          </w:tcPr>
          <w:p w14:paraId="107B8C1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300≤X＜1000</w:t>
            </w:r>
          </w:p>
        </w:tc>
        <w:tc>
          <w:tcPr>
            <w:tcW w:w="1686" w:type="dxa"/>
            <w:vAlign w:val="center"/>
          </w:tcPr>
          <w:p w14:paraId="5DCD5CAD">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20≤X＜300</w:t>
            </w:r>
          </w:p>
        </w:tc>
        <w:tc>
          <w:tcPr>
            <w:tcW w:w="966" w:type="dxa"/>
            <w:vAlign w:val="center"/>
          </w:tcPr>
          <w:p w14:paraId="3C6E2E3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X＜20</w:t>
            </w:r>
          </w:p>
        </w:tc>
      </w:tr>
      <w:tr w14:paraId="4E24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5C181A24">
            <w:pPr>
              <w:widowControl/>
              <w:spacing w:line="240" w:lineRule="exact"/>
              <w:jc w:val="left"/>
              <w:rPr>
                <w:rFonts w:hint="eastAsia" w:ascii="仿宋" w:hAnsi="仿宋" w:eastAsia="仿宋"/>
                <w:kern w:val="0"/>
                <w:sz w:val="18"/>
                <w:szCs w:val="18"/>
                <w:highlight w:val="none"/>
              </w:rPr>
            </w:pPr>
          </w:p>
        </w:tc>
        <w:tc>
          <w:tcPr>
            <w:tcW w:w="1502" w:type="dxa"/>
            <w:vAlign w:val="center"/>
          </w:tcPr>
          <w:p w14:paraId="0BF55AD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22A826D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0335CE0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Y≥30000</w:t>
            </w:r>
          </w:p>
        </w:tc>
        <w:tc>
          <w:tcPr>
            <w:tcW w:w="1867" w:type="dxa"/>
            <w:vAlign w:val="center"/>
          </w:tcPr>
          <w:p w14:paraId="79B70CA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2000≤Y＜30000</w:t>
            </w:r>
          </w:p>
        </w:tc>
        <w:tc>
          <w:tcPr>
            <w:tcW w:w="1686" w:type="dxa"/>
            <w:vAlign w:val="center"/>
          </w:tcPr>
          <w:p w14:paraId="44576C6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100≤Y＜2000</w:t>
            </w:r>
          </w:p>
        </w:tc>
        <w:tc>
          <w:tcPr>
            <w:tcW w:w="966" w:type="dxa"/>
            <w:vAlign w:val="center"/>
          </w:tcPr>
          <w:p w14:paraId="0F1CD1E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w:t>
            </w:r>
          </w:p>
        </w:tc>
      </w:tr>
      <w:tr w14:paraId="2EE1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3703F58F">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住宿业</w:t>
            </w:r>
          </w:p>
        </w:tc>
        <w:tc>
          <w:tcPr>
            <w:tcW w:w="1502" w:type="dxa"/>
            <w:vAlign w:val="center"/>
          </w:tcPr>
          <w:p w14:paraId="77E260BA">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67C874D8">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41689EDD">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X≥300</w:t>
            </w:r>
          </w:p>
        </w:tc>
        <w:tc>
          <w:tcPr>
            <w:tcW w:w="1867" w:type="dxa"/>
            <w:vAlign w:val="center"/>
          </w:tcPr>
          <w:p w14:paraId="0757D197">
            <w:pPr>
              <w:widowControl/>
              <w:spacing w:line="240" w:lineRule="exact"/>
              <w:ind w:left="1" w:leftChars="-51" w:hanging="108" w:hangingChars="60"/>
              <w:jc w:val="center"/>
              <w:rPr>
                <w:rFonts w:hint="eastAsia" w:ascii="仿宋" w:hAnsi="仿宋" w:eastAsia="仿宋"/>
                <w:kern w:val="0"/>
                <w:sz w:val="18"/>
                <w:szCs w:val="18"/>
                <w:highlight w:val="none"/>
              </w:rPr>
            </w:pPr>
            <w:r>
              <w:rPr>
                <w:rFonts w:ascii="仿宋" w:hAnsi="仿宋" w:eastAsia="仿宋"/>
                <w:kern w:val="0"/>
                <w:sz w:val="18"/>
                <w:szCs w:val="18"/>
                <w:highlight w:val="none"/>
              </w:rPr>
              <w:t>100≤X＜300</w:t>
            </w:r>
          </w:p>
        </w:tc>
        <w:tc>
          <w:tcPr>
            <w:tcW w:w="1686" w:type="dxa"/>
            <w:vAlign w:val="center"/>
          </w:tcPr>
          <w:p w14:paraId="4FDF167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10≤X＜100</w:t>
            </w:r>
          </w:p>
        </w:tc>
        <w:tc>
          <w:tcPr>
            <w:tcW w:w="966" w:type="dxa"/>
            <w:vAlign w:val="center"/>
          </w:tcPr>
          <w:p w14:paraId="6FC4FC5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w:t>
            </w:r>
          </w:p>
        </w:tc>
      </w:tr>
      <w:tr w14:paraId="0D4D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2448EA76">
            <w:pPr>
              <w:widowControl/>
              <w:spacing w:line="240" w:lineRule="exact"/>
              <w:jc w:val="left"/>
              <w:rPr>
                <w:rFonts w:hint="eastAsia" w:ascii="仿宋" w:hAnsi="仿宋" w:eastAsia="仿宋"/>
                <w:kern w:val="0"/>
                <w:sz w:val="18"/>
                <w:szCs w:val="18"/>
                <w:highlight w:val="none"/>
              </w:rPr>
            </w:pPr>
          </w:p>
        </w:tc>
        <w:tc>
          <w:tcPr>
            <w:tcW w:w="1502" w:type="dxa"/>
            <w:vAlign w:val="center"/>
          </w:tcPr>
          <w:p w14:paraId="58E22EBD">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60BDA49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68C9B5B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Y≥10000</w:t>
            </w:r>
          </w:p>
        </w:tc>
        <w:tc>
          <w:tcPr>
            <w:tcW w:w="1867" w:type="dxa"/>
            <w:vAlign w:val="center"/>
          </w:tcPr>
          <w:p w14:paraId="6C73E73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2000≤Y＜10000</w:t>
            </w:r>
          </w:p>
        </w:tc>
        <w:tc>
          <w:tcPr>
            <w:tcW w:w="1686" w:type="dxa"/>
            <w:vAlign w:val="center"/>
          </w:tcPr>
          <w:p w14:paraId="742A336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100≤Y＜2000</w:t>
            </w:r>
          </w:p>
        </w:tc>
        <w:tc>
          <w:tcPr>
            <w:tcW w:w="966" w:type="dxa"/>
            <w:vAlign w:val="center"/>
          </w:tcPr>
          <w:p w14:paraId="1FF3643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w:t>
            </w:r>
          </w:p>
        </w:tc>
      </w:tr>
      <w:tr w14:paraId="2C6A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379E4766">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餐饮业</w:t>
            </w:r>
          </w:p>
        </w:tc>
        <w:tc>
          <w:tcPr>
            <w:tcW w:w="1502" w:type="dxa"/>
            <w:vAlign w:val="center"/>
          </w:tcPr>
          <w:p w14:paraId="27F23DF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14FF3F5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30831AA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X≥300</w:t>
            </w:r>
          </w:p>
        </w:tc>
        <w:tc>
          <w:tcPr>
            <w:tcW w:w="1867" w:type="dxa"/>
            <w:vAlign w:val="center"/>
          </w:tcPr>
          <w:p w14:paraId="62FA6391">
            <w:pPr>
              <w:widowControl/>
              <w:spacing w:line="240" w:lineRule="exact"/>
              <w:ind w:left="1" w:leftChars="-51" w:hanging="108" w:hangingChars="60"/>
              <w:jc w:val="center"/>
              <w:rPr>
                <w:rFonts w:hint="eastAsia" w:ascii="仿宋" w:hAnsi="仿宋" w:eastAsia="仿宋"/>
                <w:kern w:val="0"/>
                <w:sz w:val="18"/>
                <w:szCs w:val="18"/>
                <w:highlight w:val="none"/>
              </w:rPr>
            </w:pPr>
            <w:r>
              <w:rPr>
                <w:rFonts w:ascii="仿宋" w:hAnsi="仿宋" w:eastAsia="仿宋"/>
                <w:kern w:val="0"/>
                <w:sz w:val="18"/>
                <w:szCs w:val="18"/>
                <w:highlight w:val="none"/>
              </w:rPr>
              <w:t xml:space="preserve">100≤X＜300 </w:t>
            </w:r>
          </w:p>
        </w:tc>
        <w:tc>
          <w:tcPr>
            <w:tcW w:w="1686" w:type="dxa"/>
            <w:vAlign w:val="center"/>
          </w:tcPr>
          <w:p w14:paraId="21336BC7">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10≤X＜100</w:t>
            </w:r>
          </w:p>
        </w:tc>
        <w:tc>
          <w:tcPr>
            <w:tcW w:w="966" w:type="dxa"/>
            <w:vAlign w:val="center"/>
          </w:tcPr>
          <w:p w14:paraId="2178DF7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w:t>
            </w:r>
          </w:p>
        </w:tc>
      </w:tr>
      <w:tr w14:paraId="2F80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0D6751AE">
            <w:pPr>
              <w:widowControl/>
              <w:spacing w:line="240" w:lineRule="exact"/>
              <w:jc w:val="left"/>
              <w:rPr>
                <w:rFonts w:hint="eastAsia" w:ascii="仿宋" w:hAnsi="仿宋" w:eastAsia="仿宋"/>
                <w:kern w:val="0"/>
                <w:sz w:val="18"/>
                <w:szCs w:val="18"/>
                <w:highlight w:val="none"/>
              </w:rPr>
            </w:pPr>
          </w:p>
        </w:tc>
        <w:tc>
          <w:tcPr>
            <w:tcW w:w="1502" w:type="dxa"/>
            <w:vAlign w:val="center"/>
          </w:tcPr>
          <w:p w14:paraId="71BC601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49582BD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6AC99BC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Y≥10000</w:t>
            </w:r>
          </w:p>
        </w:tc>
        <w:tc>
          <w:tcPr>
            <w:tcW w:w="1867" w:type="dxa"/>
            <w:vAlign w:val="center"/>
          </w:tcPr>
          <w:p w14:paraId="1697C9D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2000≤Y＜10000</w:t>
            </w:r>
          </w:p>
        </w:tc>
        <w:tc>
          <w:tcPr>
            <w:tcW w:w="1686" w:type="dxa"/>
            <w:vAlign w:val="center"/>
          </w:tcPr>
          <w:p w14:paraId="222A0C2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100≤Y＜2000</w:t>
            </w:r>
          </w:p>
        </w:tc>
        <w:tc>
          <w:tcPr>
            <w:tcW w:w="966" w:type="dxa"/>
            <w:vAlign w:val="center"/>
          </w:tcPr>
          <w:p w14:paraId="3A928950">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w:t>
            </w:r>
          </w:p>
        </w:tc>
      </w:tr>
      <w:tr w14:paraId="5D00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restart"/>
            <w:vAlign w:val="center"/>
          </w:tcPr>
          <w:p w14:paraId="7BFD7B70">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信息传输业 *</w:t>
            </w:r>
          </w:p>
        </w:tc>
        <w:tc>
          <w:tcPr>
            <w:tcW w:w="1502" w:type="dxa"/>
            <w:vAlign w:val="center"/>
          </w:tcPr>
          <w:p w14:paraId="21517D9E">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7A951B3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1ABD76A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X≥2000</w:t>
            </w:r>
          </w:p>
        </w:tc>
        <w:tc>
          <w:tcPr>
            <w:tcW w:w="1867" w:type="dxa"/>
            <w:vAlign w:val="center"/>
          </w:tcPr>
          <w:p w14:paraId="3DB4EB7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100≤X＜2000</w:t>
            </w:r>
          </w:p>
        </w:tc>
        <w:tc>
          <w:tcPr>
            <w:tcW w:w="1686" w:type="dxa"/>
            <w:vAlign w:val="center"/>
          </w:tcPr>
          <w:p w14:paraId="5331F23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10≤X＜100</w:t>
            </w:r>
          </w:p>
        </w:tc>
        <w:tc>
          <w:tcPr>
            <w:tcW w:w="966" w:type="dxa"/>
            <w:vAlign w:val="center"/>
          </w:tcPr>
          <w:p w14:paraId="515D41E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w:t>
            </w:r>
          </w:p>
        </w:tc>
      </w:tr>
      <w:tr w14:paraId="720B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Merge w:val="continue"/>
            <w:vAlign w:val="center"/>
          </w:tcPr>
          <w:p w14:paraId="36B490A2">
            <w:pPr>
              <w:widowControl/>
              <w:spacing w:line="240" w:lineRule="exact"/>
              <w:jc w:val="left"/>
              <w:rPr>
                <w:rFonts w:hint="eastAsia" w:ascii="仿宋" w:hAnsi="仿宋" w:eastAsia="仿宋"/>
                <w:kern w:val="0"/>
                <w:sz w:val="18"/>
                <w:szCs w:val="18"/>
                <w:highlight w:val="none"/>
              </w:rPr>
            </w:pPr>
          </w:p>
        </w:tc>
        <w:tc>
          <w:tcPr>
            <w:tcW w:w="1502" w:type="dxa"/>
            <w:vAlign w:val="center"/>
          </w:tcPr>
          <w:p w14:paraId="2EA6178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1A615E50">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50203F7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Y≥100000</w:t>
            </w:r>
          </w:p>
        </w:tc>
        <w:tc>
          <w:tcPr>
            <w:tcW w:w="1867" w:type="dxa"/>
            <w:vAlign w:val="center"/>
          </w:tcPr>
          <w:p w14:paraId="40CED9B8">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1000≤Y＜100000</w:t>
            </w:r>
          </w:p>
        </w:tc>
        <w:tc>
          <w:tcPr>
            <w:tcW w:w="1686" w:type="dxa"/>
            <w:vAlign w:val="center"/>
          </w:tcPr>
          <w:p w14:paraId="081A9388">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100≤Y＜1000</w:t>
            </w:r>
          </w:p>
        </w:tc>
        <w:tc>
          <w:tcPr>
            <w:tcW w:w="966" w:type="dxa"/>
            <w:vAlign w:val="center"/>
          </w:tcPr>
          <w:p w14:paraId="31CE7D2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w:t>
            </w:r>
          </w:p>
        </w:tc>
      </w:tr>
      <w:tr w14:paraId="410F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restart"/>
            <w:vAlign w:val="center"/>
          </w:tcPr>
          <w:p w14:paraId="245B8770">
            <w:pPr>
              <w:widowControl/>
              <w:spacing w:line="240" w:lineRule="exact"/>
              <w:jc w:val="left"/>
              <w:rPr>
                <w:rFonts w:hint="eastAsia" w:ascii="仿宋" w:hAnsi="仿宋" w:eastAsia="仿宋"/>
                <w:spacing w:val="-12"/>
                <w:kern w:val="0"/>
                <w:sz w:val="18"/>
                <w:szCs w:val="18"/>
                <w:highlight w:val="none"/>
              </w:rPr>
            </w:pPr>
            <w:r>
              <w:rPr>
                <w:rFonts w:ascii="仿宋" w:hAnsi="仿宋" w:eastAsia="仿宋"/>
                <w:spacing w:val="-12"/>
                <w:kern w:val="0"/>
                <w:sz w:val="18"/>
                <w:szCs w:val="18"/>
                <w:highlight w:val="none"/>
              </w:rPr>
              <w:t>软件和信息技术服</w:t>
            </w:r>
            <w:r>
              <w:rPr>
                <w:rFonts w:ascii="仿宋" w:hAnsi="仿宋" w:eastAsia="仿宋"/>
                <w:kern w:val="0"/>
                <w:sz w:val="18"/>
                <w:szCs w:val="18"/>
                <w:highlight w:val="none"/>
              </w:rPr>
              <w:t>务业</w:t>
            </w:r>
          </w:p>
        </w:tc>
        <w:tc>
          <w:tcPr>
            <w:tcW w:w="1502" w:type="dxa"/>
            <w:vAlign w:val="center"/>
          </w:tcPr>
          <w:p w14:paraId="03DA4E1A">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5C2015C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65102BBE">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X≥300</w:t>
            </w:r>
          </w:p>
        </w:tc>
        <w:tc>
          <w:tcPr>
            <w:tcW w:w="1867" w:type="dxa"/>
            <w:vAlign w:val="center"/>
          </w:tcPr>
          <w:p w14:paraId="62A246F0">
            <w:pPr>
              <w:widowControl/>
              <w:spacing w:line="240" w:lineRule="exact"/>
              <w:ind w:left="1" w:leftChars="-51" w:hanging="108" w:hangingChars="60"/>
              <w:jc w:val="center"/>
              <w:rPr>
                <w:rFonts w:hint="eastAsia" w:ascii="仿宋" w:hAnsi="仿宋" w:eastAsia="仿宋"/>
                <w:kern w:val="0"/>
                <w:sz w:val="18"/>
                <w:szCs w:val="18"/>
                <w:highlight w:val="none"/>
              </w:rPr>
            </w:pPr>
            <w:r>
              <w:rPr>
                <w:rFonts w:ascii="仿宋" w:hAnsi="仿宋" w:eastAsia="仿宋"/>
                <w:kern w:val="0"/>
                <w:sz w:val="18"/>
                <w:szCs w:val="18"/>
                <w:highlight w:val="none"/>
              </w:rPr>
              <w:t xml:space="preserve">100≤X＜300 </w:t>
            </w:r>
          </w:p>
        </w:tc>
        <w:tc>
          <w:tcPr>
            <w:tcW w:w="1686" w:type="dxa"/>
            <w:vAlign w:val="center"/>
          </w:tcPr>
          <w:p w14:paraId="6C6F877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10≤X＜100</w:t>
            </w:r>
          </w:p>
        </w:tc>
        <w:tc>
          <w:tcPr>
            <w:tcW w:w="966" w:type="dxa"/>
            <w:vAlign w:val="center"/>
          </w:tcPr>
          <w:p w14:paraId="54C5568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w:t>
            </w:r>
          </w:p>
        </w:tc>
      </w:tr>
      <w:tr w14:paraId="1C91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continue"/>
            <w:vAlign w:val="center"/>
          </w:tcPr>
          <w:p w14:paraId="10F0CBE2">
            <w:pPr>
              <w:widowControl/>
              <w:spacing w:line="240" w:lineRule="exact"/>
              <w:jc w:val="left"/>
              <w:rPr>
                <w:rFonts w:hint="eastAsia" w:ascii="仿宋" w:hAnsi="仿宋" w:eastAsia="仿宋"/>
                <w:spacing w:val="-12"/>
                <w:kern w:val="0"/>
                <w:sz w:val="18"/>
                <w:szCs w:val="18"/>
                <w:highlight w:val="none"/>
              </w:rPr>
            </w:pPr>
          </w:p>
        </w:tc>
        <w:tc>
          <w:tcPr>
            <w:tcW w:w="1502" w:type="dxa"/>
            <w:vAlign w:val="center"/>
          </w:tcPr>
          <w:p w14:paraId="4A68E60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07FFB26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206B73E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Y≥10000</w:t>
            </w:r>
          </w:p>
        </w:tc>
        <w:tc>
          <w:tcPr>
            <w:tcW w:w="1867" w:type="dxa"/>
            <w:vAlign w:val="center"/>
          </w:tcPr>
          <w:p w14:paraId="005AD03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1000≤Y＜10000</w:t>
            </w:r>
          </w:p>
        </w:tc>
        <w:tc>
          <w:tcPr>
            <w:tcW w:w="1686" w:type="dxa"/>
            <w:vAlign w:val="center"/>
          </w:tcPr>
          <w:p w14:paraId="45F7665D">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50≤Y＜1000</w:t>
            </w:r>
          </w:p>
        </w:tc>
        <w:tc>
          <w:tcPr>
            <w:tcW w:w="966" w:type="dxa"/>
            <w:vAlign w:val="center"/>
          </w:tcPr>
          <w:p w14:paraId="2106066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Y＜50</w:t>
            </w:r>
          </w:p>
        </w:tc>
      </w:tr>
      <w:tr w14:paraId="7EB6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restart"/>
            <w:vAlign w:val="center"/>
          </w:tcPr>
          <w:p w14:paraId="4C9984A7">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房地产开发经营</w:t>
            </w:r>
          </w:p>
        </w:tc>
        <w:tc>
          <w:tcPr>
            <w:tcW w:w="1502" w:type="dxa"/>
            <w:vAlign w:val="center"/>
          </w:tcPr>
          <w:p w14:paraId="75175F3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62A082E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049B09BA">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Y≥200000</w:t>
            </w:r>
          </w:p>
        </w:tc>
        <w:tc>
          <w:tcPr>
            <w:tcW w:w="1867" w:type="dxa"/>
            <w:vAlign w:val="center"/>
          </w:tcPr>
          <w:p w14:paraId="7E0215A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1000≤Y＜200000</w:t>
            </w:r>
          </w:p>
        </w:tc>
        <w:tc>
          <w:tcPr>
            <w:tcW w:w="1686" w:type="dxa"/>
            <w:vAlign w:val="center"/>
          </w:tcPr>
          <w:p w14:paraId="2BF0772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100≤Y＜1000</w:t>
            </w:r>
          </w:p>
        </w:tc>
        <w:tc>
          <w:tcPr>
            <w:tcW w:w="966" w:type="dxa"/>
            <w:vAlign w:val="center"/>
          </w:tcPr>
          <w:p w14:paraId="50C6692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Y＜100</w:t>
            </w:r>
          </w:p>
        </w:tc>
      </w:tr>
      <w:tr w14:paraId="3C3B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exact"/>
          <w:jc w:val="center"/>
        </w:trPr>
        <w:tc>
          <w:tcPr>
            <w:tcW w:w="2320" w:type="dxa"/>
            <w:vMerge w:val="continue"/>
            <w:vAlign w:val="center"/>
          </w:tcPr>
          <w:p w14:paraId="379CDF06">
            <w:pPr>
              <w:widowControl/>
              <w:spacing w:line="240" w:lineRule="exact"/>
              <w:jc w:val="left"/>
              <w:rPr>
                <w:rFonts w:hint="eastAsia" w:ascii="仿宋" w:hAnsi="仿宋" w:eastAsia="仿宋"/>
                <w:kern w:val="0"/>
                <w:sz w:val="18"/>
                <w:szCs w:val="18"/>
                <w:highlight w:val="none"/>
              </w:rPr>
            </w:pPr>
          </w:p>
        </w:tc>
        <w:tc>
          <w:tcPr>
            <w:tcW w:w="1502" w:type="dxa"/>
            <w:vAlign w:val="center"/>
          </w:tcPr>
          <w:p w14:paraId="10CC91E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资产总额(Z)</w:t>
            </w:r>
          </w:p>
        </w:tc>
        <w:tc>
          <w:tcPr>
            <w:tcW w:w="778" w:type="dxa"/>
            <w:vAlign w:val="center"/>
          </w:tcPr>
          <w:p w14:paraId="75F30D0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59EB37AE">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Z≥10000</w:t>
            </w:r>
          </w:p>
        </w:tc>
        <w:tc>
          <w:tcPr>
            <w:tcW w:w="1867" w:type="dxa"/>
            <w:vAlign w:val="center"/>
          </w:tcPr>
          <w:p w14:paraId="3A46041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5000≤Z＜10000</w:t>
            </w:r>
          </w:p>
        </w:tc>
        <w:tc>
          <w:tcPr>
            <w:tcW w:w="1686" w:type="dxa"/>
            <w:vAlign w:val="center"/>
          </w:tcPr>
          <w:p w14:paraId="306E5EF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2000≤Z＜</w:t>
            </w:r>
            <w:r>
              <w:rPr>
                <w:rFonts w:hint="eastAsia" w:ascii="仿宋" w:hAnsi="仿宋" w:eastAsia="仿宋"/>
                <w:kern w:val="0"/>
                <w:sz w:val="18"/>
                <w:szCs w:val="18"/>
                <w:highlight w:val="none"/>
              </w:rPr>
              <w:t>5000</w:t>
            </w:r>
          </w:p>
        </w:tc>
        <w:tc>
          <w:tcPr>
            <w:tcW w:w="966" w:type="dxa"/>
            <w:vAlign w:val="center"/>
          </w:tcPr>
          <w:p w14:paraId="6BD0889A">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Z＜2000</w:t>
            </w:r>
          </w:p>
        </w:tc>
      </w:tr>
      <w:tr w14:paraId="74A7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restart"/>
            <w:vAlign w:val="center"/>
          </w:tcPr>
          <w:p w14:paraId="6AFDBF40">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物业管理</w:t>
            </w:r>
          </w:p>
        </w:tc>
        <w:tc>
          <w:tcPr>
            <w:tcW w:w="1502" w:type="dxa"/>
            <w:vAlign w:val="center"/>
          </w:tcPr>
          <w:p w14:paraId="131AA2E1">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2AA0392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6DEC8F93">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X≥1000</w:t>
            </w:r>
          </w:p>
        </w:tc>
        <w:tc>
          <w:tcPr>
            <w:tcW w:w="1867" w:type="dxa"/>
            <w:vAlign w:val="center"/>
          </w:tcPr>
          <w:p w14:paraId="7034686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300≤X＜1000</w:t>
            </w:r>
          </w:p>
        </w:tc>
        <w:tc>
          <w:tcPr>
            <w:tcW w:w="1686" w:type="dxa"/>
            <w:vAlign w:val="center"/>
          </w:tcPr>
          <w:p w14:paraId="69891B8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100≤X＜300</w:t>
            </w:r>
          </w:p>
        </w:tc>
        <w:tc>
          <w:tcPr>
            <w:tcW w:w="966" w:type="dxa"/>
            <w:vAlign w:val="center"/>
          </w:tcPr>
          <w:p w14:paraId="014CF667">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X＜100</w:t>
            </w:r>
          </w:p>
        </w:tc>
      </w:tr>
      <w:tr w14:paraId="05BA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continue"/>
            <w:vAlign w:val="center"/>
          </w:tcPr>
          <w:p w14:paraId="1D1D50D9">
            <w:pPr>
              <w:widowControl/>
              <w:spacing w:line="240" w:lineRule="exact"/>
              <w:jc w:val="left"/>
              <w:rPr>
                <w:rFonts w:hint="eastAsia" w:ascii="仿宋" w:hAnsi="仿宋" w:eastAsia="仿宋"/>
                <w:kern w:val="0"/>
                <w:sz w:val="18"/>
                <w:szCs w:val="18"/>
                <w:highlight w:val="none"/>
              </w:rPr>
            </w:pPr>
          </w:p>
        </w:tc>
        <w:tc>
          <w:tcPr>
            <w:tcW w:w="1502" w:type="dxa"/>
            <w:vAlign w:val="center"/>
          </w:tcPr>
          <w:p w14:paraId="3C54708D">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营业收入(Y)</w:t>
            </w:r>
          </w:p>
        </w:tc>
        <w:tc>
          <w:tcPr>
            <w:tcW w:w="778" w:type="dxa"/>
            <w:vAlign w:val="center"/>
          </w:tcPr>
          <w:p w14:paraId="0F54830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5F144A8B">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Y≥5000</w:t>
            </w:r>
          </w:p>
        </w:tc>
        <w:tc>
          <w:tcPr>
            <w:tcW w:w="1867" w:type="dxa"/>
            <w:vAlign w:val="center"/>
          </w:tcPr>
          <w:p w14:paraId="4037F5A8">
            <w:pPr>
              <w:widowControl/>
              <w:spacing w:line="240" w:lineRule="exact"/>
              <w:ind w:left="1" w:leftChars="-51" w:hanging="108" w:hangingChars="60"/>
              <w:jc w:val="center"/>
              <w:rPr>
                <w:rFonts w:hint="eastAsia" w:ascii="仿宋" w:hAnsi="仿宋" w:eastAsia="仿宋"/>
                <w:kern w:val="0"/>
                <w:sz w:val="18"/>
                <w:szCs w:val="18"/>
                <w:highlight w:val="none"/>
              </w:rPr>
            </w:pPr>
            <w:r>
              <w:rPr>
                <w:rFonts w:ascii="仿宋" w:hAnsi="仿宋" w:eastAsia="仿宋"/>
                <w:kern w:val="0"/>
                <w:sz w:val="18"/>
                <w:szCs w:val="18"/>
                <w:highlight w:val="none"/>
              </w:rPr>
              <w:t>1000≤Y＜5000</w:t>
            </w:r>
          </w:p>
        </w:tc>
        <w:tc>
          <w:tcPr>
            <w:tcW w:w="1686" w:type="dxa"/>
            <w:vAlign w:val="center"/>
          </w:tcPr>
          <w:p w14:paraId="197CDB66">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500≤Y＜1000</w:t>
            </w:r>
          </w:p>
        </w:tc>
        <w:tc>
          <w:tcPr>
            <w:tcW w:w="966" w:type="dxa"/>
            <w:vAlign w:val="center"/>
          </w:tcPr>
          <w:p w14:paraId="5EDE6397">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Y＜500</w:t>
            </w:r>
          </w:p>
        </w:tc>
      </w:tr>
      <w:tr w14:paraId="1854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restart"/>
            <w:vAlign w:val="center"/>
          </w:tcPr>
          <w:p w14:paraId="6C6A4F90">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租赁和商务服务业</w:t>
            </w:r>
          </w:p>
        </w:tc>
        <w:tc>
          <w:tcPr>
            <w:tcW w:w="1502" w:type="dxa"/>
            <w:vAlign w:val="center"/>
          </w:tcPr>
          <w:p w14:paraId="33CA23B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0BA9F7A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544948A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X≥300</w:t>
            </w:r>
          </w:p>
        </w:tc>
        <w:tc>
          <w:tcPr>
            <w:tcW w:w="1867" w:type="dxa"/>
            <w:vAlign w:val="center"/>
          </w:tcPr>
          <w:p w14:paraId="0BBCA683">
            <w:pPr>
              <w:widowControl/>
              <w:spacing w:line="240" w:lineRule="exact"/>
              <w:ind w:left="1" w:leftChars="-51" w:hanging="108" w:hangingChars="60"/>
              <w:jc w:val="center"/>
              <w:rPr>
                <w:rFonts w:hint="eastAsia" w:ascii="仿宋" w:hAnsi="仿宋" w:eastAsia="仿宋"/>
                <w:kern w:val="0"/>
                <w:sz w:val="18"/>
                <w:szCs w:val="18"/>
                <w:highlight w:val="none"/>
              </w:rPr>
            </w:pPr>
            <w:r>
              <w:rPr>
                <w:rFonts w:ascii="仿宋" w:hAnsi="仿宋" w:eastAsia="仿宋"/>
                <w:kern w:val="0"/>
                <w:sz w:val="18"/>
                <w:szCs w:val="18"/>
                <w:highlight w:val="none"/>
              </w:rPr>
              <w:t>100≤X＜300</w:t>
            </w:r>
          </w:p>
        </w:tc>
        <w:tc>
          <w:tcPr>
            <w:tcW w:w="1686" w:type="dxa"/>
            <w:vAlign w:val="center"/>
          </w:tcPr>
          <w:p w14:paraId="2A836A6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10≤X＜100</w:t>
            </w:r>
          </w:p>
        </w:tc>
        <w:tc>
          <w:tcPr>
            <w:tcW w:w="966" w:type="dxa"/>
            <w:vAlign w:val="center"/>
          </w:tcPr>
          <w:p w14:paraId="64FA95F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w:t>
            </w:r>
          </w:p>
        </w:tc>
      </w:tr>
      <w:tr w14:paraId="676F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exact"/>
          <w:jc w:val="center"/>
        </w:trPr>
        <w:tc>
          <w:tcPr>
            <w:tcW w:w="2320" w:type="dxa"/>
            <w:vMerge w:val="continue"/>
            <w:vAlign w:val="center"/>
          </w:tcPr>
          <w:p w14:paraId="6F9ED2E1">
            <w:pPr>
              <w:widowControl/>
              <w:spacing w:line="240" w:lineRule="exact"/>
              <w:jc w:val="left"/>
              <w:rPr>
                <w:rFonts w:hint="eastAsia" w:ascii="仿宋" w:hAnsi="仿宋" w:eastAsia="仿宋"/>
                <w:kern w:val="0"/>
                <w:sz w:val="18"/>
                <w:szCs w:val="18"/>
                <w:highlight w:val="none"/>
              </w:rPr>
            </w:pPr>
          </w:p>
        </w:tc>
        <w:tc>
          <w:tcPr>
            <w:tcW w:w="1502" w:type="dxa"/>
            <w:vAlign w:val="center"/>
          </w:tcPr>
          <w:p w14:paraId="4081945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资产总额(Z)</w:t>
            </w:r>
          </w:p>
        </w:tc>
        <w:tc>
          <w:tcPr>
            <w:tcW w:w="778" w:type="dxa"/>
            <w:vAlign w:val="center"/>
          </w:tcPr>
          <w:p w14:paraId="6DA76EC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万元</w:t>
            </w:r>
          </w:p>
        </w:tc>
        <w:tc>
          <w:tcPr>
            <w:tcW w:w="1234" w:type="dxa"/>
            <w:vAlign w:val="center"/>
          </w:tcPr>
          <w:p w14:paraId="4F4C772C">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Z≥120000</w:t>
            </w:r>
          </w:p>
        </w:tc>
        <w:tc>
          <w:tcPr>
            <w:tcW w:w="1867" w:type="dxa"/>
            <w:vAlign w:val="center"/>
          </w:tcPr>
          <w:p w14:paraId="240B47B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8000≤Z＜120000</w:t>
            </w:r>
          </w:p>
        </w:tc>
        <w:tc>
          <w:tcPr>
            <w:tcW w:w="1686" w:type="dxa"/>
            <w:vAlign w:val="center"/>
          </w:tcPr>
          <w:p w14:paraId="25021C7F">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100≤Z＜8000</w:t>
            </w:r>
          </w:p>
        </w:tc>
        <w:tc>
          <w:tcPr>
            <w:tcW w:w="966" w:type="dxa"/>
            <w:vAlign w:val="center"/>
          </w:tcPr>
          <w:p w14:paraId="5C843A62">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Z＜100</w:t>
            </w:r>
          </w:p>
        </w:tc>
      </w:tr>
      <w:tr w14:paraId="5F8B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2320" w:type="dxa"/>
            <w:vAlign w:val="center"/>
          </w:tcPr>
          <w:p w14:paraId="1B486572">
            <w:pPr>
              <w:widowControl/>
              <w:spacing w:line="240" w:lineRule="exact"/>
              <w:jc w:val="left"/>
              <w:rPr>
                <w:rFonts w:hint="eastAsia" w:ascii="仿宋" w:hAnsi="仿宋" w:eastAsia="仿宋"/>
                <w:kern w:val="0"/>
                <w:sz w:val="18"/>
                <w:szCs w:val="18"/>
                <w:highlight w:val="none"/>
              </w:rPr>
            </w:pPr>
            <w:r>
              <w:rPr>
                <w:rFonts w:ascii="仿宋" w:hAnsi="仿宋" w:eastAsia="仿宋"/>
                <w:kern w:val="0"/>
                <w:sz w:val="18"/>
                <w:szCs w:val="18"/>
                <w:highlight w:val="none"/>
              </w:rPr>
              <w:t>其他未列明行业*</w:t>
            </w:r>
          </w:p>
        </w:tc>
        <w:tc>
          <w:tcPr>
            <w:tcW w:w="1502" w:type="dxa"/>
            <w:vAlign w:val="center"/>
          </w:tcPr>
          <w:p w14:paraId="33F2FE5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从业人员(X)</w:t>
            </w:r>
          </w:p>
        </w:tc>
        <w:tc>
          <w:tcPr>
            <w:tcW w:w="778" w:type="dxa"/>
            <w:vAlign w:val="center"/>
          </w:tcPr>
          <w:p w14:paraId="14B43D28">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人</w:t>
            </w:r>
          </w:p>
        </w:tc>
        <w:tc>
          <w:tcPr>
            <w:tcW w:w="1234" w:type="dxa"/>
            <w:vAlign w:val="center"/>
          </w:tcPr>
          <w:p w14:paraId="1DD8BF35">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X≥300</w:t>
            </w:r>
          </w:p>
        </w:tc>
        <w:tc>
          <w:tcPr>
            <w:tcW w:w="1867" w:type="dxa"/>
            <w:vAlign w:val="center"/>
          </w:tcPr>
          <w:p w14:paraId="3FB3E847">
            <w:pPr>
              <w:widowControl/>
              <w:spacing w:line="240" w:lineRule="exact"/>
              <w:ind w:left="1" w:leftChars="-51" w:hanging="108" w:hangingChars="60"/>
              <w:jc w:val="center"/>
              <w:rPr>
                <w:rFonts w:hint="eastAsia" w:ascii="仿宋" w:hAnsi="仿宋" w:eastAsia="仿宋"/>
                <w:kern w:val="0"/>
                <w:sz w:val="18"/>
                <w:szCs w:val="18"/>
                <w:highlight w:val="none"/>
              </w:rPr>
            </w:pPr>
            <w:r>
              <w:rPr>
                <w:rFonts w:ascii="仿宋" w:hAnsi="仿宋" w:eastAsia="仿宋"/>
                <w:kern w:val="0"/>
                <w:sz w:val="18"/>
                <w:szCs w:val="18"/>
                <w:highlight w:val="none"/>
              </w:rPr>
              <w:t>100≤X＜300</w:t>
            </w:r>
          </w:p>
        </w:tc>
        <w:tc>
          <w:tcPr>
            <w:tcW w:w="1686" w:type="dxa"/>
            <w:vAlign w:val="center"/>
          </w:tcPr>
          <w:p w14:paraId="557987B9">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10≤X＜100</w:t>
            </w:r>
          </w:p>
        </w:tc>
        <w:tc>
          <w:tcPr>
            <w:tcW w:w="966" w:type="dxa"/>
            <w:vAlign w:val="center"/>
          </w:tcPr>
          <w:p w14:paraId="5D5BFFB4">
            <w:pPr>
              <w:widowControl/>
              <w:spacing w:line="240" w:lineRule="exact"/>
              <w:jc w:val="center"/>
              <w:rPr>
                <w:rFonts w:hint="eastAsia" w:ascii="仿宋" w:hAnsi="仿宋" w:eastAsia="仿宋"/>
                <w:kern w:val="0"/>
                <w:sz w:val="18"/>
                <w:szCs w:val="18"/>
                <w:highlight w:val="none"/>
              </w:rPr>
            </w:pPr>
            <w:r>
              <w:rPr>
                <w:rFonts w:ascii="仿宋" w:hAnsi="仿宋" w:eastAsia="仿宋"/>
                <w:kern w:val="0"/>
                <w:sz w:val="18"/>
                <w:szCs w:val="18"/>
                <w:highlight w:val="none"/>
              </w:rPr>
              <w:t>X＜10</w:t>
            </w:r>
          </w:p>
        </w:tc>
      </w:tr>
    </w:tbl>
    <w:p w14:paraId="7CED4239">
      <w:pPr>
        <w:keepNext w:val="0"/>
        <w:keepLines w:val="0"/>
        <w:pageBreakBefore w:val="0"/>
        <w:widowControl w:val="0"/>
        <w:kinsoku/>
        <w:wordWrap/>
        <w:overflowPunct/>
        <w:topLinePunct w:val="0"/>
        <w:autoSpaceDE/>
        <w:autoSpaceDN/>
        <w:bidi w:val="0"/>
        <w:adjustRightInd/>
        <w:snapToGrid/>
        <w:spacing w:line="280" w:lineRule="exact"/>
        <w:textAlignment w:val="auto"/>
        <w:outlineLvl w:val="9"/>
        <w:rPr>
          <w:rFonts w:hint="eastAsia" w:ascii="仿宋" w:hAnsi="仿宋" w:eastAsia="仿宋"/>
          <w:highlight w:val="none"/>
        </w:rPr>
      </w:pPr>
      <w:r>
        <w:rPr>
          <w:rFonts w:hint="eastAsia" w:ascii="仿宋" w:hAnsi="仿宋" w:eastAsia="仿宋" w:cs="宋体"/>
          <w:spacing w:val="8"/>
          <w:kern w:val="0"/>
          <w:sz w:val="18"/>
          <w:szCs w:val="18"/>
          <w:highlight w:val="none"/>
        </w:rPr>
        <w:t>说明：</w:t>
      </w:r>
      <w:r>
        <w:rPr>
          <w:rFonts w:hint="eastAsia" w:ascii="仿宋" w:hAnsi="仿宋" w:eastAsia="仿宋" w:cs="宋体"/>
          <w:spacing w:val="8"/>
          <w:sz w:val="18"/>
          <w:szCs w:val="18"/>
          <w:highlight w:val="none"/>
        </w:rPr>
        <w:t>1.大型、中型和小型企业须同时满足所列指标的下限，否则下划一档；微型企业只须满足所列指标中的一项即可。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r>
        <w:rPr>
          <w:rFonts w:hint="eastAsia" w:ascii="仿宋" w:hAnsi="仿宋" w:eastAsia="仿宋"/>
          <w:spacing w:val="8"/>
          <w:sz w:val="18"/>
          <w:szCs w:val="18"/>
          <w:highlight w:val="none"/>
        </w:rPr>
        <w:t>3.</w:t>
      </w:r>
      <w:r>
        <w:rPr>
          <w:rFonts w:hint="eastAsia" w:ascii="仿宋" w:hAnsi="仿宋" w:eastAsia="仿宋" w:cs="宋体"/>
          <w:spacing w:val="8"/>
          <w:sz w:val="18"/>
          <w:szCs w:val="18"/>
          <w:highlight w:val="none"/>
        </w:rPr>
        <w:t>企业划分指标以现行统计制度为准。（</w:t>
      </w:r>
      <w:r>
        <w:rPr>
          <w:rFonts w:hint="eastAsia" w:ascii="仿宋" w:hAnsi="仿宋" w:eastAsia="仿宋"/>
          <w:spacing w:val="8"/>
          <w:sz w:val="18"/>
          <w:szCs w:val="18"/>
          <w:highlight w:val="none"/>
        </w:rPr>
        <w:t>1</w:t>
      </w:r>
      <w:r>
        <w:rPr>
          <w:rFonts w:hint="eastAsia" w:ascii="仿宋" w:hAnsi="仿宋" w:eastAsia="仿宋" w:cs="宋体"/>
          <w:spacing w:val="8"/>
          <w:sz w:val="18"/>
          <w:szCs w:val="18"/>
          <w:highlight w:val="none"/>
        </w:rPr>
        <w:t>）从业人员，是指期末从业人员数，没有期末从业人员数的，采用全年平均人员数代替。（</w:t>
      </w:r>
      <w:r>
        <w:rPr>
          <w:rFonts w:hint="eastAsia" w:ascii="仿宋" w:hAnsi="仿宋" w:eastAsia="仿宋"/>
          <w:spacing w:val="8"/>
          <w:sz w:val="18"/>
          <w:szCs w:val="18"/>
          <w:highlight w:val="none"/>
        </w:rPr>
        <w:t>2</w:t>
      </w:r>
      <w:r>
        <w:rPr>
          <w:rFonts w:hint="eastAsia" w:ascii="仿宋" w:hAnsi="仿宋" w:eastAsia="仿宋" w:cs="宋体"/>
          <w:spacing w:val="8"/>
          <w:sz w:val="18"/>
          <w:szCs w:val="18"/>
          <w:highlight w:val="none"/>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ascii="仿宋" w:hAnsi="仿宋" w:eastAsia="仿宋"/>
          <w:spacing w:val="8"/>
          <w:sz w:val="18"/>
          <w:szCs w:val="18"/>
          <w:highlight w:val="none"/>
        </w:rPr>
        <w:t>3</w:t>
      </w:r>
      <w:r>
        <w:rPr>
          <w:rFonts w:hint="eastAsia" w:ascii="仿宋" w:hAnsi="仿宋" w:eastAsia="仿宋" w:cs="宋体"/>
          <w:spacing w:val="8"/>
          <w:sz w:val="18"/>
          <w:szCs w:val="18"/>
          <w:highlight w:val="none"/>
        </w:rPr>
        <w:t>）资产总额，采用资产总计代替。</w:t>
      </w:r>
    </w:p>
    <w:p w14:paraId="52930B52">
      <w:pPr>
        <w:pStyle w:val="2"/>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highlight w:val="none"/>
        </w:rPr>
      </w:pPr>
      <w:bookmarkStart w:id="48" w:name="_Toc21766"/>
      <w:r>
        <w:rPr>
          <w:rFonts w:hint="eastAsia" w:ascii="仿宋" w:hAnsi="仿宋" w:eastAsia="仿宋" w:cs="仿宋"/>
          <w:highlight w:val="none"/>
        </w:rPr>
        <w:t>第三章  投标人须知</w:t>
      </w:r>
      <w:bookmarkEnd w:id="48"/>
    </w:p>
    <w:p w14:paraId="249F98CA">
      <w:pPr>
        <w:spacing w:before="120" w:beforeLines="50"/>
        <w:jc w:val="center"/>
        <w:rPr>
          <w:rFonts w:hint="eastAsia" w:ascii="仿宋" w:hAnsi="仿宋" w:eastAsia="仿宋"/>
          <w:b/>
          <w:sz w:val="28"/>
          <w:szCs w:val="28"/>
          <w:highlight w:val="none"/>
        </w:rPr>
      </w:pPr>
      <w:bookmarkStart w:id="49" w:name="_Toc254970667"/>
      <w:bookmarkStart w:id="50" w:name="_Toc254970526"/>
      <w:r>
        <w:rPr>
          <w:rFonts w:hint="eastAsia" w:ascii="仿宋" w:hAnsi="仿宋" w:eastAsia="仿宋"/>
          <w:b/>
          <w:sz w:val="28"/>
          <w:szCs w:val="28"/>
          <w:highlight w:val="none"/>
        </w:rPr>
        <w:t>投标人须知前附表</w:t>
      </w:r>
      <w:bookmarkEnd w:id="49"/>
      <w:bookmarkEnd w:id="50"/>
    </w:p>
    <w:tbl>
      <w:tblPr>
        <w:tblStyle w:val="49"/>
        <w:tblW w:w="103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6"/>
        <w:gridCol w:w="9275"/>
      </w:tblGrid>
      <w:tr w14:paraId="57A3C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12B2E0EB">
            <w:pPr>
              <w:snapToGrid w:val="0"/>
              <w:spacing w:line="390" w:lineRule="exact"/>
              <w:jc w:val="center"/>
              <w:rPr>
                <w:rFonts w:hint="eastAsia" w:ascii="仿宋" w:hAnsi="仿宋" w:eastAsia="仿宋"/>
                <w:sz w:val="24"/>
                <w:highlight w:val="none"/>
              </w:rPr>
            </w:pPr>
            <w:r>
              <w:rPr>
                <w:rFonts w:hint="eastAsia" w:ascii="仿宋" w:hAnsi="仿宋" w:eastAsia="仿宋"/>
                <w:sz w:val="24"/>
                <w:highlight w:val="none"/>
              </w:rPr>
              <w:t>条款号</w:t>
            </w:r>
          </w:p>
        </w:tc>
        <w:tc>
          <w:tcPr>
            <w:tcW w:w="9275" w:type="dxa"/>
            <w:tcBorders>
              <w:top w:val="single" w:color="auto" w:sz="4" w:space="0"/>
              <w:left w:val="single" w:color="auto" w:sz="4" w:space="0"/>
              <w:bottom w:val="single" w:color="auto" w:sz="4" w:space="0"/>
              <w:right w:val="single" w:color="auto" w:sz="4" w:space="0"/>
            </w:tcBorders>
            <w:vAlign w:val="center"/>
          </w:tcPr>
          <w:p w14:paraId="55B3E8CF">
            <w:pPr>
              <w:snapToGrid w:val="0"/>
              <w:spacing w:line="390" w:lineRule="exact"/>
              <w:jc w:val="center"/>
              <w:rPr>
                <w:rFonts w:hint="eastAsia" w:ascii="仿宋" w:hAnsi="仿宋" w:eastAsia="仿宋"/>
                <w:sz w:val="24"/>
                <w:highlight w:val="none"/>
              </w:rPr>
            </w:pPr>
            <w:r>
              <w:rPr>
                <w:rFonts w:hint="eastAsia" w:ascii="仿宋" w:hAnsi="仿宋" w:eastAsia="仿宋"/>
                <w:sz w:val="24"/>
                <w:highlight w:val="none"/>
              </w:rPr>
              <w:t>编列内容</w:t>
            </w:r>
          </w:p>
        </w:tc>
      </w:tr>
      <w:tr w14:paraId="374F5C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19DDD648">
            <w:pPr>
              <w:spacing w:line="390" w:lineRule="exact"/>
              <w:jc w:val="center"/>
              <w:rPr>
                <w:rFonts w:hint="eastAsia" w:ascii="仿宋" w:hAnsi="仿宋" w:eastAsia="仿宋"/>
                <w:sz w:val="24"/>
                <w:highlight w:val="none"/>
              </w:rPr>
            </w:pPr>
            <w:r>
              <w:rPr>
                <w:rFonts w:hint="eastAsia" w:ascii="仿宋" w:hAnsi="仿宋" w:eastAsia="仿宋"/>
                <w:sz w:val="24"/>
                <w:highlight w:val="none"/>
              </w:rPr>
              <w:t>3</w:t>
            </w:r>
          </w:p>
        </w:tc>
        <w:tc>
          <w:tcPr>
            <w:tcW w:w="9275" w:type="dxa"/>
            <w:tcBorders>
              <w:top w:val="single" w:color="auto" w:sz="4" w:space="0"/>
              <w:left w:val="single" w:color="auto" w:sz="4" w:space="0"/>
              <w:bottom w:val="single" w:color="auto" w:sz="4" w:space="0"/>
              <w:right w:val="single" w:color="auto" w:sz="4" w:space="0"/>
            </w:tcBorders>
            <w:vAlign w:val="center"/>
          </w:tcPr>
          <w:p w14:paraId="2248EC5B">
            <w:pPr>
              <w:snapToGrid w:val="0"/>
              <w:spacing w:line="390" w:lineRule="exact"/>
              <w:jc w:val="left"/>
              <w:rPr>
                <w:rFonts w:hint="eastAsia" w:ascii="仿宋" w:hAnsi="仿宋" w:eastAsia="仿宋"/>
                <w:sz w:val="24"/>
                <w:highlight w:val="none"/>
              </w:rPr>
            </w:pPr>
            <w:r>
              <w:rPr>
                <w:rFonts w:hint="eastAsia" w:ascii="仿宋" w:hAnsi="仿宋" w:eastAsia="仿宋"/>
                <w:sz w:val="24"/>
                <w:highlight w:val="none"/>
              </w:rPr>
              <w:t>投标人的资格要求：详见招标公告。</w:t>
            </w:r>
          </w:p>
        </w:tc>
      </w:tr>
      <w:tr w14:paraId="6B344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BF50F90">
            <w:pPr>
              <w:spacing w:line="390" w:lineRule="exact"/>
              <w:jc w:val="center"/>
              <w:rPr>
                <w:rFonts w:hint="eastAsia" w:ascii="仿宋" w:hAnsi="仿宋" w:eastAsia="仿宋"/>
                <w:sz w:val="24"/>
                <w:highlight w:val="none"/>
              </w:rPr>
            </w:pPr>
            <w:bookmarkStart w:id="51" w:name="_8.1"/>
            <w:bookmarkEnd w:id="51"/>
            <w:bookmarkStart w:id="52" w:name="_9.2"/>
            <w:bookmarkEnd w:id="52"/>
            <w:bookmarkStart w:id="53" w:name="_5"/>
            <w:bookmarkEnd w:id="53"/>
            <w:r>
              <w:rPr>
                <w:rFonts w:hint="eastAsia" w:ascii="仿宋" w:hAnsi="仿宋" w:eastAsia="仿宋"/>
                <w:sz w:val="24"/>
                <w:highlight w:val="none"/>
              </w:rPr>
              <w:t>6.1</w:t>
            </w:r>
          </w:p>
        </w:tc>
        <w:tc>
          <w:tcPr>
            <w:tcW w:w="9275" w:type="dxa"/>
            <w:tcBorders>
              <w:top w:val="single" w:color="auto" w:sz="4" w:space="0"/>
              <w:left w:val="single" w:color="auto" w:sz="4" w:space="0"/>
              <w:bottom w:val="single" w:color="auto" w:sz="4" w:space="0"/>
              <w:right w:val="single" w:color="auto" w:sz="4" w:space="0"/>
            </w:tcBorders>
            <w:vAlign w:val="center"/>
          </w:tcPr>
          <w:p w14:paraId="4F239D71">
            <w:pPr>
              <w:pStyle w:val="16"/>
              <w:spacing w:line="390" w:lineRule="exact"/>
              <w:rPr>
                <w:rFonts w:hint="eastAsia" w:ascii="仿宋" w:hAnsi="仿宋" w:eastAsia="仿宋"/>
                <w:sz w:val="24"/>
                <w:highlight w:val="none"/>
              </w:rPr>
            </w:pPr>
            <w:r>
              <w:rPr>
                <w:rFonts w:hint="eastAsia" w:ascii="仿宋" w:hAnsi="仿宋" w:eastAsia="仿宋"/>
                <w:sz w:val="24"/>
                <w:highlight w:val="none"/>
              </w:rPr>
              <w:t>本项目是否接受联合体投标：详见招标公告。</w:t>
            </w:r>
          </w:p>
        </w:tc>
      </w:tr>
      <w:tr w14:paraId="561E4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19FE1B91">
            <w:pPr>
              <w:spacing w:line="390" w:lineRule="exact"/>
              <w:jc w:val="center"/>
              <w:rPr>
                <w:rFonts w:hint="eastAsia" w:ascii="仿宋" w:hAnsi="仿宋" w:eastAsia="仿宋"/>
                <w:sz w:val="24"/>
                <w:highlight w:val="none"/>
              </w:rPr>
            </w:pPr>
            <w:r>
              <w:rPr>
                <w:rFonts w:hint="eastAsia" w:ascii="仿宋" w:hAnsi="仿宋" w:eastAsia="仿宋"/>
                <w:sz w:val="24"/>
                <w:highlight w:val="none"/>
              </w:rPr>
              <w:t>7.2</w:t>
            </w:r>
          </w:p>
        </w:tc>
        <w:tc>
          <w:tcPr>
            <w:tcW w:w="9275" w:type="dxa"/>
            <w:tcBorders>
              <w:top w:val="single" w:color="auto" w:sz="4" w:space="0"/>
              <w:left w:val="single" w:color="auto" w:sz="4" w:space="0"/>
              <w:bottom w:val="single" w:color="auto" w:sz="4" w:space="0"/>
              <w:right w:val="single" w:color="auto" w:sz="4" w:space="0"/>
            </w:tcBorders>
            <w:vAlign w:val="center"/>
          </w:tcPr>
          <w:p w14:paraId="0BBEE69C">
            <w:pPr>
              <w:pStyle w:val="16"/>
              <w:spacing w:line="390" w:lineRule="exact"/>
              <w:rPr>
                <w:rFonts w:hint="eastAsia" w:ascii="仿宋" w:hAnsi="仿宋" w:eastAsia="仿宋"/>
                <w:sz w:val="24"/>
                <w:highlight w:val="none"/>
              </w:rPr>
            </w:pPr>
            <w:r>
              <w:rPr>
                <w:rFonts w:ascii="仿宋" w:hAnsi="仿宋" w:eastAsia="仿宋"/>
                <w:sz w:val="24"/>
                <w:highlight w:val="none"/>
              </w:rPr>
              <w:fldChar w:fldCharType="begin"/>
            </w:r>
            <w:r>
              <w:rPr>
                <w:rFonts w:ascii="仿宋" w:hAnsi="仿宋" w:eastAsia="仿宋"/>
                <w:sz w:val="24"/>
                <w:highlight w:val="none"/>
              </w:rPr>
              <w:instrText xml:space="preserve"> </w:instrText>
            </w:r>
            <w:r>
              <w:rPr>
                <w:rFonts w:hint="eastAsia" w:ascii="仿宋" w:hAnsi="仿宋" w:eastAsia="仿宋"/>
                <w:sz w:val="24"/>
                <w:highlight w:val="none"/>
              </w:rPr>
              <w:instrText xml:space="preserve">eq \o\ac(□,</w:instrText>
            </w:r>
            <w:r>
              <w:rPr>
                <w:rFonts w:hint="eastAsia" w:ascii="仿宋" w:hAnsi="仿宋" w:eastAsia="仿宋"/>
                <w:position w:val="2"/>
                <w:sz w:val="24"/>
                <w:highlight w:val="none"/>
              </w:rPr>
              <w:instrText xml:space="preserve">√</w:instrText>
            </w:r>
            <w:r>
              <w:rPr>
                <w:rFonts w:hint="eastAsia" w:ascii="仿宋" w:hAnsi="仿宋" w:eastAsia="仿宋"/>
                <w:sz w:val="24"/>
                <w:highlight w:val="none"/>
              </w:rPr>
              <w:instrText xml:space="preserve">)</w:instrText>
            </w:r>
            <w:r>
              <w:rPr>
                <w:rFonts w:ascii="仿宋" w:hAnsi="仿宋" w:eastAsia="仿宋"/>
                <w:sz w:val="24"/>
                <w:highlight w:val="none"/>
              </w:rPr>
              <w:fldChar w:fldCharType="end"/>
            </w:r>
            <w:r>
              <w:rPr>
                <w:rFonts w:hint="eastAsia" w:ascii="仿宋" w:hAnsi="仿宋" w:eastAsia="仿宋"/>
                <w:sz w:val="24"/>
                <w:highlight w:val="none"/>
              </w:rPr>
              <w:t>本项目不允许分包。</w:t>
            </w:r>
          </w:p>
          <w:p w14:paraId="15AE103D">
            <w:pPr>
              <w:pStyle w:val="16"/>
              <w:spacing w:line="390" w:lineRule="exact"/>
              <w:rPr>
                <w:rFonts w:hint="eastAsia" w:ascii="仿宋" w:hAnsi="仿宋" w:eastAsia="仿宋"/>
                <w:sz w:val="24"/>
                <w:highlight w:val="none"/>
              </w:rPr>
            </w:pPr>
            <w:r>
              <w:rPr>
                <w:rFonts w:hint="eastAsia" w:ascii="仿宋" w:hAnsi="仿宋" w:eastAsia="仿宋"/>
                <w:sz w:val="24"/>
                <w:highlight w:val="none"/>
              </w:rPr>
              <w:t>□本项目允许分包：</w:t>
            </w:r>
          </w:p>
          <w:p w14:paraId="72561D3C">
            <w:pPr>
              <w:pStyle w:val="16"/>
              <w:spacing w:line="390" w:lineRule="exact"/>
              <w:rPr>
                <w:rFonts w:hint="eastAsia" w:ascii="仿宋" w:hAnsi="仿宋" w:eastAsia="仿宋"/>
                <w:sz w:val="24"/>
                <w:highlight w:val="none"/>
                <w:u w:val="single"/>
              </w:rPr>
            </w:pPr>
            <w:r>
              <w:rPr>
                <w:rFonts w:hint="eastAsia" w:ascii="仿宋" w:hAnsi="仿宋" w:eastAsia="仿宋"/>
                <w:sz w:val="24"/>
                <w:highlight w:val="none"/>
              </w:rPr>
              <w:t>分包内容：</w:t>
            </w:r>
            <w:r>
              <w:rPr>
                <w:rFonts w:hint="eastAsia" w:ascii="仿宋" w:hAnsi="仿宋" w:eastAsia="仿宋"/>
                <w:sz w:val="24"/>
                <w:highlight w:val="none"/>
                <w:u w:val="single"/>
              </w:rPr>
              <w:t xml:space="preserve">     /     </w:t>
            </w:r>
            <w:r>
              <w:rPr>
                <w:rFonts w:hint="eastAsia" w:ascii="仿宋" w:hAnsi="仿宋" w:eastAsia="仿宋"/>
                <w:sz w:val="24"/>
                <w:highlight w:val="none"/>
              </w:rPr>
              <w:t>。</w:t>
            </w:r>
          </w:p>
          <w:p w14:paraId="0CDD31F0">
            <w:pPr>
              <w:pStyle w:val="16"/>
              <w:spacing w:line="390" w:lineRule="exact"/>
              <w:jc w:val="both"/>
              <w:rPr>
                <w:rFonts w:hint="eastAsia" w:ascii="仿宋" w:hAnsi="仿宋" w:eastAsia="仿宋"/>
                <w:sz w:val="24"/>
                <w:highlight w:val="none"/>
                <w:u w:val="single"/>
              </w:rPr>
            </w:pPr>
            <w:r>
              <w:rPr>
                <w:rFonts w:hint="eastAsia" w:ascii="仿宋" w:hAnsi="仿宋" w:eastAsia="仿宋"/>
                <w:sz w:val="24"/>
                <w:highlight w:val="none"/>
              </w:rPr>
              <w:t>分包金额或者比例：</w:t>
            </w:r>
            <w:r>
              <w:rPr>
                <w:rFonts w:hint="eastAsia" w:ascii="仿宋" w:hAnsi="仿宋" w:eastAsia="仿宋"/>
                <w:sz w:val="24"/>
                <w:highlight w:val="none"/>
                <w:u w:val="single"/>
              </w:rPr>
              <w:t xml:space="preserve">      </w:t>
            </w:r>
            <w:r>
              <w:rPr>
                <w:rFonts w:ascii="仿宋" w:hAnsi="仿宋" w:eastAsia="仿宋"/>
                <w:sz w:val="24"/>
                <w:highlight w:val="none"/>
                <w:u w:val="single"/>
              </w:rPr>
              <w:t>/</w:t>
            </w:r>
            <w:r>
              <w:rPr>
                <w:rFonts w:hint="eastAsia" w:ascii="仿宋" w:hAnsi="仿宋" w:eastAsia="仿宋"/>
                <w:sz w:val="24"/>
                <w:highlight w:val="none"/>
                <w:u w:val="single"/>
              </w:rPr>
              <w:t xml:space="preserve">      </w:t>
            </w:r>
            <w:r>
              <w:rPr>
                <w:rFonts w:hint="eastAsia" w:ascii="仿宋" w:hAnsi="仿宋" w:eastAsia="仿宋"/>
                <w:sz w:val="24"/>
                <w:highlight w:val="none"/>
              </w:rPr>
              <w:t>。</w:t>
            </w:r>
          </w:p>
        </w:tc>
      </w:tr>
      <w:tr w14:paraId="339123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1B2EF49A">
            <w:pPr>
              <w:spacing w:line="390" w:lineRule="exact"/>
              <w:jc w:val="center"/>
              <w:rPr>
                <w:rFonts w:hint="eastAsia" w:ascii="仿宋" w:hAnsi="仿宋" w:eastAsia="仿宋"/>
                <w:sz w:val="24"/>
                <w:highlight w:val="none"/>
              </w:rPr>
            </w:pPr>
            <w:r>
              <w:rPr>
                <w:rFonts w:hint="eastAsia" w:ascii="仿宋" w:hAnsi="仿宋" w:eastAsia="仿宋"/>
                <w:sz w:val="24"/>
                <w:highlight w:val="none"/>
              </w:rPr>
              <w:t>8.1</w:t>
            </w:r>
          </w:p>
        </w:tc>
        <w:tc>
          <w:tcPr>
            <w:tcW w:w="9275" w:type="dxa"/>
            <w:tcBorders>
              <w:top w:val="single" w:color="auto" w:sz="4" w:space="0"/>
              <w:left w:val="single" w:color="auto" w:sz="4" w:space="0"/>
              <w:bottom w:val="single" w:color="auto" w:sz="4" w:space="0"/>
              <w:right w:val="single" w:color="auto" w:sz="4" w:space="0"/>
            </w:tcBorders>
            <w:vAlign w:val="center"/>
          </w:tcPr>
          <w:p w14:paraId="7668EBBF">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□1、采用最低评标价法的采购项目，提供相同品牌产品（非单一产品采购项目的，指核心产品）的不同投标人评标价相同时，按照下列方式确定一个投标人获得中标人推荐资格：评标委员会随机抽取/按</w:t>
            </w:r>
            <w:r>
              <w:rPr>
                <w:rFonts w:ascii="仿宋" w:hAnsi="仿宋" w:eastAsia="仿宋"/>
                <w:sz w:val="24"/>
                <w:highlight w:val="none"/>
              </w:rPr>
              <w:t>投标报价低</w:t>
            </w:r>
            <w:r>
              <w:rPr>
                <w:rFonts w:hint="eastAsia" w:ascii="仿宋" w:hAnsi="仿宋" w:eastAsia="仿宋"/>
                <w:sz w:val="24"/>
                <w:highlight w:val="none"/>
              </w:rPr>
              <w:t>的原则确定，</w:t>
            </w:r>
            <w:r>
              <w:rPr>
                <w:rFonts w:ascii="仿宋" w:hAnsi="仿宋" w:eastAsia="仿宋"/>
                <w:sz w:val="24"/>
                <w:highlight w:val="none"/>
              </w:rPr>
              <w:t>投标报价相同的</w:t>
            </w:r>
            <w:r>
              <w:rPr>
                <w:rFonts w:hint="eastAsia" w:ascii="仿宋" w:hAnsi="仿宋" w:eastAsia="仿宋" w:cs="宋体"/>
                <w:sz w:val="24"/>
                <w:highlight w:val="none"/>
              </w:rPr>
              <w:t>按</w:t>
            </w:r>
            <w:r>
              <w:rPr>
                <w:rFonts w:ascii="仿宋" w:hAnsi="仿宋" w:eastAsia="仿宋"/>
                <w:sz w:val="24"/>
                <w:highlight w:val="none"/>
              </w:rPr>
              <w:t>节能环保优先、技术指标高优先、质保期长优先、交货期短优先、故障响应时间短优先的</w:t>
            </w:r>
            <w:r>
              <w:rPr>
                <w:rFonts w:hint="eastAsia" w:ascii="仿宋" w:hAnsi="仿宋" w:eastAsia="仿宋" w:cs="宋体"/>
                <w:sz w:val="24"/>
                <w:highlight w:val="none"/>
              </w:rPr>
              <w:t>顺序依次确定。</w:t>
            </w:r>
          </w:p>
          <w:p w14:paraId="7307F2BD">
            <w:pPr>
              <w:autoSpaceDE w:val="0"/>
              <w:autoSpaceDN w:val="0"/>
              <w:snapToGrid w:val="0"/>
              <w:spacing w:line="390" w:lineRule="exact"/>
              <w:textAlignment w:val="bottom"/>
              <w:rPr>
                <w:rFonts w:hint="eastAsia" w:ascii="仿宋" w:hAnsi="仿宋" w:eastAsia="仿宋"/>
                <w:sz w:val="24"/>
                <w:highlight w:val="none"/>
              </w:rPr>
            </w:pPr>
            <w:r>
              <w:rPr>
                <w:rFonts w:ascii="仿宋" w:hAnsi="仿宋" w:eastAsia="仿宋"/>
                <w:sz w:val="24"/>
                <w:highlight w:val="none"/>
              </w:rPr>
              <w:fldChar w:fldCharType="begin"/>
            </w:r>
            <w:r>
              <w:rPr>
                <w:rFonts w:ascii="仿宋" w:hAnsi="仿宋" w:eastAsia="仿宋"/>
                <w:sz w:val="24"/>
                <w:highlight w:val="none"/>
              </w:rPr>
              <w:instrText xml:space="preserve"> </w:instrText>
            </w:r>
            <w:r>
              <w:rPr>
                <w:rFonts w:hint="eastAsia" w:ascii="仿宋" w:hAnsi="仿宋" w:eastAsia="仿宋"/>
                <w:sz w:val="24"/>
                <w:highlight w:val="none"/>
              </w:rPr>
              <w:instrText xml:space="preserve">eq \o\ac(□,</w:instrText>
            </w:r>
            <w:r>
              <w:rPr>
                <w:rFonts w:hint="eastAsia" w:ascii="仿宋" w:hAnsi="仿宋" w:eastAsia="仿宋"/>
                <w:position w:val="2"/>
                <w:sz w:val="24"/>
                <w:highlight w:val="none"/>
              </w:rPr>
              <w:instrText xml:space="preserve">√</w:instrText>
            </w:r>
            <w:r>
              <w:rPr>
                <w:rFonts w:hint="eastAsia" w:ascii="仿宋" w:hAnsi="仿宋" w:eastAsia="仿宋"/>
                <w:sz w:val="24"/>
                <w:highlight w:val="none"/>
              </w:rPr>
              <w:instrText xml:space="preserve">)</w:instrText>
            </w:r>
            <w:r>
              <w:rPr>
                <w:rFonts w:ascii="仿宋" w:hAnsi="仿宋" w:eastAsia="仿宋"/>
                <w:sz w:val="24"/>
                <w:highlight w:val="none"/>
              </w:rPr>
              <w:fldChar w:fldCharType="end"/>
            </w:r>
            <w:r>
              <w:rPr>
                <w:rFonts w:hint="eastAsia" w:ascii="仿宋" w:hAnsi="仿宋" w:eastAsia="仿宋"/>
                <w:sz w:val="24"/>
                <w:highlight w:val="none"/>
              </w:rPr>
              <w:t>2、采用综合评分法的采购项目，提供相同品牌产品（非单一产品采购项目的，指核心产品）的不同投标人评审得分相同时，按照下列方式确定一个投标人获得中标人推荐资格：□评标委员会随机抽取/</w:t>
            </w:r>
            <w:r>
              <w:rPr>
                <w:rFonts w:ascii="仿宋" w:hAnsi="仿宋" w:eastAsia="仿宋"/>
                <w:sz w:val="24"/>
                <w:highlight w:val="none"/>
              </w:rPr>
              <w:fldChar w:fldCharType="begin"/>
            </w:r>
            <w:r>
              <w:rPr>
                <w:rFonts w:ascii="仿宋" w:hAnsi="仿宋" w:eastAsia="仿宋"/>
                <w:sz w:val="24"/>
                <w:highlight w:val="none"/>
              </w:rPr>
              <w:instrText xml:space="preserve"> </w:instrText>
            </w:r>
            <w:r>
              <w:rPr>
                <w:rFonts w:hint="eastAsia" w:ascii="仿宋" w:hAnsi="仿宋" w:eastAsia="仿宋"/>
                <w:sz w:val="24"/>
                <w:highlight w:val="none"/>
              </w:rPr>
              <w:instrText xml:space="preserve">eq \o\ac(□,</w:instrText>
            </w:r>
            <w:r>
              <w:rPr>
                <w:rFonts w:hint="eastAsia" w:ascii="仿宋" w:hAnsi="仿宋" w:eastAsia="仿宋"/>
                <w:position w:val="2"/>
                <w:sz w:val="24"/>
                <w:highlight w:val="none"/>
              </w:rPr>
              <w:instrText xml:space="preserve">√</w:instrText>
            </w:r>
            <w:r>
              <w:rPr>
                <w:rFonts w:hint="eastAsia" w:ascii="仿宋" w:hAnsi="仿宋" w:eastAsia="仿宋"/>
                <w:sz w:val="24"/>
                <w:highlight w:val="none"/>
              </w:rPr>
              <w:instrText xml:space="preserve">)</w:instrText>
            </w:r>
            <w:r>
              <w:rPr>
                <w:rFonts w:ascii="仿宋" w:hAnsi="仿宋" w:eastAsia="仿宋"/>
                <w:sz w:val="24"/>
                <w:highlight w:val="none"/>
              </w:rPr>
              <w:fldChar w:fldCharType="end"/>
            </w:r>
            <w:r>
              <w:rPr>
                <w:rFonts w:hint="eastAsia" w:ascii="仿宋" w:hAnsi="仿宋" w:eastAsia="仿宋"/>
                <w:sz w:val="24"/>
                <w:highlight w:val="none"/>
              </w:rPr>
              <w:t>按</w:t>
            </w:r>
            <w:r>
              <w:rPr>
                <w:rFonts w:ascii="仿宋" w:hAnsi="仿宋" w:eastAsia="仿宋"/>
                <w:sz w:val="24"/>
                <w:highlight w:val="none"/>
              </w:rPr>
              <w:t>投标报价低</w:t>
            </w:r>
            <w:r>
              <w:rPr>
                <w:rFonts w:hint="eastAsia" w:ascii="仿宋" w:hAnsi="仿宋" w:eastAsia="仿宋"/>
                <w:sz w:val="24"/>
                <w:highlight w:val="none"/>
              </w:rPr>
              <w:t>的原则确定，</w:t>
            </w:r>
            <w:r>
              <w:rPr>
                <w:rFonts w:ascii="仿宋" w:hAnsi="仿宋" w:eastAsia="仿宋"/>
                <w:sz w:val="24"/>
                <w:highlight w:val="none"/>
              </w:rPr>
              <w:t>投标报价相同的</w:t>
            </w:r>
            <w:r>
              <w:rPr>
                <w:rFonts w:hint="eastAsia" w:ascii="仿宋" w:hAnsi="仿宋" w:eastAsia="仿宋"/>
                <w:sz w:val="24"/>
                <w:highlight w:val="none"/>
              </w:rPr>
              <w:t>按技术、商务、政策功能得分高低依次确定。</w:t>
            </w:r>
          </w:p>
        </w:tc>
      </w:tr>
      <w:tr w14:paraId="28D673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1056" w:type="dxa"/>
            <w:vMerge w:val="restart"/>
            <w:tcBorders>
              <w:top w:val="single" w:color="auto" w:sz="4" w:space="0"/>
              <w:left w:val="single" w:color="auto" w:sz="4" w:space="0"/>
              <w:right w:val="single" w:color="auto" w:sz="4" w:space="0"/>
            </w:tcBorders>
            <w:vAlign w:val="center"/>
          </w:tcPr>
          <w:p w14:paraId="004FB035">
            <w:pPr>
              <w:spacing w:line="390" w:lineRule="exact"/>
              <w:jc w:val="center"/>
              <w:rPr>
                <w:rFonts w:hint="eastAsia" w:ascii="仿宋" w:hAnsi="仿宋" w:eastAsia="仿宋"/>
                <w:sz w:val="24"/>
                <w:highlight w:val="none"/>
              </w:rPr>
            </w:pPr>
            <w:r>
              <w:rPr>
                <w:rFonts w:hint="eastAsia" w:ascii="仿宋" w:hAnsi="仿宋" w:eastAsia="仿宋"/>
                <w:sz w:val="24"/>
                <w:highlight w:val="none"/>
              </w:rPr>
              <w:t>1</w:t>
            </w:r>
            <w:r>
              <w:rPr>
                <w:rFonts w:ascii="仿宋" w:hAnsi="仿宋" w:eastAsia="仿宋"/>
                <w:sz w:val="24"/>
                <w:highlight w:val="none"/>
              </w:rPr>
              <w:t>1.</w:t>
            </w:r>
            <w:r>
              <w:rPr>
                <w:rFonts w:hint="eastAsia" w:ascii="仿宋" w:hAnsi="仿宋" w:eastAsia="仿宋"/>
                <w:sz w:val="24"/>
                <w:highlight w:val="none"/>
              </w:rPr>
              <w:t>5</w:t>
            </w:r>
          </w:p>
        </w:tc>
        <w:tc>
          <w:tcPr>
            <w:tcW w:w="9275" w:type="dxa"/>
            <w:tcBorders>
              <w:top w:val="single" w:color="auto" w:sz="4" w:space="0"/>
              <w:left w:val="single" w:color="auto" w:sz="4" w:space="0"/>
              <w:bottom w:val="single" w:color="auto" w:sz="4" w:space="0"/>
              <w:right w:val="single" w:color="auto" w:sz="4" w:space="0"/>
            </w:tcBorders>
            <w:vAlign w:val="center"/>
          </w:tcPr>
          <w:p w14:paraId="4CEAA9E1">
            <w:pPr>
              <w:snapToGrid w:val="0"/>
              <w:spacing w:line="390" w:lineRule="exact"/>
              <w:rPr>
                <w:rFonts w:hint="eastAsia" w:ascii="仿宋" w:hAnsi="仿宋" w:eastAsia="仿宋"/>
                <w:sz w:val="24"/>
                <w:highlight w:val="none"/>
              </w:rPr>
            </w:pPr>
            <w:r>
              <w:rPr>
                <w:rFonts w:ascii="仿宋" w:hAnsi="仿宋" w:eastAsia="仿宋"/>
                <w:sz w:val="24"/>
                <w:highlight w:val="none"/>
              </w:rPr>
              <w:fldChar w:fldCharType="begin"/>
            </w:r>
            <w:r>
              <w:rPr>
                <w:rFonts w:ascii="仿宋" w:hAnsi="仿宋" w:eastAsia="仿宋"/>
                <w:sz w:val="24"/>
                <w:highlight w:val="none"/>
              </w:rPr>
              <w:instrText xml:space="preserve"> </w:instrText>
            </w:r>
            <w:r>
              <w:rPr>
                <w:rFonts w:hint="eastAsia" w:ascii="仿宋" w:hAnsi="仿宋" w:eastAsia="仿宋"/>
                <w:sz w:val="24"/>
                <w:highlight w:val="none"/>
              </w:rPr>
              <w:instrText xml:space="preserve">eq \o\ac(□,</w:instrText>
            </w:r>
            <w:r>
              <w:rPr>
                <w:rFonts w:hint="eastAsia" w:ascii="仿宋" w:hAnsi="仿宋" w:eastAsia="仿宋"/>
                <w:position w:val="2"/>
                <w:sz w:val="24"/>
                <w:highlight w:val="none"/>
              </w:rPr>
              <w:instrText xml:space="preserve">√</w:instrText>
            </w:r>
            <w:r>
              <w:rPr>
                <w:rFonts w:hint="eastAsia" w:ascii="仿宋" w:hAnsi="仿宋" w:eastAsia="仿宋"/>
                <w:sz w:val="24"/>
                <w:highlight w:val="none"/>
              </w:rPr>
              <w:instrText xml:space="preserve">)</w:instrText>
            </w:r>
            <w:r>
              <w:rPr>
                <w:rFonts w:ascii="仿宋" w:hAnsi="仿宋" w:eastAsia="仿宋"/>
                <w:sz w:val="24"/>
                <w:highlight w:val="none"/>
              </w:rPr>
              <w:fldChar w:fldCharType="end"/>
            </w:r>
            <w:r>
              <w:rPr>
                <w:rFonts w:hint="eastAsia" w:ascii="仿宋" w:hAnsi="仿宋" w:eastAsia="仿宋"/>
                <w:sz w:val="24"/>
                <w:highlight w:val="none"/>
              </w:rPr>
              <w:t>本项目不组织现场考察。</w:t>
            </w:r>
          </w:p>
          <w:p w14:paraId="1B419902">
            <w:pPr>
              <w:snapToGrid w:val="0"/>
              <w:spacing w:line="390" w:lineRule="exact"/>
              <w:rPr>
                <w:rFonts w:hint="eastAsia" w:ascii="仿宋" w:hAnsi="仿宋" w:eastAsia="仿宋"/>
                <w:sz w:val="24"/>
                <w:highlight w:val="none"/>
              </w:rPr>
            </w:pPr>
            <w:r>
              <w:rPr>
                <w:rFonts w:hint="eastAsia" w:ascii="仿宋" w:hAnsi="仿宋" w:eastAsia="仿宋"/>
                <w:sz w:val="24"/>
                <w:highlight w:val="none"/>
              </w:rPr>
              <w:t>□本项目组织现场考察：</w:t>
            </w:r>
          </w:p>
          <w:p w14:paraId="74CA28EE">
            <w:pPr>
              <w:snapToGrid w:val="0"/>
              <w:spacing w:line="390" w:lineRule="exact"/>
              <w:rPr>
                <w:rFonts w:hint="eastAsia" w:ascii="仿宋" w:hAnsi="仿宋" w:eastAsia="仿宋"/>
                <w:sz w:val="24"/>
                <w:highlight w:val="none"/>
              </w:rPr>
            </w:pPr>
            <w:r>
              <w:rPr>
                <w:rFonts w:hint="eastAsia" w:ascii="仿宋" w:hAnsi="仿宋" w:eastAsia="仿宋"/>
                <w:sz w:val="24"/>
                <w:highlight w:val="none"/>
              </w:rPr>
              <w:t>集中时间：</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rPr>
              <w:t>。</w:t>
            </w:r>
          </w:p>
          <w:p w14:paraId="78103AC9">
            <w:pPr>
              <w:snapToGrid w:val="0"/>
              <w:spacing w:line="390" w:lineRule="exact"/>
              <w:rPr>
                <w:rFonts w:hint="eastAsia" w:ascii="仿宋" w:hAnsi="仿宋" w:eastAsia="仿宋"/>
                <w:sz w:val="24"/>
                <w:highlight w:val="none"/>
                <w:u w:val="single"/>
              </w:rPr>
            </w:pPr>
            <w:r>
              <w:rPr>
                <w:rFonts w:hint="eastAsia" w:ascii="仿宋" w:hAnsi="仿宋" w:eastAsia="仿宋"/>
                <w:sz w:val="24"/>
                <w:highlight w:val="none"/>
              </w:rPr>
              <w:t>集中地点：</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rPr>
              <w:t>。</w:t>
            </w:r>
          </w:p>
        </w:tc>
      </w:tr>
      <w:tr w14:paraId="7D654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1056" w:type="dxa"/>
            <w:vMerge w:val="continue"/>
            <w:tcBorders>
              <w:left w:val="single" w:color="auto" w:sz="4" w:space="0"/>
              <w:bottom w:val="single" w:color="auto" w:sz="4" w:space="0"/>
              <w:right w:val="single" w:color="auto" w:sz="4" w:space="0"/>
            </w:tcBorders>
            <w:vAlign w:val="center"/>
          </w:tcPr>
          <w:p w14:paraId="0E6A07D5">
            <w:pPr>
              <w:spacing w:line="390" w:lineRule="exact"/>
              <w:jc w:val="center"/>
              <w:rPr>
                <w:rFonts w:hint="eastAsia" w:ascii="仿宋" w:hAnsi="仿宋" w:eastAsia="仿宋"/>
                <w:sz w:val="24"/>
                <w:highlight w:val="none"/>
              </w:rPr>
            </w:pPr>
          </w:p>
        </w:tc>
        <w:tc>
          <w:tcPr>
            <w:tcW w:w="9275" w:type="dxa"/>
            <w:tcBorders>
              <w:top w:val="single" w:color="auto" w:sz="4" w:space="0"/>
              <w:left w:val="single" w:color="auto" w:sz="4" w:space="0"/>
              <w:bottom w:val="single" w:color="auto" w:sz="4" w:space="0"/>
              <w:right w:val="single" w:color="auto" w:sz="4" w:space="0"/>
            </w:tcBorders>
            <w:vAlign w:val="center"/>
          </w:tcPr>
          <w:p w14:paraId="1EC520FD">
            <w:pPr>
              <w:snapToGrid w:val="0"/>
              <w:spacing w:line="390" w:lineRule="exact"/>
              <w:rPr>
                <w:rFonts w:hint="eastAsia" w:ascii="仿宋" w:hAnsi="仿宋" w:eastAsia="仿宋"/>
                <w:sz w:val="24"/>
                <w:highlight w:val="none"/>
              </w:rPr>
            </w:pPr>
            <w:r>
              <w:rPr>
                <w:rFonts w:ascii="仿宋" w:hAnsi="仿宋" w:eastAsia="仿宋"/>
                <w:sz w:val="24"/>
                <w:highlight w:val="none"/>
              </w:rPr>
              <w:fldChar w:fldCharType="begin"/>
            </w:r>
            <w:r>
              <w:rPr>
                <w:rFonts w:ascii="仿宋" w:hAnsi="仿宋" w:eastAsia="仿宋"/>
                <w:sz w:val="24"/>
                <w:highlight w:val="none"/>
              </w:rPr>
              <w:instrText xml:space="preserve"> </w:instrText>
            </w:r>
            <w:r>
              <w:rPr>
                <w:rFonts w:hint="eastAsia" w:ascii="仿宋" w:hAnsi="仿宋" w:eastAsia="仿宋"/>
                <w:sz w:val="24"/>
                <w:highlight w:val="none"/>
              </w:rPr>
              <w:instrText xml:space="preserve">eq \o\ac(□,</w:instrText>
            </w:r>
            <w:r>
              <w:rPr>
                <w:rFonts w:hint="eastAsia" w:ascii="仿宋" w:hAnsi="仿宋" w:eastAsia="仿宋"/>
                <w:position w:val="2"/>
                <w:sz w:val="24"/>
                <w:highlight w:val="none"/>
              </w:rPr>
              <w:instrText xml:space="preserve">√</w:instrText>
            </w:r>
            <w:r>
              <w:rPr>
                <w:rFonts w:hint="eastAsia" w:ascii="仿宋" w:hAnsi="仿宋" w:eastAsia="仿宋"/>
                <w:sz w:val="24"/>
                <w:highlight w:val="none"/>
              </w:rPr>
              <w:instrText xml:space="preserve">)</w:instrText>
            </w:r>
            <w:r>
              <w:rPr>
                <w:rFonts w:ascii="仿宋" w:hAnsi="仿宋" w:eastAsia="仿宋"/>
                <w:sz w:val="24"/>
                <w:highlight w:val="none"/>
              </w:rPr>
              <w:fldChar w:fldCharType="end"/>
            </w:r>
            <w:r>
              <w:rPr>
                <w:rFonts w:hint="eastAsia" w:ascii="仿宋" w:hAnsi="仿宋" w:eastAsia="仿宋"/>
                <w:sz w:val="24"/>
                <w:highlight w:val="none"/>
              </w:rPr>
              <w:t>不组织召开开标前答疑会</w:t>
            </w:r>
          </w:p>
          <w:p w14:paraId="28870FA6">
            <w:pPr>
              <w:snapToGrid w:val="0"/>
              <w:spacing w:line="390" w:lineRule="exact"/>
              <w:rPr>
                <w:rFonts w:hint="eastAsia" w:ascii="仿宋" w:hAnsi="仿宋" w:eastAsia="仿宋"/>
                <w:sz w:val="24"/>
                <w:highlight w:val="none"/>
              </w:rPr>
            </w:pPr>
            <w:r>
              <w:rPr>
                <w:rFonts w:hint="eastAsia" w:ascii="仿宋" w:hAnsi="仿宋" w:eastAsia="仿宋"/>
                <w:sz w:val="24"/>
                <w:highlight w:val="none"/>
              </w:rPr>
              <w:t>□组织召开开标前答疑会</w:t>
            </w:r>
          </w:p>
          <w:p w14:paraId="1C44DF65">
            <w:pPr>
              <w:snapToGrid w:val="0"/>
              <w:spacing w:line="390" w:lineRule="exact"/>
              <w:rPr>
                <w:rFonts w:hint="eastAsia" w:ascii="仿宋" w:hAnsi="仿宋" w:eastAsia="仿宋"/>
                <w:sz w:val="24"/>
                <w:highlight w:val="none"/>
                <w:u w:val="single"/>
              </w:rPr>
            </w:pPr>
            <w:r>
              <w:rPr>
                <w:rFonts w:hint="eastAsia" w:ascii="仿宋" w:hAnsi="仿宋" w:eastAsia="仿宋"/>
                <w:sz w:val="24"/>
                <w:highlight w:val="none"/>
              </w:rPr>
              <w:t>会议开始时间：</w:t>
            </w:r>
            <w:r>
              <w:rPr>
                <w:rFonts w:hint="eastAsia" w:ascii="仿宋" w:hAnsi="仿宋" w:eastAsia="仿宋"/>
                <w:sz w:val="24"/>
                <w:highlight w:val="none"/>
                <w:u w:val="single"/>
              </w:rPr>
              <w:t xml:space="preserve">  </w:t>
            </w:r>
            <w:r>
              <w:rPr>
                <w:rFonts w:ascii="仿宋" w:hAnsi="仿宋" w:eastAsia="仿宋"/>
                <w:sz w:val="24"/>
                <w:highlight w:val="none"/>
                <w:u w:val="single"/>
              </w:rPr>
              <w:t>/</w:t>
            </w:r>
            <w:r>
              <w:rPr>
                <w:rFonts w:hint="eastAsia" w:ascii="仿宋" w:hAnsi="仿宋" w:eastAsia="仿宋"/>
                <w:sz w:val="24"/>
                <w:highlight w:val="none"/>
                <w:u w:val="single"/>
              </w:rPr>
              <w:t xml:space="preserve"> </w:t>
            </w:r>
            <w:r>
              <w:rPr>
                <w:rFonts w:hint="eastAsia" w:ascii="仿宋" w:hAnsi="仿宋" w:eastAsia="仿宋"/>
                <w:sz w:val="24"/>
                <w:highlight w:val="none"/>
              </w:rPr>
              <w:t>年</w:t>
            </w:r>
            <w:r>
              <w:rPr>
                <w:rFonts w:hint="eastAsia" w:ascii="仿宋" w:hAnsi="仿宋" w:eastAsia="仿宋"/>
                <w:sz w:val="24"/>
                <w:highlight w:val="none"/>
                <w:u w:val="single"/>
              </w:rPr>
              <w:t xml:space="preserve"> </w:t>
            </w:r>
            <w:r>
              <w:rPr>
                <w:rFonts w:ascii="仿宋" w:hAnsi="仿宋" w:eastAsia="仿宋"/>
                <w:sz w:val="24"/>
                <w:highlight w:val="none"/>
                <w:u w:val="single"/>
              </w:rPr>
              <w:t>/</w:t>
            </w:r>
            <w:r>
              <w:rPr>
                <w:rFonts w:hint="eastAsia" w:ascii="仿宋" w:hAnsi="仿宋" w:eastAsia="仿宋"/>
                <w:sz w:val="24"/>
                <w:highlight w:val="none"/>
                <w:u w:val="single"/>
              </w:rPr>
              <w:t xml:space="preserve"> </w:t>
            </w:r>
            <w:r>
              <w:rPr>
                <w:rFonts w:hint="eastAsia" w:ascii="仿宋" w:hAnsi="仿宋" w:eastAsia="仿宋"/>
                <w:sz w:val="24"/>
                <w:highlight w:val="none"/>
              </w:rPr>
              <w:t>月</w:t>
            </w:r>
            <w:r>
              <w:rPr>
                <w:rFonts w:hint="eastAsia" w:ascii="仿宋" w:hAnsi="仿宋" w:eastAsia="仿宋"/>
                <w:sz w:val="24"/>
                <w:highlight w:val="none"/>
                <w:u w:val="single"/>
              </w:rPr>
              <w:t xml:space="preserve"> </w:t>
            </w:r>
            <w:r>
              <w:rPr>
                <w:rFonts w:ascii="仿宋" w:hAnsi="仿宋" w:eastAsia="仿宋"/>
                <w:sz w:val="24"/>
                <w:highlight w:val="none"/>
                <w:u w:val="single"/>
              </w:rPr>
              <w:t>/</w:t>
            </w:r>
            <w:r>
              <w:rPr>
                <w:rFonts w:hint="eastAsia" w:ascii="仿宋" w:hAnsi="仿宋" w:eastAsia="仿宋"/>
                <w:sz w:val="24"/>
                <w:highlight w:val="none"/>
                <w:u w:val="single"/>
              </w:rPr>
              <w:t xml:space="preserve"> </w:t>
            </w:r>
            <w:r>
              <w:rPr>
                <w:rFonts w:hint="eastAsia" w:ascii="仿宋" w:hAnsi="仿宋" w:eastAsia="仿宋"/>
                <w:sz w:val="24"/>
                <w:highlight w:val="none"/>
              </w:rPr>
              <w:t>日</w:t>
            </w:r>
            <w:r>
              <w:rPr>
                <w:rFonts w:hint="eastAsia" w:ascii="仿宋" w:hAnsi="仿宋" w:eastAsia="仿宋"/>
                <w:sz w:val="24"/>
                <w:highlight w:val="none"/>
                <w:u w:val="single"/>
              </w:rPr>
              <w:t xml:space="preserve"> </w:t>
            </w:r>
            <w:r>
              <w:rPr>
                <w:rFonts w:ascii="仿宋" w:hAnsi="仿宋" w:eastAsia="仿宋"/>
                <w:sz w:val="24"/>
                <w:highlight w:val="none"/>
                <w:u w:val="single"/>
              </w:rPr>
              <w:t>/</w:t>
            </w:r>
            <w:r>
              <w:rPr>
                <w:rFonts w:hint="eastAsia" w:ascii="仿宋" w:hAnsi="仿宋" w:eastAsia="仿宋"/>
                <w:sz w:val="24"/>
                <w:highlight w:val="none"/>
                <w:u w:val="single"/>
              </w:rPr>
              <w:t xml:space="preserve"> </w:t>
            </w:r>
            <w:r>
              <w:rPr>
                <w:rFonts w:hint="eastAsia" w:ascii="仿宋" w:hAnsi="仿宋" w:eastAsia="仿宋"/>
                <w:sz w:val="24"/>
                <w:highlight w:val="none"/>
              </w:rPr>
              <w:t>时</w:t>
            </w:r>
            <w:r>
              <w:rPr>
                <w:rFonts w:hint="eastAsia" w:ascii="仿宋" w:hAnsi="仿宋" w:eastAsia="仿宋"/>
                <w:sz w:val="24"/>
                <w:highlight w:val="none"/>
                <w:u w:val="single"/>
              </w:rPr>
              <w:t xml:space="preserve"> </w:t>
            </w:r>
            <w:r>
              <w:rPr>
                <w:rFonts w:ascii="仿宋" w:hAnsi="仿宋" w:eastAsia="仿宋"/>
                <w:sz w:val="24"/>
                <w:highlight w:val="none"/>
                <w:u w:val="single"/>
              </w:rPr>
              <w:t>/</w:t>
            </w:r>
            <w:r>
              <w:rPr>
                <w:rFonts w:hint="eastAsia" w:ascii="仿宋" w:hAnsi="仿宋" w:eastAsia="仿宋"/>
                <w:sz w:val="24"/>
                <w:highlight w:val="none"/>
                <w:u w:val="single"/>
              </w:rPr>
              <w:t xml:space="preserve"> </w:t>
            </w:r>
            <w:r>
              <w:rPr>
                <w:rFonts w:hint="eastAsia" w:ascii="仿宋" w:hAnsi="仿宋" w:eastAsia="仿宋"/>
                <w:sz w:val="24"/>
                <w:highlight w:val="none"/>
              </w:rPr>
              <w:t>分，逾期后果自负。会议地点：</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         </w:t>
            </w:r>
          </w:p>
          <w:p w14:paraId="20A65990">
            <w:pPr>
              <w:snapToGrid w:val="0"/>
              <w:spacing w:line="390" w:lineRule="exact"/>
              <w:rPr>
                <w:rFonts w:hint="eastAsia" w:ascii="仿宋" w:hAnsi="仿宋" w:eastAsia="仿宋"/>
                <w:sz w:val="24"/>
                <w:highlight w:val="none"/>
              </w:rPr>
            </w:pPr>
            <w:r>
              <w:rPr>
                <w:rFonts w:hint="eastAsia" w:ascii="仿宋" w:hAnsi="仿宋" w:eastAsia="仿宋"/>
                <w:sz w:val="24"/>
                <w:highlight w:val="none"/>
              </w:rPr>
              <w:t>联系人：</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         </w:t>
            </w:r>
            <w:r>
              <w:rPr>
                <w:rFonts w:hint="eastAsia" w:ascii="仿宋" w:hAnsi="仿宋" w:eastAsia="仿宋"/>
                <w:sz w:val="24"/>
                <w:highlight w:val="none"/>
              </w:rPr>
              <w:t>；联系电话：</w:t>
            </w:r>
            <w:r>
              <w:rPr>
                <w:rFonts w:ascii="仿宋" w:hAnsi="仿宋" w:eastAsia="仿宋"/>
                <w:sz w:val="24"/>
                <w:highlight w:val="none"/>
                <w:u w:val="single"/>
              </w:rPr>
              <w:t xml:space="preserve">         /       </w:t>
            </w:r>
          </w:p>
        </w:tc>
      </w:tr>
      <w:tr w14:paraId="6C22B4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vMerge w:val="restart"/>
            <w:tcBorders>
              <w:top w:val="single" w:color="auto" w:sz="4" w:space="0"/>
              <w:left w:val="single" w:color="auto" w:sz="4" w:space="0"/>
              <w:right w:val="single" w:color="auto" w:sz="4" w:space="0"/>
            </w:tcBorders>
            <w:vAlign w:val="center"/>
          </w:tcPr>
          <w:p w14:paraId="10484DEF">
            <w:pPr>
              <w:spacing w:line="390" w:lineRule="exact"/>
              <w:jc w:val="center"/>
              <w:rPr>
                <w:rFonts w:hint="eastAsia" w:ascii="仿宋" w:hAnsi="仿宋" w:eastAsia="仿宋"/>
                <w:sz w:val="24"/>
                <w:highlight w:val="none"/>
              </w:rPr>
            </w:pPr>
            <w:bookmarkStart w:id="54" w:name="_13.1"/>
            <w:bookmarkEnd w:id="54"/>
            <w:r>
              <w:rPr>
                <w:rFonts w:hint="eastAsia" w:ascii="仿宋" w:hAnsi="仿宋" w:eastAsia="仿宋"/>
                <w:sz w:val="24"/>
                <w:highlight w:val="none"/>
              </w:rPr>
              <w:t>13.</w:t>
            </w:r>
            <w:bookmarkStart w:id="55" w:name="_Hlt19632543"/>
            <w:r>
              <w:rPr>
                <w:rFonts w:hint="eastAsia" w:ascii="仿宋" w:hAnsi="仿宋" w:eastAsia="仿宋"/>
                <w:sz w:val="24"/>
                <w:highlight w:val="none"/>
              </w:rPr>
              <w:t>1</w:t>
            </w:r>
            <w:bookmarkEnd w:id="55"/>
          </w:p>
        </w:tc>
        <w:tc>
          <w:tcPr>
            <w:tcW w:w="9275" w:type="dxa"/>
            <w:tcBorders>
              <w:top w:val="single" w:color="auto" w:sz="4" w:space="0"/>
              <w:left w:val="single" w:color="auto" w:sz="4" w:space="0"/>
              <w:bottom w:val="single" w:color="auto" w:sz="4" w:space="0"/>
              <w:right w:val="single" w:color="auto" w:sz="4" w:space="0"/>
            </w:tcBorders>
            <w:vAlign w:val="center"/>
          </w:tcPr>
          <w:p w14:paraId="4E5B2E8D">
            <w:pPr>
              <w:snapToGrid w:val="0"/>
              <w:spacing w:line="390" w:lineRule="exact"/>
              <w:jc w:val="left"/>
              <w:rPr>
                <w:rFonts w:hint="eastAsia" w:ascii="仿宋" w:hAnsi="仿宋" w:eastAsia="仿宋" w:cs="Courier New"/>
                <w:b/>
                <w:sz w:val="24"/>
                <w:highlight w:val="none"/>
              </w:rPr>
            </w:pPr>
            <w:r>
              <w:rPr>
                <w:rFonts w:hint="eastAsia" w:ascii="仿宋" w:hAnsi="仿宋" w:eastAsia="仿宋" w:cs="Courier New"/>
                <w:b/>
                <w:sz w:val="24"/>
                <w:highlight w:val="none"/>
              </w:rPr>
              <w:t xml:space="preserve">报价文件: </w:t>
            </w:r>
          </w:p>
          <w:p w14:paraId="0FDE0514">
            <w:pPr>
              <w:tabs>
                <w:tab w:val="left" w:pos="459"/>
              </w:tabs>
              <w:snapToGrid w:val="0"/>
              <w:spacing w:line="390" w:lineRule="exact"/>
              <w:jc w:val="left"/>
              <w:rPr>
                <w:rFonts w:hint="eastAsia" w:ascii="仿宋" w:hAnsi="仿宋" w:eastAsia="仿宋"/>
                <w:sz w:val="24"/>
                <w:highlight w:val="none"/>
              </w:rPr>
            </w:pPr>
            <w:r>
              <w:rPr>
                <w:rFonts w:hint="eastAsia" w:ascii="仿宋" w:hAnsi="仿宋" w:eastAsia="仿宋"/>
                <w:sz w:val="24"/>
                <w:highlight w:val="none"/>
              </w:rPr>
              <w:t>1、</w:t>
            </w:r>
            <w:bookmarkStart w:id="56" w:name="OLE_LINK23"/>
            <w:r>
              <w:rPr>
                <w:rFonts w:hint="eastAsia" w:ascii="仿宋" w:hAnsi="仿宋" w:eastAsia="仿宋"/>
                <w:sz w:val="24"/>
                <w:highlight w:val="none"/>
              </w:rPr>
              <w:t>投标函（格式后附）；</w:t>
            </w:r>
            <w:r>
              <w:rPr>
                <w:rFonts w:hint="eastAsia" w:ascii="仿宋" w:hAnsi="仿宋" w:eastAsia="仿宋"/>
                <w:b/>
                <w:sz w:val="24"/>
                <w:highlight w:val="none"/>
              </w:rPr>
              <w:t>（必须提供，否则投标</w:t>
            </w:r>
            <w:r>
              <w:rPr>
                <w:rFonts w:ascii="仿宋" w:hAnsi="仿宋" w:eastAsia="仿宋"/>
                <w:b/>
                <w:sz w:val="24"/>
                <w:highlight w:val="none"/>
              </w:rPr>
              <w:t>文件</w:t>
            </w:r>
            <w:r>
              <w:rPr>
                <w:rFonts w:hint="eastAsia" w:ascii="仿宋" w:hAnsi="仿宋" w:eastAsia="仿宋"/>
                <w:b/>
                <w:sz w:val="24"/>
                <w:highlight w:val="none"/>
              </w:rPr>
              <w:t>按无效投标处理）</w:t>
            </w:r>
          </w:p>
          <w:bookmarkEnd w:id="56"/>
          <w:p w14:paraId="6C254B68">
            <w:pPr>
              <w:tabs>
                <w:tab w:val="left" w:pos="459"/>
              </w:tabs>
              <w:snapToGrid w:val="0"/>
              <w:spacing w:line="390" w:lineRule="exact"/>
              <w:jc w:val="left"/>
              <w:rPr>
                <w:rFonts w:hint="eastAsia" w:ascii="仿宋" w:hAnsi="仿宋" w:eastAsia="仿宋"/>
                <w:sz w:val="24"/>
                <w:highlight w:val="none"/>
              </w:rPr>
            </w:pPr>
            <w:bookmarkStart w:id="57" w:name="_Hlk71299233"/>
            <w:r>
              <w:rPr>
                <w:rFonts w:hint="eastAsia" w:ascii="仿宋" w:hAnsi="仿宋" w:eastAsia="仿宋"/>
                <w:sz w:val="24"/>
                <w:highlight w:val="none"/>
              </w:rPr>
              <w:t>2、开标一览表</w:t>
            </w:r>
            <w:bookmarkEnd w:id="57"/>
            <w:r>
              <w:rPr>
                <w:rFonts w:hint="eastAsia" w:ascii="仿宋" w:hAnsi="仿宋" w:eastAsia="仿宋"/>
                <w:sz w:val="24"/>
                <w:highlight w:val="none"/>
              </w:rPr>
              <w:t>（格式后附）；</w:t>
            </w:r>
            <w:r>
              <w:rPr>
                <w:rFonts w:hint="eastAsia" w:ascii="仿宋" w:hAnsi="仿宋" w:eastAsia="仿宋"/>
                <w:b/>
                <w:sz w:val="24"/>
                <w:highlight w:val="none"/>
              </w:rPr>
              <w:t>（必须提供，否则投标</w:t>
            </w:r>
            <w:r>
              <w:rPr>
                <w:rFonts w:ascii="仿宋" w:hAnsi="仿宋" w:eastAsia="仿宋"/>
                <w:b/>
                <w:sz w:val="24"/>
                <w:highlight w:val="none"/>
              </w:rPr>
              <w:t>文件</w:t>
            </w:r>
            <w:r>
              <w:rPr>
                <w:rFonts w:hint="eastAsia" w:ascii="仿宋" w:hAnsi="仿宋" w:eastAsia="仿宋"/>
                <w:b/>
                <w:sz w:val="24"/>
                <w:highlight w:val="none"/>
              </w:rPr>
              <w:t>按无效投标处理）</w:t>
            </w:r>
          </w:p>
          <w:p w14:paraId="2422F58A">
            <w:pPr>
              <w:tabs>
                <w:tab w:val="left" w:pos="459"/>
              </w:tabs>
              <w:snapToGrid w:val="0"/>
              <w:spacing w:line="390" w:lineRule="exact"/>
              <w:jc w:val="left"/>
              <w:rPr>
                <w:rFonts w:hint="eastAsia" w:ascii="仿宋" w:hAnsi="仿宋" w:eastAsia="仿宋"/>
                <w:sz w:val="24"/>
                <w:highlight w:val="none"/>
                <w:lang w:eastAsia="zh-CN"/>
              </w:rPr>
            </w:pPr>
            <w:r>
              <w:rPr>
                <w:rFonts w:hint="eastAsia" w:ascii="仿宋" w:hAnsi="仿宋" w:eastAsia="仿宋"/>
                <w:sz w:val="24"/>
                <w:highlight w:val="none"/>
              </w:rPr>
              <w:t>3、</w:t>
            </w:r>
            <w:bookmarkStart w:id="58" w:name="OLE_LINK24"/>
            <w:r>
              <w:rPr>
                <w:rFonts w:hint="eastAsia" w:ascii="仿宋" w:hAnsi="仿宋" w:eastAsia="仿宋"/>
                <w:sz w:val="24"/>
                <w:highlight w:val="none"/>
              </w:rPr>
              <w:t>投标人针对报价需要说明的其他文件和说明（格式自拟）。</w:t>
            </w:r>
            <w:bookmarkEnd w:id="58"/>
            <w:r>
              <w:rPr>
                <w:rFonts w:hint="eastAsia" w:ascii="仿宋" w:hAnsi="仿宋" w:eastAsia="仿宋"/>
                <w:b/>
                <w:bCs/>
                <w:sz w:val="24"/>
                <w:highlight w:val="none"/>
                <w:lang w:eastAsia="zh-CN"/>
              </w:rPr>
              <w:t>（</w:t>
            </w:r>
            <w:r>
              <w:rPr>
                <w:rFonts w:hint="eastAsia" w:ascii="仿宋" w:hAnsi="仿宋" w:eastAsia="仿宋"/>
                <w:b/>
                <w:bCs/>
                <w:sz w:val="24"/>
                <w:highlight w:val="none"/>
                <w:lang w:val="en-US" w:eastAsia="zh-CN"/>
              </w:rPr>
              <w:t>如有，请提供</w:t>
            </w:r>
            <w:r>
              <w:rPr>
                <w:rFonts w:hint="eastAsia" w:ascii="仿宋" w:hAnsi="仿宋" w:eastAsia="仿宋"/>
                <w:b/>
                <w:bCs/>
                <w:sz w:val="24"/>
                <w:highlight w:val="none"/>
                <w:lang w:eastAsia="zh-CN"/>
              </w:rPr>
              <w:t>）</w:t>
            </w:r>
          </w:p>
          <w:p w14:paraId="1634D521">
            <w:pPr>
              <w:snapToGrid w:val="0"/>
              <w:spacing w:line="390" w:lineRule="exact"/>
              <w:ind w:firstLine="482" w:firstLineChars="200"/>
              <w:jc w:val="left"/>
              <w:rPr>
                <w:rFonts w:hint="eastAsia" w:ascii="仿宋" w:hAnsi="仿宋" w:eastAsia="仿宋"/>
                <w:sz w:val="24"/>
                <w:highlight w:val="none"/>
              </w:rPr>
            </w:pPr>
            <w:r>
              <w:rPr>
                <w:rFonts w:hint="eastAsia" w:ascii="仿宋" w:hAnsi="仿宋" w:eastAsia="仿宋"/>
                <w:b/>
                <w:bCs/>
                <w:sz w:val="24"/>
                <w:highlight w:val="none"/>
              </w:rPr>
              <w:t>注：投标函、开标一览表必须由法定代表人或者委托代理人在规定签章处逐一签字并加盖投标人公章，否则按无效投标</w:t>
            </w:r>
            <w:r>
              <w:rPr>
                <w:rFonts w:hint="eastAsia" w:ascii="仿宋" w:hAnsi="仿宋" w:eastAsia="仿宋" w:cs="Courier New"/>
                <w:b/>
                <w:sz w:val="24"/>
                <w:highlight w:val="none"/>
              </w:rPr>
              <w:t>处理</w:t>
            </w:r>
            <w:r>
              <w:rPr>
                <w:rFonts w:hint="eastAsia" w:ascii="仿宋" w:hAnsi="仿宋" w:eastAsia="仿宋"/>
                <w:b/>
                <w:bCs/>
                <w:sz w:val="24"/>
                <w:highlight w:val="none"/>
              </w:rPr>
              <w:t>。</w:t>
            </w:r>
          </w:p>
        </w:tc>
      </w:tr>
      <w:tr w14:paraId="7A1DC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vMerge w:val="continue"/>
            <w:tcBorders>
              <w:left w:val="single" w:color="auto" w:sz="4" w:space="0"/>
              <w:right w:val="single" w:color="auto" w:sz="4" w:space="0"/>
            </w:tcBorders>
            <w:vAlign w:val="center"/>
          </w:tcPr>
          <w:p w14:paraId="18EC81F0">
            <w:pPr>
              <w:spacing w:line="390" w:lineRule="exact"/>
              <w:rPr>
                <w:rFonts w:hint="eastAsia" w:ascii="仿宋" w:hAnsi="仿宋" w:eastAsia="仿宋"/>
                <w:sz w:val="24"/>
                <w:highlight w:val="none"/>
              </w:rPr>
            </w:pPr>
            <w:bookmarkStart w:id="59" w:name="_13.2"/>
            <w:bookmarkEnd w:id="59"/>
          </w:p>
        </w:tc>
        <w:tc>
          <w:tcPr>
            <w:tcW w:w="9275" w:type="dxa"/>
            <w:tcBorders>
              <w:top w:val="single" w:color="auto" w:sz="4" w:space="0"/>
              <w:left w:val="single" w:color="auto" w:sz="4" w:space="0"/>
              <w:bottom w:val="single" w:color="auto" w:sz="4" w:space="0"/>
              <w:right w:val="single" w:color="auto" w:sz="4" w:space="0"/>
            </w:tcBorders>
            <w:vAlign w:val="center"/>
          </w:tcPr>
          <w:p w14:paraId="3988913F">
            <w:pPr>
              <w:snapToGrid w:val="0"/>
              <w:spacing w:line="390" w:lineRule="exact"/>
              <w:jc w:val="left"/>
              <w:rPr>
                <w:rFonts w:hint="eastAsia" w:ascii="仿宋" w:hAnsi="仿宋" w:eastAsia="仿宋" w:cs="Courier New"/>
                <w:b/>
                <w:sz w:val="24"/>
                <w:highlight w:val="none"/>
              </w:rPr>
            </w:pPr>
            <w:r>
              <w:rPr>
                <w:rFonts w:hint="eastAsia" w:ascii="仿宋" w:hAnsi="仿宋" w:eastAsia="仿宋" w:cs="Courier New"/>
                <w:b/>
                <w:sz w:val="24"/>
                <w:highlight w:val="none"/>
              </w:rPr>
              <w:t>资格证明文件：</w:t>
            </w:r>
          </w:p>
          <w:p w14:paraId="084003CD">
            <w:pPr>
              <w:autoSpaceDE w:val="0"/>
              <w:autoSpaceDN w:val="0"/>
              <w:snapToGrid w:val="0"/>
              <w:spacing w:line="390" w:lineRule="exact"/>
              <w:textAlignment w:val="bottom"/>
              <w:rPr>
                <w:rFonts w:ascii="仿宋" w:hAnsi="仿宋" w:eastAsia="仿宋"/>
                <w:b/>
                <w:sz w:val="24"/>
                <w:highlight w:val="none"/>
              </w:rPr>
            </w:pPr>
            <w:bookmarkStart w:id="60" w:name="OLE_LINK22"/>
            <w:r>
              <w:rPr>
                <w:rFonts w:hint="eastAsia" w:ascii="仿宋" w:hAnsi="仿宋" w:eastAsia="仿宋" w:cs="宋体"/>
                <w:sz w:val="24"/>
                <w:highlight w:val="none"/>
                <w:lang w:val="en-US" w:eastAsia="zh-CN"/>
              </w:rPr>
              <w:t>1、</w:t>
            </w:r>
            <w:r>
              <w:rPr>
                <w:rFonts w:hint="eastAsia" w:ascii="仿宋" w:hAnsi="仿宋" w:eastAsia="仿宋" w:cs="宋体"/>
                <w:sz w:val="24"/>
                <w:highlight w:val="none"/>
              </w:rPr>
              <w:t>供应商为法人或者其他组织的，</w:t>
            </w:r>
            <w:r>
              <w:rPr>
                <w:rFonts w:hint="eastAsia" w:ascii="仿宋" w:hAnsi="仿宋" w:eastAsia="仿宋"/>
                <w:sz w:val="24"/>
                <w:highlight w:val="none"/>
              </w:rPr>
              <w:t>证明文件为其营业执照复印件（如营业执照或者事业单位法人证书或者执业许可证等）；供应商为自然人的，证明文件为其身份证复印件；</w:t>
            </w:r>
            <w:r>
              <w:rPr>
                <w:rFonts w:hint="eastAsia" w:ascii="仿宋" w:hAnsi="仿宋" w:eastAsia="仿宋"/>
                <w:b/>
                <w:sz w:val="24"/>
                <w:highlight w:val="none"/>
              </w:rPr>
              <w:t>（必须提供，否则投标文件按无效响应处理</w:t>
            </w:r>
            <w:r>
              <w:rPr>
                <w:rFonts w:ascii="仿宋" w:hAnsi="仿宋" w:eastAsia="仿宋"/>
                <w:b/>
                <w:sz w:val="24"/>
                <w:highlight w:val="none"/>
              </w:rPr>
              <w:t>）</w:t>
            </w:r>
          </w:p>
          <w:p w14:paraId="354F8236">
            <w:pPr>
              <w:autoSpaceDE w:val="0"/>
              <w:autoSpaceDN w:val="0"/>
              <w:snapToGrid w:val="0"/>
              <w:spacing w:line="390" w:lineRule="exact"/>
              <w:textAlignment w:val="bottom"/>
              <w:rPr>
                <w:rFonts w:hint="eastAsia" w:ascii="仿宋" w:hAnsi="仿宋" w:eastAsia="仿宋"/>
                <w:b/>
                <w:sz w:val="24"/>
                <w:highlight w:val="none"/>
              </w:rPr>
            </w:pPr>
            <w:r>
              <w:rPr>
                <w:rFonts w:hint="eastAsia" w:ascii="仿宋" w:hAnsi="仿宋" w:eastAsia="仿宋" w:cs="宋体"/>
                <w:sz w:val="24"/>
                <w:highlight w:val="none"/>
                <w:lang w:val="en-US" w:eastAsia="zh-CN"/>
              </w:rPr>
              <w:t>2、投标人关于医疗器械经营的有关证明材料复印件；</w:t>
            </w:r>
            <w:r>
              <w:rPr>
                <w:rFonts w:hint="eastAsia" w:ascii="仿宋" w:hAnsi="仿宋" w:eastAsia="仿宋"/>
                <w:b/>
                <w:sz w:val="24"/>
                <w:highlight w:val="none"/>
              </w:rPr>
              <w:t>（必须提供，否则投标</w:t>
            </w:r>
            <w:r>
              <w:rPr>
                <w:rFonts w:ascii="仿宋" w:hAnsi="仿宋" w:eastAsia="仿宋"/>
                <w:b/>
                <w:sz w:val="24"/>
                <w:highlight w:val="none"/>
              </w:rPr>
              <w:t>文件</w:t>
            </w:r>
            <w:r>
              <w:rPr>
                <w:rFonts w:hint="eastAsia" w:ascii="仿宋" w:hAnsi="仿宋" w:eastAsia="仿宋"/>
                <w:b/>
                <w:sz w:val="24"/>
                <w:highlight w:val="none"/>
              </w:rPr>
              <w:t>按无效投标处理）</w:t>
            </w:r>
          </w:p>
          <w:p w14:paraId="724DF027">
            <w:pPr>
              <w:autoSpaceDE w:val="0"/>
              <w:autoSpaceDN w:val="0"/>
              <w:snapToGrid w:val="0"/>
              <w:spacing w:line="390" w:lineRule="exact"/>
              <w:textAlignment w:val="bottom"/>
              <w:rPr>
                <w:rFonts w:hint="default" w:ascii="仿宋" w:hAnsi="仿宋" w:eastAsia="仿宋"/>
                <w:b/>
                <w:sz w:val="24"/>
                <w:highlight w:val="none"/>
                <w:lang w:val="en-US" w:eastAsia="zh-CN"/>
              </w:rPr>
            </w:pPr>
            <w:r>
              <w:rPr>
                <w:rFonts w:hint="default" w:ascii="仿宋" w:hAnsi="仿宋" w:eastAsia="仿宋"/>
                <w:b/>
                <w:sz w:val="24"/>
                <w:highlight w:val="none"/>
                <w:lang w:val="en-US" w:eastAsia="zh-CN"/>
              </w:rPr>
              <w:t>注：①本项目有第二类医疗器械的，应提供有效的医疗器械经营备案凭证（经营范围包含采购的第二类医疗器械），符合《医疗器械监督管理条例》（国务院令第739号）第四十一条第二款规定的除外；如投标人符合《医疗器械监督管理条例》第四十三条“医疗器械注册人、备案人经营其注册、备案的医疗器械，无需办理医疗器械经营许可或者备案，但应当符合本条例规定的经营条件”规定的，仅需提供该医疗器械注册证（另附表格列明对应产品的名称和规格型号，格式自拟）；②本项目有第三类医疗器械的，应提供有效的医疗器械经营许可证（经营范围包含采购的第三类医疗器械）；如投标人符合《医疗器械监督管理条例》第四十三条“医疗器械注册人、备案人经营其注册、备案的医疗器械，无需办理医疗器械经营许可或者备案，但应当符合本条例规定的经营条件”规定的，仅需提供该医疗器械注册证（另附表格列明对应产品的名称和规格型号，格式自拟）；③本项目有第二类和第三类医疗器械的，应按上述①②要求提供。</w:t>
            </w:r>
          </w:p>
          <w:bookmarkEnd w:id="60"/>
          <w:p w14:paraId="355EC123">
            <w:pPr>
              <w:autoSpaceDE w:val="0"/>
              <w:autoSpaceDN w:val="0"/>
              <w:snapToGrid w:val="0"/>
              <w:spacing w:line="390" w:lineRule="exact"/>
              <w:textAlignment w:val="bottom"/>
              <w:rPr>
                <w:rFonts w:hint="eastAsia" w:ascii="仿宋" w:hAnsi="仿宋" w:eastAsia="仿宋" w:cs="宋体"/>
                <w:b/>
                <w:sz w:val="24"/>
                <w:highlight w:val="none"/>
              </w:rPr>
            </w:pPr>
            <w:r>
              <w:rPr>
                <w:rFonts w:hint="eastAsia" w:ascii="仿宋" w:hAnsi="仿宋" w:eastAsia="仿宋" w:cs="宋体"/>
                <w:sz w:val="24"/>
                <w:highlight w:val="none"/>
                <w:lang w:val="en-US" w:eastAsia="zh-CN"/>
              </w:rPr>
              <w:t>3</w:t>
            </w:r>
            <w:r>
              <w:rPr>
                <w:rFonts w:hint="eastAsia" w:ascii="仿宋" w:hAnsi="仿宋" w:eastAsia="仿宋" w:cs="宋体"/>
                <w:sz w:val="24"/>
                <w:highlight w:val="none"/>
              </w:rPr>
              <w:t>、投标人依法缴纳税收的相关材料（</w:t>
            </w:r>
            <w:r>
              <w:rPr>
                <w:rFonts w:hint="eastAsia" w:ascii="仿宋" w:hAnsi="仿宋" w:eastAsia="仿宋" w:cs="宋体"/>
                <w:sz w:val="24"/>
                <w:highlight w:val="none"/>
                <w:lang w:eastAsia="zh-CN"/>
              </w:rPr>
              <w:t>投标截止时间前半年内任意连续三个月</w:t>
            </w:r>
            <w:r>
              <w:rPr>
                <w:rFonts w:hint="eastAsia" w:ascii="仿宋" w:hAnsi="仿宋" w:eastAsia="仿宋" w:cs="宋体"/>
                <w:sz w:val="24"/>
                <w:highlight w:val="none"/>
              </w:rPr>
              <w:t>的依法缴纳税收的完税凭证复印件；依法免税的供应商，必须提供相应文件证明其依法免税。从</w:t>
            </w:r>
            <w:r>
              <w:rPr>
                <w:rFonts w:ascii="仿宋" w:hAnsi="仿宋" w:eastAsia="仿宋" w:cs="宋体"/>
                <w:sz w:val="24"/>
                <w:highlight w:val="none"/>
              </w:rPr>
              <w:t>成立</w:t>
            </w:r>
            <w:r>
              <w:rPr>
                <w:rFonts w:hint="eastAsia" w:ascii="仿宋" w:hAnsi="仿宋" w:eastAsia="仿宋" w:cs="宋体"/>
                <w:sz w:val="24"/>
                <w:highlight w:val="none"/>
              </w:rPr>
              <w:t>之日起到投标文件提交截止时间止不足要求月数的，只需提供从</w:t>
            </w:r>
            <w:r>
              <w:rPr>
                <w:rFonts w:ascii="仿宋" w:hAnsi="仿宋" w:eastAsia="仿宋" w:cs="宋体"/>
                <w:sz w:val="24"/>
                <w:highlight w:val="none"/>
              </w:rPr>
              <w:t>成立</w:t>
            </w:r>
            <w:r>
              <w:rPr>
                <w:rFonts w:hint="eastAsia" w:ascii="仿宋" w:hAnsi="仿宋" w:eastAsia="仿宋" w:cs="宋体"/>
                <w:sz w:val="24"/>
                <w:highlight w:val="none"/>
              </w:rPr>
              <w:t>之日起的依法缴纳税收相应证明文件）；</w:t>
            </w:r>
            <w:r>
              <w:rPr>
                <w:rFonts w:hint="eastAsia" w:ascii="仿宋" w:hAnsi="仿宋" w:eastAsia="仿宋" w:cs="宋体"/>
                <w:b/>
                <w:sz w:val="24"/>
                <w:highlight w:val="none"/>
              </w:rPr>
              <w:t>（必须提供，否则</w:t>
            </w:r>
            <w:r>
              <w:rPr>
                <w:rFonts w:hint="eastAsia" w:ascii="仿宋" w:hAnsi="仿宋" w:eastAsia="仿宋"/>
                <w:b/>
                <w:sz w:val="24"/>
                <w:highlight w:val="none"/>
              </w:rPr>
              <w:t>投标文件</w:t>
            </w:r>
            <w:r>
              <w:rPr>
                <w:rFonts w:hint="eastAsia" w:ascii="仿宋" w:hAnsi="仿宋" w:eastAsia="仿宋" w:cs="宋体"/>
                <w:b/>
                <w:sz w:val="24"/>
                <w:highlight w:val="none"/>
              </w:rPr>
              <w:t>按无效投标处理）</w:t>
            </w:r>
          </w:p>
          <w:p w14:paraId="061CB8F4">
            <w:pPr>
              <w:autoSpaceDE w:val="0"/>
              <w:autoSpaceDN w:val="0"/>
              <w:snapToGrid w:val="0"/>
              <w:spacing w:line="390" w:lineRule="exact"/>
              <w:textAlignment w:val="bottom"/>
              <w:rPr>
                <w:rFonts w:hint="eastAsia" w:ascii="仿宋" w:hAnsi="仿宋" w:eastAsia="仿宋" w:cs="宋体"/>
                <w:b/>
                <w:sz w:val="24"/>
                <w:highlight w:val="none"/>
              </w:rPr>
            </w:pPr>
            <w:r>
              <w:rPr>
                <w:rFonts w:hint="eastAsia" w:ascii="仿宋" w:hAnsi="仿宋" w:eastAsia="仿宋" w:cs="宋体"/>
                <w:sz w:val="24"/>
                <w:highlight w:val="none"/>
                <w:lang w:val="en-US" w:eastAsia="zh-CN"/>
              </w:rPr>
              <w:t>4</w:t>
            </w:r>
            <w:r>
              <w:rPr>
                <w:rFonts w:hint="eastAsia" w:ascii="仿宋" w:hAnsi="仿宋" w:eastAsia="仿宋" w:cs="宋体"/>
                <w:sz w:val="24"/>
                <w:highlight w:val="none"/>
              </w:rPr>
              <w:t>、投标人财务状况报告【</w:t>
            </w:r>
            <w:r>
              <w:rPr>
                <w:rFonts w:hint="eastAsia" w:ascii="仿宋" w:hAnsi="仿宋" w:eastAsia="仿宋" w:cs="宋体"/>
                <w:sz w:val="24"/>
                <w:highlight w:val="none"/>
                <w:lang w:eastAsia="zh-CN"/>
              </w:rPr>
              <w:t>2024</w:t>
            </w:r>
            <w:r>
              <w:rPr>
                <w:rFonts w:hint="eastAsia" w:ascii="仿宋" w:hAnsi="仿宋" w:eastAsia="仿宋" w:cs="宋体"/>
                <w:sz w:val="24"/>
                <w:highlight w:val="none"/>
                <w:lang w:val="en-US" w:eastAsia="zh-CN"/>
              </w:rPr>
              <w:t>或2025</w:t>
            </w:r>
            <w:r>
              <w:rPr>
                <w:rFonts w:hint="eastAsia" w:ascii="仿宋" w:hAnsi="仿宋" w:eastAsia="仿宋" w:cs="宋体"/>
                <w:sz w:val="24"/>
                <w:highlight w:val="none"/>
                <w:lang w:eastAsia="zh-CN"/>
              </w:rPr>
              <w:t>年度经审计的财务报告复印件</w:t>
            </w:r>
            <w:r>
              <w:rPr>
                <w:rFonts w:hint="eastAsia" w:ascii="仿宋" w:hAnsi="仿宋" w:eastAsia="仿宋" w:cs="宋体"/>
                <w:sz w:val="24"/>
                <w:highlight w:val="none"/>
              </w:rPr>
              <w:t>（包括“四表一注”或“三表一注”）或者投标人自行编制的现金流量表、资产负债表、利润表或者银行出具的资信证明；投标人属于成立</w:t>
            </w:r>
            <w:r>
              <w:rPr>
                <w:rFonts w:ascii="仿宋" w:hAnsi="仿宋" w:eastAsia="仿宋" w:cs="宋体"/>
                <w:sz w:val="24"/>
                <w:highlight w:val="none"/>
              </w:rPr>
              <w:t>时间</w:t>
            </w:r>
            <w:r>
              <w:rPr>
                <w:rFonts w:hint="eastAsia" w:ascii="仿宋" w:hAnsi="仿宋" w:eastAsia="仿宋" w:cs="宋体"/>
                <w:sz w:val="24"/>
                <w:highlight w:val="none"/>
              </w:rPr>
              <w:t>在规定年度之后</w:t>
            </w:r>
            <w:r>
              <w:rPr>
                <w:rFonts w:ascii="仿宋" w:hAnsi="仿宋" w:eastAsia="仿宋" w:cs="宋体"/>
                <w:sz w:val="24"/>
                <w:highlight w:val="none"/>
              </w:rPr>
              <w:t>的</w:t>
            </w:r>
            <w:r>
              <w:rPr>
                <w:rFonts w:hint="eastAsia" w:ascii="仿宋" w:hAnsi="仿宋" w:eastAsia="仿宋" w:cs="宋体"/>
                <w:sz w:val="24"/>
                <w:highlight w:val="none"/>
              </w:rPr>
              <w:t>法人或其他组织</w:t>
            </w:r>
            <w:r>
              <w:rPr>
                <w:rFonts w:ascii="仿宋" w:hAnsi="仿宋" w:eastAsia="仿宋" w:cs="宋体"/>
                <w:sz w:val="24"/>
                <w:highlight w:val="none"/>
              </w:rPr>
              <w:t>，需提供成立</w:t>
            </w:r>
            <w:r>
              <w:rPr>
                <w:rFonts w:hint="eastAsia" w:ascii="仿宋" w:hAnsi="仿宋" w:eastAsia="仿宋" w:cs="宋体"/>
                <w:sz w:val="24"/>
                <w:highlight w:val="none"/>
              </w:rPr>
              <w:t>之日起至投标截止时间前</w:t>
            </w:r>
            <w:r>
              <w:rPr>
                <w:rFonts w:ascii="仿宋" w:hAnsi="仿宋" w:eastAsia="仿宋" w:cs="宋体"/>
                <w:sz w:val="24"/>
                <w:highlight w:val="none"/>
              </w:rPr>
              <w:t>的月报表</w:t>
            </w:r>
            <w:r>
              <w:rPr>
                <w:rFonts w:hint="eastAsia" w:ascii="仿宋" w:hAnsi="仿宋" w:eastAsia="仿宋" w:cs="宋体"/>
                <w:sz w:val="24"/>
                <w:highlight w:val="none"/>
              </w:rPr>
              <w:t>或银行出具的资信证明；资信证明应在有效期内，未注明有效期的，银行出具时间至投标截止时间不超过一年】；</w:t>
            </w:r>
            <w:r>
              <w:rPr>
                <w:rFonts w:hint="eastAsia" w:ascii="仿宋" w:hAnsi="仿宋" w:eastAsia="仿宋" w:cs="宋体"/>
                <w:b/>
                <w:sz w:val="24"/>
                <w:highlight w:val="none"/>
              </w:rPr>
              <w:t>（除自然人外必须提供，否则</w:t>
            </w:r>
            <w:r>
              <w:rPr>
                <w:rFonts w:hint="eastAsia" w:ascii="仿宋" w:hAnsi="仿宋" w:eastAsia="仿宋"/>
                <w:b/>
                <w:sz w:val="24"/>
                <w:highlight w:val="none"/>
              </w:rPr>
              <w:t>投标文件</w:t>
            </w:r>
            <w:r>
              <w:rPr>
                <w:rFonts w:hint="eastAsia" w:ascii="仿宋" w:hAnsi="仿宋" w:eastAsia="仿宋" w:cs="宋体"/>
                <w:b/>
                <w:sz w:val="24"/>
                <w:highlight w:val="none"/>
              </w:rPr>
              <w:t>按无效投标处理）</w:t>
            </w:r>
          </w:p>
          <w:p w14:paraId="51BADE36">
            <w:pPr>
              <w:autoSpaceDE w:val="0"/>
              <w:autoSpaceDN w:val="0"/>
              <w:snapToGrid w:val="0"/>
              <w:spacing w:line="390" w:lineRule="exact"/>
              <w:textAlignment w:val="bottom"/>
              <w:rPr>
                <w:rFonts w:hint="eastAsia" w:ascii="仿宋" w:hAnsi="仿宋" w:eastAsia="仿宋" w:cs="宋体"/>
                <w:b/>
                <w:sz w:val="24"/>
                <w:highlight w:val="none"/>
              </w:rPr>
            </w:pPr>
            <w:r>
              <w:rPr>
                <w:rFonts w:hint="eastAsia" w:ascii="仿宋" w:hAnsi="仿宋" w:eastAsia="仿宋" w:cs="宋体"/>
                <w:sz w:val="24"/>
                <w:highlight w:val="none"/>
                <w:lang w:val="en-US" w:eastAsia="zh-CN"/>
              </w:rPr>
              <w:t>5</w:t>
            </w:r>
            <w:r>
              <w:rPr>
                <w:rFonts w:hint="eastAsia" w:ascii="仿宋" w:hAnsi="仿宋" w:eastAsia="仿宋" w:cs="宋体"/>
                <w:sz w:val="24"/>
                <w:highlight w:val="none"/>
              </w:rPr>
              <w:t>、投标人直接控股、管理关系信息表（格式后附）；</w:t>
            </w:r>
            <w:r>
              <w:rPr>
                <w:rFonts w:hint="eastAsia" w:ascii="仿宋" w:hAnsi="仿宋" w:eastAsia="仿宋" w:cs="宋体"/>
                <w:b/>
                <w:sz w:val="24"/>
                <w:highlight w:val="none"/>
              </w:rPr>
              <w:t>（必须提供，否则</w:t>
            </w:r>
            <w:r>
              <w:rPr>
                <w:rFonts w:hint="eastAsia" w:ascii="仿宋" w:hAnsi="仿宋" w:eastAsia="仿宋"/>
                <w:b/>
                <w:sz w:val="24"/>
                <w:highlight w:val="none"/>
              </w:rPr>
              <w:t>投标文件</w:t>
            </w:r>
            <w:r>
              <w:rPr>
                <w:rFonts w:hint="eastAsia" w:ascii="仿宋" w:hAnsi="仿宋" w:eastAsia="仿宋" w:cs="宋体"/>
                <w:b/>
                <w:sz w:val="24"/>
                <w:highlight w:val="none"/>
              </w:rPr>
              <w:t>按无效投标处理）</w:t>
            </w:r>
          </w:p>
          <w:p w14:paraId="01A6ED2C">
            <w:pPr>
              <w:autoSpaceDE w:val="0"/>
              <w:autoSpaceDN w:val="0"/>
              <w:snapToGrid w:val="0"/>
              <w:spacing w:line="390" w:lineRule="exact"/>
              <w:textAlignment w:val="bottom"/>
              <w:rPr>
                <w:rFonts w:hint="eastAsia" w:ascii="仿宋" w:hAnsi="仿宋" w:eastAsia="仿宋" w:cs="宋体"/>
                <w:b/>
                <w:sz w:val="24"/>
                <w:highlight w:val="none"/>
              </w:rPr>
            </w:pPr>
            <w:r>
              <w:rPr>
                <w:rFonts w:hint="eastAsia" w:ascii="仿宋" w:hAnsi="仿宋" w:eastAsia="仿宋" w:cs="宋体"/>
                <w:sz w:val="24"/>
                <w:highlight w:val="none"/>
                <w:lang w:val="en-US" w:eastAsia="zh-CN"/>
              </w:rPr>
              <w:t>6</w:t>
            </w:r>
            <w:r>
              <w:rPr>
                <w:rFonts w:hint="eastAsia" w:ascii="仿宋" w:hAnsi="仿宋" w:eastAsia="仿宋" w:cs="宋体"/>
                <w:sz w:val="24"/>
                <w:highlight w:val="none"/>
              </w:rPr>
              <w:t>、投标声明（格式后附）；</w:t>
            </w:r>
            <w:r>
              <w:rPr>
                <w:rFonts w:hint="eastAsia" w:ascii="仿宋" w:hAnsi="仿宋" w:eastAsia="仿宋" w:cs="宋体"/>
                <w:b/>
                <w:sz w:val="24"/>
                <w:highlight w:val="none"/>
              </w:rPr>
              <w:t>（必须提供，否则</w:t>
            </w:r>
            <w:r>
              <w:rPr>
                <w:rFonts w:hint="eastAsia" w:ascii="仿宋" w:hAnsi="仿宋" w:eastAsia="仿宋"/>
                <w:b/>
                <w:sz w:val="24"/>
                <w:highlight w:val="none"/>
              </w:rPr>
              <w:t>投标文件</w:t>
            </w:r>
            <w:r>
              <w:rPr>
                <w:rFonts w:hint="eastAsia" w:ascii="仿宋" w:hAnsi="仿宋" w:eastAsia="仿宋" w:cs="宋体"/>
                <w:b/>
                <w:sz w:val="24"/>
                <w:highlight w:val="none"/>
              </w:rPr>
              <w:t>按无效投标处理）</w:t>
            </w:r>
          </w:p>
          <w:p w14:paraId="55F74D3E">
            <w:pPr>
              <w:autoSpaceDE w:val="0"/>
              <w:autoSpaceDN w:val="0"/>
              <w:snapToGrid w:val="0"/>
              <w:spacing w:line="390" w:lineRule="exact"/>
              <w:textAlignment w:val="bottom"/>
              <w:rPr>
                <w:rFonts w:hint="eastAsia" w:ascii="仿宋" w:hAnsi="仿宋" w:eastAsia="仿宋" w:cs="宋体"/>
                <w:sz w:val="24"/>
                <w:highlight w:val="none"/>
              </w:rPr>
            </w:pPr>
            <w:bookmarkStart w:id="61" w:name="OLE_LINK7"/>
            <w:r>
              <w:rPr>
                <w:rFonts w:hint="eastAsia" w:ascii="仿宋" w:hAnsi="仿宋" w:eastAsia="仿宋" w:cs="宋体"/>
                <w:sz w:val="24"/>
                <w:highlight w:val="none"/>
                <w:lang w:val="en-US" w:eastAsia="zh-CN"/>
              </w:rPr>
              <w:t>7</w:t>
            </w:r>
            <w:r>
              <w:rPr>
                <w:rFonts w:hint="eastAsia" w:ascii="仿宋" w:hAnsi="仿宋" w:eastAsia="仿宋" w:cs="宋体"/>
                <w:sz w:val="24"/>
                <w:highlight w:val="none"/>
              </w:rPr>
              <w:t>、投标人提供的货物全部由符合政策要求中小企业制造，投标文件中提供《中小企业声明函》；属于监狱企业的，提供由省级以上监狱管理局、戒毒管理局(含新疆生产建设兵团)出具的属于监狱企业的证明文件</w:t>
            </w:r>
            <w:r>
              <w:rPr>
                <w:rFonts w:hint="eastAsia" w:ascii="仿宋" w:hAnsi="仿宋" w:eastAsia="仿宋" w:cs="宋体"/>
                <w:sz w:val="24"/>
                <w:highlight w:val="none"/>
                <w:lang w:eastAsia="zh-CN"/>
              </w:rPr>
              <w:t>；</w:t>
            </w:r>
            <w:r>
              <w:rPr>
                <w:rFonts w:hint="eastAsia" w:ascii="仿宋" w:hAnsi="仿宋" w:eastAsia="仿宋" w:cs="宋体"/>
                <w:b/>
                <w:sz w:val="24"/>
                <w:highlight w:val="none"/>
                <w:lang w:val="en-US" w:eastAsia="zh-CN"/>
              </w:rPr>
              <w:t>（如有，请提供）</w:t>
            </w:r>
          </w:p>
          <w:p w14:paraId="5A203B24">
            <w:pPr>
              <w:autoSpaceDE w:val="0"/>
              <w:autoSpaceDN w:val="0"/>
              <w:snapToGrid w:val="0"/>
              <w:spacing w:line="390" w:lineRule="exact"/>
              <w:textAlignment w:val="bottom"/>
              <w:rPr>
                <w:rFonts w:hint="eastAsia" w:ascii="仿宋" w:hAnsi="仿宋" w:eastAsia="仿宋" w:cs="宋体"/>
                <w:sz w:val="24"/>
                <w:highlight w:val="none"/>
              </w:rPr>
            </w:pPr>
            <w:r>
              <w:rPr>
                <w:rFonts w:hint="eastAsia" w:ascii="仿宋" w:hAnsi="仿宋" w:eastAsia="仿宋" w:cs="宋体"/>
                <w:sz w:val="24"/>
                <w:highlight w:val="none"/>
                <w:lang w:val="en-US" w:eastAsia="zh-CN"/>
              </w:rPr>
              <w:t>8、</w:t>
            </w:r>
            <w:r>
              <w:rPr>
                <w:rFonts w:hint="eastAsia" w:ascii="仿宋" w:hAnsi="仿宋" w:eastAsia="仿宋" w:cs="宋体"/>
                <w:sz w:val="24"/>
                <w:highlight w:val="none"/>
              </w:rPr>
              <w:t>符合条件的残疾人福利性单位在参加政府采购活动时，提供《残疾人福利性单位声明函》，并对声明的真实性负责；</w:t>
            </w:r>
            <w:r>
              <w:rPr>
                <w:rFonts w:hint="eastAsia" w:ascii="仿宋" w:hAnsi="仿宋" w:eastAsia="仿宋" w:cs="宋体"/>
                <w:b/>
                <w:sz w:val="24"/>
                <w:highlight w:val="none"/>
              </w:rPr>
              <w:t>（</w:t>
            </w:r>
            <w:r>
              <w:rPr>
                <w:rFonts w:hint="eastAsia" w:ascii="仿宋" w:hAnsi="仿宋" w:eastAsia="仿宋" w:cs="宋体"/>
                <w:b/>
                <w:sz w:val="24"/>
                <w:highlight w:val="none"/>
                <w:lang w:val="en-US" w:eastAsia="zh-CN"/>
              </w:rPr>
              <w:t>如有，请提供</w:t>
            </w:r>
            <w:r>
              <w:rPr>
                <w:rFonts w:hint="eastAsia" w:ascii="仿宋" w:hAnsi="仿宋" w:eastAsia="仿宋" w:cs="宋体"/>
                <w:b/>
                <w:sz w:val="24"/>
                <w:highlight w:val="none"/>
              </w:rPr>
              <w:t>）</w:t>
            </w:r>
          </w:p>
          <w:p w14:paraId="0BF0485D">
            <w:pPr>
              <w:autoSpaceDE w:val="0"/>
              <w:autoSpaceDN w:val="0"/>
              <w:snapToGrid w:val="0"/>
              <w:spacing w:line="390" w:lineRule="exact"/>
              <w:textAlignment w:val="bottom"/>
              <w:rPr>
                <w:rFonts w:hint="eastAsia" w:ascii="仿宋" w:hAnsi="仿宋" w:eastAsia="仿宋" w:cs="宋体"/>
                <w:sz w:val="24"/>
                <w:highlight w:val="none"/>
              </w:rPr>
            </w:pPr>
            <w:r>
              <w:rPr>
                <w:rFonts w:hint="eastAsia" w:ascii="仿宋" w:hAnsi="仿宋" w:eastAsia="仿宋" w:cs="宋体"/>
                <w:sz w:val="24"/>
                <w:highlight w:val="none"/>
                <w:lang w:val="en-US" w:eastAsia="zh-CN"/>
              </w:rPr>
              <w:t>9</w:t>
            </w:r>
            <w:r>
              <w:rPr>
                <w:rFonts w:hint="eastAsia" w:ascii="仿宋" w:hAnsi="仿宋" w:eastAsia="仿宋" w:cs="宋体"/>
                <w:sz w:val="24"/>
                <w:highlight w:val="none"/>
              </w:rPr>
              <w:t>、除招标文件规定必须提供以外，投标人认为需要提供的其他证明材料。</w:t>
            </w:r>
            <w:r>
              <w:rPr>
                <w:rFonts w:hint="eastAsia" w:ascii="仿宋" w:hAnsi="仿宋" w:eastAsia="仿宋" w:cs="宋体"/>
                <w:b/>
                <w:sz w:val="24"/>
                <w:highlight w:val="none"/>
              </w:rPr>
              <w:t>（</w:t>
            </w:r>
            <w:r>
              <w:rPr>
                <w:rFonts w:hint="eastAsia" w:ascii="仿宋" w:hAnsi="仿宋" w:eastAsia="仿宋" w:cs="宋体"/>
                <w:b/>
                <w:sz w:val="24"/>
                <w:highlight w:val="none"/>
                <w:lang w:val="en-US" w:eastAsia="zh-CN"/>
              </w:rPr>
              <w:t>如有，请提供</w:t>
            </w:r>
            <w:r>
              <w:rPr>
                <w:rFonts w:hint="eastAsia" w:ascii="仿宋" w:hAnsi="仿宋" w:eastAsia="仿宋" w:cs="宋体"/>
                <w:b/>
                <w:sz w:val="24"/>
                <w:highlight w:val="none"/>
              </w:rPr>
              <w:t>）</w:t>
            </w:r>
          </w:p>
          <w:bookmarkEnd w:id="61"/>
          <w:p w14:paraId="45BBD513">
            <w:pPr>
              <w:snapToGrid w:val="0"/>
              <w:spacing w:line="390" w:lineRule="exact"/>
              <w:jc w:val="left"/>
              <w:rPr>
                <w:rFonts w:hint="eastAsia" w:ascii="仿宋" w:hAnsi="仿宋" w:eastAsia="仿宋"/>
                <w:b/>
                <w:bCs/>
                <w:sz w:val="24"/>
                <w:highlight w:val="none"/>
              </w:rPr>
            </w:pPr>
            <w:r>
              <w:rPr>
                <w:rFonts w:hint="eastAsia" w:ascii="仿宋" w:hAnsi="仿宋" w:eastAsia="仿宋"/>
                <w:b/>
                <w:bCs/>
                <w:sz w:val="24"/>
                <w:highlight w:val="none"/>
              </w:rPr>
              <w:t>注：</w:t>
            </w:r>
          </w:p>
          <w:p w14:paraId="5CC9CAD6">
            <w:pPr>
              <w:snapToGrid w:val="0"/>
              <w:spacing w:line="390" w:lineRule="exact"/>
              <w:ind w:firstLine="482" w:firstLineChars="200"/>
              <w:jc w:val="left"/>
              <w:rPr>
                <w:rFonts w:hint="eastAsia" w:ascii="仿宋" w:hAnsi="仿宋" w:eastAsia="仿宋" w:cs="Courier New"/>
                <w:b/>
                <w:sz w:val="24"/>
                <w:highlight w:val="none"/>
              </w:rPr>
            </w:pPr>
            <w:r>
              <w:rPr>
                <w:rFonts w:hint="eastAsia" w:ascii="仿宋" w:hAnsi="仿宋" w:eastAsia="仿宋"/>
                <w:b/>
                <w:bCs/>
                <w:sz w:val="24"/>
                <w:highlight w:val="none"/>
              </w:rPr>
              <w:t>1、以上标明“必须提供”的材料属于复印件的，必须加盖投标人公章，否则按无效投标</w:t>
            </w:r>
            <w:r>
              <w:rPr>
                <w:rFonts w:hint="eastAsia" w:ascii="仿宋" w:hAnsi="仿宋" w:eastAsia="仿宋" w:cs="Courier New"/>
                <w:b/>
                <w:sz w:val="24"/>
                <w:highlight w:val="none"/>
              </w:rPr>
              <w:t>处理。</w:t>
            </w:r>
          </w:p>
          <w:p w14:paraId="70BF8E27">
            <w:pPr>
              <w:snapToGrid w:val="0"/>
              <w:spacing w:line="390" w:lineRule="exact"/>
              <w:ind w:firstLine="482" w:firstLineChars="200"/>
              <w:jc w:val="left"/>
              <w:rPr>
                <w:rFonts w:hint="eastAsia" w:ascii="仿宋" w:hAnsi="仿宋" w:eastAsia="仿宋"/>
                <w:b/>
                <w:bCs/>
                <w:sz w:val="24"/>
                <w:highlight w:val="none"/>
              </w:rPr>
            </w:pPr>
            <w:r>
              <w:rPr>
                <w:rFonts w:hint="eastAsia" w:ascii="仿宋" w:hAnsi="仿宋" w:eastAsia="仿宋" w:cs="Courier New"/>
                <w:b/>
                <w:sz w:val="24"/>
                <w:highlight w:val="none"/>
              </w:rPr>
              <w:t>2、</w:t>
            </w:r>
            <w:r>
              <w:rPr>
                <w:rFonts w:hint="eastAsia" w:ascii="仿宋" w:hAnsi="仿宋" w:eastAsia="仿宋"/>
                <w:b/>
                <w:bCs/>
                <w:sz w:val="24"/>
                <w:highlight w:val="none"/>
              </w:rPr>
              <w:t>投标声明必须由法定代表人在规定签章处签字并加盖投标人公章，否则按无效投标处理。</w:t>
            </w:r>
          </w:p>
          <w:p w14:paraId="726C14CC">
            <w:pPr>
              <w:snapToGrid w:val="0"/>
              <w:spacing w:line="390" w:lineRule="exact"/>
              <w:ind w:firstLine="482" w:firstLineChars="200"/>
              <w:jc w:val="left"/>
              <w:rPr>
                <w:rFonts w:hint="eastAsia" w:ascii="仿宋" w:hAnsi="仿宋" w:eastAsia="仿宋"/>
                <w:b/>
                <w:bCs/>
                <w:sz w:val="24"/>
                <w:highlight w:val="none"/>
              </w:rPr>
            </w:pPr>
            <w:r>
              <w:rPr>
                <w:rFonts w:hint="eastAsia" w:ascii="仿宋" w:hAnsi="仿宋" w:eastAsia="仿宋"/>
                <w:b/>
                <w:bCs/>
                <w:sz w:val="24"/>
                <w:highlight w:val="none"/>
              </w:rPr>
              <w:t>3、投标人直接控股、管理关系信息表必须由法定代表人或者委托代理人在规定签章处签字并加盖投标人公章，否则按无效投标</w:t>
            </w:r>
            <w:r>
              <w:rPr>
                <w:rFonts w:hint="eastAsia" w:ascii="仿宋" w:hAnsi="仿宋" w:eastAsia="仿宋" w:cs="Courier New"/>
                <w:b/>
                <w:sz w:val="24"/>
                <w:highlight w:val="none"/>
              </w:rPr>
              <w:t>处理</w:t>
            </w:r>
            <w:r>
              <w:rPr>
                <w:rFonts w:hint="eastAsia" w:ascii="仿宋" w:hAnsi="仿宋" w:eastAsia="仿宋"/>
                <w:b/>
                <w:bCs/>
                <w:sz w:val="24"/>
                <w:highlight w:val="none"/>
              </w:rPr>
              <w:t>。</w:t>
            </w:r>
          </w:p>
          <w:p w14:paraId="21D36BC6">
            <w:pPr>
              <w:snapToGrid w:val="0"/>
              <w:spacing w:line="390" w:lineRule="exact"/>
              <w:ind w:firstLine="482" w:firstLineChars="200"/>
              <w:jc w:val="left"/>
              <w:rPr>
                <w:rFonts w:hint="eastAsia" w:ascii="仿宋" w:hAnsi="仿宋" w:eastAsia="仿宋"/>
                <w:b/>
                <w:bCs/>
                <w:sz w:val="24"/>
                <w:highlight w:val="none"/>
              </w:rPr>
            </w:pPr>
            <w:r>
              <w:rPr>
                <w:rFonts w:hint="eastAsia" w:ascii="仿宋" w:hAnsi="仿宋" w:eastAsia="仿宋"/>
                <w:b/>
                <w:bCs/>
                <w:sz w:val="24"/>
                <w:highlight w:val="none"/>
                <w:lang w:val="en-US" w:eastAsia="zh-CN"/>
              </w:rPr>
              <w:t>4</w:t>
            </w:r>
            <w:r>
              <w:rPr>
                <w:rFonts w:hint="eastAsia" w:ascii="仿宋" w:hAnsi="仿宋" w:eastAsia="仿宋"/>
                <w:b/>
                <w:bCs/>
                <w:sz w:val="24"/>
                <w:highlight w:val="none"/>
              </w:rPr>
              <w:t>、分公司参加投标的，应当取得总公司授权，否则按无效投标</w:t>
            </w:r>
            <w:r>
              <w:rPr>
                <w:rFonts w:hint="eastAsia" w:ascii="仿宋" w:hAnsi="仿宋" w:eastAsia="仿宋" w:cs="Courier New"/>
                <w:b/>
                <w:sz w:val="24"/>
                <w:highlight w:val="none"/>
              </w:rPr>
              <w:t>处理</w:t>
            </w:r>
            <w:r>
              <w:rPr>
                <w:rFonts w:hint="eastAsia" w:ascii="仿宋" w:hAnsi="仿宋" w:eastAsia="仿宋"/>
                <w:b/>
                <w:bCs/>
                <w:sz w:val="24"/>
                <w:highlight w:val="none"/>
              </w:rPr>
              <w:t>。（允许分公司参与的行业有银行、保险、石油石化、电力、电信等行业）。</w:t>
            </w:r>
          </w:p>
        </w:tc>
      </w:tr>
      <w:tr w14:paraId="0CE7C5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vMerge w:val="continue"/>
            <w:tcBorders>
              <w:left w:val="single" w:color="auto" w:sz="4" w:space="0"/>
              <w:right w:val="single" w:color="auto" w:sz="4" w:space="0"/>
            </w:tcBorders>
            <w:vAlign w:val="center"/>
          </w:tcPr>
          <w:p w14:paraId="7CEB423B">
            <w:pPr>
              <w:spacing w:line="390" w:lineRule="exact"/>
              <w:rPr>
                <w:rFonts w:hint="eastAsia" w:ascii="仿宋" w:hAnsi="仿宋" w:eastAsia="仿宋"/>
                <w:sz w:val="24"/>
                <w:highlight w:val="none"/>
              </w:rPr>
            </w:pPr>
            <w:bookmarkStart w:id="62" w:name="_13.3"/>
            <w:bookmarkEnd w:id="62"/>
          </w:p>
        </w:tc>
        <w:tc>
          <w:tcPr>
            <w:tcW w:w="9275" w:type="dxa"/>
            <w:tcBorders>
              <w:top w:val="single" w:color="auto" w:sz="4" w:space="0"/>
              <w:left w:val="single" w:color="auto" w:sz="4" w:space="0"/>
              <w:bottom w:val="single" w:color="auto" w:sz="4" w:space="0"/>
              <w:right w:val="single" w:color="auto" w:sz="4" w:space="0"/>
            </w:tcBorders>
            <w:vAlign w:val="center"/>
          </w:tcPr>
          <w:p w14:paraId="16F146BE">
            <w:pPr>
              <w:snapToGrid w:val="0"/>
              <w:spacing w:line="390" w:lineRule="exact"/>
              <w:jc w:val="left"/>
              <w:rPr>
                <w:rFonts w:hint="eastAsia" w:ascii="仿宋" w:hAnsi="仿宋" w:eastAsia="仿宋" w:cs="Courier New"/>
                <w:b/>
                <w:sz w:val="24"/>
                <w:highlight w:val="none"/>
              </w:rPr>
            </w:pPr>
            <w:r>
              <w:rPr>
                <w:rFonts w:hint="eastAsia" w:ascii="仿宋" w:hAnsi="仿宋" w:eastAsia="仿宋" w:cs="Courier New"/>
                <w:b/>
                <w:sz w:val="24"/>
                <w:highlight w:val="none"/>
              </w:rPr>
              <w:t xml:space="preserve">商务文件： </w:t>
            </w:r>
          </w:p>
          <w:p w14:paraId="41F0C22E">
            <w:pPr>
              <w:snapToGrid w:val="0"/>
              <w:spacing w:line="390" w:lineRule="exact"/>
              <w:jc w:val="left"/>
              <w:rPr>
                <w:rFonts w:hint="eastAsia" w:ascii="仿宋" w:hAnsi="仿宋" w:eastAsia="仿宋"/>
                <w:sz w:val="24"/>
                <w:highlight w:val="none"/>
              </w:rPr>
            </w:pPr>
            <w:r>
              <w:rPr>
                <w:rFonts w:hint="eastAsia" w:ascii="仿宋" w:hAnsi="仿宋" w:eastAsia="仿宋"/>
                <w:sz w:val="24"/>
                <w:highlight w:val="none"/>
              </w:rPr>
              <w:t>1、无串通投标行为的承诺函（格式后附）；（</w:t>
            </w:r>
            <w:r>
              <w:rPr>
                <w:rFonts w:hint="eastAsia" w:ascii="仿宋" w:hAnsi="仿宋" w:eastAsia="仿宋"/>
                <w:b/>
                <w:sz w:val="24"/>
                <w:highlight w:val="none"/>
              </w:rPr>
              <w:t>必须提供，否则投标文件按无效投标处理</w:t>
            </w:r>
            <w:r>
              <w:rPr>
                <w:rFonts w:hint="eastAsia" w:ascii="仿宋" w:hAnsi="仿宋" w:eastAsia="仿宋"/>
                <w:sz w:val="24"/>
                <w:highlight w:val="none"/>
              </w:rPr>
              <w:t>）</w:t>
            </w:r>
          </w:p>
          <w:p w14:paraId="42B432DD">
            <w:pPr>
              <w:snapToGrid w:val="0"/>
              <w:spacing w:line="390" w:lineRule="exact"/>
              <w:jc w:val="left"/>
              <w:rPr>
                <w:rFonts w:hint="eastAsia" w:ascii="仿宋" w:hAnsi="仿宋" w:eastAsia="仿宋"/>
                <w:sz w:val="24"/>
                <w:highlight w:val="none"/>
              </w:rPr>
            </w:pPr>
            <w:r>
              <w:rPr>
                <w:rFonts w:ascii="仿宋" w:hAnsi="仿宋" w:eastAsia="仿宋"/>
                <w:sz w:val="24"/>
                <w:highlight w:val="none"/>
              </w:rPr>
              <w:t>2</w:t>
            </w:r>
            <w:r>
              <w:rPr>
                <w:rFonts w:hint="eastAsia" w:ascii="仿宋" w:hAnsi="仿宋" w:eastAsia="仿宋"/>
                <w:sz w:val="24"/>
                <w:highlight w:val="none"/>
              </w:rPr>
              <w:t>、法定代表人身份证明及法定代表人有效身份证正反面复印件（格式后附）；（</w:t>
            </w:r>
            <w:r>
              <w:rPr>
                <w:rFonts w:hint="eastAsia" w:ascii="仿宋" w:hAnsi="仿宋" w:eastAsia="仿宋" w:cs="宋体"/>
                <w:b/>
                <w:bCs/>
                <w:sz w:val="24"/>
                <w:highlight w:val="none"/>
              </w:rPr>
              <w:t>除自然人投标外</w:t>
            </w:r>
            <w:r>
              <w:rPr>
                <w:rFonts w:hint="eastAsia" w:ascii="仿宋" w:hAnsi="仿宋" w:eastAsia="仿宋"/>
                <w:b/>
                <w:sz w:val="24"/>
                <w:highlight w:val="none"/>
              </w:rPr>
              <w:t>必须提供，否则投标文件按无效投标处理</w:t>
            </w:r>
            <w:r>
              <w:rPr>
                <w:rFonts w:hint="eastAsia" w:ascii="仿宋" w:hAnsi="仿宋" w:eastAsia="仿宋"/>
                <w:sz w:val="24"/>
                <w:highlight w:val="none"/>
              </w:rPr>
              <w:t>）</w:t>
            </w:r>
          </w:p>
          <w:p w14:paraId="0CC9DECA">
            <w:pPr>
              <w:snapToGrid w:val="0"/>
              <w:spacing w:line="390" w:lineRule="exact"/>
              <w:jc w:val="left"/>
              <w:rPr>
                <w:rFonts w:hint="eastAsia" w:ascii="仿宋" w:hAnsi="仿宋" w:eastAsia="仿宋"/>
                <w:sz w:val="24"/>
                <w:highlight w:val="none"/>
              </w:rPr>
            </w:pPr>
            <w:r>
              <w:rPr>
                <w:rFonts w:ascii="仿宋" w:hAnsi="仿宋" w:eastAsia="仿宋"/>
                <w:sz w:val="24"/>
                <w:highlight w:val="none"/>
              </w:rPr>
              <w:t>3</w:t>
            </w:r>
            <w:r>
              <w:rPr>
                <w:rFonts w:hint="eastAsia" w:ascii="仿宋" w:hAnsi="仿宋" w:eastAsia="仿宋"/>
                <w:sz w:val="24"/>
                <w:highlight w:val="none"/>
              </w:rPr>
              <w:t>、授权委托书及委托代理人有效身份证正反面复印件（格式后附）；（</w:t>
            </w:r>
            <w:r>
              <w:rPr>
                <w:rFonts w:hint="eastAsia" w:ascii="仿宋" w:hAnsi="仿宋" w:eastAsia="仿宋"/>
                <w:b/>
                <w:sz w:val="24"/>
                <w:highlight w:val="none"/>
              </w:rPr>
              <w:t>委托时必须提供，否则投标文件按无效投标处理</w:t>
            </w:r>
            <w:r>
              <w:rPr>
                <w:rFonts w:hint="eastAsia" w:ascii="仿宋" w:hAnsi="仿宋" w:eastAsia="仿宋"/>
                <w:sz w:val="24"/>
                <w:highlight w:val="none"/>
              </w:rPr>
              <w:t>）</w:t>
            </w:r>
          </w:p>
          <w:p w14:paraId="755AEB00">
            <w:pPr>
              <w:snapToGrid w:val="0"/>
              <w:spacing w:line="390" w:lineRule="exact"/>
              <w:jc w:val="left"/>
              <w:rPr>
                <w:rFonts w:hint="eastAsia" w:ascii="仿宋" w:hAnsi="仿宋" w:eastAsia="仿宋"/>
                <w:sz w:val="24"/>
                <w:highlight w:val="none"/>
              </w:rPr>
            </w:pPr>
            <w:r>
              <w:rPr>
                <w:rFonts w:ascii="仿宋" w:hAnsi="仿宋" w:eastAsia="仿宋"/>
                <w:sz w:val="24"/>
                <w:highlight w:val="none"/>
              </w:rPr>
              <w:t>4</w:t>
            </w:r>
            <w:r>
              <w:rPr>
                <w:rFonts w:hint="eastAsia" w:ascii="仿宋" w:hAnsi="仿宋" w:eastAsia="仿宋"/>
                <w:sz w:val="24"/>
                <w:highlight w:val="none"/>
              </w:rPr>
              <w:t>、商务要求偏离表（格式后附）；（</w:t>
            </w:r>
            <w:r>
              <w:rPr>
                <w:rFonts w:hint="eastAsia" w:ascii="仿宋" w:hAnsi="仿宋" w:eastAsia="仿宋"/>
                <w:b/>
                <w:sz w:val="24"/>
                <w:highlight w:val="none"/>
              </w:rPr>
              <w:t>必须提供，否则投标文件按无效投标处理</w:t>
            </w:r>
            <w:r>
              <w:rPr>
                <w:rFonts w:hint="eastAsia" w:ascii="仿宋" w:hAnsi="仿宋" w:eastAsia="仿宋"/>
                <w:sz w:val="24"/>
                <w:highlight w:val="none"/>
              </w:rPr>
              <w:t>）</w:t>
            </w:r>
          </w:p>
          <w:p w14:paraId="5928102B">
            <w:pPr>
              <w:snapToGrid w:val="0"/>
              <w:spacing w:line="390" w:lineRule="exact"/>
              <w:jc w:val="left"/>
              <w:rPr>
                <w:rFonts w:hint="eastAsia" w:ascii="仿宋" w:hAnsi="仿宋" w:eastAsia="仿宋"/>
                <w:sz w:val="24"/>
                <w:highlight w:val="none"/>
              </w:rPr>
            </w:pPr>
            <w:r>
              <w:rPr>
                <w:rFonts w:ascii="仿宋" w:hAnsi="仿宋" w:eastAsia="仿宋"/>
                <w:sz w:val="24"/>
                <w:highlight w:val="none"/>
              </w:rPr>
              <w:t>5</w:t>
            </w:r>
            <w:r>
              <w:rPr>
                <w:rFonts w:hint="eastAsia" w:ascii="仿宋" w:hAnsi="仿宋" w:eastAsia="仿宋"/>
                <w:sz w:val="24"/>
                <w:highlight w:val="none"/>
              </w:rPr>
              <w:t>、售后服务承诺（格式自拟）；（</w:t>
            </w:r>
            <w:r>
              <w:rPr>
                <w:rFonts w:hint="eastAsia" w:ascii="仿宋" w:hAnsi="仿宋" w:eastAsia="仿宋"/>
                <w:b/>
                <w:sz w:val="24"/>
                <w:highlight w:val="none"/>
              </w:rPr>
              <w:t>必须提供，否则投标文件按无效投标处理</w:t>
            </w:r>
            <w:r>
              <w:rPr>
                <w:rFonts w:hint="eastAsia" w:ascii="仿宋" w:hAnsi="仿宋" w:eastAsia="仿宋"/>
                <w:sz w:val="24"/>
                <w:highlight w:val="none"/>
              </w:rPr>
              <w:t>）</w:t>
            </w:r>
          </w:p>
          <w:p w14:paraId="4EC41B5C">
            <w:pPr>
              <w:snapToGrid w:val="0"/>
              <w:spacing w:line="390" w:lineRule="exact"/>
              <w:jc w:val="left"/>
              <w:rPr>
                <w:rFonts w:hint="eastAsia" w:ascii="仿宋" w:hAnsi="仿宋" w:eastAsia="仿宋"/>
                <w:sz w:val="24"/>
                <w:highlight w:val="none"/>
              </w:rPr>
            </w:pPr>
            <w:r>
              <w:rPr>
                <w:rFonts w:hint="eastAsia" w:ascii="仿宋" w:hAnsi="仿宋" w:eastAsia="仿宋"/>
                <w:sz w:val="24"/>
                <w:highlight w:val="none"/>
              </w:rPr>
              <w:t>6、投标人业绩证明材料（格式后附）；</w:t>
            </w:r>
            <w:r>
              <w:rPr>
                <w:rFonts w:hint="eastAsia" w:ascii="仿宋" w:hAnsi="仿宋" w:eastAsia="仿宋" w:cs="宋体"/>
                <w:b/>
                <w:sz w:val="24"/>
                <w:highlight w:val="none"/>
              </w:rPr>
              <w:t>（</w:t>
            </w:r>
            <w:r>
              <w:rPr>
                <w:rFonts w:hint="eastAsia" w:ascii="仿宋" w:hAnsi="仿宋" w:eastAsia="仿宋" w:cs="宋体"/>
                <w:b/>
                <w:sz w:val="24"/>
                <w:highlight w:val="none"/>
                <w:lang w:val="en-US" w:eastAsia="zh-CN"/>
              </w:rPr>
              <w:t>如有，请提供</w:t>
            </w:r>
            <w:r>
              <w:rPr>
                <w:rFonts w:hint="eastAsia" w:ascii="仿宋" w:hAnsi="仿宋" w:eastAsia="仿宋" w:cs="宋体"/>
                <w:b/>
                <w:sz w:val="24"/>
                <w:highlight w:val="none"/>
              </w:rPr>
              <w:t>）</w:t>
            </w:r>
          </w:p>
          <w:p w14:paraId="52E6A9BE">
            <w:pPr>
              <w:snapToGrid w:val="0"/>
              <w:spacing w:line="390" w:lineRule="exact"/>
              <w:jc w:val="left"/>
              <w:rPr>
                <w:rFonts w:hint="eastAsia" w:ascii="仿宋" w:hAnsi="仿宋" w:eastAsia="仿宋"/>
                <w:sz w:val="24"/>
                <w:highlight w:val="none"/>
              </w:rPr>
            </w:pPr>
            <w:r>
              <w:rPr>
                <w:rFonts w:ascii="仿宋" w:hAnsi="仿宋" w:eastAsia="仿宋"/>
                <w:sz w:val="24"/>
                <w:highlight w:val="none"/>
              </w:rPr>
              <w:t>7</w:t>
            </w:r>
            <w:r>
              <w:rPr>
                <w:rFonts w:hint="eastAsia" w:ascii="仿宋" w:hAnsi="仿宋" w:eastAsia="仿宋"/>
                <w:sz w:val="24"/>
                <w:highlight w:val="none"/>
              </w:rPr>
              <w:t>、除招标文件规定必须提供以外，投标人认为需要提供的其他证明材料（格式自拟）。（投标人根据“第二章 采购需求”及“第四章 评标方法及评标标准”提供有关证明材料）。</w:t>
            </w:r>
            <w:r>
              <w:rPr>
                <w:rFonts w:hint="eastAsia" w:ascii="仿宋" w:hAnsi="仿宋" w:eastAsia="仿宋" w:cs="宋体"/>
                <w:b/>
                <w:sz w:val="24"/>
                <w:highlight w:val="none"/>
              </w:rPr>
              <w:t>（</w:t>
            </w:r>
            <w:r>
              <w:rPr>
                <w:rFonts w:hint="eastAsia" w:ascii="仿宋" w:hAnsi="仿宋" w:eastAsia="仿宋" w:cs="宋体"/>
                <w:b/>
                <w:sz w:val="24"/>
                <w:highlight w:val="none"/>
                <w:lang w:val="en-US" w:eastAsia="zh-CN"/>
              </w:rPr>
              <w:t>如有，请提供</w:t>
            </w:r>
            <w:r>
              <w:rPr>
                <w:rFonts w:hint="eastAsia" w:ascii="仿宋" w:hAnsi="仿宋" w:eastAsia="仿宋" w:cs="宋体"/>
                <w:b/>
                <w:sz w:val="24"/>
                <w:highlight w:val="none"/>
              </w:rPr>
              <w:t>）</w:t>
            </w:r>
          </w:p>
          <w:p w14:paraId="43B39900">
            <w:pPr>
              <w:snapToGrid w:val="0"/>
              <w:spacing w:line="390" w:lineRule="exact"/>
              <w:ind w:firstLine="482" w:firstLineChars="200"/>
              <w:jc w:val="left"/>
              <w:rPr>
                <w:rFonts w:hint="eastAsia" w:ascii="仿宋" w:hAnsi="仿宋" w:eastAsia="仿宋"/>
                <w:sz w:val="24"/>
                <w:highlight w:val="none"/>
              </w:rPr>
            </w:pPr>
            <w:r>
              <w:rPr>
                <w:rFonts w:hint="eastAsia" w:ascii="仿宋" w:hAnsi="仿宋" w:eastAsia="仿宋"/>
                <w:b/>
                <w:bCs/>
                <w:sz w:val="24"/>
                <w:highlight w:val="none"/>
              </w:rPr>
              <w:t>注：以上标明“必须提供”的材料属于复印件的，必须加盖投标人公章，否则按无效投标</w:t>
            </w:r>
            <w:r>
              <w:rPr>
                <w:rFonts w:hint="eastAsia" w:ascii="仿宋" w:hAnsi="仿宋" w:eastAsia="仿宋" w:cs="Courier New"/>
                <w:b/>
                <w:sz w:val="24"/>
                <w:highlight w:val="none"/>
              </w:rPr>
              <w:t>处理</w:t>
            </w:r>
            <w:r>
              <w:rPr>
                <w:rFonts w:hint="eastAsia" w:ascii="仿宋" w:hAnsi="仿宋" w:eastAsia="仿宋"/>
                <w:b/>
                <w:bCs/>
                <w:sz w:val="24"/>
                <w:highlight w:val="none"/>
              </w:rPr>
              <w:t>。</w:t>
            </w:r>
          </w:p>
        </w:tc>
      </w:tr>
      <w:tr w14:paraId="0880E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vMerge w:val="continue"/>
            <w:tcBorders>
              <w:left w:val="single" w:color="auto" w:sz="4" w:space="0"/>
              <w:bottom w:val="single" w:color="auto" w:sz="4" w:space="0"/>
              <w:right w:val="single" w:color="auto" w:sz="4" w:space="0"/>
            </w:tcBorders>
            <w:vAlign w:val="center"/>
          </w:tcPr>
          <w:p w14:paraId="587C333C">
            <w:pPr>
              <w:spacing w:line="390" w:lineRule="exact"/>
              <w:rPr>
                <w:rFonts w:hint="eastAsia" w:ascii="仿宋" w:hAnsi="仿宋" w:eastAsia="仿宋"/>
                <w:sz w:val="24"/>
                <w:highlight w:val="none"/>
              </w:rPr>
            </w:pPr>
            <w:bookmarkStart w:id="63" w:name="_13.4"/>
            <w:bookmarkEnd w:id="63"/>
          </w:p>
        </w:tc>
        <w:tc>
          <w:tcPr>
            <w:tcW w:w="9275" w:type="dxa"/>
            <w:tcBorders>
              <w:top w:val="single" w:color="auto" w:sz="4" w:space="0"/>
              <w:left w:val="single" w:color="auto" w:sz="4" w:space="0"/>
              <w:bottom w:val="single" w:color="auto" w:sz="4" w:space="0"/>
              <w:right w:val="single" w:color="auto" w:sz="4" w:space="0"/>
            </w:tcBorders>
            <w:vAlign w:val="center"/>
          </w:tcPr>
          <w:p w14:paraId="441CBEE3">
            <w:pPr>
              <w:snapToGrid w:val="0"/>
              <w:spacing w:line="390" w:lineRule="exact"/>
              <w:jc w:val="left"/>
              <w:rPr>
                <w:rFonts w:hint="eastAsia" w:ascii="仿宋" w:hAnsi="仿宋" w:eastAsia="仿宋" w:cs="Courier New"/>
                <w:b/>
                <w:sz w:val="24"/>
                <w:highlight w:val="none"/>
              </w:rPr>
            </w:pPr>
            <w:r>
              <w:rPr>
                <w:rFonts w:hint="eastAsia" w:ascii="仿宋" w:hAnsi="仿宋" w:eastAsia="仿宋" w:cs="Courier New"/>
                <w:b/>
                <w:sz w:val="24"/>
                <w:highlight w:val="none"/>
              </w:rPr>
              <w:t xml:space="preserve">技术文件： </w:t>
            </w:r>
          </w:p>
          <w:p w14:paraId="7A29E4E1">
            <w:pPr>
              <w:snapToGrid w:val="0"/>
              <w:spacing w:line="390" w:lineRule="exact"/>
              <w:jc w:val="left"/>
              <w:rPr>
                <w:rFonts w:hint="eastAsia" w:ascii="仿宋" w:hAnsi="仿宋" w:eastAsia="仿宋"/>
                <w:sz w:val="24"/>
                <w:highlight w:val="none"/>
              </w:rPr>
            </w:pPr>
            <w:r>
              <w:rPr>
                <w:rFonts w:ascii="仿宋" w:hAnsi="仿宋" w:eastAsia="仿宋"/>
                <w:sz w:val="24"/>
                <w:highlight w:val="none"/>
              </w:rPr>
              <w:t>1</w:t>
            </w:r>
            <w:r>
              <w:rPr>
                <w:rFonts w:hint="eastAsia" w:ascii="仿宋" w:hAnsi="仿宋" w:eastAsia="仿宋"/>
                <w:sz w:val="24"/>
                <w:highlight w:val="none"/>
              </w:rPr>
              <w:t>、技术要求偏离表（格式后附）；（</w:t>
            </w:r>
            <w:r>
              <w:rPr>
                <w:rFonts w:hint="eastAsia" w:ascii="仿宋" w:hAnsi="仿宋" w:eastAsia="仿宋"/>
                <w:b/>
                <w:sz w:val="24"/>
                <w:highlight w:val="none"/>
              </w:rPr>
              <w:t>必须提供，否则投标文件按无效投标处理</w:t>
            </w:r>
            <w:r>
              <w:rPr>
                <w:rFonts w:hint="eastAsia" w:ascii="仿宋" w:hAnsi="仿宋" w:eastAsia="仿宋"/>
                <w:sz w:val="24"/>
                <w:highlight w:val="none"/>
              </w:rPr>
              <w:t>）</w:t>
            </w:r>
          </w:p>
          <w:p w14:paraId="001ACFB9">
            <w:pPr>
              <w:snapToGrid w:val="0"/>
              <w:spacing w:line="390" w:lineRule="exact"/>
              <w:jc w:val="left"/>
              <w:rPr>
                <w:rFonts w:hint="eastAsia" w:ascii="仿宋" w:hAnsi="仿宋" w:eastAsia="仿宋"/>
                <w:sz w:val="24"/>
                <w:highlight w:val="none"/>
              </w:rPr>
            </w:pPr>
            <w:r>
              <w:rPr>
                <w:rFonts w:ascii="仿宋" w:hAnsi="仿宋" w:eastAsia="仿宋"/>
                <w:sz w:val="24"/>
                <w:highlight w:val="none"/>
              </w:rPr>
              <w:t>2</w:t>
            </w:r>
            <w:r>
              <w:rPr>
                <w:rFonts w:hint="eastAsia" w:ascii="仿宋" w:hAnsi="仿宋" w:eastAsia="仿宋"/>
                <w:sz w:val="24"/>
                <w:highlight w:val="none"/>
              </w:rPr>
              <w:t>、</w:t>
            </w:r>
            <w:bookmarkStart w:id="64" w:name="OLE_LINK25"/>
            <w:r>
              <w:rPr>
                <w:rFonts w:hint="eastAsia" w:ascii="仿宋" w:hAnsi="仿宋" w:eastAsia="仿宋"/>
                <w:sz w:val="24"/>
                <w:highlight w:val="none"/>
              </w:rPr>
              <w:t>招标文件第二章“采购需求”要求提供的技术证明材料（格式自拟）；</w:t>
            </w:r>
            <w:r>
              <w:rPr>
                <w:rFonts w:hint="eastAsia" w:ascii="仿宋" w:hAnsi="仿宋" w:eastAsia="仿宋" w:cs="宋体"/>
                <w:b/>
                <w:sz w:val="24"/>
                <w:highlight w:val="none"/>
              </w:rPr>
              <w:t>（</w:t>
            </w:r>
            <w:r>
              <w:rPr>
                <w:rFonts w:hint="eastAsia" w:ascii="仿宋" w:hAnsi="仿宋" w:eastAsia="仿宋" w:cs="宋体"/>
                <w:b/>
                <w:sz w:val="24"/>
                <w:highlight w:val="none"/>
                <w:lang w:val="en-US" w:eastAsia="zh-CN"/>
              </w:rPr>
              <w:t>如有，请提供</w:t>
            </w:r>
            <w:r>
              <w:rPr>
                <w:rFonts w:hint="eastAsia" w:ascii="仿宋" w:hAnsi="仿宋" w:eastAsia="仿宋" w:cs="宋体"/>
                <w:b/>
                <w:sz w:val="24"/>
                <w:highlight w:val="none"/>
              </w:rPr>
              <w:t>）</w:t>
            </w:r>
          </w:p>
          <w:bookmarkEnd w:id="64"/>
          <w:p w14:paraId="3276960A">
            <w:pPr>
              <w:snapToGrid w:val="0"/>
              <w:spacing w:line="390" w:lineRule="exact"/>
              <w:jc w:val="left"/>
              <w:rPr>
                <w:rFonts w:hint="eastAsia" w:ascii="仿宋" w:hAnsi="仿宋" w:eastAsia="仿宋"/>
                <w:sz w:val="24"/>
                <w:highlight w:val="none"/>
              </w:rPr>
            </w:pPr>
            <w:r>
              <w:rPr>
                <w:rFonts w:ascii="仿宋" w:hAnsi="仿宋" w:eastAsia="仿宋"/>
                <w:sz w:val="24"/>
                <w:highlight w:val="none"/>
              </w:rPr>
              <w:t>3</w:t>
            </w:r>
            <w:r>
              <w:rPr>
                <w:rFonts w:hint="eastAsia" w:ascii="仿宋" w:hAnsi="仿宋" w:eastAsia="仿宋"/>
                <w:sz w:val="24"/>
                <w:highlight w:val="none"/>
              </w:rPr>
              <w:t>、</w:t>
            </w:r>
            <w:bookmarkStart w:id="65" w:name="OLE_LINK13"/>
            <w:bookmarkStart w:id="66" w:name="OLE_LINK26"/>
            <w:r>
              <w:rPr>
                <w:rFonts w:hint="eastAsia" w:ascii="仿宋" w:hAnsi="仿宋" w:eastAsia="仿宋"/>
                <w:sz w:val="24"/>
                <w:highlight w:val="none"/>
              </w:rPr>
              <w:t>项目实施方案（格式自拟）</w:t>
            </w:r>
            <w:bookmarkEnd w:id="65"/>
            <w:r>
              <w:rPr>
                <w:rFonts w:hint="eastAsia" w:ascii="仿宋" w:hAnsi="仿宋" w:eastAsia="仿宋"/>
                <w:sz w:val="24"/>
                <w:highlight w:val="none"/>
              </w:rPr>
              <w:t xml:space="preserve">； </w:t>
            </w:r>
            <w:r>
              <w:rPr>
                <w:rFonts w:hint="eastAsia" w:ascii="仿宋" w:hAnsi="仿宋" w:eastAsia="仿宋" w:cs="宋体"/>
                <w:b/>
                <w:sz w:val="24"/>
                <w:highlight w:val="none"/>
              </w:rPr>
              <w:t>（</w:t>
            </w:r>
            <w:r>
              <w:rPr>
                <w:rFonts w:hint="eastAsia" w:ascii="仿宋" w:hAnsi="仿宋" w:eastAsia="仿宋" w:cs="宋体"/>
                <w:b/>
                <w:sz w:val="24"/>
                <w:highlight w:val="none"/>
                <w:lang w:val="en-US" w:eastAsia="zh-CN"/>
              </w:rPr>
              <w:t>如有，请提供</w:t>
            </w:r>
            <w:r>
              <w:rPr>
                <w:rFonts w:hint="eastAsia" w:ascii="仿宋" w:hAnsi="仿宋" w:eastAsia="仿宋" w:cs="宋体"/>
                <w:b/>
                <w:sz w:val="24"/>
                <w:highlight w:val="none"/>
              </w:rPr>
              <w:t>）</w:t>
            </w:r>
          </w:p>
          <w:bookmarkEnd w:id="66"/>
          <w:p w14:paraId="18C78DE5">
            <w:pPr>
              <w:snapToGrid w:val="0"/>
              <w:spacing w:line="390" w:lineRule="exact"/>
              <w:jc w:val="left"/>
              <w:rPr>
                <w:rFonts w:hint="eastAsia" w:ascii="仿宋" w:hAnsi="仿宋" w:eastAsia="仿宋"/>
                <w:sz w:val="24"/>
                <w:highlight w:val="none"/>
              </w:rPr>
            </w:pPr>
            <w:r>
              <w:rPr>
                <w:rFonts w:ascii="仿宋" w:hAnsi="仿宋" w:eastAsia="仿宋"/>
                <w:sz w:val="24"/>
                <w:highlight w:val="none"/>
              </w:rPr>
              <w:t>4</w:t>
            </w:r>
            <w:r>
              <w:rPr>
                <w:rFonts w:hint="eastAsia" w:ascii="仿宋" w:hAnsi="仿宋" w:eastAsia="仿宋"/>
                <w:sz w:val="24"/>
                <w:highlight w:val="none"/>
              </w:rPr>
              <w:t>、项目</w:t>
            </w:r>
            <w:r>
              <w:rPr>
                <w:rFonts w:ascii="仿宋" w:hAnsi="仿宋" w:eastAsia="仿宋"/>
                <w:sz w:val="24"/>
                <w:highlight w:val="none"/>
              </w:rPr>
              <w:t>实施人员一览表（</w:t>
            </w:r>
            <w:r>
              <w:rPr>
                <w:rFonts w:hint="eastAsia" w:ascii="仿宋" w:hAnsi="仿宋" w:eastAsia="仿宋"/>
                <w:sz w:val="24"/>
                <w:highlight w:val="none"/>
              </w:rPr>
              <w:t>格式</w:t>
            </w:r>
            <w:r>
              <w:rPr>
                <w:rFonts w:ascii="仿宋" w:hAnsi="仿宋" w:eastAsia="仿宋"/>
                <w:sz w:val="24"/>
                <w:highlight w:val="none"/>
              </w:rPr>
              <w:t>后附）</w:t>
            </w:r>
            <w:r>
              <w:rPr>
                <w:rFonts w:hint="eastAsia" w:ascii="仿宋" w:hAnsi="仿宋" w:eastAsia="仿宋"/>
                <w:sz w:val="24"/>
                <w:highlight w:val="none"/>
              </w:rPr>
              <w:t>；</w:t>
            </w:r>
            <w:r>
              <w:rPr>
                <w:rFonts w:hint="eastAsia" w:ascii="仿宋" w:hAnsi="仿宋" w:eastAsia="仿宋" w:cs="宋体"/>
                <w:b/>
                <w:sz w:val="24"/>
                <w:highlight w:val="none"/>
              </w:rPr>
              <w:t>（</w:t>
            </w:r>
            <w:r>
              <w:rPr>
                <w:rFonts w:hint="eastAsia" w:ascii="仿宋" w:hAnsi="仿宋" w:eastAsia="仿宋" w:cs="宋体"/>
                <w:b/>
                <w:sz w:val="24"/>
                <w:highlight w:val="none"/>
                <w:lang w:val="en-US" w:eastAsia="zh-CN"/>
              </w:rPr>
              <w:t>如有，请提供</w:t>
            </w:r>
            <w:r>
              <w:rPr>
                <w:rFonts w:hint="eastAsia" w:ascii="仿宋" w:hAnsi="仿宋" w:eastAsia="仿宋" w:cs="宋体"/>
                <w:b/>
                <w:sz w:val="24"/>
                <w:highlight w:val="none"/>
              </w:rPr>
              <w:t>）</w:t>
            </w:r>
          </w:p>
          <w:p w14:paraId="79510E64">
            <w:pPr>
              <w:snapToGrid w:val="0"/>
              <w:spacing w:line="390" w:lineRule="exact"/>
              <w:jc w:val="left"/>
              <w:rPr>
                <w:rFonts w:hint="eastAsia" w:ascii="仿宋" w:hAnsi="仿宋" w:eastAsia="仿宋"/>
                <w:sz w:val="24"/>
                <w:highlight w:val="none"/>
              </w:rPr>
            </w:pPr>
            <w:r>
              <w:rPr>
                <w:rFonts w:hint="eastAsia" w:ascii="仿宋" w:hAnsi="仿宋" w:eastAsia="仿宋"/>
                <w:sz w:val="24"/>
                <w:highlight w:val="none"/>
              </w:rPr>
              <w:t>5、</w:t>
            </w:r>
            <w:bookmarkStart w:id="67" w:name="OLE_LINK14"/>
            <w:bookmarkStart w:id="68" w:name="OLE_LINK27"/>
            <w:r>
              <w:rPr>
                <w:rFonts w:hint="eastAsia" w:ascii="仿宋" w:hAnsi="仿宋" w:eastAsia="仿宋"/>
                <w:sz w:val="24"/>
                <w:highlight w:val="none"/>
              </w:rPr>
              <w:t>配件、专用耗材价格表（格式</w:t>
            </w:r>
            <w:r>
              <w:rPr>
                <w:rFonts w:ascii="仿宋" w:hAnsi="仿宋" w:eastAsia="仿宋"/>
                <w:sz w:val="24"/>
                <w:highlight w:val="none"/>
              </w:rPr>
              <w:t>后附</w:t>
            </w:r>
            <w:r>
              <w:rPr>
                <w:rFonts w:hint="eastAsia" w:ascii="仿宋" w:hAnsi="仿宋" w:eastAsia="仿宋"/>
                <w:sz w:val="24"/>
                <w:highlight w:val="none"/>
              </w:rPr>
              <w:t>）</w:t>
            </w:r>
            <w:bookmarkEnd w:id="67"/>
            <w:r>
              <w:rPr>
                <w:rFonts w:hint="eastAsia" w:ascii="仿宋" w:hAnsi="仿宋" w:eastAsia="仿宋"/>
                <w:sz w:val="24"/>
                <w:highlight w:val="none"/>
              </w:rPr>
              <w:t>；</w:t>
            </w:r>
            <w:r>
              <w:rPr>
                <w:rFonts w:hint="eastAsia" w:ascii="仿宋" w:hAnsi="仿宋" w:eastAsia="仿宋"/>
                <w:b/>
                <w:bCs/>
                <w:sz w:val="24"/>
                <w:highlight w:val="none"/>
              </w:rPr>
              <w:t>（必须提供，否则投标文件按无效投标处理）</w:t>
            </w:r>
            <w:bookmarkEnd w:id="68"/>
          </w:p>
          <w:p w14:paraId="30067A8F">
            <w:pPr>
              <w:snapToGrid w:val="0"/>
              <w:spacing w:line="390" w:lineRule="exact"/>
              <w:jc w:val="left"/>
              <w:rPr>
                <w:rFonts w:hint="eastAsia" w:ascii="仿宋" w:hAnsi="仿宋" w:eastAsia="仿宋"/>
                <w:bCs/>
                <w:sz w:val="24"/>
                <w:highlight w:val="none"/>
              </w:rPr>
            </w:pPr>
            <w:r>
              <w:rPr>
                <w:rFonts w:ascii="仿宋" w:hAnsi="仿宋" w:eastAsia="仿宋"/>
                <w:sz w:val="24"/>
                <w:highlight w:val="none"/>
              </w:rPr>
              <w:t>6</w:t>
            </w:r>
            <w:r>
              <w:rPr>
                <w:rFonts w:hint="eastAsia" w:ascii="仿宋" w:hAnsi="仿宋" w:eastAsia="仿宋"/>
                <w:sz w:val="24"/>
                <w:highlight w:val="none"/>
              </w:rPr>
              <w:t>、除招标文件规定必须提供以外，投标人需要说明的其他文件和说明（格式自拟）。</w:t>
            </w:r>
          </w:p>
          <w:p w14:paraId="423B6B64">
            <w:pPr>
              <w:snapToGrid w:val="0"/>
              <w:spacing w:line="390" w:lineRule="exact"/>
              <w:ind w:firstLine="482" w:firstLineChars="200"/>
              <w:jc w:val="left"/>
              <w:rPr>
                <w:rFonts w:hint="eastAsia" w:ascii="仿宋" w:hAnsi="仿宋" w:eastAsia="仿宋"/>
                <w:b/>
                <w:bCs/>
                <w:sz w:val="24"/>
                <w:highlight w:val="none"/>
              </w:rPr>
            </w:pPr>
            <w:r>
              <w:rPr>
                <w:rFonts w:hint="eastAsia" w:ascii="仿宋" w:hAnsi="仿宋" w:eastAsia="仿宋"/>
                <w:b/>
                <w:bCs/>
                <w:sz w:val="24"/>
                <w:highlight w:val="none"/>
              </w:rPr>
              <w:t>注：以上标明“必须提供”的材料属于复印件的，必须加盖投标人公章，否则按无效投标</w:t>
            </w:r>
            <w:r>
              <w:rPr>
                <w:rFonts w:hint="eastAsia" w:ascii="仿宋" w:hAnsi="仿宋" w:eastAsia="仿宋" w:cs="Courier New"/>
                <w:b/>
                <w:sz w:val="24"/>
                <w:highlight w:val="none"/>
              </w:rPr>
              <w:t>处理</w:t>
            </w:r>
            <w:r>
              <w:rPr>
                <w:rFonts w:hint="eastAsia" w:ascii="仿宋" w:hAnsi="仿宋" w:eastAsia="仿宋"/>
                <w:b/>
                <w:bCs/>
                <w:sz w:val="24"/>
                <w:highlight w:val="none"/>
              </w:rPr>
              <w:t>。</w:t>
            </w:r>
          </w:p>
        </w:tc>
      </w:tr>
      <w:tr w14:paraId="29A5C3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07530D3D">
            <w:pPr>
              <w:spacing w:line="390" w:lineRule="exact"/>
              <w:jc w:val="center"/>
              <w:rPr>
                <w:rFonts w:hint="eastAsia" w:ascii="仿宋" w:hAnsi="仿宋" w:eastAsia="仿宋"/>
                <w:sz w:val="24"/>
                <w:highlight w:val="none"/>
              </w:rPr>
            </w:pPr>
            <w:bookmarkStart w:id="69" w:name="_13.5"/>
            <w:bookmarkEnd w:id="69"/>
            <w:bookmarkStart w:id="70" w:name="_16.2"/>
            <w:bookmarkEnd w:id="70"/>
            <w:r>
              <w:rPr>
                <w:rFonts w:hint="eastAsia" w:ascii="仿宋" w:hAnsi="仿宋" w:eastAsia="仿宋"/>
                <w:sz w:val="24"/>
                <w:highlight w:val="none"/>
              </w:rPr>
              <w:t>16</w:t>
            </w:r>
            <w:bookmarkStart w:id="71" w:name="_Hlt19194066"/>
            <w:bookmarkStart w:id="72" w:name="_Hlt19194067"/>
            <w:bookmarkStart w:id="73" w:name="_Hlt19693759"/>
            <w:bookmarkStart w:id="74" w:name="_Hlt19693758"/>
            <w:r>
              <w:rPr>
                <w:rFonts w:hint="eastAsia" w:ascii="仿宋" w:hAnsi="仿宋" w:eastAsia="仿宋"/>
                <w:sz w:val="24"/>
                <w:highlight w:val="none"/>
              </w:rPr>
              <w:t>.</w:t>
            </w:r>
            <w:bookmarkEnd w:id="71"/>
            <w:bookmarkEnd w:id="72"/>
            <w:bookmarkEnd w:id="73"/>
            <w:bookmarkEnd w:id="74"/>
            <w:r>
              <w:rPr>
                <w:rFonts w:hint="eastAsia" w:ascii="仿宋" w:hAnsi="仿宋" w:eastAsia="仿宋"/>
                <w:sz w:val="24"/>
                <w:highlight w:val="none"/>
              </w:rPr>
              <w:t>2</w:t>
            </w:r>
          </w:p>
        </w:tc>
        <w:tc>
          <w:tcPr>
            <w:tcW w:w="9275" w:type="dxa"/>
            <w:tcBorders>
              <w:top w:val="single" w:color="auto" w:sz="4" w:space="0"/>
              <w:left w:val="single" w:color="auto" w:sz="4" w:space="0"/>
              <w:bottom w:val="single" w:color="auto" w:sz="4" w:space="0"/>
              <w:right w:val="single" w:color="auto" w:sz="4" w:space="0"/>
            </w:tcBorders>
            <w:vAlign w:val="center"/>
          </w:tcPr>
          <w:p w14:paraId="41826333">
            <w:pPr>
              <w:snapToGrid w:val="0"/>
              <w:spacing w:line="390" w:lineRule="exact"/>
              <w:rPr>
                <w:rFonts w:hint="eastAsia" w:ascii="仿宋" w:hAnsi="仿宋" w:eastAsia="仿宋"/>
                <w:b/>
                <w:sz w:val="24"/>
                <w:highlight w:val="none"/>
              </w:rPr>
            </w:pPr>
            <w:r>
              <w:rPr>
                <w:rFonts w:hint="eastAsia" w:ascii="仿宋" w:hAnsi="仿宋" w:eastAsia="仿宋"/>
                <w:sz w:val="24"/>
                <w:highlight w:val="none"/>
              </w:rPr>
              <w:t>投标报价是履行合同的含税价格，应包括货款、运至最终目的地运输、储存、搬运、保险以及伴随货物服务的有关一切费用（包括差旅、培训、其它相关服务等所有费用）。</w:t>
            </w:r>
          </w:p>
        </w:tc>
      </w:tr>
      <w:tr w14:paraId="101F11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3914FC3">
            <w:pPr>
              <w:spacing w:line="390" w:lineRule="exact"/>
              <w:jc w:val="center"/>
              <w:rPr>
                <w:rFonts w:hint="eastAsia" w:ascii="仿宋" w:hAnsi="仿宋" w:eastAsia="仿宋"/>
                <w:sz w:val="24"/>
                <w:highlight w:val="none"/>
              </w:rPr>
            </w:pPr>
            <w:bookmarkStart w:id="75" w:name="_17.1"/>
            <w:bookmarkEnd w:id="75"/>
            <w:r>
              <w:rPr>
                <w:rFonts w:hint="eastAsia" w:ascii="仿宋" w:hAnsi="仿宋" w:eastAsia="仿宋"/>
                <w:sz w:val="24"/>
                <w:highlight w:val="none"/>
              </w:rPr>
              <w:t>17.</w:t>
            </w:r>
            <w:r>
              <w:rPr>
                <w:rFonts w:ascii="仿宋" w:hAnsi="仿宋" w:eastAsia="仿宋"/>
                <w:sz w:val="24"/>
                <w:highlight w:val="none"/>
              </w:rPr>
              <w:t>2</w:t>
            </w:r>
          </w:p>
        </w:tc>
        <w:tc>
          <w:tcPr>
            <w:tcW w:w="9275" w:type="dxa"/>
            <w:tcBorders>
              <w:top w:val="single" w:color="auto" w:sz="4" w:space="0"/>
              <w:left w:val="single" w:color="auto" w:sz="4" w:space="0"/>
              <w:bottom w:val="single" w:color="auto" w:sz="4" w:space="0"/>
              <w:right w:val="single" w:color="auto" w:sz="4" w:space="0"/>
            </w:tcBorders>
            <w:vAlign w:val="center"/>
          </w:tcPr>
          <w:p w14:paraId="1092344F">
            <w:pPr>
              <w:snapToGrid w:val="0"/>
              <w:spacing w:line="390" w:lineRule="exact"/>
              <w:rPr>
                <w:rFonts w:hint="eastAsia" w:ascii="仿宋" w:hAnsi="仿宋" w:eastAsia="仿宋"/>
                <w:sz w:val="24"/>
                <w:highlight w:val="none"/>
              </w:rPr>
            </w:pPr>
            <w:r>
              <w:rPr>
                <w:rFonts w:hint="eastAsia" w:ascii="仿宋" w:hAnsi="仿宋" w:eastAsia="仿宋"/>
                <w:sz w:val="24"/>
                <w:highlight w:val="none"/>
              </w:rPr>
              <w:t>投标有效期：投标截止之日起</w:t>
            </w:r>
            <w:r>
              <w:rPr>
                <w:rFonts w:ascii="仿宋" w:hAnsi="仿宋" w:eastAsia="仿宋"/>
                <w:sz w:val="24"/>
                <w:highlight w:val="none"/>
              </w:rPr>
              <w:t>90</w:t>
            </w:r>
            <w:r>
              <w:rPr>
                <w:rFonts w:hint="eastAsia" w:ascii="仿宋" w:hAnsi="仿宋" w:eastAsia="仿宋"/>
                <w:sz w:val="24"/>
                <w:highlight w:val="none"/>
              </w:rPr>
              <w:t>天内。</w:t>
            </w:r>
          </w:p>
        </w:tc>
      </w:tr>
      <w:tr w14:paraId="02E24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35287DEE">
            <w:pPr>
              <w:spacing w:line="390" w:lineRule="exact"/>
              <w:jc w:val="center"/>
              <w:rPr>
                <w:rFonts w:hint="eastAsia" w:ascii="仿宋" w:hAnsi="仿宋" w:eastAsia="仿宋"/>
                <w:sz w:val="24"/>
                <w:highlight w:val="none"/>
              </w:rPr>
            </w:pPr>
            <w:bookmarkStart w:id="76" w:name="_18"/>
            <w:bookmarkEnd w:id="76"/>
            <w:r>
              <w:rPr>
                <w:rFonts w:hint="eastAsia" w:ascii="仿宋" w:hAnsi="仿宋" w:eastAsia="仿宋"/>
                <w:sz w:val="24"/>
                <w:highlight w:val="none"/>
              </w:rPr>
              <w:t>18</w:t>
            </w:r>
            <w:r>
              <w:rPr>
                <w:rFonts w:ascii="仿宋" w:hAnsi="仿宋" w:eastAsia="仿宋"/>
                <w:sz w:val="24"/>
                <w:highlight w:val="none"/>
              </w:rPr>
              <w:t>.1</w:t>
            </w:r>
          </w:p>
        </w:tc>
        <w:tc>
          <w:tcPr>
            <w:tcW w:w="9275" w:type="dxa"/>
            <w:tcBorders>
              <w:top w:val="single" w:color="auto" w:sz="4" w:space="0"/>
              <w:left w:val="single" w:color="auto" w:sz="4" w:space="0"/>
              <w:bottom w:val="single" w:color="auto" w:sz="4" w:space="0"/>
              <w:right w:val="single" w:color="auto" w:sz="4" w:space="0"/>
            </w:tcBorders>
            <w:vAlign w:val="center"/>
          </w:tcPr>
          <w:p w14:paraId="716A1C96">
            <w:pPr>
              <w:autoSpaceDE w:val="0"/>
              <w:autoSpaceDN w:val="0"/>
              <w:snapToGrid w:val="0"/>
              <w:spacing w:line="390" w:lineRule="exact"/>
              <w:textAlignment w:val="bottom"/>
              <w:rPr>
                <w:rFonts w:hint="eastAsia" w:ascii="仿宋" w:hAnsi="仿宋" w:eastAsia="仿宋"/>
                <w:sz w:val="24"/>
                <w:highlight w:val="none"/>
              </w:rPr>
            </w:pPr>
            <w:r>
              <w:rPr>
                <w:rFonts w:ascii="仿宋" w:hAnsi="仿宋" w:eastAsia="仿宋"/>
                <w:sz w:val="24"/>
                <w:highlight w:val="none"/>
              </w:rPr>
              <w:fldChar w:fldCharType="begin"/>
            </w:r>
            <w:r>
              <w:rPr>
                <w:rFonts w:ascii="仿宋" w:hAnsi="仿宋" w:eastAsia="仿宋"/>
                <w:sz w:val="24"/>
                <w:highlight w:val="none"/>
              </w:rPr>
              <w:instrText xml:space="preserve"> </w:instrText>
            </w:r>
            <w:r>
              <w:rPr>
                <w:rFonts w:hint="eastAsia" w:ascii="仿宋" w:hAnsi="仿宋" w:eastAsia="仿宋"/>
                <w:sz w:val="24"/>
                <w:highlight w:val="none"/>
              </w:rPr>
              <w:instrText xml:space="preserve">eq \o\ac(□,</w:instrText>
            </w:r>
            <w:r>
              <w:rPr>
                <w:rFonts w:hint="eastAsia" w:ascii="仿宋" w:hAnsi="仿宋" w:eastAsia="仿宋"/>
                <w:position w:val="2"/>
                <w:sz w:val="24"/>
                <w:highlight w:val="none"/>
              </w:rPr>
              <w:instrText xml:space="preserve">√</w:instrText>
            </w:r>
            <w:r>
              <w:rPr>
                <w:rFonts w:hint="eastAsia" w:ascii="仿宋" w:hAnsi="仿宋" w:eastAsia="仿宋"/>
                <w:sz w:val="24"/>
                <w:highlight w:val="none"/>
              </w:rPr>
              <w:instrText xml:space="preserve">)</w:instrText>
            </w:r>
            <w:r>
              <w:rPr>
                <w:rFonts w:ascii="仿宋" w:hAnsi="仿宋" w:eastAsia="仿宋"/>
                <w:sz w:val="24"/>
                <w:highlight w:val="none"/>
              </w:rPr>
              <w:fldChar w:fldCharType="end"/>
            </w:r>
            <w:r>
              <w:rPr>
                <w:rFonts w:hint="eastAsia" w:ascii="仿宋" w:hAnsi="仿宋" w:eastAsia="仿宋"/>
                <w:sz w:val="24"/>
                <w:highlight w:val="none"/>
              </w:rPr>
              <w:t>本项目不收取投标保证金。</w:t>
            </w:r>
          </w:p>
          <w:p w14:paraId="4BE687E5">
            <w:pPr>
              <w:snapToGrid w:val="0"/>
              <w:spacing w:line="390" w:lineRule="exact"/>
              <w:rPr>
                <w:rFonts w:hint="eastAsia" w:ascii="仿宋" w:hAnsi="仿宋" w:eastAsia="仿宋"/>
                <w:sz w:val="24"/>
                <w:highlight w:val="none"/>
              </w:rPr>
            </w:pPr>
            <w:r>
              <w:rPr>
                <w:rFonts w:hint="eastAsia" w:ascii="仿宋" w:hAnsi="仿宋" w:eastAsia="仿宋"/>
                <w:sz w:val="24"/>
                <w:highlight w:val="none"/>
              </w:rPr>
              <w:t>□本项目收取投标保证金，具体规定如下：</w:t>
            </w:r>
          </w:p>
          <w:p w14:paraId="3CEB89BD">
            <w:pPr>
              <w:snapToGrid w:val="0"/>
              <w:spacing w:line="390" w:lineRule="exact"/>
              <w:rPr>
                <w:rFonts w:hint="eastAsia" w:ascii="仿宋" w:hAnsi="仿宋" w:eastAsia="仿宋"/>
                <w:sz w:val="24"/>
                <w:highlight w:val="none"/>
              </w:rPr>
            </w:pPr>
            <w:r>
              <w:rPr>
                <w:rFonts w:hint="eastAsia" w:ascii="仿宋" w:hAnsi="仿宋" w:eastAsia="仿宋" w:cs="宋体"/>
                <w:kern w:val="0"/>
                <w:sz w:val="24"/>
                <w:highlight w:val="none"/>
              </w:rPr>
              <w:t>投标保证金人民币</w:t>
            </w:r>
            <w:r>
              <w:rPr>
                <w:rFonts w:ascii="仿宋" w:hAnsi="仿宋" w:eastAsia="仿宋"/>
                <w:sz w:val="24"/>
                <w:highlight w:val="none"/>
                <w:u w:val="single"/>
              </w:rPr>
              <w:t xml:space="preserve"> / </w:t>
            </w:r>
            <w:r>
              <w:rPr>
                <w:rFonts w:hint="eastAsia" w:ascii="仿宋" w:hAnsi="仿宋" w:eastAsia="仿宋"/>
                <w:sz w:val="24"/>
                <w:highlight w:val="none"/>
              </w:rPr>
              <w:t>万元；</w:t>
            </w:r>
          </w:p>
          <w:p w14:paraId="72EC10CE">
            <w:pPr>
              <w:snapToGrid w:val="0"/>
              <w:spacing w:line="390" w:lineRule="exact"/>
              <w:rPr>
                <w:rFonts w:hint="eastAsia" w:ascii="仿宋" w:hAnsi="仿宋" w:eastAsia="仿宋"/>
                <w:sz w:val="24"/>
                <w:highlight w:val="none"/>
              </w:rPr>
            </w:pPr>
            <w:r>
              <w:rPr>
                <w:rFonts w:hint="eastAsia" w:ascii="仿宋" w:hAnsi="仿宋" w:eastAsia="仿宋" w:cs="宋体"/>
                <w:kern w:val="0"/>
                <w:sz w:val="24"/>
                <w:highlight w:val="none"/>
              </w:rPr>
              <w:t>投标保证金的交纳方式：银行转账、支票、汇票、本票或者金融、担保机构出具的保函，禁止采用现钞方式。采用银行转账方式的，在投标截止时间前交至指定账户并且到账（</w:t>
            </w:r>
            <w:r>
              <w:rPr>
                <w:rFonts w:hint="eastAsia" w:ascii="仿宋" w:hAnsi="仿宋" w:eastAsia="仿宋" w:cs="宋体"/>
                <w:sz w:val="24"/>
                <w:highlight w:val="none"/>
              </w:rPr>
              <w:t>开户名称：</w:t>
            </w:r>
            <w:r>
              <w:rPr>
                <w:rFonts w:hint="eastAsia" w:ascii="仿宋" w:hAnsi="仿宋" w:eastAsia="仿宋" w:cs="宋体"/>
                <w:sz w:val="24"/>
                <w:highlight w:val="none"/>
                <w:u w:val="single"/>
              </w:rPr>
              <w:t xml:space="preserve"> </w:t>
            </w:r>
            <w:r>
              <w:rPr>
                <w:rFonts w:ascii="仿宋" w:hAnsi="仿宋" w:eastAsia="仿宋" w:cs="宋体"/>
                <w:sz w:val="24"/>
                <w:highlight w:val="none"/>
                <w:u w:val="single"/>
              </w:rPr>
              <w:t xml:space="preserve">  /   </w:t>
            </w:r>
            <w:r>
              <w:rPr>
                <w:rFonts w:hint="eastAsia" w:ascii="仿宋" w:hAnsi="仿宋" w:eastAsia="仿宋" w:cs="宋体"/>
                <w:sz w:val="24"/>
                <w:highlight w:val="none"/>
              </w:rPr>
              <w:t>，开户银行：</w:t>
            </w:r>
            <w:r>
              <w:rPr>
                <w:rFonts w:hint="eastAsia" w:ascii="仿宋" w:hAnsi="仿宋" w:eastAsia="仿宋" w:cs="宋体"/>
                <w:sz w:val="24"/>
                <w:highlight w:val="none"/>
                <w:u w:val="single"/>
              </w:rPr>
              <w:t xml:space="preserve"> </w:t>
            </w:r>
            <w:r>
              <w:rPr>
                <w:rFonts w:ascii="仿宋" w:hAnsi="仿宋" w:eastAsia="仿宋" w:cs="宋体"/>
                <w:sz w:val="24"/>
                <w:highlight w:val="none"/>
                <w:u w:val="single"/>
              </w:rPr>
              <w:t xml:space="preserve">  /   </w:t>
            </w:r>
            <w:r>
              <w:rPr>
                <w:rFonts w:hint="eastAsia" w:ascii="仿宋" w:hAnsi="仿宋" w:eastAsia="仿宋" w:cs="宋体"/>
                <w:sz w:val="24"/>
                <w:highlight w:val="none"/>
              </w:rPr>
              <w:t>，银行账号：</w:t>
            </w:r>
            <w:r>
              <w:rPr>
                <w:rFonts w:ascii="仿宋" w:hAnsi="仿宋" w:eastAsia="仿宋" w:cs="宋体"/>
                <w:sz w:val="24"/>
                <w:highlight w:val="none"/>
                <w:u w:val="single"/>
              </w:rPr>
              <w:t xml:space="preserve">    /   </w:t>
            </w:r>
            <w:r>
              <w:rPr>
                <w:rFonts w:hint="eastAsia" w:ascii="仿宋" w:hAnsi="仿宋" w:eastAsia="仿宋" w:cs="宋体"/>
                <w:kern w:val="0"/>
                <w:sz w:val="24"/>
                <w:highlight w:val="none"/>
              </w:rPr>
              <w:t>）；采用支票、汇票、本票或者保函等方式的，在投标截止时间前，投标人必须递交支票、汇票、本票或者保函原件。否则视为无效投标保证金。</w:t>
            </w:r>
          </w:p>
          <w:p w14:paraId="185BD73C">
            <w:pPr>
              <w:snapToGrid w:val="0"/>
              <w:spacing w:line="390" w:lineRule="exact"/>
              <w:rPr>
                <w:rFonts w:hint="eastAsia" w:ascii="仿宋" w:hAnsi="仿宋" w:eastAsia="仿宋"/>
                <w:sz w:val="24"/>
                <w:highlight w:val="none"/>
              </w:rPr>
            </w:pPr>
            <w:r>
              <w:rPr>
                <w:rFonts w:hint="eastAsia" w:ascii="仿宋" w:hAnsi="仿宋" w:eastAsia="仿宋"/>
                <w:sz w:val="24"/>
                <w:highlight w:val="none"/>
              </w:rPr>
              <w:t>相关要求：</w:t>
            </w:r>
          </w:p>
          <w:p w14:paraId="3709B4F7">
            <w:pPr>
              <w:pStyle w:val="16"/>
              <w:spacing w:line="390" w:lineRule="exact"/>
              <w:rPr>
                <w:rFonts w:hint="eastAsia" w:ascii="仿宋" w:hAnsi="仿宋" w:eastAsia="仿宋"/>
                <w:sz w:val="24"/>
                <w:highlight w:val="none"/>
              </w:rPr>
            </w:pPr>
            <w:r>
              <w:rPr>
                <w:rFonts w:hint="eastAsia" w:ascii="仿宋" w:hAnsi="仿宋" w:eastAsia="仿宋"/>
                <w:sz w:val="24"/>
                <w:highlight w:val="none"/>
              </w:rPr>
              <w:t>1、投标保证金采用银行转账交纳方式的，在投标截止时间前交至指定账户并且到账，投标人应将银行转账底单的复印件作为投标保证金提交凭证，</w:t>
            </w:r>
            <w:r>
              <w:rPr>
                <w:rFonts w:ascii="仿宋" w:hAnsi="仿宋" w:eastAsia="仿宋"/>
                <w:sz w:val="24"/>
                <w:highlight w:val="none"/>
              </w:rPr>
              <w:t>放置于</w:t>
            </w:r>
            <w:r>
              <w:rPr>
                <w:rFonts w:hint="eastAsia" w:ascii="仿宋" w:hAnsi="仿宋" w:eastAsia="仿宋"/>
                <w:sz w:val="24"/>
                <w:highlight w:val="none"/>
              </w:rPr>
              <w:t>商务文件</w:t>
            </w:r>
            <w:r>
              <w:rPr>
                <w:rFonts w:ascii="仿宋" w:hAnsi="仿宋" w:eastAsia="仿宋"/>
                <w:sz w:val="24"/>
                <w:highlight w:val="none"/>
              </w:rPr>
              <w:t>中</w:t>
            </w:r>
            <w:r>
              <w:rPr>
                <w:rFonts w:hint="eastAsia" w:ascii="仿宋" w:hAnsi="仿宋" w:eastAsia="仿宋"/>
                <w:sz w:val="24"/>
                <w:highlight w:val="none"/>
              </w:rPr>
              <w:t>，</w:t>
            </w:r>
            <w:r>
              <w:rPr>
                <w:rFonts w:hint="eastAsia" w:ascii="仿宋" w:hAnsi="仿宋" w:eastAsia="仿宋"/>
                <w:b/>
                <w:sz w:val="24"/>
                <w:highlight w:val="none"/>
              </w:rPr>
              <w:t>否则投标无效</w:t>
            </w:r>
            <w:r>
              <w:rPr>
                <w:rFonts w:hint="eastAsia" w:ascii="仿宋" w:hAnsi="仿宋" w:eastAsia="仿宋"/>
                <w:sz w:val="24"/>
                <w:highlight w:val="none"/>
              </w:rPr>
              <w:t>。</w:t>
            </w:r>
          </w:p>
          <w:p w14:paraId="34AB93E8">
            <w:pPr>
              <w:snapToGrid w:val="0"/>
              <w:spacing w:line="390" w:lineRule="exact"/>
              <w:rPr>
                <w:rFonts w:hint="eastAsia" w:ascii="仿宋" w:hAnsi="仿宋" w:eastAsia="仿宋"/>
                <w:sz w:val="24"/>
                <w:highlight w:val="none"/>
              </w:rPr>
            </w:pPr>
            <w:r>
              <w:rPr>
                <w:rFonts w:hint="eastAsia" w:ascii="仿宋" w:hAnsi="仿宋" w:eastAsia="仿宋"/>
                <w:sz w:val="24"/>
                <w:highlight w:val="none"/>
              </w:rPr>
              <w:t>2、投标保证金采用支票、汇票、本票或者金融、担保机构出具的保函交纳方式的，投标人应将支票、汇票、本票或者金融、担保机构出具的保函的复印件作为投标保证金提交凭证，放置于商务文件中，</w:t>
            </w:r>
            <w:r>
              <w:rPr>
                <w:rFonts w:hint="eastAsia" w:ascii="仿宋" w:hAnsi="仿宋" w:eastAsia="仿宋"/>
                <w:b/>
                <w:sz w:val="24"/>
                <w:highlight w:val="none"/>
              </w:rPr>
              <w:t>否则投标无效</w:t>
            </w:r>
            <w:r>
              <w:rPr>
                <w:rFonts w:hint="eastAsia" w:ascii="仿宋" w:hAnsi="仿宋" w:eastAsia="仿宋"/>
                <w:sz w:val="24"/>
                <w:highlight w:val="none"/>
              </w:rPr>
              <w:t>。</w:t>
            </w:r>
            <w:r>
              <w:rPr>
                <w:rFonts w:hint="eastAsia" w:ascii="仿宋" w:hAnsi="仿宋" w:eastAsia="仿宋"/>
                <w:b/>
                <w:sz w:val="24"/>
                <w:highlight w:val="none"/>
              </w:rPr>
              <w:t>投标人必须在投标截止时间前将支票、汇票、本票或者金融、担保机构出具的保函原件提交给采购代理机构，由采购代理机构向投标人出具回执，并妥善保管。</w:t>
            </w:r>
          </w:p>
          <w:p w14:paraId="12AA560B">
            <w:pPr>
              <w:snapToGrid w:val="0"/>
              <w:spacing w:line="390" w:lineRule="exact"/>
              <w:rPr>
                <w:rFonts w:hint="eastAsia" w:ascii="仿宋" w:hAnsi="仿宋" w:eastAsia="仿宋"/>
                <w:b/>
                <w:sz w:val="24"/>
                <w:highlight w:val="none"/>
              </w:rPr>
            </w:pPr>
            <w:r>
              <w:rPr>
                <w:rFonts w:hint="eastAsia" w:ascii="仿宋" w:hAnsi="仿宋" w:eastAsia="仿宋"/>
                <w:b/>
                <w:sz w:val="24"/>
                <w:highlight w:val="none"/>
              </w:rPr>
              <w:t xml:space="preserve">注： </w:t>
            </w:r>
          </w:p>
          <w:p w14:paraId="6513F1BE">
            <w:pPr>
              <w:snapToGrid w:val="0"/>
              <w:spacing w:line="390" w:lineRule="exact"/>
              <w:rPr>
                <w:rFonts w:hint="eastAsia" w:ascii="仿宋" w:hAnsi="仿宋" w:eastAsia="仿宋"/>
                <w:b/>
                <w:sz w:val="24"/>
                <w:highlight w:val="none"/>
              </w:rPr>
            </w:pPr>
            <w:r>
              <w:rPr>
                <w:rFonts w:hint="eastAsia" w:ascii="仿宋" w:hAnsi="仿宋" w:eastAsia="仿宋"/>
                <w:b/>
                <w:sz w:val="24"/>
                <w:highlight w:val="none"/>
              </w:rPr>
              <w:t>1、投标保证金在投标截止时间后提交的，或者不按规定交纳方式交纳的，或者未足额交纳的（包含保函额度不足的），视为无效投标保证金。</w:t>
            </w:r>
          </w:p>
          <w:p w14:paraId="60DFE158">
            <w:pPr>
              <w:snapToGrid w:val="0"/>
              <w:spacing w:line="390" w:lineRule="exact"/>
              <w:rPr>
                <w:rFonts w:hint="eastAsia" w:ascii="仿宋" w:hAnsi="仿宋" w:eastAsia="仿宋"/>
                <w:b/>
                <w:sz w:val="24"/>
                <w:highlight w:val="none"/>
              </w:rPr>
            </w:pPr>
            <w:r>
              <w:rPr>
                <w:rFonts w:hint="eastAsia" w:ascii="仿宋" w:hAnsi="仿宋" w:eastAsia="仿宋"/>
                <w:b/>
                <w:sz w:val="24"/>
                <w:highlight w:val="none"/>
              </w:rPr>
              <w:t>2、投标人采用现钞方式或者从个人账户（自然人投标除外）转出的投标保证金，视为无效投标保证金。</w:t>
            </w:r>
          </w:p>
          <w:p w14:paraId="20AA56C5">
            <w:pPr>
              <w:snapToGrid w:val="0"/>
              <w:spacing w:line="390" w:lineRule="exact"/>
              <w:rPr>
                <w:rFonts w:hint="eastAsia" w:ascii="仿宋" w:hAnsi="仿宋" w:eastAsia="仿宋"/>
                <w:b/>
                <w:sz w:val="24"/>
                <w:highlight w:val="none"/>
              </w:rPr>
            </w:pPr>
            <w:r>
              <w:rPr>
                <w:rFonts w:hint="eastAsia" w:ascii="仿宋" w:hAnsi="仿宋" w:eastAsia="仿宋"/>
                <w:b/>
                <w:sz w:val="24"/>
                <w:highlight w:val="none"/>
              </w:rPr>
              <w:t>3、支票、汇票或者本票出现无效或者背书情形的，视为无效投标保证金。</w:t>
            </w:r>
          </w:p>
          <w:p w14:paraId="3CEA4307">
            <w:pPr>
              <w:snapToGrid w:val="0"/>
              <w:spacing w:line="390" w:lineRule="exact"/>
              <w:rPr>
                <w:rFonts w:hint="eastAsia" w:ascii="仿宋" w:hAnsi="仿宋" w:eastAsia="仿宋"/>
                <w:b/>
                <w:sz w:val="24"/>
                <w:highlight w:val="none"/>
              </w:rPr>
            </w:pPr>
            <w:r>
              <w:rPr>
                <w:rFonts w:hint="eastAsia" w:ascii="仿宋" w:hAnsi="仿宋" w:eastAsia="仿宋"/>
                <w:b/>
                <w:sz w:val="24"/>
                <w:highlight w:val="none"/>
              </w:rPr>
              <w:t>4、保函有效期低于投标有效期的，视为无效投标保证金。</w:t>
            </w:r>
          </w:p>
          <w:p w14:paraId="62C6C23F">
            <w:pPr>
              <w:snapToGrid w:val="0"/>
              <w:spacing w:line="390" w:lineRule="exact"/>
              <w:rPr>
                <w:rFonts w:hint="eastAsia" w:ascii="仿宋" w:hAnsi="仿宋" w:eastAsia="仿宋"/>
                <w:b/>
                <w:sz w:val="24"/>
                <w:highlight w:val="none"/>
              </w:rPr>
            </w:pPr>
            <w:r>
              <w:rPr>
                <w:rFonts w:hint="eastAsia" w:ascii="仿宋" w:hAnsi="仿宋" w:eastAsia="仿宋"/>
                <w:b/>
                <w:sz w:val="24"/>
                <w:highlight w:val="none"/>
              </w:rPr>
              <w:t>5、采用金融、担保机构出具保函的，必须为无条件保函，否则视为无效投标保证金。</w:t>
            </w:r>
          </w:p>
        </w:tc>
      </w:tr>
      <w:tr w14:paraId="296F14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DE0148C">
            <w:pPr>
              <w:spacing w:line="390" w:lineRule="exact"/>
              <w:jc w:val="center"/>
              <w:rPr>
                <w:rFonts w:hint="eastAsia" w:ascii="仿宋" w:hAnsi="仿宋" w:eastAsia="仿宋"/>
                <w:sz w:val="24"/>
                <w:highlight w:val="none"/>
              </w:rPr>
            </w:pPr>
            <w:bookmarkStart w:id="77" w:name="_19.2"/>
            <w:bookmarkEnd w:id="77"/>
            <w:r>
              <w:rPr>
                <w:rFonts w:hint="eastAsia" w:ascii="仿宋" w:hAnsi="仿宋" w:eastAsia="仿宋"/>
                <w:sz w:val="24"/>
                <w:highlight w:val="none"/>
              </w:rPr>
              <w:t>19.2</w:t>
            </w:r>
          </w:p>
        </w:tc>
        <w:tc>
          <w:tcPr>
            <w:tcW w:w="9275" w:type="dxa"/>
            <w:tcBorders>
              <w:top w:val="single" w:color="auto" w:sz="4" w:space="0"/>
              <w:left w:val="single" w:color="auto" w:sz="4" w:space="0"/>
              <w:bottom w:val="single" w:color="auto" w:sz="4" w:space="0"/>
              <w:right w:val="single" w:color="auto" w:sz="4" w:space="0"/>
            </w:tcBorders>
            <w:vAlign w:val="center"/>
          </w:tcPr>
          <w:p w14:paraId="5998BEB6">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投标文件应按报价文件、资格证明文件、商务文件、技术文件分别编制，</w:t>
            </w:r>
            <w:r>
              <w:rPr>
                <w:rFonts w:hint="eastAsia" w:ascii="仿宋" w:hAnsi="仿宋" w:eastAsia="仿宋" w:cs="宋体"/>
                <w:sz w:val="24"/>
                <w:highlight w:val="none"/>
                <w:lang w:bidi="ar"/>
              </w:rPr>
              <w:t>并按“广西政府采购云平台”的要求编制、加密、上传。</w:t>
            </w:r>
          </w:p>
        </w:tc>
      </w:tr>
      <w:tr w14:paraId="6D75A2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2D6D9982">
            <w:pPr>
              <w:spacing w:line="390" w:lineRule="exact"/>
              <w:jc w:val="center"/>
              <w:rPr>
                <w:rFonts w:hint="eastAsia" w:ascii="仿宋" w:hAnsi="仿宋" w:eastAsia="仿宋"/>
                <w:sz w:val="24"/>
                <w:highlight w:val="none"/>
              </w:rPr>
            </w:pPr>
            <w:r>
              <w:rPr>
                <w:rFonts w:hint="eastAsia" w:ascii="仿宋" w:hAnsi="仿宋" w:eastAsia="仿宋"/>
                <w:sz w:val="24"/>
                <w:highlight w:val="none"/>
              </w:rPr>
              <w:t>20.1</w:t>
            </w:r>
          </w:p>
        </w:tc>
        <w:tc>
          <w:tcPr>
            <w:tcW w:w="9275" w:type="dxa"/>
            <w:tcBorders>
              <w:top w:val="single" w:color="auto" w:sz="4" w:space="0"/>
              <w:left w:val="single" w:color="auto" w:sz="4" w:space="0"/>
              <w:bottom w:val="single" w:color="auto" w:sz="4" w:space="0"/>
              <w:right w:val="single" w:color="auto" w:sz="4" w:space="0"/>
            </w:tcBorders>
            <w:vAlign w:val="center"/>
          </w:tcPr>
          <w:p w14:paraId="047AEBD1">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电子投标文件应在制作完成后，投标人应按</w:t>
            </w:r>
            <w:r>
              <w:rPr>
                <w:rFonts w:hint="eastAsia" w:ascii="仿宋" w:hAnsi="仿宋" w:eastAsia="仿宋" w:cs="宋体"/>
                <w:sz w:val="24"/>
                <w:highlight w:val="none"/>
                <w:lang w:bidi="ar"/>
              </w:rPr>
              <w:t>“广西政府采购云平台”</w:t>
            </w:r>
            <w:r>
              <w:rPr>
                <w:rFonts w:hint="eastAsia" w:ascii="仿宋" w:hAnsi="仿宋" w:eastAsia="仿宋"/>
                <w:sz w:val="24"/>
                <w:highlight w:val="none"/>
              </w:rPr>
              <w:t>的要求进行加密，并在规定时间内解密，否则，由此产生的后果由投标人自行负责。</w:t>
            </w:r>
          </w:p>
        </w:tc>
      </w:tr>
      <w:tr w14:paraId="48395E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3488D8E4">
            <w:pPr>
              <w:spacing w:line="390" w:lineRule="exact"/>
              <w:jc w:val="center"/>
              <w:rPr>
                <w:rFonts w:hint="eastAsia" w:ascii="仿宋" w:hAnsi="仿宋" w:eastAsia="仿宋"/>
                <w:sz w:val="24"/>
                <w:highlight w:val="none"/>
              </w:rPr>
            </w:pPr>
            <w:bookmarkStart w:id="78" w:name="_21.1"/>
            <w:bookmarkEnd w:id="78"/>
            <w:r>
              <w:rPr>
                <w:rFonts w:hint="eastAsia" w:ascii="仿宋" w:hAnsi="仿宋" w:eastAsia="仿宋"/>
                <w:sz w:val="24"/>
                <w:highlight w:val="none"/>
              </w:rPr>
              <w:t>21.1</w:t>
            </w:r>
          </w:p>
        </w:tc>
        <w:tc>
          <w:tcPr>
            <w:tcW w:w="9275" w:type="dxa"/>
            <w:tcBorders>
              <w:top w:val="single" w:color="auto" w:sz="4" w:space="0"/>
              <w:left w:val="single" w:color="auto" w:sz="4" w:space="0"/>
              <w:bottom w:val="single" w:color="auto" w:sz="4" w:space="0"/>
              <w:right w:val="single" w:color="auto" w:sz="4" w:space="0"/>
            </w:tcBorders>
            <w:vAlign w:val="center"/>
          </w:tcPr>
          <w:p w14:paraId="51C931C3">
            <w:pPr>
              <w:snapToGrid w:val="0"/>
              <w:spacing w:line="390" w:lineRule="exact"/>
              <w:rPr>
                <w:rFonts w:hint="eastAsia" w:ascii="仿宋" w:hAnsi="仿宋" w:eastAsia="仿宋"/>
                <w:sz w:val="24"/>
                <w:highlight w:val="none"/>
                <w:u w:val="single"/>
              </w:rPr>
            </w:pPr>
            <w:r>
              <w:rPr>
                <w:rFonts w:hint="eastAsia" w:ascii="仿宋" w:hAnsi="仿宋" w:eastAsia="仿宋"/>
                <w:sz w:val="24"/>
                <w:highlight w:val="none"/>
              </w:rPr>
              <w:t>1、投标截止时间：详见招标公告</w:t>
            </w:r>
          </w:p>
          <w:p w14:paraId="5D32C14A">
            <w:pPr>
              <w:snapToGrid w:val="0"/>
              <w:spacing w:line="390" w:lineRule="exact"/>
              <w:rPr>
                <w:rFonts w:hint="eastAsia" w:ascii="仿宋" w:hAnsi="仿宋" w:eastAsia="仿宋"/>
                <w:sz w:val="24"/>
                <w:highlight w:val="none"/>
              </w:rPr>
            </w:pPr>
            <w:r>
              <w:rPr>
                <w:rFonts w:hint="eastAsia" w:ascii="仿宋" w:hAnsi="仿宋" w:eastAsia="仿宋"/>
                <w:sz w:val="24"/>
                <w:highlight w:val="none"/>
              </w:rPr>
              <w:t>2、投标地点：详见招标公告</w:t>
            </w:r>
          </w:p>
        </w:tc>
      </w:tr>
      <w:tr w14:paraId="318E6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47D741E">
            <w:pPr>
              <w:spacing w:line="390" w:lineRule="exact"/>
              <w:jc w:val="center"/>
              <w:rPr>
                <w:rFonts w:hint="eastAsia" w:ascii="仿宋" w:hAnsi="仿宋" w:eastAsia="仿宋"/>
                <w:sz w:val="24"/>
                <w:highlight w:val="none"/>
              </w:rPr>
            </w:pPr>
            <w:bookmarkStart w:id="79" w:name="_23"/>
            <w:bookmarkEnd w:id="79"/>
            <w:r>
              <w:rPr>
                <w:rFonts w:hint="eastAsia" w:ascii="仿宋" w:hAnsi="仿宋" w:eastAsia="仿宋"/>
                <w:sz w:val="24"/>
                <w:highlight w:val="none"/>
              </w:rPr>
              <w:t>23</w:t>
            </w:r>
          </w:p>
        </w:tc>
        <w:tc>
          <w:tcPr>
            <w:tcW w:w="9275" w:type="dxa"/>
            <w:tcBorders>
              <w:top w:val="single" w:color="auto" w:sz="4" w:space="0"/>
              <w:left w:val="single" w:color="auto" w:sz="4" w:space="0"/>
              <w:bottom w:val="single" w:color="auto" w:sz="4" w:space="0"/>
              <w:right w:val="single" w:color="auto" w:sz="4" w:space="0"/>
            </w:tcBorders>
            <w:vAlign w:val="center"/>
          </w:tcPr>
          <w:p w14:paraId="434822AA">
            <w:pPr>
              <w:snapToGrid w:val="0"/>
              <w:spacing w:line="390" w:lineRule="exact"/>
              <w:rPr>
                <w:rFonts w:hint="eastAsia" w:ascii="仿宋" w:hAnsi="仿宋" w:eastAsia="仿宋"/>
                <w:sz w:val="24"/>
                <w:highlight w:val="none"/>
              </w:rPr>
            </w:pPr>
            <w:r>
              <w:rPr>
                <w:rFonts w:hint="eastAsia" w:ascii="仿宋" w:hAnsi="仿宋" w:eastAsia="仿宋"/>
                <w:sz w:val="24"/>
                <w:highlight w:val="none"/>
              </w:rPr>
              <w:t>1、开标时间：详见招标公告</w:t>
            </w:r>
          </w:p>
          <w:p w14:paraId="2FD68FD8">
            <w:pPr>
              <w:snapToGrid w:val="0"/>
              <w:spacing w:line="390" w:lineRule="exact"/>
              <w:rPr>
                <w:rFonts w:hint="eastAsia" w:ascii="仿宋" w:hAnsi="仿宋" w:eastAsia="仿宋"/>
                <w:sz w:val="24"/>
                <w:highlight w:val="none"/>
              </w:rPr>
            </w:pPr>
            <w:r>
              <w:rPr>
                <w:rFonts w:hint="eastAsia" w:ascii="仿宋" w:hAnsi="仿宋" w:eastAsia="仿宋"/>
                <w:sz w:val="24"/>
                <w:highlight w:val="none"/>
              </w:rPr>
              <w:t>2、开标地点：详见招标公告</w:t>
            </w:r>
          </w:p>
        </w:tc>
      </w:tr>
      <w:tr w14:paraId="7598CE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1723F43">
            <w:pPr>
              <w:spacing w:line="390" w:lineRule="exact"/>
              <w:jc w:val="center"/>
              <w:rPr>
                <w:rFonts w:hint="eastAsia" w:ascii="仿宋" w:hAnsi="仿宋" w:eastAsia="仿宋"/>
                <w:sz w:val="24"/>
                <w:highlight w:val="none"/>
              </w:rPr>
            </w:pPr>
            <w:r>
              <w:rPr>
                <w:rFonts w:hint="eastAsia" w:ascii="仿宋" w:hAnsi="仿宋" w:eastAsia="仿宋"/>
                <w:bCs/>
                <w:sz w:val="24"/>
                <w:highlight w:val="none"/>
              </w:rPr>
              <w:t>24.2</w:t>
            </w:r>
          </w:p>
        </w:tc>
        <w:tc>
          <w:tcPr>
            <w:tcW w:w="9275" w:type="dxa"/>
            <w:tcBorders>
              <w:top w:val="single" w:color="auto" w:sz="4" w:space="0"/>
              <w:left w:val="single" w:color="auto" w:sz="4" w:space="0"/>
              <w:bottom w:val="single" w:color="auto" w:sz="4" w:space="0"/>
              <w:right w:val="single" w:color="auto" w:sz="4" w:space="0"/>
            </w:tcBorders>
            <w:vAlign w:val="center"/>
          </w:tcPr>
          <w:p w14:paraId="7497F955">
            <w:pPr>
              <w:autoSpaceDE w:val="0"/>
              <w:autoSpaceDN w:val="0"/>
              <w:adjustRightInd w:val="0"/>
              <w:spacing w:line="390" w:lineRule="exact"/>
              <w:rPr>
                <w:rFonts w:hint="eastAsia" w:ascii="仿宋" w:hAnsi="仿宋" w:eastAsia="仿宋"/>
                <w:sz w:val="24"/>
                <w:highlight w:val="none"/>
              </w:rPr>
            </w:pPr>
            <w:r>
              <w:rPr>
                <w:rFonts w:hint="eastAsia" w:ascii="仿宋" w:hAnsi="仿宋" w:eastAsia="仿宋"/>
                <w:bCs/>
                <w:sz w:val="24"/>
                <w:highlight w:val="none"/>
              </w:rPr>
              <w:t>“广西政府采购云平台”按开标时间自动提取所有投标文件。采购代理机构依托</w:t>
            </w:r>
            <w:r>
              <w:rPr>
                <w:rFonts w:hint="eastAsia" w:ascii="仿宋" w:hAnsi="仿宋" w:eastAsia="仿宋" w:cs="宋体"/>
                <w:sz w:val="24"/>
                <w:highlight w:val="none"/>
                <w:lang w:bidi="ar"/>
              </w:rPr>
              <w:t>“广西政府采购云平台”</w:t>
            </w:r>
            <w:r>
              <w:rPr>
                <w:rFonts w:hint="eastAsia" w:ascii="仿宋" w:hAnsi="仿宋" w:eastAsia="仿宋"/>
                <w:bCs/>
                <w:sz w:val="24"/>
                <w:highlight w:val="none"/>
              </w:rPr>
              <w:t>向各投标人发出电子加密投标文件【开始解密】通知，由投标人进行投标文件解密。</w:t>
            </w:r>
            <w:r>
              <w:rPr>
                <w:rFonts w:hint="eastAsia" w:ascii="仿宋" w:hAnsi="仿宋" w:eastAsia="仿宋"/>
                <w:b/>
                <w:bCs/>
                <w:sz w:val="24"/>
                <w:highlight w:val="none"/>
              </w:rPr>
              <w:t>投标人的法定代表人或其委托代理人须携带加密时所用的CA锁准时登录到“广西政府采购云平台”电子开标大厅签到</w:t>
            </w:r>
            <w:r>
              <w:rPr>
                <w:rFonts w:hint="eastAsia" w:ascii="仿宋" w:hAnsi="仿宋" w:eastAsia="仿宋" w:cs="宋体"/>
                <w:b/>
                <w:sz w:val="24"/>
                <w:highlight w:val="none"/>
              </w:rPr>
              <w:t>并在发起解密</w:t>
            </w:r>
            <w:r>
              <w:rPr>
                <w:rFonts w:hint="eastAsia" w:ascii="仿宋" w:hAnsi="仿宋" w:eastAsia="仿宋"/>
                <w:b/>
                <w:bCs/>
                <w:sz w:val="24"/>
                <w:highlight w:val="none"/>
              </w:rPr>
              <w:t>通知</w:t>
            </w:r>
            <w:r>
              <w:rPr>
                <w:rFonts w:hint="eastAsia" w:ascii="仿宋" w:hAnsi="仿宋" w:eastAsia="仿宋" w:cs="宋体"/>
                <w:b/>
                <w:sz w:val="24"/>
                <w:highlight w:val="none"/>
              </w:rPr>
              <w:t>之时起30分钟内完成</w:t>
            </w:r>
            <w:r>
              <w:rPr>
                <w:rFonts w:hint="eastAsia" w:ascii="仿宋" w:hAnsi="仿宋" w:eastAsia="仿宋"/>
                <w:b/>
                <w:bCs/>
                <w:sz w:val="24"/>
                <w:highlight w:val="none"/>
              </w:rPr>
              <w:t>对电子投标文件解密。投标文件未按时解密的，视为无效投标。</w:t>
            </w:r>
          </w:p>
        </w:tc>
      </w:tr>
      <w:tr w14:paraId="62DB59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E3B2E16">
            <w:pPr>
              <w:spacing w:line="390" w:lineRule="exact"/>
              <w:jc w:val="center"/>
              <w:rPr>
                <w:rFonts w:hint="eastAsia" w:ascii="仿宋" w:hAnsi="仿宋" w:eastAsia="仿宋"/>
                <w:sz w:val="24"/>
                <w:highlight w:val="none"/>
              </w:rPr>
            </w:pPr>
            <w:bookmarkStart w:id="80" w:name="_25.3"/>
            <w:bookmarkEnd w:id="80"/>
            <w:r>
              <w:rPr>
                <w:rFonts w:hint="eastAsia" w:ascii="仿宋" w:hAnsi="仿宋" w:eastAsia="仿宋"/>
                <w:sz w:val="24"/>
                <w:highlight w:val="none"/>
              </w:rPr>
              <w:t>25.3（3）</w:t>
            </w:r>
          </w:p>
        </w:tc>
        <w:tc>
          <w:tcPr>
            <w:tcW w:w="9275" w:type="dxa"/>
            <w:tcBorders>
              <w:top w:val="single" w:color="auto" w:sz="4" w:space="0"/>
              <w:left w:val="single" w:color="auto" w:sz="4" w:space="0"/>
              <w:bottom w:val="single" w:color="auto" w:sz="4" w:space="0"/>
              <w:right w:val="single" w:color="auto" w:sz="4" w:space="0"/>
            </w:tcBorders>
            <w:vAlign w:val="center"/>
          </w:tcPr>
          <w:p w14:paraId="1BF2358A">
            <w:pPr>
              <w:snapToGrid w:val="0"/>
              <w:spacing w:line="390" w:lineRule="exact"/>
              <w:rPr>
                <w:rFonts w:hint="eastAsia" w:ascii="仿宋" w:hAnsi="仿宋" w:eastAsia="仿宋"/>
                <w:sz w:val="24"/>
                <w:highlight w:val="none"/>
              </w:rPr>
            </w:pPr>
            <w:r>
              <w:rPr>
                <w:rFonts w:hint="eastAsia" w:ascii="仿宋" w:hAnsi="仿宋" w:eastAsia="仿宋"/>
                <w:sz w:val="24"/>
                <w:highlight w:val="none"/>
              </w:rPr>
              <w:t>采购人或者采购代理机构在资格审查结束前，对投标人进行信用查询。</w:t>
            </w:r>
          </w:p>
          <w:p w14:paraId="1926B900">
            <w:pPr>
              <w:snapToGrid w:val="0"/>
              <w:spacing w:line="390" w:lineRule="exact"/>
              <w:rPr>
                <w:rFonts w:hint="eastAsia" w:ascii="仿宋" w:hAnsi="仿宋" w:eastAsia="仿宋"/>
                <w:sz w:val="24"/>
                <w:highlight w:val="none"/>
              </w:rPr>
            </w:pPr>
            <w:r>
              <w:rPr>
                <w:rFonts w:hint="eastAsia" w:ascii="仿宋" w:hAnsi="仿宋" w:eastAsia="仿宋"/>
                <w:sz w:val="24"/>
                <w:highlight w:val="none"/>
              </w:rPr>
              <w:t>查询渠道：</w:t>
            </w:r>
            <w:r>
              <w:rPr>
                <w:rFonts w:ascii="仿宋" w:hAnsi="仿宋" w:eastAsia="仿宋"/>
                <w:sz w:val="24"/>
                <w:highlight w:val="none"/>
              </w:rPr>
              <w:t>“信用中国”网站（www.creditchina.gov.cn）、中国政府采购网（</w:t>
            </w:r>
            <w:r>
              <w:rPr>
                <w:highlight w:val="none"/>
              </w:rPr>
              <w:fldChar w:fldCharType="begin"/>
            </w:r>
            <w:r>
              <w:rPr>
                <w:highlight w:val="none"/>
              </w:rPr>
              <w:instrText xml:space="preserve"> HYPERLINK "http://www.ccgp.gov.cn" </w:instrText>
            </w:r>
            <w:r>
              <w:rPr>
                <w:highlight w:val="none"/>
              </w:rPr>
              <w:fldChar w:fldCharType="separate"/>
            </w:r>
            <w:r>
              <w:rPr>
                <w:rStyle w:val="55"/>
                <w:rFonts w:ascii="仿宋" w:hAnsi="仿宋" w:eastAsia="仿宋"/>
                <w:color w:val="auto"/>
                <w:sz w:val="24"/>
                <w:highlight w:val="none"/>
              </w:rPr>
              <w:t>www.ccgp.gov.cn</w:t>
            </w:r>
            <w:r>
              <w:rPr>
                <w:rStyle w:val="55"/>
                <w:rFonts w:ascii="仿宋" w:hAnsi="仿宋" w:eastAsia="仿宋"/>
                <w:color w:val="auto"/>
                <w:sz w:val="24"/>
                <w:highlight w:val="none"/>
              </w:rPr>
              <w:fldChar w:fldCharType="end"/>
            </w:r>
            <w:r>
              <w:rPr>
                <w:rFonts w:ascii="仿宋" w:hAnsi="仿宋" w:eastAsia="仿宋"/>
                <w:sz w:val="24"/>
                <w:highlight w:val="none"/>
              </w:rPr>
              <w:t>）</w:t>
            </w:r>
            <w:r>
              <w:rPr>
                <w:rFonts w:hint="eastAsia" w:ascii="仿宋" w:hAnsi="仿宋" w:eastAsia="仿宋"/>
                <w:sz w:val="24"/>
                <w:highlight w:val="none"/>
              </w:rPr>
              <w:t>。</w:t>
            </w:r>
          </w:p>
          <w:p w14:paraId="3E9E5258">
            <w:pPr>
              <w:snapToGrid w:val="0"/>
              <w:spacing w:line="390" w:lineRule="exact"/>
              <w:rPr>
                <w:rFonts w:hint="eastAsia" w:ascii="仿宋" w:hAnsi="仿宋" w:eastAsia="仿宋"/>
                <w:sz w:val="24"/>
                <w:highlight w:val="none"/>
              </w:rPr>
            </w:pPr>
            <w:r>
              <w:rPr>
                <w:rFonts w:hint="eastAsia" w:ascii="仿宋" w:hAnsi="仿宋" w:eastAsia="仿宋"/>
                <w:sz w:val="24"/>
                <w:highlight w:val="none"/>
              </w:rPr>
              <w:t>信用查询截止时点：</w:t>
            </w:r>
            <w:r>
              <w:rPr>
                <w:rFonts w:ascii="仿宋" w:hAnsi="仿宋" w:eastAsia="仿宋" w:cs="宋体"/>
                <w:sz w:val="24"/>
                <w:highlight w:val="none"/>
              </w:rPr>
              <w:t>资格审查结束前</w:t>
            </w:r>
            <w:r>
              <w:rPr>
                <w:rFonts w:hint="eastAsia" w:ascii="仿宋" w:hAnsi="仿宋" w:eastAsia="仿宋" w:cs="宋体"/>
                <w:sz w:val="24"/>
                <w:highlight w:val="none"/>
              </w:rPr>
              <w:t>。</w:t>
            </w:r>
          </w:p>
          <w:p w14:paraId="00256901">
            <w:pPr>
              <w:snapToGrid w:val="0"/>
              <w:spacing w:line="390" w:lineRule="exact"/>
              <w:rPr>
                <w:rFonts w:hint="eastAsia" w:ascii="仿宋" w:hAnsi="仿宋" w:eastAsia="仿宋"/>
                <w:sz w:val="24"/>
                <w:highlight w:val="none"/>
              </w:rPr>
            </w:pPr>
            <w:r>
              <w:rPr>
                <w:rFonts w:hint="eastAsia" w:ascii="仿宋" w:hAnsi="仿宋" w:eastAsia="仿宋"/>
                <w:sz w:val="24"/>
                <w:highlight w:val="none"/>
              </w:rPr>
              <w:t>查询记录和证据留存方式：</w:t>
            </w:r>
            <w:r>
              <w:rPr>
                <w:rFonts w:hint="eastAsia" w:ascii="仿宋" w:hAnsi="仿宋" w:eastAsia="仿宋" w:cs="宋体"/>
                <w:sz w:val="24"/>
                <w:highlight w:val="none"/>
              </w:rPr>
              <w:t>将查询网站中的查询记录截图并作为评审资料保存。</w:t>
            </w:r>
          </w:p>
          <w:p w14:paraId="6B725513">
            <w:pPr>
              <w:snapToGrid w:val="0"/>
              <w:spacing w:line="390" w:lineRule="exact"/>
              <w:rPr>
                <w:rFonts w:hint="eastAsia" w:ascii="仿宋" w:hAnsi="仿宋" w:eastAsia="仿宋"/>
                <w:b/>
                <w:sz w:val="24"/>
                <w:highlight w:val="none"/>
              </w:rPr>
            </w:pPr>
            <w:r>
              <w:rPr>
                <w:rFonts w:hint="eastAsia" w:ascii="仿宋" w:hAnsi="仿宋" w:eastAsia="仿宋"/>
                <w:sz w:val="24"/>
                <w:highlight w:val="none"/>
              </w:rPr>
              <w:t>信用信息使用规则：根据财政部《关于在政府采购活动中查询及使用信用记录有关问题的通知》（财库〔2016〕125号）的规定，</w:t>
            </w:r>
            <w:r>
              <w:rPr>
                <w:rFonts w:hint="eastAsia" w:ascii="仿宋" w:hAnsi="仿宋" w:eastAsia="仿宋" w:cs="宋体"/>
                <w:sz w:val="24"/>
                <w:highlight w:val="none"/>
                <w:lang w:bidi="ar"/>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14:paraId="6FF4EA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2D228EAC">
            <w:pPr>
              <w:spacing w:line="390" w:lineRule="exact"/>
              <w:jc w:val="center"/>
              <w:rPr>
                <w:rFonts w:hint="eastAsia" w:ascii="仿宋" w:hAnsi="仿宋" w:eastAsia="仿宋"/>
                <w:sz w:val="24"/>
                <w:highlight w:val="none"/>
              </w:rPr>
            </w:pPr>
            <w:bookmarkStart w:id="81" w:name="_26"/>
            <w:bookmarkEnd w:id="81"/>
            <w:r>
              <w:rPr>
                <w:rFonts w:hint="eastAsia" w:ascii="仿宋" w:hAnsi="仿宋" w:eastAsia="仿宋"/>
                <w:sz w:val="24"/>
                <w:highlight w:val="none"/>
              </w:rPr>
              <w:t>26</w:t>
            </w:r>
          </w:p>
        </w:tc>
        <w:tc>
          <w:tcPr>
            <w:tcW w:w="9275" w:type="dxa"/>
            <w:tcBorders>
              <w:top w:val="single" w:color="auto" w:sz="4" w:space="0"/>
              <w:left w:val="single" w:color="auto" w:sz="4" w:space="0"/>
              <w:bottom w:val="single" w:color="auto" w:sz="4" w:space="0"/>
              <w:right w:val="single" w:color="auto" w:sz="4" w:space="0"/>
            </w:tcBorders>
            <w:vAlign w:val="center"/>
          </w:tcPr>
          <w:p w14:paraId="5CA1F0F0">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评标委员会的人数：5人，采购人代表1人，专家4人。</w:t>
            </w:r>
          </w:p>
        </w:tc>
      </w:tr>
      <w:tr w14:paraId="3AABAD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0BFE12FF">
            <w:pPr>
              <w:spacing w:line="390" w:lineRule="exact"/>
              <w:jc w:val="center"/>
              <w:rPr>
                <w:rFonts w:hint="eastAsia" w:ascii="仿宋" w:hAnsi="仿宋" w:eastAsia="仿宋"/>
                <w:sz w:val="24"/>
                <w:highlight w:val="none"/>
              </w:rPr>
            </w:pPr>
            <w:bookmarkStart w:id="82" w:name="_28.3"/>
            <w:bookmarkEnd w:id="82"/>
            <w:r>
              <w:rPr>
                <w:rFonts w:ascii="仿宋" w:hAnsi="仿宋" w:eastAsia="仿宋"/>
                <w:sz w:val="24"/>
                <w:highlight w:val="none"/>
              </w:rPr>
              <w:t>29.1</w:t>
            </w:r>
          </w:p>
        </w:tc>
        <w:tc>
          <w:tcPr>
            <w:tcW w:w="9275" w:type="dxa"/>
            <w:tcBorders>
              <w:top w:val="single" w:color="auto" w:sz="4" w:space="0"/>
              <w:left w:val="single" w:color="auto" w:sz="4" w:space="0"/>
              <w:bottom w:val="single" w:color="auto" w:sz="4" w:space="0"/>
              <w:right w:val="single" w:color="auto" w:sz="4" w:space="0"/>
            </w:tcBorders>
            <w:vAlign w:val="center"/>
          </w:tcPr>
          <w:p w14:paraId="51F894F8">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评标方法：</w:t>
            </w:r>
            <w:r>
              <w:rPr>
                <w:rFonts w:ascii="仿宋" w:hAnsi="仿宋" w:eastAsia="仿宋"/>
                <w:sz w:val="24"/>
                <w:highlight w:val="none"/>
              </w:rPr>
              <w:fldChar w:fldCharType="begin"/>
            </w:r>
            <w:r>
              <w:rPr>
                <w:rFonts w:ascii="仿宋" w:hAnsi="仿宋" w:eastAsia="仿宋"/>
                <w:sz w:val="24"/>
                <w:highlight w:val="none"/>
              </w:rPr>
              <w:instrText xml:space="preserve"> </w:instrText>
            </w:r>
            <w:r>
              <w:rPr>
                <w:rFonts w:hint="eastAsia" w:ascii="仿宋" w:hAnsi="仿宋" w:eastAsia="仿宋"/>
                <w:sz w:val="24"/>
                <w:highlight w:val="none"/>
              </w:rPr>
              <w:instrText xml:space="preserve">eq \o\ac(□,</w:instrText>
            </w:r>
            <w:r>
              <w:rPr>
                <w:rFonts w:hint="eastAsia" w:ascii="仿宋" w:hAnsi="仿宋" w:eastAsia="仿宋"/>
                <w:position w:val="2"/>
                <w:sz w:val="24"/>
                <w:highlight w:val="none"/>
              </w:rPr>
              <w:instrText xml:space="preserve">√</w:instrText>
            </w:r>
            <w:r>
              <w:rPr>
                <w:rFonts w:hint="eastAsia" w:ascii="仿宋" w:hAnsi="仿宋" w:eastAsia="仿宋"/>
                <w:sz w:val="24"/>
                <w:highlight w:val="none"/>
              </w:rPr>
              <w:instrText xml:space="preserve">)</w:instrText>
            </w:r>
            <w:r>
              <w:rPr>
                <w:rFonts w:ascii="仿宋" w:hAnsi="仿宋" w:eastAsia="仿宋"/>
                <w:sz w:val="24"/>
                <w:highlight w:val="none"/>
              </w:rPr>
              <w:fldChar w:fldCharType="end"/>
            </w:r>
            <w:r>
              <w:rPr>
                <w:rFonts w:hint="eastAsia" w:ascii="仿宋" w:hAnsi="仿宋" w:eastAsia="仿宋"/>
                <w:sz w:val="24"/>
                <w:highlight w:val="none"/>
              </w:rPr>
              <w:t>综合评分法/□最低评标价法</w:t>
            </w:r>
          </w:p>
        </w:tc>
      </w:tr>
      <w:tr w14:paraId="126691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78C002C2">
            <w:pPr>
              <w:spacing w:line="390" w:lineRule="exact"/>
              <w:jc w:val="center"/>
              <w:rPr>
                <w:rFonts w:hint="eastAsia" w:ascii="仿宋" w:hAnsi="仿宋" w:eastAsia="仿宋"/>
                <w:sz w:val="24"/>
                <w:highlight w:val="none"/>
              </w:rPr>
            </w:pPr>
            <w:bookmarkStart w:id="83" w:name="_29.2.2（2）"/>
            <w:bookmarkEnd w:id="83"/>
            <w:r>
              <w:rPr>
                <w:rFonts w:hint="eastAsia" w:ascii="仿宋" w:hAnsi="仿宋" w:eastAsia="仿宋"/>
                <w:sz w:val="24"/>
                <w:highlight w:val="none"/>
              </w:rPr>
              <w:t>29.2</w:t>
            </w:r>
          </w:p>
        </w:tc>
        <w:tc>
          <w:tcPr>
            <w:tcW w:w="9275" w:type="dxa"/>
            <w:tcBorders>
              <w:top w:val="single" w:color="auto" w:sz="4" w:space="0"/>
              <w:left w:val="single" w:color="auto" w:sz="4" w:space="0"/>
              <w:right w:val="single" w:color="auto" w:sz="4" w:space="0"/>
            </w:tcBorders>
            <w:vAlign w:val="center"/>
          </w:tcPr>
          <w:p w14:paraId="181F60D5">
            <w:pPr>
              <w:snapToGrid w:val="0"/>
              <w:spacing w:line="390" w:lineRule="exact"/>
              <w:rPr>
                <w:rFonts w:hint="eastAsia" w:ascii="仿宋" w:hAnsi="仿宋" w:eastAsia="仿宋"/>
                <w:sz w:val="24"/>
                <w:highlight w:val="none"/>
              </w:rPr>
            </w:pPr>
            <w:r>
              <w:rPr>
                <w:rFonts w:ascii="仿宋" w:hAnsi="仿宋" w:eastAsia="仿宋"/>
                <w:sz w:val="24"/>
                <w:highlight w:val="none"/>
              </w:rPr>
              <w:t>中标候选人推荐数量</w:t>
            </w:r>
            <w:r>
              <w:rPr>
                <w:rFonts w:hint="eastAsia" w:ascii="仿宋" w:hAnsi="仿宋" w:eastAsia="仿宋"/>
                <w:sz w:val="24"/>
                <w:highlight w:val="none"/>
              </w:rPr>
              <w:t>：3家</w:t>
            </w:r>
          </w:p>
        </w:tc>
      </w:tr>
      <w:tr w14:paraId="373A0D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5CE9AB5C">
            <w:pPr>
              <w:spacing w:line="390" w:lineRule="exact"/>
              <w:jc w:val="center"/>
              <w:rPr>
                <w:rFonts w:hint="eastAsia" w:ascii="仿宋" w:hAnsi="仿宋" w:eastAsia="仿宋"/>
                <w:sz w:val="24"/>
                <w:highlight w:val="none"/>
              </w:rPr>
            </w:pPr>
            <w:r>
              <w:rPr>
                <w:rFonts w:hint="eastAsia" w:ascii="仿宋" w:hAnsi="仿宋" w:eastAsia="仿宋"/>
                <w:sz w:val="24"/>
                <w:highlight w:val="none"/>
              </w:rPr>
              <w:t>30</w:t>
            </w:r>
            <w:r>
              <w:rPr>
                <w:rFonts w:ascii="仿宋" w:hAnsi="仿宋" w:eastAsia="仿宋"/>
                <w:sz w:val="24"/>
                <w:highlight w:val="none"/>
              </w:rPr>
              <w:t>.1</w:t>
            </w:r>
          </w:p>
        </w:tc>
        <w:tc>
          <w:tcPr>
            <w:tcW w:w="9275" w:type="dxa"/>
            <w:tcBorders>
              <w:top w:val="single" w:color="auto" w:sz="4" w:space="0"/>
              <w:left w:val="single" w:color="auto" w:sz="4" w:space="0"/>
              <w:bottom w:val="single" w:color="auto" w:sz="4" w:space="0"/>
              <w:right w:val="single" w:color="auto" w:sz="4" w:space="0"/>
            </w:tcBorders>
            <w:vAlign w:val="center"/>
          </w:tcPr>
          <w:p w14:paraId="37810413">
            <w:pPr>
              <w:autoSpaceDE w:val="0"/>
              <w:autoSpaceDN w:val="0"/>
              <w:snapToGrid w:val="0"/>
              <w:spacing w:line="390" w:lineRule="exact"/>
              <w:textAlignment w:val="bottom"/>
              <w:rPr>
                <w:rFonts w:hint="eastAsia" w:ascii="仿宋" w:hAnsi="仿宋" w:eastAsia="仿宋"/>
                <w:sz w:val="24"/>
                <w:highlight w:val="none"/>
              </w:rPr>
            </w:pPr>
            <w:r>
              <w:rPr>
                <w:rFonts w:ascii="仿宋" w:hAnsi="仿宋" w:eastAsia="仿宋"/>
                <w:sz w:val="24"/>
                <w:highlight w:val="none"/>
              </w:rPr>
              <w:fldChar w:fldCharType="begin"/>
            </w:r>
            <w:r>
              <w:rPr>
                <w:rFonts w:ascii="仿宋" w:hAnsi="仿宋" w:eastAsia="仿宋"/>
                <w:sz w:val="24"/>
                <w:highlight w:val="none"/>
              </w:rPr>
              <w:instrText xml:space="preserve"> </w:instrText>
            </w:r>
            <w:r>
              <w:rPr>
                <w:rFonts w:hint="eastAsia" w:ascii="仿宋" w:hAnsi="仿宋" w:eastAsia="仿宋"/>
                <w:sz w:val="24"/>
                <w:highlight w:val="none"/>
              </w:rPr>
              <w:instrText xml:space="preserve">eq \o\ac(□,</w:instrText>
            </w:r>
            <w:r>
              <w:rPr>
                <w:rFonts w:hint="eastAsia" w:ascii="仿宋" w:hAnsi="仿宋" w:eastAsia="仿宋"/>
                <w:position w:val="2"/>
                <w:sz w:val="24"/>
                <w:highlight w:val="none"/>
              </w:rPr>
              <w:instrText xml:space="preserve">√</w:instrText>
            </w:r>
            <w:r>
              <w:rPr>
                <w:rFonts w:hint="eastAsia" w:ascii="仿宋" w:hAnsi="仿宋" w:eastAsia="仿宋"/>
                <w:sz w:val="24"/>
                <w:highlight w:val="none"/>
              </w:rPr>
              <w:instrText xml:space="preserve">)</w:instrText>
            </w:r>
            <w:r>
              <w:rPr>
                <w:rFonts w:ascii="仿宋" w:hAnsi="仿宋" w:eastAsia="仿宋"/>
                <w:sz w:val="24"/>
                <w:highlight w:val="none"/>
              </w:rPr>
              <w:fldChar w:fldCharType="end"/>
            </w:r>
            <w:r>
              <w:rPr>
                <w:rFonts w:hint="eastAsia" w:ascii="仿宋" w:hAnsi="仿宋" w:eastAsia="仿宋"/>
                <w:sz w:val="24"/>
                <w:highlight w:val="none"/>
              </w:rPr>
              <w:t>采用综合评分法的采购项目，采购人确定中标人时，出现中标候选人并列的情形，采购人按以下的方式确定中标人：按综合评分中技术、商务、政策功能得分高低依次确定。</w:t>
            </w:r>
          </w:p>
          <w:p w14:paraId="3C39F79F">
            <w:pPr>
              <w:autoSpaceDE w:val="0"/>
              <w:autoSpaceDN w:val="0"/>
              <w:snapToGrid w:val="0"/>
              <w:spacing w:line="390" w:lineRule="exact"/>
              <w:textAlignment w:val="bottom"/>
              <w:rPr>
                <w:rFonts w:hint="eastAsia" w:ascii="仿宋" w:hAnsi="仿宋" w:eastAsia="仿宋"/>
                <w:sz w:val="24"/>
                <w:highlight w:val="none"/>
              </w:rPr>
            </w:pPr>
            <w:bookmarkStart w:id="84" w:name="OLE_LINK10"/>
            <w:r>
              <w:rPr>
                <w:rFonts w:hint="eastAsia" w:ascii="仿宋" w:hAnsi="仿宋" w:eastAsia="仿宋"/>
                <w:sz w:val="24"/>
                <w:highlight w:val="none"/>
              </w:rPr>
              <w:t>□</w:t>
            </w:r>
            <w:bookmarkEnd w:id="84"/>
            <w:r>
              <w:rPr>
                <w:rFonts w:hint="eastAsia" w:ascii="仿宋" w:hAnsi="仿宋" w:eastAsia="仿宋"/>
                <w:sz w:val="24"/>
                <w:highlight w:val="none"/>
              </w:rPr>
              <w:t>采用最低评标价法的采购项目，采购人确定中标人时，出现中标候选人并列的情形，采购人按以下的方式确定中标人：</w:t>
            </w:r>
            <w:r>
              <w:rPr>
                <w:rFonts w:hint="eastAsia" w:ascii="仿宋" w:hAnsi="仿宋" w:eastAsia="仿宋" w:cs="宋体"/>
                <w:sz w:val="24"/>
                <w:highlight w:val="none"/>
              </w:rPr>
              <w:t>按</w:t>
            </w:r>
            <w:r>
              <w:rPr>
                <w:rFonts w:ascii="仿宋" w:hAnsi="仿宋" w:eastAsia="仿宋"/>
                <w:sz w:val="24"/>
                <w:highlight w:val="none"/>
              </w:rPr>
              <w:t>节能环保优先、技术指标高优先、质保期长优先、交货期短优先、故障响应时间短优先的</w:t>
            </w:r>
            <w:r>
              <w:rPr>
                <w:rFonts w:hint="eastAsia" w:ascii="仿宋" w:hAnsi="仿宋" w:eastAsia="仿宋" w:cs="宋体"/>
                <w:sz w:val="24"/>
                <w:highlight w:val="none"/>
              </w:rPr>
              <w:t>顺序依次确定。</w:t>
            </w:r>
          </w:p>
        </w:tc>
      </w:tr>
      <w:tr w14:paraId="49BFD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487F30A7">
            <w:pPr>
              <w:spacing w:line="390" w:lineRule="exact"/>
              <w:jc w:val="center"/>
              <w:rPr>
                <w:rFonts w:hint="eastAsia" w:ascii="仿宋" w:hAnsi="仿宋" w:eastAsia="仿宋"/>
                <w:sz w:val="24"/>
                <w:highlight w:val="none"/>
              </w:rPr>
            </w:pPr>
            <w:bookmarkStart w:id="85" w:name="_39.1"/>
            <w:bookmarkEnd w:id="85"/>
            <w:r>
              <w:rPr>
                <w:rFonts w:hint="eastAsia" w:ascii="仿宋" w:hAnsi="仿宋" w:eastAsia="仿宋"/>
                <w:sz w:val="24"/>
                <w:highlight w:val="none"/>
              </w:rPr>
              <w:t>35</w:t>
            </w:r>
            <w:r>
              <w:rPr>
                <w:rFonts w:ascii="仿宋" w:hAnsi="仿宋" w:eastAsia="仿宋"/>
                <w:sz w:val="24"/>
                <w:highlight w:val="none"/>
              </w:rPr>
              <w:t>.1</w:t>
            </w:r>
          </w:p>
        </w:tc>
        <w:tc>
          <w:tcPr>
            <w:tcW w:w="9275" w:type="dxa"/>
            <w:tcBorders>
              <w:top w:val="single" w:color="auto" w:sz="4" w:space="0"/>
              <w:left w:val="single" w:color="auto" w:sz="4" w:space="0"/>
              <w:bottom w:val="single" w:color="auto" w:sz="4" w:space="0"/>
              <w:right w:val="single" w:color="auto" w:sz="4" w:space="0"/>
            </w:tcBorders>
            <w:vAlign w:val="center"/>
          </w:tcPr>
          <w:p w14:paraId="1CB76930">
            <w:pPr>
              <w:autoSpaceDE w:val="0"/>
              <w:autoSpaceDN w:val="0"/>
              <w:snapToGrid w:val="0"/>
              <w:spacing w:line="390" w:lineRule="exact"/>
              <w:textAlignment w:val="bottom"/>
              <w:rPr>
                <w:rFonts w:hint="eastAsia" w:ascii="仿宋" w:hAnsi="仿宋" w:eastAsia="仿宋"/>
                <w:color w:val="auto"/>
                <w:sz w:val="24"/>
                <w:highlight w:val="none"/>
              </w:rPr>
            </w:pPr>
            <w:r>
              <w:rPr>
                <w:rFonts w:ascii="仿宋" w:hAnsi="仿宋" w:eastAsia="仿宋"/>
                <w:color w:val="auto"/>
                <w:sz w:val="24"/>
                <w:highlight w:val="none"/>
              </w:rPr>
              <w:fldChar w:fldCharType="begin"/>
            </w:r>
            <w:r>
              <w:rPr>
                <w:rFonts w:ascii="仿宋" w:hAnsi="仿宋" w:eastAsia="仿宋"/>
                <w:color w:val="auto"/>
                <w:sz w:val="24"/>
                <w:highlight w:val="none"/>
              </w:rPr>
              <w:instrText xml:space="preserve"> </w:instrText>
            </w:r>
            <w:r>
              <w:rPr>
                <w:rFonts w:hint="eastAsia" w:ascii="仿宋" w:hAnsi="仿宋" w:eastAsia="仿宋"/>
                <w:color w:val="auto"/>
                <w:sz w:val="24"/>
                <w:highlight w:val="none"/>
              </w:rPr>
              <w:instrText xml:space="preserve">eq \o\ac(□,</w:instrText>
            </w:r>
            <w:r>
              <w:rPr>
                <w:rFonts w:hint="eastAsia" w:ascii="仿宋" w:hAnsi="仿宋" w:eastAsia="仿宋"/>
                <w:color w:val="auto"/>
                <w:position w:val="2"/>
                <w:sz w:val="24"/>
                <w:highlight w:val="none"/>
              </w:rPr>
              <w:instrText xml:space="preserve">√</w:instrText>
            </w:r>
            <w:r>
              <w:rPr>
                <w:rFonts w:hint="eastAsia" w:ascii="仿宋" w:hAnsi="仿宋" w:eastAsia="仿宋"/>
                <w:color w:val="auto"/>
                <w:sz w:val="24"/>
                <w:highlight w:val="none"/>
              </w:rPr>
              <w:instrText xml:space="preserve">)</w:instrText>
            </w:r>
            <w:r>
              <w:rPr>
                <w:rFonts w:ascii="仿宋" w:hAnsi="仿宋" w:eastAsia="仿宋"/>
                <w:color w:val="auto"/>
                <w:sz w:val="24"/>
                <w:highlight w:val="none"/>
              </w:rPr>
              <w:fldChar w:fldCharType="end"/>
            </w:r>
            <w:r>
              <w:rPr>
                <w:rFonts w:hint="eastAsia" w:ascii="仿宋" w:hAnsi="仿宋" w:eastAsia="仿宋"/>
                <w:color w:val="auto"/>
                <w:sz w:val="24"/>
                <w:highlight w:val="none"/>
              </w:rPr>
              <w:t>本项目不收取履约保证金。</w:t>
            </w:r>
          </w:p>
          <w:p w14:paraId="3D1EF4B3">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□本项目收取履约保证金，具体规定如下：</w:t>
            </w:r>
          </w:p>
          <w:p w14:paraId="52AD4876">
            <w:pPr>
              <w:spacing w:line="390" w:lineRule="exact"/>
              <w:jc w:val="left"/>
              <w:rPr>
                <w:rFonts w:hint="eastAsia" w:ascii="仿宋" w:hAnsi="仿宋" w:eastAsia="仿宋" w:cs="宋体"/>
                <w:kern w:val="0"/>
                <w:sz w:val="24"/>
                <w:highlight w:val="none"/>
              </w:rPr>
            </w:pPr>
            <w:r>
              <w:rPr>
                <w:rFonts w:hint="eastAsia" w:ascii="仿宋" w:hAnsi="仿宋" w:eastAsia="仿宋"/>
                <w:sz w:val="24"/>
                <w:highlight w:val="none"/>
              </w:rPr>
              <w:t>履约保证金金额：</w:t>
            </w:r>
            <w:r>
              <w:rPr>
                <w:rFonts w:hint="eastAsia" w:ascii="仿宋" w:hAnsi="仿宋" w:eastAsia="仿宋" w:cs="仿宋"/>
                <w:kern w:val="0"/>
                <w:sz w:val="24"/>
                <w:highlight w:val="none"/>
              </w:rPr>
              <w:t>合同金额的5%（如供应商符合《政府采购促进中小企业发展管理办法》规定的中小微企业，则履约保证金按合同金额的2%收取），向采购人提交履约保证金，合同履行完毕后可向采购人申请退还，采购人在收到申请后五个工作日内无息退还。</w:t>
            </w:r>
          </w:p>
        </w:tc>
      </w:tr>
      <w:tr w14:paraId="556B0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27681C0D">
            <w:pPr>
              <w:spacing w:line="390" w:lineRule="exact"/>
              <w:jc w:val="center"/>
              <w:rPr>
                <w:rFonts w:hint="eastAsia" w:ascii="仿宋" w:hAnsi="仿宋" w:eastAsia="仿宋"/>
                <w:sz w:val="24"/>
                <w:highlight w:val="none"/>
              </w:rPr>
            </w:pPr>
            <w:bookmarkStart w:id="86" w:name="_40.1"/>
            <w:bookmarkEnd w:id="86"/>
            <w:r>
              <w:rPr>
                <w:rFonts w:hint="eastAsia" w:ascii="仿宋" w:hAnsi="仿宋" w:eastAsia="仿宋"/>
                <w:sz w:val="24"/>
                <w:highlight w:val="none"/>
              </w:rPr>
              <w:t>36.1</w:t>
            </w:r>
          </w:p>
        </w:tc>
        <w:tc>
          <w:tcPr>
            <w:tcW w:w="9275" w:type="dxa"/>
            <w:tcBorders>
              <w:top w:val="single" w:color="auto" w:sz="4" w:space="0"/>
              <w:left w:val="single" w:color="auto" w:sz="4" w:space="0"/>
              <w:bottom w:val="single" w:color="auto" w:sz="4" w:space="0"/>
              <w:right w:val="single" w:color="auto" w:sz="4" w:space="0"/>
            </w:tcBorders>
            <w:vAlign w:val="center"/>
          </w:tcPr>
          <w:p w14:paraId="68BACFC7">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 xml:space="preserve">签订合同携带的证明材料： </w:t>
            </w:r>
          </w:p>
          <w:p w14:paraId="2157D136">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1、委托代理人负责签订合同的，须携带授权委托书及委托代理人身份证原件等其他资格证件。</w:t>
            </w:r>
          </w:p>
          <w:p w14:paraId="720695E4">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2、法定代表人负责签订合同的，须携带法定代表人</w:t>
            </w:r>
            <w:r>
              <w:rPr>
                <w:rFonts w:ascii="仿宋" w:hAnsi="仿宋" w:eastAsia="仿宋"/>
                <w:sz w:val="24"/>
                <w:highlight w:val="none"/>
              </w:rPr>
              <w:t>身份证明原件</w:t>
            </w:r>
            <w:r>
              <w:rPr>
                <w:rFonts w:hint="eastAsia" w:ascii="仿宋" w:hAnsi="仿宋" w:eastAsia="仿宋"/>
                <w:sz w:val="24"/>
                <w:highlight w:val="none"/>
              </w:rPr>
              <w:t>及</w:t>
            </w:r>
            <w:r>
              <w:rPr>
                <w:rFonts w:ascii="仿宋" w:hAnsi="仿宋" w:eastAsia="仿宋"/>
                <w:sz w:val="24"/>
                <w:highlight w:val="none"/>
              </w:rPr>
              <w:t>身份证原件</w:t>
            </w:r>
            <w:r>
              <w:rPr>
                <w:rFonts w:hint="eastAsia" w:ascii="仿宋" w:hAnsi="仿宋" w:eastAsia="仿宋"/>
                <w:sz w:val="24"/>
                <w:highlight w:val="none"/>
              </w:rPr>
              <w:t>等其他证明材料。</w:t>
            </w:r>
          </w:p>
        </w:tc>
      </w:tr>
      <w:tr w14:paraId="4D02B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53B40F3B">
            <w:pPr>
              <w:spacing w:line="390" w:lineRule="exact"/>
              <w:jc w:val="center"/>
              <w:rPr>
                <w:rFonts w:hint="eastAsia" w:ascii="仿宋" w:hAnsi="仿宋" w:eastAsia="仿宋"/>
                <w:sz w:val="24"/>
                <w:highlight w:val="none"/>
              </w:rPr>
            </w:pPr>
            <w:r>
              <w:rPr>
                <w:rFonts w:hint="eastAsia" w:ascii="仿宋" w:hAnsi="仿宋" w:eastAsia="仿宋"/>
                <w:sz w:val="24"/>
                <w:highlight w:val="none"/>
              </w:rPr>
              <w:t>36.2</w:t>
            </w:r>
          </w:p>
        </w:tc>
        <w:tc>
          <w:tcPr>
            <w:tcW w:w="9275" w:type="dxa"/>
            <w:tcBorders>
              <w:top w:val="single" w:color="auto" w:sz="4" w:space="0"/>
              <w:left w:val="single" w:color="auto" w:sz="4" w:space="0"/>
              <w:bottom w:val="single" w:color="auto" w:sz="4" w:space="0"/>
              <w:right w:val="single" w:color="auto" w:sz="4" w:space="0"/>
            </w:tcBorders>
            <w:vAlign w:val="center"/>
          </w:tcPr>
          <w:p w14:paraId="36335E88">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签订</w:t>
            </w:r>
            <w:r>
              <w:rPr>
                <w:rFonts w:ascii="仿宋" w:hAnsi="仿宋" w:eastAsia="仿宋"/>
                <w:sz w:val="24"/>
                <w:highlight w:val="none"/>
              </w:rPr>
              <w:t>合同时间：</w:t>
            </w:r>
            <w:r>
              <w:rPr>
                <w:rFonts w:hint="eastAsia" w:ascii="仿宋" w:hAnsi="仿宋" w:eastAsia="仿宋"/>
                <w:sz w:val="24"/>
                <w:highlight w:val="none"/>
              </w:rPr>
              <w:t>中标通知书（中标</w:t>
            </w:r>
            <w:r>
              <w:rPr>
                <w:rFonts w:ascii="仿宋" w:hAnsi="仿宋" w:eastAsia="仿宋"/>
                <w:sz w:val="24"/>
                <w:highlight w:val="none"/>
              </w:rPr>
              <w:t>公告</w:t>
            </w:r>
            <w:r>
              <w:rPr>
                <w:rFonts w:hint="eastAsia" w:ascii="仿宋" w:hAnsi="仿宋" w:eastAsia="仿宋"/>
                <w:sz w:val="24"/>
                <w:highlight w:val="none"/>
              </w:rPr>
              <w:t>）发出之日起</w:t>
            </w:r>
            <w:r>
              <w:rPr>
                <w:rFonts w:ascii="仿宋" w:hAnsi="仿宋" w:eastAsia="仿宋"/>
                <w:sz w:val="24"/>
                <w:highlight w:val="none"/>
              </w:rPr>
              <w:t>8</w:t>
            </w:r>
            <w:r>
              <w:rPr>
                <w:rFonts w:hint="eastAsia" w:ascii="仿宋" w:hAnsi="仿宋" w:eastAsia="仿宋"/>
                <w:sz w:val="24"/>
                <w:highlight w:val="none"/>
              </w:rPr>
              <w:t>个工作日内。</w:t>
            </w:r>
          </w:p>
        </w:tc>
      </w:tr>
      <w:tr w14:paraId="64AAE2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66421EE2">
            <w:pPr>
              <w:spacing w:line="390" w:lineRule="exact"/>
              <w:jc w:val="center"/>
              <w:rPr>
                <w:rFonts w:hint="eastAsia"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8.2</w:t>
            </w:r>
          </w:p>
        </w:tc>
        <w:tc>
          <w:tcPr>
            <w:tcW w:w="9275" w:type="dxa"/>
            <w:tcBorders>
              <w:top w:val="single" w:color="auto" w:sz="4" w:space="0"/>
              <w:left w:val="single" w:color="auto" w:sz="4" w:space="0"/>
              <w:bottom w:val="single" w:color="auto" w:sz="4" w:space="0"/>
              <w:right w:val="single" w:color="auto" w:sz="4" w:space="0"/>
            </w:tcBorders>
            <w:vAlign w:val="center"/>
          </w:tcPr>
          <w:p w14:paraId="05FEF316">
            <w:pPr>
              <w:snapToGrid w:val="0"/>
              <w:spacing w:line="390" w:lineRule="exact"/>
              <w:rPr>
                <w:rFonts w:hint="eastAsia" w:ascii="仿宋" w:hAnsi="仿宋" w:eastAsia="仿宋"/>
                <w:sz w:val="24"/>
                <w:highlight w:val="none"/>
              </w:rPr>
            </w:pPr>
            <w:r>
              <w:rPr>
                <w:rFonts w:hint="eastAsia" w:ascii="仿宋" w:hAnsi="仿宋" w:eastAsia="仿宋"/>
                <w:sz w:val="24"/>
                <w:highlight w:val="none"/>
              </w:rPr>
              <w:t>接收质疑函方式：以纸质书面形式。</w:t>
            </w:r>
          </w:p>
          <w:p w14:paraId="2B90A1E5">
            <w:pPr>
              <w:snapToGrid w:val="0"/>
              <w:spacing w:line="390" w:lineRule="exact"/>
              <w:rPr>
                <w:rFonts w:hint="eastAsia" w:ascii="仿宋" w:hAnsi="仿宋" w:eastAsia="仿宋"/>
                <w:sz w:val="24"/>
                <w:highlight w:val="none"/>
              </w:rPr>
            </w:pPr>
            <w:r>
              <w:rPr>
                <w:rFonts w:hint="eastAsia" w:ascii="仿宋" w:hAnsi="仿宋" w:eastAsia="仿宋"/>
                <w:sz w:val="24"/>
                <w:highlight w:val="none"/>
              </w:rPr>
              <w:t>质疑联系部门及联系方式： 广西科文招标有限公司桂林</w:t>
            </w:r>
            <w:r>
              <w:rPr>
                <w:rFonts w:ascii="仿宋" w:hAnsi="仿宋" w:eastAsia="仿宋"/>
                <w:sz w:val="24"/>
                <w:highlight w:val="none"/>
              </w:rPr>
              <w:t>分公司</w:t>
            </w:r>
            <w:r>
              <w:rPr>
                <w:rFonts w:hint="eastAsia" w:ascii="仿宋" w:hAnsi="仿宋" w:eastAsia="仿宋"/>
                <w:sz w:val="24"/>
                <w:highlight w:val="none"/>
              </w:rPr>
              <w:t>，质疑联系人：</w:t>
            </w:r>
            <w:r>
              <w:rPr>
                <w:rFonts w:hint="eastAsia" w:ascii="仿宋" w:hAnsi="仿宋" w:eastAsia="仿宋"/>
                <w:sz w:val="24"/>
                <w:highlight w:val="none"/>
                <w:lang w:val="en-US" w:eastAsia="zh-CN"/>
              </w:rPr>
              <w:t>谢工</w:t>
            </w:r>
            <w:r>
              <w:rPr>
                <w:rFonts w:hint="eastAsia" w:ascii="仿宋" w:hAnsi="仿宋" w:eastAsia="仿宋"/>
                <w:sz w:val="24"/>
                <w:highlight w:val="none"/>
              </w:rPr>
              <w:t>，联系电话：</w:t>
            </w:r>
            <w:r>
              <w:rPr>
                <w:rFonts w:hint="eastAsia" w:ascii="仿宋" w:hAnsi="仿宋" w:eastAsia="仿宋"/>
                <w:sz w:val="24"/>
                <w:highlight w:val="none"/>
                <w:lang w:eastAsia="zh-CN"/>
              </w:rPr>
              <w:t>0773-8998923</w:t>
            </w:r>
            <w:r>
              <w:rPr>
                <w:rFonts w:hint="eastAsia" w:ascii="仿宋" w:hAnsi="仿宋" w:eastAsia="仿宋"/>
                <w:sz w:val="24"/>
                <w:highlight w:val="none"/>
              </w:rPr>
              <w:t>，</w:t>
            </w:r>
            <w:r>
              <w:rPr>
                <w:rFonts w:ascii="仿宋" w:hAnsi="仿宋" w:eastAsia="仿宋"/>
                <w:sz w:val="24"/>
                <w:highlight w:val="none"/>
              </w:rPr>
              <w:t>通讯地址</w:t>
            </w:r>
            <w:r>
              <w:rPr>
                <w:rFonts w:hint="eastAsia" w:ascii="仿宋" w:hAnsi="仿宋" w:eastAsia="仿宋" w:cs="Helvetica"/>
                <w:sz w:val="24"/>
                <w:highlight w:val="none"/>
              </w:rPr>
              <w:t>：</w:t>
            </w:r>
            <w:r>
              <w:rPr>
                <w:rFonts w:hint="eastAsia" w:ascii="仿宋" w:hAnsi="仿宋" w:eastAsia="仿宋"/>
                <w:sz w:val="24"/>
                <w:highlight w:val="none"/>
              </w:rPr>
              <w:t>桂林市七星区穿山东路41号彰泰</w:t>
            </w:r>
            <w:r>
              <w:rPr>
                <w:rFonts w:hint="eastAsia" w:ascii="微软雅黑" w:hAnsi="微软雅黑" w:eastAsia="微软雅黑" w:cs="微软雅黑"/>
                <w:sz w:val="24"/>
                <w:highlight w:val="none"/>
              </w:rPr>
              <w:t>•</w:t>
            </w:r>
            <w:r>
              <w:rPr>
                <w:rFonts w:hint="eastAsia" w:ascii="仿宋" w:hAnsi="仿宋" w:eastAsia="仿宋" w:cs="仿宋"/>
                <w:sz w:val="24"/>
                <w:highlight w:val="none"/>
              </w:rPr>
              <w:t>天街</w:t>
            </w:r>
            <w:r>
              <w:rPr>
                <w:rFonts w:hint="eastAsia" w:ascii="仿宋" w:hAnsi="仿宋" w:eastAsia="仿宋"/>
                <w:sz w:val="24"/>
                <w:highlight w:val="none"/>
              </w:rPr>
              <w:t>V+国际中心1#楼八层802号。</w:t>
            </w:r>
          </w:p>
          <w:p w14:paraId="3E08DF9F">
            <w:pPr>
              <w:autoSpaceDE w:val="0"/>
              <w:autoSpaceDN w:val="0"/>
              <w:snapToGrid w:val="0"/>
              <w:spacing w:line="390" w:lineRule="exact"/>
              <w:textAlignment w:val="bottom"/>
              <w:rPr>
                <w:rFonts w:hint="eastAsia" w:ascii="仿宋" w:hAnsi="仿宋" w:eastAsia="仿宋"/>
                <w:sz w:val="24"/>
                <w:highlight w:val="none"/>
              </w:rPr>
            </w:pPr>
            <w:r>
              <w:rPr>
                <w:rFonts w:hint="eastAsia" w:ascii="仿宋" w:hAnsi="仿宋" w:eastAsia="仿宋"/>
                <w:sz w:val="24"/>
                <w:highlight w:val="none"/>
              </w:rPr>
              <w:t>现场提交质疑办理业务时间：工作日，</w:t>
            </w:r>
            <w:r>
              <w:rPr>
                <w:rFonts w:hint="eastAsia" w:ascii="仿宋" w:hAnsi="仿宋" w:eastAsia="仿宋" w:cs="Arial"/>
                <w:sz w:val="24"/>
                <w:highlight w:val="none"/>
              </w:rPr>
              <w:t>上午8:00-12:00；下午15:00-18:00（北京时间）。</w:t>
            </w:r>
          </w:p>
        </w:tc>
      </w:tr>
      <w:tr w14:paraId="304D6D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2"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326F7639">
            <w:pPr>
              <w:spacing w:line="390" w:lineRule="exact"/>
              <w:jc w:val="center"/>
              <w:rPr>
                <w:rFonts w:hint="eastAsia" w:ascii="仿宋" w:hAnsi="仿宋" w:eastAsia="仿宋"/>
                <w:sz w:val="24"/>
                <w:highlight w:val="none"/>
              </w:rPr>
            </w:pPr>
            <w:bookmarkStart w:id="87" w:name="_42"/>
            <w:bookmarkEnd w:id="87"/>
            <w:bookmarkStart w:id="88" w:name="_41"/>
            <w:bookmarkEnd w:id="88"/>
            <w:bookmarkStart w:id="89" w:name="_Hlt17709148"/>
            <w:r>
              <w:rPr>
                <w:rFonts w:hint="eastAsia" w:ascii="仿宋" w:hAnsi="仿宋" w:eastAsia="仿宋"/>
                <w:sz w:val="24"/>
                <w:highlight w:val="none"/>
              </w:rPr>
              <w:t>3</w:t>
            </w:r>
            <w:bookmarkEnd w:id="89"/>
            <w:r>
              <w:rPr>
                <w:rFonts w:ascii="仿宋" w:hAnsi="仿宋" w:eastAsia="仿宋"/>
                <w:sz w:val="24"/>
                <w:highlight w:val="none"/>
              </w:rPr>
              <w:t>9</w:t>
            </w:r>
          </w:p>
        </w:tc>
        <w:tc>
          <w:tcPr>
            <w:tcW w:w="9275" w:type="dxa"/>
            <w:tcBorders>
              <w:top w:val="single" w:color="auto" w:sz="4" w:space="0"/>
              <w:left w:val="single" w:color="auto" w:sz="4" w:space="0"/>
              <w:bottom w:val="single" w:color="auto" w:sz="4" w:space="0"/>
              <w:right w:val="single" w:color="auto" w:sz="4" w:space="0"/>
            </w:tcBorders>
            <w:vAlign w:val="center"/>
          </w:tcPr>
          <w:p w14:paraId="18BE4EE3">
            <w:pPr>
              <w:pStyle w:val="25"/>
              <w:spacing w:before="0" w:after="0" w:line="400" w:lineRule="exact"/>
              <w:rPr>
                <w:rFonts w:hint="eastAsia"/>
                <w:highlight w:val="none"/>
              </w:rPr>
            </w:pPr>
            <w:r>
              <w:rPr>
                <w:rFonts w:hint="eastAsia"/>
                <w:highlight w:val="none"/>
              </w:rPr>
              <w:t>1、代理服务费支付方式：本项目的招标代理服务费按以下收费标准向中标人收取，领取中标通知书时，中标人应向采购代理机构一次付清招标代理服务费，否则采购代理机构有权不予以办理。</w:t>
            </w:r>
          </w:p>
          <w:p w14:paraId="27AA5882">
            <w:pPr>
              <w:pStyle w:val="25"/>
              <w:spacing w:before="0" w:after="0" w:line="400" w:lineRule="exact"/>
              <w:rPr>
                <w:rFonts w:hint="eastAsia"/>
                <w:highlight w:val="none"/>
              </w:rPr>
            </w:pPr>
            <w:r>
              <w:rPr>
                <w:rFonts w:hint="eastAsia"/>
                <w:highlight w:val="none"/>
              </w:rPr>
              <w:t>2、代理服务费收取标准：</w:t>
            </w:r>
          </w:p>
          <w:p w14:paraId="5C9848B5">
            <w:pPr>
              <w:pStyle w:val="25"/>
              <w:spacing w:before="0" w:after="0" w:line="400" w:lineRule="exact"/>
              <w:rPr>
                <w:rFonts w:hint="eastAsia"/>
                <w:highlight w:val="none"/>
              </w:rPr>
            </w:pPr>
            <w:r>
              <w:rPr>
                <w:highlight w:val="none"/>
              </w:rPr>
              <w:fldChar w:fldCharType="begin"/>
            </w:r>
            <w:r>
              <w:rPr>
                <w:highlight w:val="none"/>
              </w:rPr>
              <w:instrText xml:space="preserve"> </w:instrText>
            </w:r>
            <w:r>
              <w:rPr>
                <w:rFonts w:hint="eastAsia"/>
                <w:highlight w:val="none"/>
              </w:rPr>
              <w:instrText xml:space="preserve">eq \o\ac(□,</w:instrText>
            </w:r>
            <w:r>
              <w:rPr>
                <w:rFonts w:hint="eastAsia"/>
                <w:position w:val="2"/>
                <w:highlight w:val="none"/>
              </w:rPr>
              <w:instrText xml:space="preserve">√</w:instrText>
            </w:r>
            <w:r>
              <w:rPr>
                <w:rFonts w:hint="eastAsia"/>
                <w:highlight w:val="none"/>
              </w:rPr>
              <w:instrText xml:space="preserve">)</w:instrText>
            </w:r>
            <w:r>
              <w:rPr>
                <w:highlight w:val="none"/>
              </w:rPr>
              <w:fldChar w:fldCharType="end"/>
            </w:r>
            <w:bookmarkStart w:id="90" w:name="OLE_LINK20"/>
            <w:r>
              <w:rPr>
                <w:rFonts w:hint="eastAsia"/>
                <w:highlight w:val="none"/>
              </w:rPr>
              <w:t>以标项（</w:t>
            </w:r>
            <w:r>
              <w:rPr>
                <w:rFonts w:ascii="Segoe UI Symbol" w:hAnsi="Segoe UI Symbol" w:cs="Segoe UI Symbol"/>
                <w:highlight w:val="none"/>
              </w:rPr>
              <w:t>☑</w:t>
            </w:r>
            <w:r>
              <w:rPr>
                <w:rFonts w:hint="eastAsia"/>
                <w:highlight w:val="none"/>
              </w:rPr>
              <w:t>中标金额/□采购预算/）为计费额，按本须知正文第</w:t>
            </w:r>
            <w:r>
              <w:rPr>
                <w:highlight w:val="none"/>
              </w:rPr>
              <w:t>39</w:t>
            </w:r>
            <w:r>
              <w:rPr>
                <w:rFonts w:hint="eastAsia"/>
                <w:highlight w:val="none"/>
              </w:rPr>
              <w:t>.</w:t>
            </w:r>
            <w:r>
              <w:rPr>
                <w:highlight w:val="none"/>
              </w:rPr>
              <w:t>2</w:t>
            </w:r>
            <w:r>
              <w:rPr>
                <w:rFonts w:hint="eastAsia"/>
                <w:highlight w:val="none"/>
              </w:rPr>
              <w:t>条规定的收费计算标准（</w:t>
            </w:r>
            <w:r>
              <w:rPr>
                <w:rFonts w:ascii="Segoe UI Symbol" w:hAnsi="Segoe UI Symbol" w:cs="Segoe UI Symbol"/>
                <w:highlight w:val="none"/>
              </w:rPr>
              <w:t>☑</w:t>
            </w:r>
            <w:r>
              <w:rPr>
                <w:rFonts w:hint="eastAsia"/>
                <w:highlight w:val="none"/>
              </w:rPr>
              <w:t>货物招标/□服务招标/□工程招标）采用差额定率累进法计算出收费基准价格，采购代理服务费收费以（□收费基准价格/</w:t>
            </w:r>
            <w:r>
              <w:rPr>
                <w:rFonts w:ascii="Segoe UI Symbol" w:hAnsi="Segoe UI Symbol" w:cs="Segoe UI Symbol"/>
                <w:highlight w:val="none"/>
              </w:rPr>
              <w:t>☑</w:t>
            </w:r>
            <w:r>
              <w:rPr>
                <w:rFonts w:hint="eastAsia"/>
                <w:highlight w:val="none"/>
              </w:rPr>
              <w:t>收费基准价格下浮</w:t>
            </w:r>
            <w:r>
              <w:rPr>
                <w:rFonts w:hint="eastAsia"/>
                <w:highlight w:val="none"/>
                <w:u w:val="single"/>
              </w:rPr>
              <w:t xml:space="preserve"> </w:t>
            </w:r>
            <w:r>
              <w:rPr>
                <w:highlight w:val="none"/>
                <w:u w:val="single"/>
              </w:rPr>
              <w:t>20</w:t>
            </w:r>
            <w:r>
              <w:rPr>
                <w:rFonts w:hint="eastAsia"/>
                <w:highlight w:val="none"/>
                <w:u w:val="single"/>
              </w:rPr>
              <w:t>%</w:t>
            </w:r>
            <w:r>
              <w:rPr>
                <w:highlight w:val="none"/>
                <w:u w:val="single"/>
              </w:rPr>
              <w:t xml:space="preserve"> </w:t>
            </w:r>
            <w:r>
              <w:rPr>
                <w:highlight w:val="none"/>
              </w:rPr>
              <w:t>/</w:t>
            </w:r>
            <w:r>
              <w:rPr>
                <w:rFonts w:hint="eastAsia"/>
                <w:highlight w:val="none"/>
              </w:rPr>
              <w:t>□收费基准价格上浮</w:t>
            </w:r>
            <w:r>
              <w:rPr>
                <w:rFonts w:hint="eastAsia"/>
                <w:highlight w:val="none"/>
                <w:u w:val="single"/>
              </w:rPr>
              <w:t xml:space="preserve"> </w:t>
            </w:r>
            <w:r>
              <w:rPr>
                <w:highlight w:val="none"/>
                <w:u w:val="single"/>
              </w:rPr>
              <w:t xml:space="preserve"> / </w:t>
            </w:r>
            <w:r>
              <w:rPr>
                <w:rFonts w:hint="eastAsia"/>
                <w:highlight w:val="none"/>
              </w:rPr>
              <w:t>%）收取。</w:t>
            </w:r>
            <w:bookmarkEnd w:id="90"/>
          </w:p>
          <w:p w14:paraId="7450BCB4">
            <w:pPr>
              <w:pStyle w:val="25"/>
              <w:spacing w:before="0" w:after="0" w:line="400" w:lineRule="exact"/>
              <w:rPr>
                <w:rFonts w:hint="eastAsia"/>
                <w:highlight w:val="none"/>
              </w:rPr>
            </w:pPr>
            <w:r>
              <w:rPr>
                <w:rFonts w:hint="eastAsia"/>
                <w:highlight w:val="none"/>
              </w:rPr>
              <w:t>□固定采购代理收费：</w:t>
            </w:r>
            <w:r>
              <w:rPr>
                <w:rFonts w:hint="eastAsia"/>
                <w:highlight w:val="none"/>
                <w:u w:val="single"/>
              </w:rPr>
              <w:t xml:space="preserve"> </w:t>
            </w:r>
            <w:r>
              <w:rPr>
                <w:highlight w:val="none"/>
                <w:u w:val="single"/>
              </w:rPr>
              <w:t xml:space="preserve">   </w:t>
            </w:r>
            <w:r>
              <w:rPr>
                <w:rFonts w:hint="eastAsia"/>
                <w:highlight w:val="none"/>
                <w:u w:val="single"/>
              </w:rPr>
              <w:t>无</w:t>
            </w:r>
            <w:r>
              <w:rPr>
                <w:highlight w:val="none"/>
                <w:u w:val="single"/>
              </w:rPr>
              <w:t xml:space="preserve">     </w:t>
            </w:r>
          </w:p>
          <w:p w14:paraId="421F6C87">
            <w:pPr>
              <w:pStyle w:val="25"/>
              <w:spacing w:before="0" w:after="0" w:line="400" w:lineRule="exact"/>
              <w:rPr>
                <w:rFonts w:hint="eastAsia"/>
                <w:highlight w:val="none"/>
              </w:rPr>
            </w:pPr>
            <w:r>
              <w:rPr>
                <w:rFonts w:hint="eastAsia"/>
                <w:highlight w:val="none"/>
              </w:rPr>
              <w:t>3、代理服务费交纳账户信息</w:t>
            </w:r>
          </w:p>
          <w:p w14:paraId="7CF5B271">
            <w:pPr>
              <w:pStyle w:val="25"/>
              <w:spacing w:before="0" w:after="0" w:line="400" w:lineRule="exact"/>
              <w:rPr>
                <w:rFonts w:hint="eastAsia"/>
                <w:highlight w:val="none"/>
              </w:rPr>
            </w:pPr>
            <w:r>
              <w:rPr>
                <w:rFonts w:hint="eastAsia"/>
                <w:highlight w:val="none"/>
              </w:rPr>
              <w:t>开户名称：广西科文招标有限公司桂林分公司</w:t>
            </w:r>
          </w:p>
          <w:p w14:paraId="2FE8ED41">
            <w:pPr>
              <w:pStyle w:val="25"/>
              <w:spacing w:before="0" w:after="0" w:line="400" w:lineRule="exact"/>
              <w:rPr>
                <w:rFonts w:hint="eastAsia"/>
                <w:highlight w:val="none"/>
              </w:rPr>
            </w:pPr>
            <w:r>
              <w:rPr>
                <w:rFonts w:hint="eastAsia"/>
                <w:highlight w:val="none"/>
              </w:rPr>
              <w:t>开户银行：中国工商银行桂林市桂湖支行</w:t>
            </w:r>
          </w:p>
          <w:p w14:paraId="4D21FB97">
            <w:pPr>
              <w:pStyle w:val="25"/>
              <w:spacing w:before="0" w:after="0" w:line="400" w:lineRule="exact"/>
              <w:rPr>
                <w:rFonts w:hint="eastAsia"/>
                <w:highlight w:val="none"/>
              </w:rPr>
            </w:pPr>
            <w:r>
              <w:rPr>
                <w:rFonts w:hint="eastAsia"/>
                <w:highlight w:val="none"/>
              </w:rPr>
              <w:t>银行账号：210 3200 2093 0000 2088</w:t>
            </w:r>
          </w:p>
        </w:tc>
      </w:tr>
      <w:tr w14:paraId="0BC9A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56" w:type="dxa"/>
            <w:tcBorders>
              <w:top w:val="single" w:color="auto" w:sz="4" w:space="0"/>
              <w:left w:val="single" w:color="auto" w:sz="4" w:space="0"/>
              <w:bottom w:val="single" w:color="auto" w:sz="4" w:space="0"/>
              <w:right w:val="single" w:color="auto" w:sz="4" w:space="0"/>
            </w:tcBorders>
            <w:vAlign w:val="center"/>
          </w:tcPr>
          <w:p w14:paraId="40AE0C51">
            <w:pPr>
              <w:snapToGrid w:val="0"/>
              <w:spacing w:line="390" w:lineRule="exact"/>
              <w:jc w:val="center"/>
              <w:rPr>
                <w:rFonts w:hint="eastAsia" w:ascii="仿宋" w:hAnsi="仿宋" w:eastAsia="仿宋"/>
                <w:sz w:val="24"/>
                <w:highlight w:val="none"/>
              </w:rPr>
            </w:pPr>
            <w:r>
              <w:rPr>
                <w:rFonts w:ascii="仿宋" w:hAnsi="仿宋" w:eastAsia="仿宋"/>
                <w:sz w:val="24"/>
                <w:highlight w:val="none"/>
              </w:rPr>
              <w:t>40.1</w:t>
            </w:r>
          </w:p>
        </w:tc>
        <w:tc>
          <w:tcPr>
            <w:tcW w:w="9275" w:type="dxa"/>
            <w:tcBorders>
              <w:top w:val="single" w:color="auto" w:sz="4" w:space="0"/>
              <w:left w:val="single" w:color="auto" w:sz="4" w:space="0"/>
              <w:bottom w:val="single" w:color="auto" w:sz="4" w:space="0"/>
              <w:right w:val="single" w:color="auto" w:sz="4" w:space="0"/>
            </w:tcBorders>
            <w:vAlign w:val="center"/>
          </w:tcPr>
          <w:p w14:paraId="33FF8FD9">
            <w:pPr>
              <w:snapToGrid w:val="0"/>
              <w:spacing w:line="390" w:lineRule="exact"/>
              <w:rPr>
                <w:rFonts w:hint="eastAsia" w:ascii="仿宋" w:hAnsi="仿宋" w:eastAsia="仿宋"/>
                <w:sz w:val="24"/>
                <w:highlight w:val="none"/>
              </w:rPr>
            </w:pPr>
            <w:r>
              <w:rPr>
                <w:rFonts w:hint="eastAsia" w:ascii="仿宋" w:hAnsi="仿宋" w:eastAsia="仿宋"/>
                <w:sz w:val="24"/>
                <w:highlight w:val="none"/>
              </w:rPr>
              <w:t>解释：</w:t>
            </w:r>
            <w:r>
              <w:rPr>
                <w:rFonts w:ascii="仿宋" w:hAnsi="仿宋" w:eastAsia="仿宋"/>
                <w:sz w:val="24"/>
                <w:highlight w:val="none"/>
              </w:rPr>
              <w:t>构成本招标文件的各个组成文件应互为解释，互为说明；除招标文件中有特别规定外，仅适用于招标投标阶段的规定，按</w:t>
            </w:r>
            <w:r>
              <w:rPr>
                <w:rFonts w:hint="eastAsia" w:ascii="仿宋" w:hAnsi="仿宋" w:eastAsia="仿宋"/>
                <w:sz w:val="24"/>
                <w:highlight w:val="none"/>
              </w:rPr>
              <w:t>更正公告（澄清公告）</w:t>
            </w:r>
            <w:r>
              <w:rPr>
                <w:rFonts w:ascii="仿宋" w:hAnsi="仿宋" w:eastAsia="仿宋"/>
                <w:sz w:val="24"/>
                <w:highlight w:val="none"/>
              </w:rPr>
              <w:t>、招标公告、</w:t>
            </w:r>
            <w:r>
              <w:rPr>
                <w:rFonts w:hint="eastAsia" w:ascii="仿宋" w:hAnsi="仿宋" w:eastAsia="仿宋"/>
                <w:sz w:val="24"/>
                <w:highlight w:val="none"/>
              </w:rPr>
              <w:t>采购需求、</w:t>
            </w:r>
            <w:r>
              <w:rPr>
                <w:rFonts w:ascii="仿宋" w:hAnsi="仿宋" w:eastAsia="仿宋"/>
                <w:sz w:val="24"/>
                <w:highlight w:val="none"/>
              </w:rPr>
              <w:t>投标人须知、</w:t>
            </w:r>
            <w:r>
              <w:rPr>
                <w:rFonts w:hint="eastAsia" w:ascii="仿宋" w:hAnsi="仿宋" w:eastAsia="仿宋"/>
                <w:sz w:val="24"/>
                <w:highlight w:val="none"/>
              </w:rPr>
              <w:t>评标方法及评标标准</w:t>
            </w:r>
            <w:r>
              <w:rPr>
                <w:rFonts w:ascii="仿宋" w:hAnsi="仿宋" w:eastAsia="仿宋"/>
                <w:sz w:val="24"/>
                <w:highlight w:val="none"/>
              </w:rPr>
              <w:t>、</w:t>
            </w:r>
            <w:r>
              <w:rPr>
                <w:rFonts w:hint="eastAsia" w:ascii="仿宋" w:hAnsi="仿宋" w:eastAsia="仿宋"/>
                <w:sz w:val="24"/>
                <w:highlight w:val="none"/>
              </w:rPr>
              <w:t>拟签订的合同文本、</w:t>
            </w:r>
            <w:r>
              <w:rPr>
                <w:rFonts w:ascii="仿宋" w:hAnsi="仿宋" w:eastAsia="仿宋"/>
                <w:sz w:val="24"/>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仿宋" w:hAnsi="仿宋" w:eastAsia="仿宋"/>
                <w:sz w:val="24"/>
                <w:highlight w:val="none"/>
              </w:rPr>
              <w:t>更正公告（澄清公告）</w:t>
            </w:r>
            <w:r>
              <w:rPr>
                <w:rFonts w:ascii="仿宋" w:hAnsi="仿宋" w:eastAsia="仿宋"/>
                <w:sz w:val="24"/>
                <w:highlight w:val="none"/>
              </w:rPr>
              <w:t>与同步更新的招标文件不一致时以</w:t>
            </w:r>
            <w:r>
              <w:rPr>
                <w:rFonts w:hint="eastAsia" w:ascii="仿宋" w:hAnsi="仿宋" w:eastAsia="仿宋"/>
                <w:sz w:val="24"/>
                <w:highlight w:val="none"/>
              </w:rPr>
              <w:t>更正公告（澄清公告）</w:t>
            </w:r>
            <w:r>
              <w:rPr>
                <w:rFonts w:ascii="仿宋" w:hAnsi="仿宋" w:eastAsia="仿宋"/>
                <w:sz w:val="24"/>
                <w:highlight w:val="none"/>
              </w:rPr>
              <w:t>为准。按本款前述规定仍不能形成结论的，由</w:t>
            </w:r>
            <w:r>
              <w:rPr>
                <w:rFonts w:hint="eastAsia" w:ascii="仿宋" w:hAnsi="仿宋" w:eastAsia="仿宋"/>
                <w:sz w:val="24"/>
                <w:highlight w:val="none"/>
              </w:rPr>
              <w:t>采购</w:t>
            </w:r>
            <w:r>
              <w:rPr>
                <w:rFonts w:ascii="仿宋" w:hAnsi="仿宋" w:eastAsia="仿宋"/>
                <w:sz w:val="24"/>
                <w:highlight w:val="none"/>
              </w:rPr>
              <w:t>人</w:t>
            </w:r>
            <w:r>
              <w:rPr>
                <w:rFonts w:hint="eastAsia" w:ascii="仿宋" w:hAnsi="仿宋" w:eastAsia="仿宋"/>
                <w:sz w:val="24"/>
                <w:highlight w:val="none"/>
              </w:rPr>
              <w:t>或者采购代理机构</w:t>
            </w:r>
            <w:r>
              <w:rPr>
                <w:rFonts w:ascii="仿宋" w:hAnsi="仿宋" w:eastAsia="仿宋"/>
                <w:sz w:val="24"/>
                <w:highlight w:val="none"/>
              </w:rPr>
              <w:t>负责解释。</w:t>
            </w:r>
          </w:p>
        </w:tc>
      </w:tr>
      <w:tr w14:paraId="347B5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 w:hRule="atLeast"/>
          <w:jc w:val="center"/>
        </w:trPr>
        <w:tc>
          <w:tcPr>
            <w:tcW w:w="1056" w:type="dxa"/>
            <w:tcBorders>
              <w:top w:val="single" w:color="auto" w:sz="4" w:space="0"/>
              <w:left w:val="single" w:color="auto" w:sz="4" w:space="0"/>
              <w:bottom w:val="single" w:color="auto" w:sz="4" w:space="0"/>
              <w:right w:val="single" w:color="auto" w:sz="4" w:space="0"/>
            </w:tcBorders>
            <w:vAlign w:val="center"/>
          </w:tcPr>
          <w:p w14:paraId="4368EB5E">
            <w:pPr>
              <w:snapToGrid w:val="0"/>
              <w:spacing w:line="390" w:lineRule="exact"/>
              <w:jc w:val="center"/>
              <w:rPr>
                <w:rFonts w:hint="eastAsia" w:ascii="仿宋" w:hAnsi="仿宋" w:eastAsia="仿宋"/>
                <w:sz w:val="24"/>
                <w:highlight w:val="none"/>
              </w:rPr>
            </w:pPr>
            <w:r>
              <w:rPr>
                <w:rFonts w:ascii="仿宋" w:hAnsi="仿宋" w:eastAsia="仿宋"/>
                <w:sz w:val="24"/>
                <w:highlight w:val="none"/>
              </w:rPr>
              <w:t>40.2</w:t>
            </w:r>
          </w:p>
        </w:tc>
        <w:tc>
          <w:tcPr>
            <w:tcW w:w="9275" w:type="dxa"/>
            <w:tcBorders>
              <w:top w:val="single" w:color="auto" w:sz="4" w:space="0"/>
              <w:left w:val="single" w:color="auto" w:sz="4" w:space="0"/>
              <w:bottom w:val="single" w:color="auto" w:sz="4" w:space="0"/>
              <w:right w:val="single" w:color="auto" w:sz="4" w:space="0"/>
            </w:tcBorders>
            <w:vAlign w:val="center"/>
          </w:tcPr>
          <w:p w14:paraId="2881A153">
            <w:pPr>
              <w:pStyle w:val="25"/>
              <w:spacing w:before="0" w:after="0" w:line="380" w:lineRule="exact"/>
              <w:rPr>
                <w:rFonts w:hint="eastAsia"/>
                <w:highlight w:val="none"/>
              </w:rPr>
            </w:pPr>
            <w:r>
              <w:rPr>
                <w:rFonts w:hint="eastAsia"/>
                <w:highlight w:val="none"/>
              </w:rPr>
              <w:t>1、本招标文件中描述投标人的“公章”是指根据我国对公章的管理规定，用投标人法定主体行为名称制作的印章（含电子印章），除本招标文件有特殊规定外，投标人的财务章、部门章、分公司章、工会章、合同章、投标专用章、业务专用章及银行的转账章、现金收讫章、现金付讫章等其他形式印章均不能代替公章。</w:t>
            </w:r>
          </w:p>
          <w:p w14:paraId="6E695797">
            <w:pPr>
              <w:pStyle w:val="25"/>
              <w:spacing w:before="0" w:after="0" w:line="380" w:lineRule="exact"/>
              <w:rPr>
                <w:rFonts w:hint="eastAsia"/>
                <w:highlight w:val="none"/>
              </w:rPr>
            </w:pPr>
            <w:r>
              <w:rPr>
                <w:rFonts w:hint="eastAsia"/>
                <w:highlight w:val="none"/>
              </w:rPr>
              <w:t>2、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54987B44">
            <w:pPr>
              <w:pStyle w:val="25"/>
              <w:spacing w:before="0" w:after="0" w:line="380" w:lineRule="exact"/>
              <w:rPr>
                <w:rFonts w:hint="eastAsia"/>
                <w:highlight w:val="none"/>
              </w:rPr>
            </w:pPr>
            <w:r>
              <w:rPr>
                <w:rFonts w:hint="eastAsia"/>
                <w:highlight w:val="none"/>
              </w:rPr>
              <w:t>3、本招标文件中描述投标人的“签字”是指投标人的法定代表人或者委托代理人在文件规定签署处签名（含电子签名）的行为，私章、印鉴等其他形式均不能代替签字。</w:t>
            </w:r>
          </w:p>
          <w:p w14:paraId="0EC8684F">
            <w:pPr>
              <w:pStyle w:val="25"/>
              <w:spacing w:before="0" w:after="0" w:line="380" w:lineRule="exact"/>
              <w:rPr>
                <w:rFonts w:hint="eastAsia"/>
                <w:highlight w:val="none"/>
              </w:rPr>
            </w:pPr>
            <w:r>
              <w:rPr>
                <w:rFonts w:hint="eastAsia"/>
                <w:highlight w:val="none"/>
              </w:rPr>
              <w:t>4、自然人投标的，招标文件规定</w:t>
            </w:r>
            <w:r>
              <w:rPr>
                <w:rFonts w:hint="eastAsia"/>
                <w:highlight w:val="none"/>
                <w:lang w:eastAsia="zh-CN"/>
              </w:rPr>
              <w:t>盖CA公章</w:t>
            </w:r>
            <w:r>
              <w:rPr>
                <w:rFonts w:hint="eastAsia"/>
                <w:highlight w:val="none"/>
              </w:rPr>
              <w:t>处由自然人摁手指指印。</w:t>
            </w:r>
          </w:p>
          <w:p w14:paraId="7B95D987">
            <w:pPr>
              <w:pStyle w:val="25"/>
              <w:spacing w:before="0" w:after="0" w:line="380" w:lineRule="exact"/>
              <w:rPr>
                <w:rFonts w:hint="eastAsia"/>
                <w:highlight w:val="none"/>
              </w:rPr>
            </w:pPr>
            <w:r>
              <w:rPr>
                <w:rFonts w:hint="eastAsia"/>
                <w:highlight w:val="none"/>
              </w:rPr>
              <w:t>5、本招标文件所称的“以上”“以下”“以内”“届满”，包括本数；所称的“不满”“超过”“以外”，不包括本数。</w:t>
            </w:r>
          </w:p>
        </w:tc>
      </w:tr>
    </w:tbl>
    <w:p w14:paraId="1F71A753">
      <w:pPr>
        <w:pStyle w:val="4"/>
        <w:keepNext w:val="0"/>
        <w:keepLines w:val="0"/>
        <w:pageBreakBefore/>
        <w:spacing w:before="0" w:after="0" w:line="415" w:lineRule="auto"/>
        <w:jc w:val="center"/>
        <w:rPr>
          <w:rFonts w:hint="eastAsia" w:ascii="仿宋" w:hAnsi="仿宋" w:eastAsia="仿宋"/>
          <w:highlight w:val="none"/>
        </w:rPr>
      </w:pPr>
      <w:r>
        <w:rPr>
          <w:rFonts w:hint="eastAsia" w:ascii="仿宋" w:hAnsi="仿宋" w:eastAsia="仿宋"/>
          <w:highlight w:val="none"/>
        </w:rPr>
        <w:t>投标人须知正文</w:t>
      </w:r>
    </w:p>
    <w:p w14:paraId="5015DFE6">
      <w:pPr>
        <w:pStyle w:val="4"/>
        <w:keepNext w:val="0"/>
        <w:keepLines w:val="0"/>
        <w:spacing w:before="0" w:after="0" w:line="415" w:lineRule="auto"/>
        <w:jc w:val="center"/>
        <w:rPr>
          <w:rFonts w:hint="eastAsia" w:ascii="仿宋" w:hAnsi="仿宋" w:eastAsia="仿宋"/>
          <w:highlight w:val="none"/>
        </w:rPr>
      </w:pPr>
      <w:r>
        <w:rPr>
          <w:rFonts w:hint="eastAsia" w:ascii="仿宋" w:hAnsi="仿宋" w:eastAsia="仿宋"/>
          <w:highlight w:val="none"/>
        </w:rPr>
        <w:t>一、总  则</w:t>
      </w:r>
    </w:p>
    <w:p w14:paraId="6FCE8319">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91" w:name="_Toc254970527"/>
      <w:bookmarkStart w:id="92" w:name="_Toc254970668"/>
      <w:r>
        <w:rPr>
          <w:rFonts w:hint="eastAsia" w:ascii="仿宋" w:hAnsi="仿宋" w:eastAsia="仿宋"/>
          <w:sz w:val="24"/>
          <w:highlight w:val="none"/>
        </w:rPr>
        <w:t>1.适用范围</w:t>
      </w:r>
      <w:bookmarkEnd w:id="91"/>
      <w:bookmarkEnd w:id="92"/>
    </w:p>
    <w:p w14:paraId="773D2FD6">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CE0EAED">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1.2本招标文件</w:t>
      </w:r>
      <w:r>
        <w:rPr>
          <w:rFonts w:hint="eastAsia" w:ascii="仿宋" w:hAnsi="仿宋" w:eastAsia="仿宋" w:cs="宋体"/>
          <w:spacing w:val="-6"/>
          <w:sz w:val="24"/>
          <w:highlight w:val="none"/>
        </w:rPr>
        <w:t>适用于本项目的所有采购程序和环节（法律、法规另有规定的，从其规定）。</w:t>
      </w:r>
    </w:p>
    <w:p w14:paraId="1C1B1FED">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93" w:name="_Toc254970528"/>
      <w:bookmarkStart w:id="94" w:name="_Toc254970669"/>
      <w:r>
        <w:rPr>
          <w:rFonts w:hint="eastAsia" w:ascii="仿宋" w:hAnsi="仿宋" w:eastAsia="仿宋"/>
          <w:sz w:val="24"/>
          <w:highlight w:val="none"/>
        </w:rPr>
        <w:t>2.定义</w:t>
      </w:r>
      <w:bookmarkEnd w:id="93"/>
      <w:bookmarkEnd w:id="94"/>
    </w:p>
    <w:p w14:paraId="5161A2C4">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2.1“采购人”是指依法进行政府采购的国家机关、事业单位、团体组织。</w:t>
      </w:r>
    </w:p>
    <w:p w14:paraId="04425C77">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2.2“采购代理机构”是指政府采购集中采购机构和集中采购机构以外的采购代理机构。</w:t>
      </w:r>
    </w:p>
    <w:p w14:paraId="7234A945">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2.3“供应商”是指向采购人提供货物、工程或者服务的法人、其他组织或者自然人。</w:t>
      </w:r>
    </w:p>
    <w:p w14:paraId="3BA7C5D3">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2.4“投标人”是指响应招标、参加投标竞争的法人、其他组织或者自然人。</w:t>
      </w:r>
    </w:p>
    <w:p w14:paraId="29F385A6">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2.5“货物”是指各种形态和种类的物品，包括原材料、燃料、设备、产品等。</w:t>
      </w:r>
    </w:p>
    <w:p w14:paraId="704D99D2">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2.6“售后服务” 是指商品出售以后所提供的各种服务，包含但不限于投标人须承担的备品备件、包装、运输、装卸、保险、货到就位以及安装、调试、培训、保修以及其他各种服务.</w:t>
      </w:r>
    </w:p>
    <w:p w14:paraId="6F243BBC">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2.7“书面形式”是指合同书、信件和数据电文（包括电报、电传、传真、电子数据交换和电子邮件）等可以有形地表现所载内容的形式。</w:t>
      </w:r>
    </w:p>
    <w:p w14:paraId="4865E1C3">
      <w:pPr>
        <w:pStyle w:val="6"/>
        <w:keepNext w:val="0"/>
        <w:keepLines w:val="0"/>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2.8“实质性要求”是指招标文件中已经指明不满足则投标无效的条款，或者不能负偏离的条款，或者采购需求中带</w:t>
      </w:r>
      <w:r>
        <w:rPr>
          <w:rFonts w:hint="eastAsia" w:ascii="仿宋" w:hAnsi="仿宋" w:eastAsia="仿宋"/>
          <w:b w:val="0"/>
          <w:color w:val="auto"/>
          <w:sz w:val="24"/>
          <w:highlight w:val="none"/>
        </w:rPr>
        <w:t>“</w:t>
      </w:r>
      <w:r>
        <w:rPr>
          <w:rFonts w:hint="eastAsia" w:ascii="仿宋" w:hAnsi="仿宋" w:eastAsia="仿宋" w:cs="仿宋"/>
          <w:color w:val="auto"/>
          <w:sz w:val="24"/>
          <w:highlight w:val="none"/>
          <w:lang w:val="en-US" w:eastAsia="zh-CN"/>
        </w:rPr>
        <w:t>▲</w:t>
      </w:r>
      <w:r>
        <w:rPr>
          <w:rFonts w:hint="eastAsia" w:ascii="仿宋" w:hAnsi="仿宋" w:eastAsia="仿宋"/>
          <w:b w:val="0"/>
          <w:color w:val="auto"/>
          <w:sz w:val="24"/>
          <w:highlight w:val="none"/>
        </w:rPr>
        <w:t>”</w:t>
      </w:r>
      <w:r>
        <w:rPr>
          <w:rFonts w:hint="eastAsia" w:ascii="仿宋" w:hAnsi="仿宋" w:eastAsia="仿宋"/>
          <w:b w:val="0"/>
          <w:sz w:val="24"/>
          <w:highlight w:val="none"/>
        </w:rPr>
        <w:t>的条款。</w:t>
      </w:r>
    </w:p>
    <w:p w14:paraId="50FCF893">
      <w:pPr>
        <w:snapToGrid w:val="0"/>
        <w:spacing w:line="360" w:lineRule="auto"/>
        <w:ind w:firstLine="480" w:firstLineChars="200"/>
        <w:jc w:val="left"/>
        <w:rPr>
          <w:rFonts w:hint="eastAsia" w:ascii="仿宋" w:hAnsi="仿宋" w:eastAsia="仿宋" w:cs="宋体"/>
          <w:sz w:val="24"/>
          <w:highlight w:val="none"/>
        </w:rPr>
      </w:pPr>
      <w:r>
        <w:rPr>
          <w:rFonts w:hint="eastAsia" w:ascii="仿宋" w:hAnsi="仿宋" w:eastAsia="仿宋"/>
          <w:sz w:val="24"/>
          <w:highlight w:val="none"/>
        </w:rPr>
        <w:t xml:space="preserve">2.9 </w:t>
      </w:r>
      <w:r>
        <w:rPr>
          <w:rFonts w:hint="eastAsia" w:ascii="仿宋" w:hAnsi="仿宋" w:eastAsia="仿宋" w:cs="宋体"/>
          <w:sz w:val="24"/>
          <w:highlight w:val="none"/>
        </w:rPr>
        <w:t>“正偏离”，是指投标文件对招标文件“采购需求”中有关条款作出的响应优于条款要求并有利于采购人的情形。</w:t>
      </w:r>
    </w:p>
    <w:p w14:paraId="3EC311EF">
      <w:pPr>
        <w:snapToGrid w:val="0"/>
        <w:spacing w:line="360" w:lineRule="auto"/>
        <w:ind w:firstLine="480" w:firstLineChars="200"/>
        <w:jc w:val="left"/>
        <w:rPr>
          <w:rFonts w:hint="eastAsia" w:ascii="仿宋" w:hAnsi="仿宋" w:eastAsia="仿宋" w:cs="宋体"/>
          <w:sz w:val="24"/>
          <w:highlight w:val="none"/>
        </w:rPr>
      </w:pPr>
      <w:r>
        <w:rPr>
          <w:rFonts w:ascii="仿宋" w:hAnsi="仿宋" w:eastAsia="仿宋" w:cs="宋体"/>
          <w:sz w:val="24"/>
          <w:highlight w:val="none"/>
        </w:rPr>
        <w:t>2.10</w:t>
      </w:r>
      <w:r>
        <w:rPr>
          <w:rFonts w:hint="eastAsia" w:ascii="仿宋" w:hAnsi="仿宋" w:eastAsia="仿宋" w:cs="宋体"/>
          <w:sz w:val="24"/>
          <w:highlight w:val="none"/>
        </w:rPr>
        <w:t>“负偏离”，是指投标文件对招标文件“采购需求”中有关条款作出的响应不满足条款要求，导致采购人要求不能得到满足的情形。</w:t>
      </w:r>
    </w:p>
    <w:p w14:paraId="28A92FE0">
      <w:pPr>
        <w:snapToGrid w:val="0"/>
        <w:spacing w:line="360" w:lineRule="auto"/>
        <w:ind w:firstLine="480" w:firstLineChars="200"/>
        <w:jc w:val="left"/>
        <w:rPr>
          <w:rFonts w:hint="eastAsia" w:ascii="仿宋" w:hAnsi="仿宋" w:eastAsia="仿宋" w:cs="宋体"/>
          <w:sz w:val="24"/>
          <w:highlight w:val="none"/>
        </w:rPr>
      </w:pPr>
      <w:r>
        <w:rPr>
          <w:rFonts w:hint="eastAsia" w:ascii="仿宋" w:hAnsi="仿宋" w:eastAsia="仿宋"/>
          <w:sz w:val="24"/>
          <w:highlight w:val="none"/>
        </w:rPr>
        <w:t>2.1</w:t>
      </w:r>
      <w:r>
        <w:rPr>
          <w:rFonts w:ascii="仿宋" w:hAnsi="仿宋" w:eastAsia="仿宋"/>
          <w:sz w:val="24"/>
          <w:highlight w:val="none"/>
        </w:rPr>
        <w:t>1</w:t>
      </w:r>
      <w:r>
        <w:rPr>
          <w:rFonts w:hint="eastAsia" w:ascii="仿宋" w:hAnsi="仿宋" w:eastAsia="仿宋" w:cs="宋体"/>
          <w:sz w:val="24"/>
          <w:highlight w:val="none"/>
        </w:rPr>
        <w:t>“允许负偏离的条款”是指采购需求中的不属于“实质性要求”的条款。</w:t>
      </w:r>
      <w:bookmarkStart w:id="95" w:name="_Toc254970529"/>
      <w:bookmarkStart w:id="96" w:name="_Toc254970670"/>
    </w:p>
    <w:p w14:paraId="276C0A37">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3.</w:t>
      </w:r>
      <w:bookmarkEnd w:id="95"/>
      <w:bookmarkEnd w:id="96"/>
      <w:r>
        <w:rPr>
          <w:rFonts w:hint="eastAsia" w:ascii="仿宋" w:hAnsi="仿宋" w:eastAsia="仿宋"/>
          <w:sz w:val="24"/>
          <w:highlight w:val="none"/>
        </w:rPr>
        <w:t>投标人的资格要求</w:t>
      </w:r>
    </w:p>
    <w:p w14:paraId="76A8E434">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投标人的资格要求详见“投标人须知前附表”。</w:t>
      </w:r>
    </w:p>
    <w:p w14:paraId="7697DF5B">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97" w:name="_Toc254970530"/>
      <w:bookmarkStart w:id="98" w:name="_Toc254970671"/>
      <w:r>
        <w:rPr>
          <w:rFonts w:hint="eastAsia" w:ascii="仿宋" w:hAnsi="仿宋" w:eastAsia="仿宋"/>
          <w:sz w:val="24"/>
          <w:highlight w:val="none"/>
        </w:rPr>
        <w:t>4.投标委托</w:t>
      </w:r>
      <w:bookmarkEnd w:id="97"/>
      <w:bookmarkEnd w:id="98"/>
    </w:p>
    <w:p w14:paraId="3F987330">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投标人代表参加投标活动过程中必须携带个人有效身份证件。如投标人代表不是法定代表人，须持有授权委托书（按第六章要求格式填写）。</w:t>
      </w:r>
    </w:p>
    <w:p w14:paraId="658051EF">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99" w:name="_5.投标费用"/>
      <w:bookmarkEnd w:id="99"/>
      <w:bookmarkStart w:id="100" w:name="_Toc254970672"/>
      <w:bookmarkStart w:id="101" w:name="_Toc254970531"/>
      <w:r>
        <w:rPr>
          <w:rFonts w:hint="eastAsia" w:ascii="仿宋" w:hAnsi="仿宋" w:eastAsia="仿宋"/>
          <w:sz w:val="24"/>
          <w:highlight w:val="none"/>
        </w:rPr>
        <w:t>5.投标费用</w:t>
      </w:r>
      <w:bookmarkEnd w:id="100"/>
      <w:bookmarkEnd w:id="101"/>
    </w:p>
    <w:p w14:paraId="732E1406">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cs="宋体"/>
          <w:sz w:val="24"/>
          <w:highlight w:val="none"/>
        </w:rPr>
        <w:t>投标费用：投标人应承担参与本次采购活动有关的所有费用，包括但不限于获取招标文件、勘查现场、编制和提交投标文件、参加澄清说明、签订合同等，不论投标结果如何，均应自行承担。</w:t>
      </w:r>
    </w:p>
    <w:p w14:paraId="5F29B785">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6.联合体投标</w:t>
      </w:r>
    </w:p>
    <w:p w14:paraId="4937BFA3">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6.1本项目是否接受联合体投标，详见“投标人须知前附表”。</w:t>
      </w:r>
    </w:p>
    <w:p w14:paraId="76732012">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 xml:space="preserve">7.转包与分包             </w:t>
      </w:r>
    </w:p>
    <w:p w14:paraId="258F0429">
      <w:pPr>
        <w:snapToGrid w:val="0"/>
        <w:spacing w:line="360" w:lineRule="auto"/>
        <w:ind w:firstLine="480" w:firstLineChars="200"/>
        <w:jc w:val="left"/>
        <w:rPr>
          <w:rFonts w:hint="eastAsia" w:ascii="仿宋" w:hAnsi="仿宋" w:eastAsia="仿宋"/>
          <w:b w:val="0"/>
          <w:sz w:val="24"/>
          <w:highlight w:val="none"/>
        </w:rPr>
      </w:pPr>
      <w:r>
        <w:rPr>
          <w:rFonts w:hint="eastAsia" w:ascii="仿宋" w:hAnsi="仿宋" w:eastAsia="仿宋"/>
          <w:b w:val="0"/>
          <w:sz w:val="24"/>
          <w:highlight w:val="none"/>
        </w:rPr>
        <w:t>7.1本项目不允许转包。</w:t>
      </w:r>
    </w:p>
    <w:p w14:paraId="1E2ABDAD">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718B4872">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0E0B197B">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02" w:name="_Toc254970532"/>
      <w:bookmarkStart w:id="103" w:name="_Toc254970673"/>
      <w:r>
        <w:rPr>
          <w:rFonts w:hint="eastAsia" w:ascii="仿宋" w:hAnsi="仿宋" w:eastAsia="仿宋"/>
          <w:sz w:val="24"/>
          <w:highlight w:val="none"/>
        </w:rPr>
        <w:t>8.特别说明</w:t>
      </w:r>
      <w:bookmarkEnd w:id="102"/>
      <w:bookmarkEnd w:id="103"/>
    </w:p>
    <w:p w14:paraId="67FD27D8">
      <w:pPr>
        <w:pStyle w:val="6"/>
        <w:keepNext w:val="0"/>
        <w:keepLines w:val="0"/>
        <w:spacing w:before="0" w:after="0" w:line="360" w:lineRule="auto"/>
        <w:ind w:firstLine="480" w:firstLineChars="200"/>
        <w:rPr>
          <w:rFonts w:hint="eastAsia" w:ascii="仿宋" w:hAnsi="仿宋" w:eastAsia="仿宋"/>
          <w:b w:val="0"/>
          <w:sz w:val="24"/>
          <w:highlight w:val="none"/>
        </w:rPr>
      </w:pPr>
      <w:bookmarkStart w:id="104" w:name="_8.1提供相同品牌产品且通过资格审查、符合性审查的不同投标人参加同一合"/>
      <w:bookmarkEnd w:id="104"/>
      <w:r>
        <w:rPr>
          <w:rFonts w:ascii="仿宋" w:hAnsi="仿宋" w:eastAsia="仿宋"/>
          <w:b w:val="0"/>
          <w:sz w:val="24"/>
          <w:highlight w:val="none"/>
        </w:rPr>
        <w:fldChar w:fldCharType="begin"/>
      </w:r>
      <w:r>
        <w:rPr>
          <w:rFonts w:ascii="仿宋" w:hAnsi="仿宋" w:eastAsia="仿宋"/>
          <w:b w:val="0"/>
          <w:sz w:val="24"/>
          <w:highlight w:val="none"/>
        </w:rPr>
        <w:instrText xml:space="preserve"> HYPERLINK  \l "_8.1" </w:instrText>
      </w:r>
      <w:r>
        <w:rPr>
          <w:rFonts w:ascii="仿宋" w:hAnsi="仿宋" w:eastAsia="仿宋"/>
          <w:b w:val="0"/>
          <w:sz w:val="24"/>
          <w:highlight w:val="none"/>
        </w:rPr>
        <w:fldChar w:fldCharType="separate"/>
      </w:r>
      <w:r>
        <w:rPr>
          <w:rFonts w:hint="eastAsia" w:ascii="仿宋" w:hAnsi="仿宋" w:eastAsia="仿宋"/>
          <w:b w:val="0"/>
          <w:sz w:val="24"/>
          <w:highlight w:val="none"/>
        </w:rPr>
        <w:t>8.1</w:t>
      </w:r>
      <w:r>
        <w:rPr>
          <w:rFonts w:ascii="仿宋" w:hAnsi="仿宋" w:eastAsia="仿宋"/>
          <w:b w:val="0"/>
          <w:sz w:val="24"/>
          <w:highlight w:val="none"/>
        </w:rPr>
        <w:fldChar w:fldCharType="end"/>
      </w:r>
      <w:r>
        <w:rPr>
          <w:rFonts w:hint="eastAsia" w:ascii="仿宋" w:hAnsi="仿宋" w:eastAsia="仿宋"/>
          <w:b w:val="0"/>
          <w:sz w:val="24"/>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其他投标无效。</w:t>
      </w:r>
    </w:p>
    <w:p w14:paraId="1A8482D6">
      <w:pPr>
        <w:pStyle w:val="6"/>
        <w:keepNext w:val="0"/>
        <w:keepLines w:val="0"/>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5E67715A">
      <w:pPr>
        <w:pStyle w:val="25"/>
        <w:rPr>
          <w:rFonts w:hint="eastAsia"/>
          <w:highlight w:val="none"/>
        </w:rPr>
      </w:pPr>
      <w:r>
        <w:rPr>
          <w:rFonts w:hint="eastAsia"/>
          <w:highlight w:val="none"/>
        </w:rPr>
        <w:t>非单一产品采购项目，多家投标人提供的核心产品品牌相同的，按前两款规定处理。</w:t>
      </w:r>
    </w:p>
    <w:p w14:paraId="0B17D016">
      <w:pPr>
        <w:pStyle w:val="6"/>
        <w:keepNext w:val="0"/>
        <w:keepLines w:val="0"/>
        <w:spacing w:before="0" w:after="0" w:line="360" w:lineRule="auto"/>
        <w:ind w:firstLine="420" w:firstLineChars="175"/>
        <w:rPr>
          <w:rFonts w:hint="eastAsia" w:ascii="仿宋" w:hAnsi="仿宋" w:eastAsia="仿宋"/>
          <w:b w:val="0"/>
          <w:sz w:val="24"/>
          <w:highlight w:val="none"/>
        </w:rPr>
      </w:pPr>
      <w:r>
        <w:rPr>
          <w:rFonts w:hint="eastAsia" w:ascii="仿宋" w:hAnsi="仿宋" w:eastAsia="仿宋"/>
          <w:b w:val="0"/>
          <w:sz w:val="24"/>
          <w:highlight w:val="none"/>
        </w:rPr>
        <w:t xml:space="preserve"> 8.2如果本招标文件要求提供投标人或制造商的资格、信誉、荣誉、业绩与企业认证等材料的，资格、信誉、荣誉、业绩与企业认证等必须为投标人或者制造商所拥有或自身获得 。</w:t>
      </w:r>
    </w:p>
    <w:p w14:paraId="308A4C3F">
      <w:pPr>
        <w:pStyle w:val="6"/>
        <w:keepNext w:val="0"/>
        <w:keepLines w:val="0"/>
        <w:spacing w:before="0" w:after="0" w:line="360" w:lineRule="auto"/>
        <w:ind w:firstLine="420" w:firstLineChars="175"/>
        <w:rPr>
          <w:rFonts w:hint="eastAsia" w:ascii="仿宋" w:hAnsi="仿宋" w:eastAsia="仿宋"/>
          <w:b w:val="0"/>
          <w:sz w:val="24"/>
          <w:highlight w:val="none"/>
        </w:rPr>
      </w:pPr>
      <w:r>
        <w:rPr>
          <w:rFonts w:hint="eastAsia" w:ascii="仿宋" w:hAnsi="仿宋" w:eastAsia="仿宋"/>
          <w:b w:val="0"/>
          <w:sz w:val="24"/>
          <w:highlight w:val="none"/>
        </w:rPr>
        <w:t xml:space="preserve"> 8.3投标人应仔细阅读招标文件的所有内容，按照招标文件的要求提交投标文件，并对所提供的全部资料的真实性承担法律责任。</w:t>
      </w:r>
    </w:p>
    <w:p w14:paraId="20BD2422">
      <w:pPr>
        <w:pStyle w:val="6"/>
        <w:keepNext w:val="0"/>
        <w:keepLines w:val="0"/>
        <w:spacing w:before="0" w:after="0" w:line="360" w:lineRule="auto"/>
        <w:ind w:firstLine="420" w:firstLineChars="175"/>
        <w:rPr>
          <w:rFonts w:hint="eastAsia" w:ascii="仿宋" w:hAnsi="仿宋" w:eastAsia="仿宋"/>
          <w:b w:val="0"/>
          <w:sz w:val="24"/>
          <w:highlight w:val="none"/>
        </w:rPr>
      </w:pPr>
      <w:r>
        <w:rPr>
          <w:rFonts w:hint="eastAsia" w:ascii="仿宋" w:hAnsi="仿宋" w:eastAsia="仿宋"/>
          <w:b w:val="0"/>
          <w:sz w:val="24"/>
          <w:highlight w:val="none"/>
        </w:rPr>
        <w:t xml:space="preserve"> 8.4投标人在投标活动中提供任何虚假材料，将报监管部门查处；中标后发现的，中标人须依法赔偿采购人，且民事赔偿并不免除违法投标人的行政与刑事责任。</w:t>
      </w:r>
    </w:p>
    <w:p w14:paraId="02093889">
      <w:pPr>
        <w:pStyle w:val="6"/>
        <w:keepNext w:val="0"/>
        <w:keepLines w:val="0"/>
        <w:spacing w:before="0" w:after="0" w:line="360" w:lineRule="auto"/>
        <w:ind w:firstLine="420" w:firstLineChars="175"/>
        <w:rPr>
          <w:rFonts w:ascii="仿宋" w:hAnsi="仿宋" w:eastAsia="仿宋" w:cs="仿宋"/>
          <w:color w:val="auto"/>
          <w:sz w:val="24"/>
        </w:rPr>
      </w:pPr>
      <w:r>
        <w:rPr>
          <w:rFonts w:hint="eastAsia" w:ascii="仿宋" w:hAnsi="仿宋" w:eastAsia="仿宋"/>
          <w:b w:val="0"/>
          <w:color w:val="0000FF"/>
          <w:sz w:val="24"/>
          <w:highlight w:val="none"/>
          <w:lang w:val="en-US" w:eastAsia="zh-CN"/>
        </w:rPr>
        <w:t xml:space="preserve"> </w:t>
      </w:r>
      <w:r>
        <w:rPr>
          <w:rFonts w:hint="eastAsia" w:ascii="仿宋" w:hAnsi="仿宋" w:eastAsia="仿宋" w:cs="仿宋"/>
          <w:color w:val="auto"/>
          <w:sz w:val="24"/>
        </w:rPr>
        <w:t>8.5本国产品标准</w:t>
      </w:r>
    </w:p>
    <w:p w14:paraId="2B52BBE6">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本国产品应当符合以下条件：</w:t>
      </w:r>
    </w:p>
    <w:p w14:paraId="2F458202">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（一）在中国境内生产</w:t>
      </w:r>
    </w:p>
    <w:p w14:paraId="5B7D6726">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产品应当在中国境内生产，即在中华人民共和国关境内实现从原材料、组件到产品的属性改变。</w:t>
      </w:r>
    </w:p>
    <w:p w14:paraId="4A989C5B">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属性改变是指经过制造、加工或者组装等工序，产生完全不同于原材料、组件的新产品，并具有新的名称和特征（用途）。属性改变不包括以下细微操作：</w:t>
      </w:r>
    </w:p>
    <w:p w14:paraId="4A945F99">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1.为确保产品在运输或者储存期间保持某种状态而进行的操作；</w:t>
      </w:r>
    </w:p>
    <w:p w14:paraId="2C73A0C3">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2.为产品运输或者销售进行的包装或者展示；</w:t>
      </w:r>
    </w:p>
    <w:p w14:paraId="4B27406E">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3.在产品或者其包装上粘贴或者印刷品牌、标志、标识以及其他用于区别的标记；</w:t>
      </w:r>
    </w:p>
    <w:p w14:paraId="498C6D96">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4.简单的上漆、磨光和分装；</w:t>
      </w:r>
    </w:p>
    <w:p w14:paraId="0127FE24">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5.其他不属于属性改变的情形。</w:t>
      </w:r>
    </w:p>
    <w:p w14:paraId="52FD475D">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（二）在中国境内生产的组件成本占比达到规定比例</w:t>
      </w:r>
    </w:p>
    <w:p w14:paraId="5714B683">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产品在中国境内生产的组件成本占比应当达到规定比例，计算公式为：</w:t>
      </w:r>
    </w:p>
    <w:p w14:paraId="19EF1FB5">
      <w:pPr>
        <w:pStyle w:val="25"/>
        <w:spacing w:before="120" w:after="120" w:line="360" w:lineRule="auto"/>
        <w:ind w:firstLine="422" w:firstLineChars="200"/>
        <w:contextualSpacing/>
        <w:rPr>
          <w:rFonts w:hint="eastAsia" w:hAnsi="宋体" w:cs="宋体"/>
          <w:color w:val="auto"/>
          <w:sz w:val="21"/>
        </w:rPr>
      </w:pPr>
      <w:r>
        <w:rPr>
          <w:rFonts w:hint="eastAsia" w:hAnsi="宋体" w:cs="宋体"/>
          <w:color w:val="auto"/>
          <w:sz w:val="21"/>
        </w:rPr>
        <w:drawing>
          <wp:inline distT="0" distB="0" distL="114300" distR="114300">
            <wp:extent cx="4829175" cy="762000"/>
            <wp:effectExtent l="0" t="0" r="9525"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5"/>
                    <a:stretch>
                      <a:fillRect/>
                    </a:stretch>
                  </pic:blipFill>
                  <pic:spPr>
                    <a:xfrm>
                      <a:off x="0" y="0"/>
                      <a:ext cx="4829175" cy="762000"/>
                    </a:xfrm>
                    <a:prstGeom prst="rect">
                      <a:avLst/>
                    </a:prstGeom>
                    <a:noFill/>
                    <a:ln w="9525">
                      <a:noFill/>
                    </a:ln>
                  </pic:spPr>
                </pic:pic>
              </a:graphicData>
            </a:graphic>
          </wp:inline>
        </w:drawing>
      </w:r>
    </w:p>
    <w:p w14:paraId="1AB72A77">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821EDD1">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（三）特定产品的关键组件、关键工序符合相关要求</w:t>
      </w:r>
    </w:p>
    <w:p w14:paraId="792E782A">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对特定产品，在符合本通知第一条第（一）项和第（二）项条件的基础上，应当符合财政部会同有关行业主管部门确定的其关键组件、关键工序在中国境内生产、完成等要求。</w:t>
      </w:r>
    </w:p>
    <w:p w14:paraId="0BF1C98E">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4B60E336">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四</w:t>
      </w:r>
      <w:r>
        <w:rPr>
          <w:rFonts w:hint="eastAsia" w:ascii="仿宋" w:hAnsi="仿宋" w:eastAsia="仿宋" w:cs="仿宋"/>
          <w:color w:val="auto"/>
          <w:sz w:val="24"/>
          <w:lang w:eastAsia="zh-CN"/>
        </w:rPr>
        <w:t>）</w:t>
      </w:r>
      <w:r>
        <w:rPr>
          <w:rFonts w:hint="eastAsia" w:ascii="仿宋" w:hAnsi="仿宋" w:eastAsia="仿宋" w:cs="仿宋"/>
          <w:color w:val="auto"/>
          <w:sz w:val="24"/>
        </w:rPr>
        <w:t>本国产品标准的适用范围</w:t>
      </w:r>
    </w:p>
    <w:p w14:paraId="176590C3">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0816DF0">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五</w:t>
      </w:r>
      <w:r>
        <w:rPr>
          <w:rFonts w:hint="eastAsia" w:ascii="仿宋" w:hAnsi="仿宋" w:eastAsia="仿宋" w:cs="仿宋"/>
          <w:color w:val="auto"/>
          <w:sz w:val="24"/>
          <w:lang w:eastAsia="zh-CN"/>
        </w:rPr>
        <w:t>）</w:t>
      </w:r>
      <w:r>
        <w:rPr>
          <w:rFonts w:hint="eastAsia" w:ascii="仿宋" w:hAnsi="仿宋" w:eastAsia="仿宋" w:cs="仿宋"/>
          <w:color w:val="auto"/>
          <w:sz w:val="24"/>
        </w:rPr>
        <w:t>对本国产品的支持政策</w:t>
      </w:r>
    </w:p>
    <w:p w14:paraId="094E7545">
      <w:pPr>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政府采购活动中既有本国产品又有非本国产品参与竞争的，依法对本国产品给予价格评审优惠，对本国产品的报价给予20%的价格扣除，用扣除后的价格参与评审。</w:t>
      </w:r>
    </w:p>
    <w:p w14:paraId="7BF51F7E">
      <w:pPr>
        <w:spacing w:line="360" w:lineRule="auto"/>
        <w:ind w:firstLine="480" w:firstLineChars="200"/>
        <w:contextualSpacing/>
        <w:rPr>
          <w:rFonts w:hint="eastAsia" w:eastAsia="仿宋"/>
          <w:color w:val="auto"/>
          <w:lang w:val="en-US" w:eastAsia="zh-CN"/>
        </w:rPr>
      </w:pPr>
      <w:r>
        <w:rPr>
          <w:rFonts w:hint="eastAsia" w:ascii="仿宋" w:hAnsi="仿宋" w:eastAsia="仿宋" w:cs="仿宋"/>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9B88E05">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ascii="仿宋" w:hAnsi="仿宋" w:eastAsia="仿宋"/>
          <w:sz w:val="24"/>
          <w:highlight w:val="none"/>
        </w:rPr>
        <w:t>9.</w:t>
      </w:r>
      <w:r>
        <w:rPr>
          <w:rFonts w:hint="eastAsia" w:ascii="仿宋" w:hAnsi="仿宋" w:eastAsia="仿宋"/>
          <w:sz w:val="24"/>
          <w:highlight w:val="none"/>
        </w:rPr>
        <w:t>回避与串通投标</w:t>
      </w:r>
    </w:p>
    <w:p w14:paraId="051FC3E3">
      <w:pPr>
        <w:pStyle w:val="6"/>
        <w:keepNext w:val="0"/>
        <w:keepLines w:val="0"/>
        <w:spacing w:before="0" w:after="0" w:line="360" w:lineRule="auto"/>
        <w:ind w:firstLine="420" w:firstLineChars="175"/>
        <w:rPr>
          <w:rFonts w:hint="eastAsia" w:ascii="仿宋" w:hAnsi="仿宋" w:eastAsia="仿宋"/>
          <w:b w:val="0"/>
          <w:sz w:val="24"/>
          <w:highlight w:val="none"/>
        </w:rPr>
      </w:pPr>
      <w:r>
        <w:rPr>
          <w:rFonts w:hint="eastAsia" w:ascii="仿宋" w:hAnsi="仿宋" w:eastAsia="仿宋"/>
          <w:b w:val="0"/>
          <w:sz w:val="24"/>
          <w:highlight w:val="none"/>
        </w:rPr>
        <w:t>9</w:t>
      </w:r>
      <w:r>
        <w:rPr>
          <w:rFonts w:ascii="仿宋" w:hAnsi="仿宋" w:eastAsia="仿宋"/>
          <w:b w:val="0"/>
          <w:sz w:val="24"/>
          <w:highlight w:val="none"/>
        </w:rPr>
        <w:t>.1在政府采购活动中，采购人员及相关人员与</w:t>
      </w:r>
      <w:r>
        <w:rPr>
          <w:rFonts w:hint="eastAsia" w:ascii="仿宋" w:hAnsi="仿宋" w:eastAsia="仿宋"/>
          <w:b w:val="0"/>
          <w:sz w:val="24"/>
          <w:highlight w:val="none"/>
        </w:rPr>
        <w:t>供应商</w:t>
      </w:r>
      <w:r>
        <w:rPr>
          <w:rFonts w:ascii="仿宋" w:hAnsi="仿宋" w:eastAsia="仿宋"/>
          <w:b w:val="0"/>
          <w:sz w:val="24"/>
          <w:highlight w:val="none"/>
        </w:rPr>
        <w:t>有下列利害关系之一的，应当回避：</w:t>
      </w:r>
    </w:p>
    <w:p w14:paraId="2AABFDFB">
      <w:pPr>
        <w:pStyle w:val="25"/>
        <w:rPr>
          <w:rFonts w:hint="eastAsia"/>
          <w:highlight w:val="none"/>
        </w:rPr>
      </w:pPr>
      <w:r>
        <w:rPr>
          <w:highlight w:val="none"/>
        </w:rPr>
        <w:t>（</w:t>
      </w:r>
      <w:r>
        <w:rPr>
          <w:rFonts w:hint="eastAsia"/>
          <w:highlight w:val="none"/>
        </w:rPr>
        <w:t>1</w:t>
      </w:r>
      <w:r>
        <w:rPr>
          <w:highlight w:val="none"/>
        </w:rPr>
        <w:t>）参加采购活动前3年内与</w:t>
      </w:r>
      <w:r>
        <w:rPr>
          <w:rFonts w:hint="eastAsia"/>
          <w:highlight w:val="none"/>
        </w:rPr>
        <w:t>供应商</w:t>
      </w:r>
      <w:r>
        <w:rPr>
          <w:highlight w:val="none"/>
        </w:rPr>
        <w:t>存在劳动关系；</w:t>
      </w:r>
    </w:p>
    <w:p w14:paraId="513B8315">
      <w:pPr>
        <w:pStyle w:val="25"/>
        <w:rPr>
          <w:rFonts w:hint="eastAsia"/>
          <w:highlight w:val="none"/>
        </w:rPr>
      </w:pPr>
      <w:r>
        <w:rPr>
          <w:highlight w:val="none"/>
        </w:rPr>
        <w:t>（</w:t>
      </w:r>
      <w:r>
        <w:rPr>
          <w:rFonts w:hint="eastAsia"/>
          <w:highlight w:val="none"/>
        </w:rPr>
        <w:t>2</w:t>
      </w:r>
      <w:r>
        <w:rPr>
          <w:highlight w:val="none"/>
        </w:rPr>
        <w:t>）参加采购活动前3年内担任</w:t>
      </w:r>
      <w:r>
        <w:rPr>
          <w:rFonts w:hint="eastAsia"/>
          <w:highlight w:val="none"/>
        </w:rPr>
        <w:t>供应商</w:t>
      </w:r>
      <w:r>
        <w:rPr>
          <w:highlight w:val="none"/>
        </w:rPr>
        <w:t>的董事、监事；</w:t>
      </w:r>
    </w:p>
    <w:p w14:paraId="669EC88C">
      <w:pPr>
        <w:pStyle w:val="25"/>
        <w:rPr>
          <w:rFonts w:hint="eastAsia"/>
          <w:highlight w:val="none"/>
        </w:rPr>
      </w:pPr>
      <w:r>
        <w:rPr>
          <w:highlight w:val="none"/>
        </w:rPr>
        <w:t>（</w:t>
      </w:r>
      <w:r>
        <w:rPr>
          <w:rFonts w:hint="eastAsia"/>
          <w:highlight w:val="none"/>
        </w:rPr>
        <w:t>3</w:t>
      </w:r>
      <w:r>
        <w:rPr>
          <w:highlight w:val="none"/>
        </w:rPr>
        <w:t>）参加采购活动前3年内是</w:t>
      </w:r>
      <w:r>
        <w:rPr>
          <w:rFonts w:hint="eastAsia"/>
          <w:highlight w:val="none"/>
        </w:rPr>
        <w:t>供应商</w:t>
      </w:r>
      <w:r>
        <w:rPr>
          <w:highlight w:val="none"/>
        </w:rPr>
        <w:t>的控股股东或者实际控制人；</w:t>
      </w:r>
    </w:p>
    <w:p w14:paraId="72CB11C3">
      <w:pPr>
        <w:pStyle w:val="25"/>
        <w:rPr>
          <w:rFonts w:hint="eastAsia"/>
          <w:highlight w:val="none"/>
        </w:rPr>
      </w:pPr>
      <w:r>
        <w:rPr>
          <w:highlight w:val="none"/>
        </w:rPr>
        <w:t>（</w:t>
      </w:r>
      <w:r>
        <w:rPr>
          <w:rFonts w:hint="eastAsia"/>
          <w:highlight w:val="none"/>
        </w:rPr>
        <w:t>4</w:t>
      </w:r>
      <w:r>
        <w:rPr>
          <w:highlight w:val="none"/>
        </w:rPr>
        <w:t>）与</w:t>
      </w:r>
      <w:r>
        <w:rPr>
          <w:rFonts w:hint="eastAsia"/>
          <w:highlight w:val="none"/>
        </w:rPr>
        <w:t>供应商</w:t>
      </w:r>
      <w:r>
        <w:rPr>
          <w:highlight w:val="none"/>
        </w:rPr>
        <w:t>的法定代表人或者负责人有夫妻、直系血亲、三代以内旁系血亲或者近姻亲关系；</w:t>
      </w:r>
    </w:p>
    <w:p w14:paraId="7E2B232C">
      <w:pPr>
        <w:pStyle w:val="25"/>
        <w:rPr>
          <w:rFonts w:hint="eastAsia"/>
          <w:highlight w:val="none"/>
        </w:rPr>
      </w:pPr>
      <w:r>
        <w:rPr>
          <w:highlight w:val="none"/>
        </w:rPr>
        <w:t>（</w:t>
      </w:r>
      <w:r>
        <w:rPr>
          <w:rFonts w:hint="eastAsia"/>
          <w:highlight w:val="none"/>
        </w:rPr>
        <w:t>5</w:t>
      </w:r>
      <w:r>
        <w:rPr>
          <w:highlight w:val="none"/>
        </w:rPr>
        <w:t>）与</w:t>
      </w:r>
      <w:r>
        <w:rPr>
          <w:rFonts w:hint="eastAsia"/>
          <w:highlight w:val="none"/>
        </w:rPr>
        <w:t>供应商</w:t>
      </w:r>
      <w:r>
        <w:rPr>
          <w:highlight w:val="none"/>
        </w:rPr>
        <w:t>有其他可能影响政府采购活动公平、公正进行的关系。</w:t>
      </w:r>
    </w:p>
    <w:p w14:paraId="7F685AA7">
      <w:pPr>
        <w:pStyle w:val="25"/>
        <w:rPr>
          <w:rFonts w:hint="eastAsia"/>
          <w:highlight w:val="none"/>
        </w:rPr>
      </w:pPr>
      <w:r>
        <w:rPr>
          <w:rFonts w:hint="eastAsia"/>
          <w:highlight w:val="none"/>
        </w:rPr>
        <w:t>供应商</w:t>
      </w:r>
      <w:r>
        <w:rPr>
          <w:highlight w:val="none"/>
        </w:rPr>
        <w:t>认为采购人员及相关人员与其他</w:t>
      </w:r>
      <w:r>
        <w:rPr>
          <w:rFonts w:hint="eastAsia"/>
          <w:highlight w:val="none"/>
        </w:rPr>
        <w:t>供应商</w:t>
      </w:r>
      <w:r>
        <w:rPr>
          <w:highlight w:val="none"/>
        </w:rPr>
        <w:t>有利害关系的，可以向采购人或者采购代理机构书面提出回避申请，并说明理由。采购人或者采购代理机构应当及时询问被申请回避人员，有利害关系的被申请回避人员应当回避。</w:t>
      </w:r>
    </w:p>
    <w:p w14:paraId="44448FA1">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ascii="仿宋" w:hAnsi="仿宋" w:eastAsia="仿宋"/>
          <w:sz w:val="24"/>
          <w:highlight w:val="none"/>
        </w:rPr>
        <w:t>9.2</w:t>
      </w:r>
      <w:r>
        <w:rPr>
          <w:rFonts w:hint="eastAsia" w:ascii="仿宋" w:hAnsi="仿宋" w:eastAsia="仿宋"/>
          <w:sz w:val="24"/>
          <w:highlight w:val="none"/>
        </w:rPr>
        <w:t>有下列情形之一的视为投标人相互串通投标，投标文件将被视为无效：</w:t>
      </w:r>
    </w:p>
    <w:p w14:paraId="1BD68246">
      <w:pPr>
        <w:pStyle w:val="25"/>
        <w:rPr>
          <w:rFonts w:hint="eastAsia"/>
          <w:highlight w:val="none"/>
        </w:rPr>
      </w:pPr>
      <w:r>
        <w:rPr>
          <w:rFonts w:hint="eastAsia"/>
          <w:highlight w:val="none"/>
        </w:rPr>
        <w:t xml:space="preserve">（1）不同投标人的投标文件由同一单位或者个人编制； </w:t>
      </w:r>
    </w:p>
    <w:p w14:paraId="4487D58F">
      <w:pPr>
        <w:pStyle w:val="25"/>
        <w:rPr>
          <w:rFonts w:hint="eastAsia"/>
          <w:highlight w:val="none"/>
        </w:rPr>
      </w:pPr>
      <w:r>
        <w:rPr>
          <w:rFonts w:hint="eastAsia"/>
          <w:highlight w:val="none"/>
        </w:rPr>
        <w:t>（2）不同投标人委托同一单位或者个人办理投标事宜；</w:t>
      </w:r>
    </w:p>
    <w:p w14:paraId="612A45B9">
      <w:pPr>
        <w:pStyle w:val="25"/>
        <w:rPr>
          <w:rFonts w:hint="eastAsia"/>
          <w:highlight w:val="none"/>
        </w:rPr>
      </w:pPr>
      <w:r>
        <w:rPr>
          <w:rFonts w:hint="eastAsia"/>
          <w:highlight w:val="none"/>
        </w:rPr>
        <w:t>（3）不同的投标人的投标文件载明的项目管理员为同一个人；</w:t>
      </w:r>
    </w:p>
    <w:p w14:paraId="43A9C4B9">
      <w:pPr>
        <w:pStyle w:val="25"/>
        <w:rPr>
          <w:rFonts w:hint="eastAsia"/>
          <w:highlight w:val="none"/>
        </w:rPr>
      </w:pPr>
      <w:r>
        <w:rPr>
          <w:rFonts w:hint="eastAsia"/>
          <w:highlight w:val="none"/>
        </w:rPr>
        <w:t>（4）不同投标人的投标文件异常一致或者投标报价呈规律性差异；</w:t>
      </w:r>
    </w:p>
    <w:p w14:paraId="4BB7DBCE">
      <w:pPr>
        <w:pStyle w:val="25"/>
        <w:rPr>
          <w:rFonts w:hint="eastAsia"/>
          <w:highlight w:val="none"/>
        </w:rPr>
      </w:pPr>
      <w:r>
        <w:rPr>
          <w:rFonts w:hint="eastAsia"/>
          <w:highlight w:val="none"/>
        </w:rPr>
        <w:t>（5）不同投标人的投标文件相互混装；</w:t>
      </w:r>
    </w:p>
    <w:p w14:paraId="1E9482A7">
      <w:pPr>
        <w:pStyle w:val="25"/>
        <w:rPr>
          <w:rFonts w:hint="eastAsia"/>
          <w:highlight w:val="none"/>
        </w:rPr>
      </w:pPr>
      <w:r>
        <w:rPr>
          <w:rFonts w:hint="eastAsia"/>
          <w:highlight w:val="none"/>
        </w:rPr>
        <w:t>（6）不同投标人的投标保证金从同一单位或者个人账户转出。</w:t>
      </w:r>
    </w:p>
    <w:p w14:paraId="4EEBC0DA">
      <w:pPr>
        <w:pStyle w:val="6"/>
        <w:keepNext w:val="0"/>
        <w:keepLines w:val="0"/>
        <w:spacing w:before="0" w:after="0" w:line="360" w:lineRule="auto"/>
        <w:ind w:left="420" w:leftChars="200"/>
        <w:rPr>
          <w:rFonts w:hint="eastAsia" w:ascii="仿宋" w:hAnsi="仿宋" w:eastAsia="仿宋"/>
          <w:b w:val="0"/>
          <w:sz w:val="24"/>
          <w:highlight w:val="none"/>
        </w:rPr>
      </w:pPr>
      <w:r>
        <w:rPr>
          <w:rFonts w:ascii="仿宋" w:hAnsi="仿宋" w:eastAsia="仿宋"/>
          <w:b w:val="0"/>
          <w:sz w:val="24"/>
          <w:highlight w:val="none"/>
        </w:rPr>
        <w:t>9.3</w:t>
      </w:r>
      <w:r>
        <w:rPr>
          <w:rFonts w:hint="eastAsia" w:ascii="仿宋" w:hAnsi="仿宋" w:eastAsia="仿宋"/>
          <w:b w:val="0"/>
          <w:sz w:val="24"/>
          <w:highlight w:val="none"/>
        </w:rPr>
        <w:t>供应商有下列情形之一的，属于恶意串通行为，将报同级监督管理部门：</w:t>
      </w:r>
    </w:p>
    <w:p w14:paraId="5DA2881C">
      <w:pPr>
        <w:pStyle w:val="25"/>
        <w:rPr>
          <w:rFonts w:hint="eastAsia"/>
          <w:highlight w:val="none"/>
        </w:rPr>
      </w:pPr>
      <w:r>
        <w:rPr>
          <w:rFonts w:hint="eastAsia"/>
          <w:highlight w:val="none"/>
        </w:rPr>
        <w:t>（1）供应商直接或者间接从采购人或者采购代理机构处获得其他供应商的相关信息并修改其投标文件或者响应文件；</w:t>
      </w:r>
    </w:p>
    <w:p w14:paraId="0C2C4A3E">
      <w:pPr>
        <w:pStyle w:val="25"/>
        <w:rPr>
          <w:rFonts w:hint="eastAsia"/>
          <w:highlight w:val="none"/>
        </w:rPr>
      </w:pPr>
      <w:r>
        <w:rPr>
          <w:rFonts w:hint="eastAsia"/>
          <w:highlight w:val="none"/>
        </w:rPr>
        <w:t>（2）供应商按照采购人或者采购代理机构的授意撤换、修改投标文件或者响应文件；</w:t>
      </w:r>
    </w:p>
    <w:p w14:paraId="163EFCF0">
      <w:pPr>
        <w:pStyle w:val="25"/>
        <w:rPr>
          <w:rFonts w:hint="eastAsia"/>
          <w:highlight w:val="none"/>
        </w:rPr>
      </w:pPr>
      <w:r>
        <w:rPr>
          <w:rFonts w:hint="eastAsia"/>
          <w:highlight w:val="none"/>
        </w:rPr>
        <w:t>（3）供应商之间协商报价、技术方案等投标文件或者响应文件的实质性内容；</w:t>
      </w:r>
    </w:p>
    <w:p w14:paraId="5E8D1CF3">
      <w:pPr>
        <w:pStyle w:val="25"/>
        <w:rPr>
          <w:rFonts w:hint="eastAsia"/>
          <w:highlight w:val="none"/>
        </w:rPr>
      </w:pPr>
      <w:r>
        <w:rPr>
          <w:rFonts w:hint="eastAsia"/>
          <w:highlight w:val="none"/>
        </w:rPr>
        <w:t>（4）属于同一集团、协会、商会等组织成员的供应商按照该组织要求协同参加政府采购活动；</w:t>
      </w:r>
    </w:p>
    <w:p w14:paraId="2D1EBED8">
      <w:pPr>
        <w:pStyle w:val="25"/>
        <w:rPr>
          <w:rFonts w:hint="eastAsia"/>
          <w:highlight w:val="none"/>
        </w:rPr>
      </w:pPr>
      <w:r>
        <w:rPr>
          <w:rFonts w:hint="eastAsia"/>
          <w:highlight w:val="none"/>
        </w:rPr>
        <w:t>（5）供应商之间事先约定一致抬高或者压低投标报价，或者在招标项目中事先约定轮流以高价位或者低价位中标，或者事先约定由某一特定供应商中标，然后再参加投标；</w:t>
      </w:r>
    </w:p>
    <w:p w14:paraId="07D0738C">
      <w:pPr>
        <w:pStyle w:val="25"/>
        <w:rPr>
          <w:rFonts w:hint="eastAsia"/>
          <w:highlight w:val="none"/>
        </w:rPr>
      </w:pPr>
      <w:r>
        <w:rPr>
          <w:rFonts w:hint="eastAsia"/>
          <w:highlight w:val="none"/>
        </w:rPr>
        <w:t>（6）供应商之间商定部分供应商放弃参加政府采购活动或者放弃中标；</w:t>
      </w:r>
    </w:p>
    <w:p w14:paraId="12C1AD9B">
      <w:pPr>
        <w:pStyle w:val="25"/>
        <w:rPr>
          <w:rFonts w:hint="eastAsia"/>
          <w:highlight w:val="none"/>
        </w:rPr>
      </w:pPr>
      <w:r>
        <w:rPr>
          <w:rFonts w:hint="eastAsia"/>
          <w:highlight w:val="none"/>
        </w:rPr>
        <w:t>（7）供应商与采购人或者采购代理机构之间、供应商相互之间，为谋求特定供应商中标或者排斥其他供应商的其他串通行为。</w:t>
      </w:r>
    </w:p>
    <w:p w14:paraId="3A990AAA">
      <w:pPr>
        <w:pStyle w:val="4"/>
        <w:keepNext w:val="0"/>
        <w:keepLines w:val="0"/>
        <w:jc w:val="center"/>
        <w:rPr>
          <w:rFonts w:hint="eastAsia" w:ascii="仿宋" w:hAnsi="仿宋" w:eastAsia="仿宋"/>
          <w:highlight w:val="none"/>
        </w:rPr>
      </w:pPr>
      <w:bookmarkStart w:id="105" w:name="_Toc254970534"/>
      <w:bookmarkStart w:id="106" w:name="_Toc254970675"/>
      <w:r>
        <w:rPr>
          <w:rFonts w:hint="eastAsia" w:ascii="仿宋" w:hAnsi="仿宋" w:eastAsia="仿宋"/>
          <w:highlight w:val="none"/>
        </w:rPr>
        <w:t>二、招标文件</w:t>
      </w:r>
      <w:bookmarkEnd w:id="105"/>
      <w:bookmarkEnd w:id="106"/>
    </w:p>
    <w:p w14:paraId="01D255F6">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10.招标文件的组成</w:t>
      </w:r>
    </w:p>
    <w:p w14:paraId="131AA10A">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（1）招标公告；</w:t>
      </w:r>
    </w:p>
    <w:p w14:paraId="3DEFAB21">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 xml:space="preserve">（2）采购需求； </w:t>
      </w:r>
    </w:p>
    <w:p w14:paraId="683A68A5">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（3）投标人须知；</w:t>
      </w:r>
    </w:p>
    <w:p w14:paraId="4921B25D">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（4）评标方法及评标标准；</w:t>
      </w:r>
    </w:p>
    <w:p w14:paraId="49F6DCE5">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（5）拟签订的合同文本；</w:t>
      </w:r>
    </w:p>
    <w:p w14:paraId="36AFB7B1">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（6）投标文件格式。</w:t>
      </w:r>
    </w:p>
    <w:p w14:paraId="07F928A1">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11.招标文件的澄清、修改 、现场考察和答疑会</w:t>
      </w:r>
    </w:p>
    <w:p w14:paraId="62BF75DD">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11.1投标人应认真审阅本招标文件，如有疑问，或发现其中有误或有要求不合理的，应在招标公告公告期限届满之日起7个工作日内以纸质书面形式要求采购人或采购代理机构对招标文件予以澄清；否则，由此产生的后果由投标人自行负责。</w:t>
      </w:r>
    </w:p>
    <w:p w14:paraId="451DCF5F">
      <w:pPr>
        <w:pStyle w:val="6"/>
        <w:keepNext w:val="0"/>
        <w:keepLines w:val="0"/>
        <w:numPr>
          <w:ilvl w:val="0"/>
          <w:numId w:val="0"/>
        </w:numPr>
        <w:spacing w:before="0" w:after="0" w:line="360" w:lineRule="auto"/>
        <w:ind w:firstLine="480" w:firstLineChars="200"/>
        <w:rPr>
          <w:rFonts w:hint="eastAsia" w:ascii="仿宋" w:hAnsi="仿宋" w:eastAsia="仿宋"/>
          <w:sz w:val="24"/>
          <w:highlight w:val="none"/>
        </w:rPr>
      </w:pPr>
      <w:r>
        <w:rPr>
          <w:rFonts w:hint="eastAsia" w:ascii="仿宋" w:hAnsi="仿宋" w:eastAsia="仿宋"/>
          <w:b w:val="0"/>
          <w:sz w:val="24"/>
          <w:highlight w:val="none"/>
        </w:rPr>
        <w:t>11.2采购人或者采购代理机构可以对已发出的招标文件进行必要的澄清或者修改，但不得改变采购标的和资格条件。澄清或者修改将在原公告发布媒体上发布更正公告。澄清或者修改的内容为招标文件的组成部分。澄清或者修改的内容可能影响投标文件编制的，采购人或者采购代理机构应当在投标截止时间至少15日前，在原公告发布媒体上发布更正公告；不足15日的，采购人或者采购代理机构应当顺延提交投标文件的截止时间。</w:t>
      </w:r>
    </w:p>
    <w:p w14:paraId="423E78C5">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11.3采购人和采购代理机构可以视采购具体情况，变更投标截止时间和开标时间，并在原公告发布媒体上发布更正公告。</w:t>
      </w:r>
    </w:p>
    <w:p w14:paraId="6F68E81F">
      <w:pPr>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11.4招标文件澄清、答复、修改、补充的内容为招标文件的组成部分。</w:t>
      </w:r>
      <w:r>
        <w:rPr>
          <w:rFonts w:hint="eastAsia" w:ascii="仿宋" w:hAnsi="仿宋" w:eastAsia="仿宋"/>
          <w:b/>
          <w:sz w:val="24"/>
          <w:highlight w:val="none"/>
        </w:rPr>
        <w:t>当招标文件与招标文件的澄清、答复、修改、补充通知就同一内容的表述不一致时，以最后发出的文件为准。</w:t>
      </w:r>
    </w:p>
    <w:p w14:paraId="5D2EDCF6">
      <w:pPr>
        <w:pStyle w:val="25"/>
        <w:rPr>
          <w:rFonts w:hint="eastAsia"/>
          <w:highlight w:val="none"/>
        </w:rPr>
      </w:pPr>
      <w:r>
        <w:rPr>
          <w:rFonts w:hint="eastAsia"/>
          <w:highlight w:val="none"/>
        </w:rPr>
        <w:t>1</w:t>
      </w:r>
      <w:r>
        <w:rPr>
          <w:highlight w:val="none"/>
        </w:rPr>
        <w:t>1.</w:t>
      </w:r>
      <w:bookmarkStart w:id="107" w:name="_Hlk53134511"/>
      <w:r>
        <w:rPr>
          <w:rFonts w:hint="eastAsia"/>
          <w:highlight w:val="none"/>
        </w:rPr>
        <w:t>5采购人或者采购代理机构可以在招标文件提供期限截止后，组织已获取招标文件的潜在投标人现场考察或者召开开标前答疑会，具体详见“投标人须知前附表”。</w:t>
      </w:r>
    </w:p>
    <w:bookmarkEnd w:id="107"/>
    <w:p w14:paraId="567A796F">
      <w:pPr>
        <w:pStyle w:val="4"/>
        <w:keepNext w:val="0"/>
        <w:keepLines w:val="0"/>
        <w:jc w:val="center"/>
        <w:rPr>
          <w:rFonts w:hint="eastAsia" w:ascii="仿宋" w:hAnsi="仿宋" w:eastAsia="仿宋"/>
          <w:highlight w:val="none"/>
        </w:rPr>
      </w:pPr>
      <w:bookmarkStart w:id="108" w:name="_Toc254970676"/>
      <w:bookmarkStart w:id="109" w:name="_Toc254970535"/>
      <w:r>
        <w:rPr>
          <w:rFonts w:hint="eastAsia" w:ascii="仿宋" w:hAnsi="仿宋" w:eastAsia="仿宋"/>
          <w:highlight w:val="none"/>
        </w:rPr>
        <w:t>三、投标文件的编制</w:t>
      </w:r>
      <w:bookmarkEnd w:id="108"/>
      <w:bookmarkEnd w:id="109"/>
    </w:p>
    <w:p w14:paraId="5DFBFCED">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10" w:name="_Toc254970677"/>
      <w:bookmarkStart w:id="111" w:name="_Toc254970536"/>
      <w:r>
        <w:rPr>
          <w:rFonts w:hint="eastAsia" w:ascii="仿宋" w:hAnsi="仿宋" w:eastAsia="仿宋"/>
          <w:sz w:val="24"/>
          <w:highlight w:val="none"/>
        </w:rPr>
        <w:t>12.投标文件的编制原则</w:t>
      </w:r>
    </w:p>
    <w:p w14:paraId="5345B74C">
      <w:pPr>
        <w:snapToGrid w:val="0"/>
        <w:spacing w:line="360" w:lineRule="auto"/>
        <w:ind w:firstLine="420"/>
        <w:jc w:val="left"/>
        <w:rPr>
          <w:rFonts w:hint="eastAsia" w:ascii="仿宋" w:hAnsi="仿宋" w:eastAsia="仿宋" w:cs="Courier New"/>
          <w:sz w:val="24"/>
          <w:highlight w:val="none"/>
        </w:rPr>
      </w:pPr>
      <w:r>
        <w:rPr>
          <w:rFonts w:ascii="仿宋" w:hAnsi="仿宋" w:eastAsia="仿宋"/>
          <w:sz w:val="24"/>
          <w:highlight w:val="none"/>
        </w:rPr>
        <w:t>投标人必须按照招标文件的要求编制投标文件。投标文件必须对招标文件提出的要求和条件作出明确响应。</w:t>
      </w:r>
    </w:p>
    <w:p w14:paraId="61A0F5A1">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13.投标文件的组成</w:t>
      </w:r>
      <w:bookmarkEnd w:id="110"/>
      <w:bookmarkEnd w:id="111"/>
    </w:p>
    <w:p w14:paraId="0C725ADC">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1</w:t>
      </w:r>
      <w:r>
        <w:rPr>
          <w:rFonts w:ascii="仿宋" w:hAnsi="仿宋" w:eastAsia="仿宋"/>
          <w:sz w:val="24"/>
          <w:highlight w:val="none"/>
        </w:rPr>
        <w:t>3.1</w:t>
      </w:r>
      <w:r>
        <w:rPr>
          <w:rFonts w:hint="eastAsia" w:ascii="仿宋" w:hAnsi="仿宋" w:eastAsia="仿宋"/>
          <w:sz w:val="24"/>
          <w:highlight w:val="none"/>
        </w:rPr>
        <w:t>投标文件由报价文件、资格证明文件、商务文件、技术文件四部分组成。</w:t>
      </w:r>
    </w:p>
    <w:p w14:paraId="3F82B354">
      <w:pPr>
        <w:pStyle w:val="6"/>
        <w:keepNext w:val="0"/>
        <w:keepLines w:val="0"/>
        <w:spacing w:before="0" w:after="0" w:line="360" w:lineRule="auto"/>
        <w:ind w:left="420" w:leftChars="200"/>
        <w:rPr>
          <w:rFonts w:hint="eastAsia" w:ascii="仿宋" w:hAnsi="仿宋" w:eastAsia="仿宋"/>
          <w:b w:val="0"/>
          <w:sz w:val="24"/>
          <w:highlight w:val="none"/>
        </w:rPr>
      </w:pPr>
      <w:bookmarkStart w:id="112" w:name="_13.1报价文件:_具体材料见“投标人须知前附表”。"/>
      <w:bookmarkEnd w:id="112"/>
      <w:r>
        <w:rPr>
          <w:rFonts w:hint="eastAsia" w:ascii="仿宋" w:hAnsi="仿宋" w:eastAsia="仿宋"/>
          <w:b w:val="0"/>
          <w:sz w:val="24"/>
          <w:highlight w:val="none"/>
        </w:rPr>
        <w:t>（1）报价文件：</w:t>
      </w:r>
      <w:r>
        <w:rPr>
          <w:rFonts w:ascii="仿宋" w:hAnsi="仿宋" w:eastAsia="仿宋"/>
          <w:b w:val="0"/>
          <w:sz w:val="24"/>
          <w:highlight w:val="none"/>
        </w:rPr>
        <w:t xml:space="preserve"> 具体材料见“投标人须知前附表”</w:t>
      </w:r>
      <w:r>
        <w:rPr>
          <w:rFonts w:hint="eastAsia" w:ascii="仿宋" w:hAnsi="仿宋" w:eastAsia="仿宋"/>
          <w:b w:val="0"/>
          <w:sz w:val="24"/>
          <w:highlight w:val="none"/>
        </w:rPr>
        <w:t>。</w:t>
      </w:r>
    </w:p>
    <w:p w14:paraId="7B40E004">
      <w:pPr>
        <w:pStyle w:val="6"/>
        <w:keepNext w:val="0"/>
        <w:keepLines w:val="0"/>
        <w:spacing w:before="0" w:after="0" w:line="360" w:lineRule="auto"/>
        <w:ind w:left="420" w:leftChars="200"/>
        <w:rPr>
          <w:rFonts w:hint="eastAsia" w:ascii="仿宋" w:hAnsi="仿宋" w:eastAsia="仿宋"/>
          <w:b w:val="0"/>
          <w:sz w:val="24"/>
          <w:highlight w:val="none"/>
        </w:rPr>
      </w:pPr>
      <w:bookmarkStart w:id="113" w:name="_13.2资格证明文件：具体材料见“投标人须知前附表”。"/>
      <w:bookmarkEnd w:id="113"/>
      <w:r>
        <w:rPr>
          <w:rFonts w:hint="eastAsia" w:ascii="仿宋" w:hAnsi="仿宋" w:eastAsia="仿宋"/>
          <w:b w:val="0"/>
          <w:sz w:val="24"/>
          <w:highlight w:val="none"/>
        </w:rPr>
        <w:t>（</w:t>
      </w:r>
      <w:r>
        <w:rPr>
          <w:rFonts w:ascii="仿宋" w:hAnsi="仿宋" w:eastAsia="仿宋"/>
          <w:b w:val="0"/>
          <w:sz w:val="24"/>
          <w:highlight w:val="none"/>
        </w:rPr>
        <w:t>2</w:t>
      </w:r>
      <w:r>
        <w:rPr>
          <w:rFonts w:hint="eastAsia" w:ascii="仿宋" w:hAnsi="仿宋" w:eastAsia="仿宋"/>
          <w:b w:val="0"/>
          <w:sz w:val="24"/>
          <w:highlight w:val="none"/>
        </w:rPr>
        <w:t>）资格证明文件：</w:t>
      </w:r>
      <w:r>
        <w:rPr>
          <w:rFonts w:ascii="仿宋" w:hAnsi="仿宋" w:eastAsia="仿宋"/>
          <w:b w:val="0"/>
          <w:sz w:val="24"/>
          <w:highlight w:val="none"/>
        </w:rPr>
        <w:t>具体材料见“投标人须知前附表”</w:t>
      </w:r>
      <w:r>
        <w:rPr>
          <w:rFonts w:hint="eastAsia" w:ascii="仿宋" w:hAnsi="仿宋" w:eastAsia="仿宋"/>
          <w:b w:val="0"/>
          <w:sz w:val="24"/>
          <w:highlight w:val="none"/>
        </w:rPr>
        <w:t>。</w:t>
      </w:r>
    </w:p>
    <w:p w14:paraId="2EEAF84E">
      <w:pPr>
        <w:pStyle w:val="6"/>
        <w:keepNext w:val="0"/>
        <w:keepLines w:val="0"/>
        <w:spacing w:before="0" w:after="0" w:line="360" w:lineRule="auto"/>
        <w:ind w:left="420" w:leftChars="200"/>
        <w:rPr>
          <w:rFonts w:hint="eastAsia" w:ascii="仿宋" w:hAnsi="仿宋" w:eastAsia="仿宋"/>
          <w:b w:val="0"/>
          <w:sz w:val="24"/>
          <w:highlight w:val="none"/>
        </w:rPr>
      </w:pPr>
      <w:bookmarkStart w:id="114" w:name="_13.3商务文件:_具体材料见“投标人须知前附表”。"/>
      <w:bookmarkEnd w:id="114"/>
      <w:r>
        <w:rPr>
          <w:rFonts w:hint="eastAsia" w:ascii="仿宋" w:hAnsi="仿宋" w:eastAsia="仿宋"/>
          <w:b w:val="0"/>
          <w:sz w:val="24"/>
          <w:highlight w:val="none"/>
        </w:rPr>
        <w:t>（</w:t>
      </w:r>
      <w:r>
        <w:rPr>
          <w:rFonts w:ascii="仿宋" w:hAnsi="仿宋" w:eastAsia="仿宋"/>
          <w:b w:val="0"/>
          <w:sz w:val="24"/>
          <w:highlight w:val="none"/>
        </w:rPr>
        <w:t>3</w:t>
      </w:r>
      <w:r>
        <w:rPr>
          <w:rFonts w:hint="eastAsia" w:ascii="仿宋" w:hAnsi="仿宋" w:eastAsia="仿宋"/>
          <w:b w:val="0"/>
          <w:sz w:val="24"/>
          <w:highlight w:val="none"/>
        </w:rPr>
        <w:t>）商务文件：</w:t>
      </w:r>
      <w:r>
        <w:rPr>
          <w:rFonts w:ascii="仿宋" w:hAnsi="仿宋" w:eastAsia="仿宋"/>
          <w:b w:val="0"/>
          <w:sz w:val="24"/>
          <w:highlight w:val="none"/>
        </w:rPr>
        <w:t>具体材料见“投标人须知前附表”</w:t>
      </w:r>
      <w:r>
        <w:rPr>
          <w:rFonts w:hint="eastAsia" w:ascii="仿宋" w:hAnsi="仿宋" w:eastAsia="仿宋"/>
          <w:b w:val="0"/>
          <w:sz w:val="24"/>
          <w:highlight w:val="none"/>
        </w:rPr>
        <w:t>。</w:t>
      </w:r>
    </w:p>
    <w:p w14:paraId="50EF67AA">
      <w:pPr>
        <w:pStyle w:val="6"/>
        <w:keepNext w:val="0"/>
        <w:keepLines w:val="0"/>
        <w:spacing w:before="0" w:after="0" w:line="360" w:lineRule="auto"/>
        <w:ind w:left="420" w:leftChars="200"/>
        <w:rPr>
          <w:rFonts w:hint="eastAsia" w:ascii="仿宋" w:hAnsi="仿宋" w:eastAsia="仿宋"/>
          <w:b w:val="0"/>
          <w:sz w:val="24"/>
          <w:highlight w:val="none"/>
        </w:rPr>
      </w:pPr>
      <w:bookmarkStart w:id="115" w:name="_13.4技术文件：具体材料见“投标人须知前附表”。"/>
      <w:bookmarkEnd w:id="115"/>
      <w:r>
        <w:rPr>
          <w:rFonts w:hint="eastAsia" w:ascii="仿宋" w:hAnsi="仿宋" w:eastAsia="仿宋"/>
          <w:b w:val="0"/>
          <w:sz w:val="24"/>
          <w:highlight w:val="none"/>
        </w:rPr>
        <w:t>（</w:t>
      </w:r>
      <w:r>
        <w:rPr>
          <w:rFonts w:ascii="仿宋" w:hAnsi="仿宋" w:eastAsia="仿宋"/>
          <w:b w:val="0"/>
          <w:sz w:val="24"/>
          <w:highlight w:val="none"/>
        </w:rPr>
        <w:t>4</w:t>
      </w:r>
      <w:r>
        <w:rPr>
          <w:rFonts w:hint="eastAsia" w:ascii="仿宋" w:hAnsi="仿宋" w:eastAsia="仿宋"/>
          <w:b w:val="0"/>
          <w:sz w:val="24"/>
          <w:highlight w:val="none"/>
        </w:rPr>
        <w:t>）技术文件：</w:t>
      </w:r>
      <w:r>
        <w:rPr>
          <w:rFonts w:ascii="仿宋" w:hAnsi="仿宋" w:eastAsia="仿宋"/>
          <w:b w:val="0"/>
          <w:sz w:val="24"/>
          <w:highlight w:val="none"/>
        </w:rPr>
        <w:t>具体材料见“投标人须知前附表”</w:t>
      </w:r>
      <w:r>
        <w:rPr>
          <w:rFonts w:hint="eastAsia" w:ascii="仿宋" w:hAnsi="仿宋" w:eastAsia="仿宋"/>
          <w:b w:val="0"/>
          <w:sz w:val="24"/>
          <w:highlight w:val="none"/>
        </w:rPr>
        <w:t>。</w:t>
      </w:r>
      <w:bookmarkStart w:id="116" w:name="_13.5投标文件电子版：具体材料见“投标人须知前附表”。"/>
      <w:bookmarkEnd w:id="116"/>
    </w:p>
    <w:p w14:paraId="39A651B8">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17" w:name="_Toc254970537"/>
      <w:bookmarkStart w:id="118" w:name="_Toc254970678"/>
      <w:r>
        <w:rPr>
          <w:rFonts w:hint="eastAsia" w:ascii="仿宋" w:hAnsi="仿宋" w:eastAsia="仿宋"/>
          <w:sz w:val="24"/>
          <w:highlight w:val="none"/>
        </w:rPr>
        <w:t>14.投标文件的语言及计量</w:t>
      </w:r>
      <w:bookmarkEnd w:id="117"/>
      <w:bookmarkEnd w:id="118"/>
    </w:p>
    <w:p w14:paraId="6208A395">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14.1语言文字</w:t>
      </w:r>
    </w:p>
    <w:p w14:paraId="11643DC4">
      <w:pPr>
        <w:pStyle w:val="6"/>
        <w:keepNext w:val="0"/>
        <w:keepLines w:val="0"/>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2E7B559">
      <w:pPr>
        <w:pStyle w:val="6"/>
        <w:keepNext w:val="0"/>
        <w:keepLines w:val="0"/>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14.2投标计量单位</w:t>
      </w:r>
    </w:p>
    <w:p w14:paraId="1F2208DB">
      <w:pPr>
        <w:pStyle w:val="6"/>
        <w:keepNext w:val="0"/>
        <w:keepLines w:val="0"/>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招标文件已有明确规定的，使用招标文件规定的计量单位；招标文件没有规定的，应采用中华人民共和国法定计量单位，货币种类为人民币，否则视同未响应。</w:t>
      </w:r>
    </w:p>
    <w:p w14:paraId="4C07FC74">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15.投标的风险</w:t>
      </w:r>
    </w:p>
    <w:p w14:paraId="2B7E537C">
      <w:pPr>
        <w:pStyle w:val="25"/>
        <w:rPr>
          <w:rFonts w:hint="eastAsia"/>
          <w:highlight w:val="none"/>
        </w:rPr>
      </w:pPr>
      <w:r>
        <w:rPr>
          <w:rFonts w:hint="eastAsia"/>
          <w:highlight w:val="none"/>
        </w:rPr>
        <w:t>投标人没有按照招标文件要求提供全部资料，或者投标人没有对招标文件作出实质性响应是投标人的风险，并可能导致其投标被拒绝。</w:t>
      </w:r>
    </w:p>
    <w:p w14:paraId="6B73B08F">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19" w:name="_Toc254970538"/>
      <w:bookmarkStart w:id="120" w:name="_Toc254970679"/>
      <w:r>
        <w:rPr>
          <w:rFonts w:hint="eastAsia" w:ascii="仿宋" w:hAnsi="仿宋" w:eastAsia="仿宋"/>
          <w:sz w:val="24"/>
          <w:highlight w:val="none"/>
        </w:rPr>
        <w:t>16.投标报价</w:t>
      </w:r>
      <w:bookmarkEnd w:id="119"/>
      <w:bookmarkEnd w:id="120"/>
    </w:p>
    <w:p w14:paraId="78F876A8">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16.1投标报价应按“第六章　投标文件格式”中“开标一览表”格式填写。</w:t>
      </w:r>
    </w:p>
    <w:p w14:paraId="54F82847">
      <w:pPr>
        <w:pStyle w:val="6"/>
        <w:keepNext w:val="0"/>
        <w:keepLines w:val="0"/>
        <w:spacing w:before="0" w:after="0" w:line="360" w:lineRule="auto"/>
        <w:ind w:left="420" w:leftChars="200"/>
        <w:rPr>
          <w:rFonts w:hint="eastAsia" w:ascii="仿宋" w:hAnsi="仿宋" w:eastAsia="仿宋"/>
          <w:b w:val="0"/>
          <w:sz w:val="24"/>
          <w:highlight w:val="none"/>
        </w:rPr>
      </w:pPr>
      <w:bookmarkStart w:id="121" w:name="_16.2投标报价具体定义见投标人须知前附表。"/>
      <w:bookmarkEnd w:id="121"/>
      <w:r>
        <w:rPr>
          <w:rFonts w:hint="eastAsia" w:ascii="仿宋" w:hAnsi="仿宋" w:eastAsia="仿宋"/>
          <w:b w:val="0"/>
          <w:sz w:val="24"/>
          <w:highlight w:val="none"/>
        </w:rPr>
        <w:t>16.2投标报价具体包括内容详见“投标人须知前附表”。</w:t>
      </w:r>
    </w:p>
    <w:p w14:paraId="21A59193">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16.3投标人必须就所投每个标项的全部内容分别作完整唯一总价报价，不得存在漏项报价；投标人必须就所投标项的单项内容作唯一报价。</w:t>
      </w:r>
    </w:p>
    <w:p w14:paraId="4BF500ED">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17.投标有效期</w:t>
      </w:r>
      <w:bookmarkStart w:id="122" w:name="_17.1投标有效期应按“投标人须知中的前附表”规定的期限。"/>
      <w:bookmarkEnd w:id="122"/>
    </w:p>
    <w:p w14:paraId="06EAD081">
      <w:pPr>
        <w:pStyle w:val="6"/>
        <w:keepNext w:val="0"/>
        <w:keepLines w:val="0"/>
        <w:spacing w:before="0" w:after="0" w:line="360" w:lineRule="auto"/>
        <w:ind w:left="420" w:leftChars="200"/>
        <w:rPr>
          <w:rFonts w:hint="eastAsia" w:ascii="仿宋" w:hAnsi="仿宋" w:eastAsia="仿宋"/>
          <w:sz w:val="24"/>
          <w:highlight w:val="none"/>
        </w:rPr>
      </w:pPr>
      <w:r>
        <w:rPr>
          <w:rFonts w:hint="eastAsia" w:ascii="仿宋" w:hAnsi="仿宋" w:eastAsia="仿宋"/>
          <w:b w:val="0"/>
          <w:sz w:val="24"/>
          <w:highlight w:val="none"/>
        </w:rPr>
        <w:t>17.1投标有效期是指为保证采购人有足够的时间在开标后完成评标、定标、合同签订等工作而要求投标人提交的投标文件在一定时间内保持有效的期限。</w:t>
      </w:r>
    </w:p>
    <w:p w14:paraId="6643A009">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17.2</w:t>
      </w:r>
      <w:bookmarkStart w:id="123" w:name="_Toc254970681"/>
      <w:bookmarkStart w:id="124" w:name="_Toc254970540"/>
      <w:r>
        <w:rPr>
          <w:rFonts w:hint="eastAsia" w:ascii="仿宋" w:hAnsi="仿宋" w:eastAsia="仿宋"/>
          <w:b w:val="0"/>
          <w:sz w:val="24"/>
          <w:highlight w:val="none"/>
        </w:rPr>
        <w:t xml:space="preserve"> 投标有效期应按规定的期限作出承诺，具体详见“投标人须知前附表”。</w:t>
      </w:r>
    </w:p>
    <w:p w14:paraId="28C91BA9">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17.3投标人的投标文件在投标有效期内均保持有效。</w:t>
      </w:r>
      <w:bookmarkEnd w:id="123"/>
      <w:bookmarkEnd w:id="124"/>
    </w:p>
    <w:p w14:paraId="175D9776">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25" w:name="_18.投标保证金"/>
      <w:bookmarkEnd w:id="125"/>
      <w:bookmarkStart w:id="126" w:name="_Toc254970682"/>
      <w:bookmarkStart w:id="127" w:name="_Toc254970541"/>
      <w:r>
        <w:rPr>
          <w:rFonts w:hint="eastAsia" w:ascii="仿宋" w:hAnsi="仿宋" w:eastAsia="仿宋"/>
          <w:sz w:val="24"/>
          <w:highlight w:val="none"/>
        </w:rPr>
        <w:t>18.投标保证金</w:t>
      </w:r>
      <w:bookmarkEnd w:id="126"/>
      <w:bookmarkEnd w:id="127"/>
    </w:p>
    <w:p w14:paraId="56A24E0B">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18.1投标人须按“投标人须知前附表” 的规定提交投标保证金。</w:t>
      </w:r>
    </w:p>
    <w:p w14:paraId="40D9E274">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18.2投标保证金的退还</w:t>
      </w:r>
    </w:p>
    <w:p w14:paraId="45F12342">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 xml:space="preserve">未中标人的投标保证金自中标通知书发出之日起4个工作日内退还；中标人的投标保证金自政府采购合同签订之日起4个工作日内退还。 </w:t>
      </w:r>
    </w:p>
    <w:p w14:paraId="144D7545">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18.3除逾期退还投标保证金和终止招标的情形以外，投标保证金不计息。</w:t>
      </w:r>
    </w:p>
    <w:p w14:paraId="72521338">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 xml:space="preserve">18.4投标人有下列情形之一的，投标保证金将不予退还： </w:t>
      </w:r>
    </w:p>
    <w:p w14:paraId="4C4C5B00">
      <w:pPr>
        <w:snapToGrid w:val="0"/>
        <w:spacing w:line="360" w:lineRule="auto"/>
        <w:ind w:firstLine="470" w:firstLineChars="196"/>
        <w:jc w:val="left"/>
        <w:rPr>
          <w:rFonts w:hint="eastAsia" w:ascii="仿宋" w:hAnsi="仿宋" w:eastAsia="仿宋"/>
          <w:sz w:val="24"/>
          <w:highlight w:val="none"/>
        </w:rPr>
      </w:pPr>
      <w:r>
        <w:rPr>
          <w:rFonts w:hint="eastAsia" w:ascii="仿宋" w:hAnsi="仿宋" w:eastAsia="仿宋"/>
          <w:sz w:val="24"/>
          <w:highlight w:val="none"/>
        </w:rPr>
        <w:t>（1）投标人在投标有效期内撤销投标文件的；</w:t>
      </w:r>
    </w:p>
    <w:p w14:paraId="6A8891EC">
      <w:pPr>
        <w:snapToGrid w:val="0"/>
        <w:spacing w:line="360" w:lineRule="auto"/>
        <w:ind w:firstLine="470" w:firstLineChars="196"/>
        <w:jc w:val="left"/>
        <w:rPr>
          <w:rFonts w:hint="eastAsia" w:ascii="仿宋" w:hAnsi="仿宋" w:eastAsia="仿宋"/>
          <w:sz w:val="24"/>
          <w:highlight w:val="none"/>
        </w:rPr>
      </w:pPr>
      <w:r>
        <w:rPr>
          <w:rFonts w:hint="eastAsia" w:ascii="仿宋" w:hAnsi="仿宋" w:eastAsia="仿宋"/>
          <w:sz w:val="24"/>
          <w:highlight w:val="none"/>
        </w:rPr>
        <w:t>（2）未按规定提交履约保证金的；</w:t>
      </w:r>
    </w:p>
    <w:p w14:paraId="4B5755EB">
      <w:pPr>
        <w:snapToGrid w:val="0"/>
        <w:spacing w:line="360" w:lineRule="auto"/>
        <w:ind w:firstLine="470" w:firstLineChars="196"/>
        <w:jc w:val="left"/>
        <w:rPr>
          <w:rFonts w:hint="eastAsia" w:ascii="仿宋" w:hAnsi="仿宋" w:eastAsia="仿宋"/>
          <w:sz w:val="24"/>
          <w:highlight w:val="none"/>
        </w:rPr>
      </w:pPr>
      <w:r>
        <w:rPr>
          <w:rFonts w:hint="eastAsia" w:ascii="仿宋" w:hAnsi="仿宋" w:eastAsia="仿宋"/>
          <w:sz w:val="24"/>
          <w:highlight w:val="none"/>
        </w:rPr>
        <w:t>（3）投标人在投标过程中弄虚作假，提供虚假材料的；</w:t>
      </w:r>
    </w:p>
    <w:p w14:paraId="57A4D719">
      <w:pPr>
        <w:snapToGrid w:val="0"/>
        <w:spacing w:line="360" w:lineRule="auto"/>
        <w:ind w:firstLine="470" w:firstLineChars="196"/>
        <w:rPr>
          <w:rFonts w:hint="eastAsia" w:ascii="仿宋" w:hAnsi="仿宋" w:eastAsia="仿宋"/>
          <w:sz w:val="24"/>
          <w:highlight w:val="none"/>
        </w:rPr>
      </w:pPr>
      <w:r>
        <w:rPr>
          <w:rFonts w:hint="eastAsia" w:ascii="仿宋" w:hAnsi="仿宋" w:eastAsia="仿宋"/>
          <w:sz w:val="24"/>
          <w:highlight w:val="none"/>
        </w:rPr>
        <w:t>（4）中标人无正当理由不与采购人签订合同的；</w:t>
      </w:r>
    </w:p>
    <w:p w14:paraId="1EEBD445">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（5）投标人出现本章第9.2、9.3情形的；</w:t>
      </w:r>
    </w:p>
    <w:p w14:paraId="384CD8FD">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（6）</w:t>
      </w:r>
      <w:r>
        <w:rPr>
          <w:rFonts w:hint="eastAsia" w:ascii="仿宋" w:hAnsi="仿宋" w:eastAsia="仿宋" w:cs="宋体"/>
          <w:sz w:val="24"/>
          <w:highlight w:val="none"/>
        </w:rPr>
        <w:t>法律法规规定的其他情形</w:t>
      </w:r>
      <w:r>
        <w:rPr>
          <w:rFonts w:hint="eastAsia" w:ascii="仿宋" w:hAnsi="仿宋" w:eastAsia="仿宋"/>
          <w:sz w:val="24"/>
          <w:highlight w:val="none"/>
        </w:rPr>
        <w:t>。</w:t>
      </w:r>
    </w:p>
    <w:p w14:paraId="71C81EC7">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28" w:name="_Toc254970683"/>
      <w:bookmarkStart w:id="129" w:name="_Toc254970542"/>
      <w:r>
        <w:rPr>
          <w:rFonts w:hint="eastAsia" w:ascii="仿宋" w:hAnsi="仿宋" w:eastAsia="仿宋"/>
          <w:sz w:val="24"/>
          <w:highlight w:val="none"/>
        </w:rPr>
        <w:t>19.投标文件的</w:t>
      </w:r>
      <w:bookmarkEnd w:id="128"/>
      <w:bookmarkEnd w:id="129"/>
      <w:r>
        <w:rPr>
          <w:rFonts w:hint="eastAsia" w:ascii="仿宋" w:hAnsi="仿宋" w:eastAsia="仿宋"/>
          <w:sz w:val="24"/>
          <w:highlight w:val="none"/>
        </w:rPr>
        <w:t>编制</w:t>
      </w:r>
    </w:p>
    <w:p w14:paraId="23A2971F">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19.1投标人应按本招标文件规定的格式和顺序编制、装订投标文件并标注页码，投标文件内容不完整、编排混乱导致投标文件被误读、漏读或者查找不到相关内容的，由此引发的后果由投标人承担。</w:t>
      </w:r>
    </w:p>
    <w:p w14:paraId="0445973C">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bookmarkStart w:id="130" w:name="_19.2投标文件应按报价文件、资格证明文件、商务文件、技术文件分别编制"/>
      <w:bookmarkEnd w:id="130"/>
      <w:r>
        <w:rPr>
          <w:rFonts w:hint="eastAsia" w:ascii="仿宋" w:hAnsi="仿宋" w:eastAsia="仿宋"/>
          <w:b w:val="0"/>
          <w:sz w:val="24"/>
          <w:highlight w:val="none"/>
        </w:rPr>
        <w:t>19.2投标文件应按报价文件、资格证明文件、商务文件、技术文件分别编制电子文件，并按“广西政府采购云平台”的要求编制、加密、上传。</w:t>
      </w:r>
    </w:p>
    <w:p w14:paraId="1EFB5A9C">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19.</w:t>
      </w:r>
      <w:bookmarkStart w:id="131" w:name="_Hlk65832616"/>
      <w:r>
        <w:rPr>
          <w:rFonts w:hint="eastAsia" w:ascii="仿宋" w:hAnsi="仿宋" w:eastAsia="仿宋"/>
          <w:b w:val="0"/>
          <w:sz w:val="24"/>
          <w:highlight w:val="none"/>
        </w:rPr>
        <w:t>3投标文件须由投标人在规定位置</w:t>
      </w:r>
      <w:r>
        <w:rPr>
          <w:rFonts w:hint="eastAsia" w:ascii="仿宋" w:hAnsi="仿宋" w:eastAsia="仿宋"/>
          <w:b w:val="0"/>
          <w:sz w:val="24"/>
          <w:highlight w:val="none"/>
          <w:lang w:eastAsia="zh-CN"/>
        </w:rPr>
        <w:t>盖CA公章</w:t>
      </w:r>
      <w:r>
        <w:rPr>
          <w:rFonts w:hint="eastAsia" w:ascii="仿宋" w:hAnsi="仿宋" w:eastAsia="仿宋"/>
          <w:b w:val="0"/>
          <w:sz w:val="24"/>
          <w:highlight w:val="none"/>
        </w:rPr>
        <w:t>并签字</w:t>
      </w:r>
      <w:bookmarkStart w:id="132" w:name="_Hlk65832569"/>
      <w:r>
        <w:rPr>
          <w:rFonts w:hint="eastAsia" w:ascii="仿宋" w:hAnsi="仿宋" w:eastAsia="仿宋"/>
          <w:b w:val="0"/>
          <w:sz w:val="24"/>
          <w:highlight w:val="none"/>
        </w:rPr>
        <w:t>（具体以投标人须知前附表或投标文件格式规定为准）</w:t>
      </w:r>
      <w:bookmarkEnd w:id="131"/>
      <w:bookmarkEnd w:id="132"/>
      <w:r>
        <w:rPr>
          <w:rFonts w:hint="eastAsia" w:ascii="仿宋" w:hAnsi="仿宋" w:eastAsia="仿宋"/>
          <w:b w:val="0"/>
          <w:sz w:val="24"/>
          <w:highlight w:val="none"/>
        </w:rPr>
        <w:t>，</w:t>
      </w:r>
      <w:r>
        <w:rPr>
          <w:rFonts w:hint="eastAsia" w:ascii="仿宋" w:hAnsi="仿宋" w:eastAsia="仿宋"/>
          <w:bCs/>
          <w:sz w:val="24"/>
          <w:highlight w:val="none"/>
        </w:rPr>
        <w:t>否则按无效投标处理</w:t>
      </w:r>
      <w:r>
        <w:rPr>
          <w:rFonts w:hint="eastAsia" w:ascii="仿宋" w:hAnsi="仿宋" w:eastAsia="仿宋"/>
          <w:b w:val="0"/>
          <w:sz w:val="24"/>
          <w:highlight w:val="none"/>
        </w:rPr>
        <w:t>。</w:t>
      </w:r>
    </w:p>
    <w:p w14:paraId="48938EB6">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19.4投标文件中标注的投标人名称应与主体资格证明（如营业执照、事业单位法人证书、执业许可证、自然人身份证等）及公章一致，</w:t>
      </w:r>
      <w:r>
        <w:rPr>
          <w:rFonts w:hint="eastAsia" w:ascii="仿宋" w:hAnsi="仿宋" w:eastAsia="仿宋"/>
          <w:sz w:val="24"/>
          <w:highlight w:val="none"/>
        </w:rPr>
        <w:t>否则按无效投标处理</w:t>
      </w:r>
      <w:r>
        <w:rPr>
          <w:rFonts w:hint="eastAsia" w:ascii="仿宋" w:hAnsi="仿宋" w:eastAsia="仿宋"/>
          <w:b w:val="0"/>
          <w:sz w:val="24"/>
          <w:highlight w:val="none"/>
        </w:rPr>
        <w:t>。</w:t>
      </w:r>
    </w:p>
    <w:p w14:paraId="2258F59F">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19.5投标文件应尽量避免涂改、行间插字或者删除。如果出现上述情况，改动之处应由投标人的法定代表人或者其委托代理人签字或者加</w:t>
      </w:r>
      <w:r>
        <w:rPr>
          <w:rFonts w:hint="eastAsia" w:ascii="仿宋" w:hAnsi="仿宋" w:eastAsia="仿宋"/>
          <w:b w:val="0"/>
          <w:sz w:val="24"/>
          <w:highlight w:val="none"/>
          <w:lang w:eastAsia="zh-CN"/>
        </w:rPr>
        <w:t>盖CA公章</w:t>
      </w:r>
      <w:r>
        <w:rPr>
          <w:rFonts w:hint="eastAsia" w:ascii="仿宋" w:hAnsi="仿宋" w:eastAsia="仿宋"/>
          <w:b w:val="0"/>
          <w:sz w:val="24"/>
          <w:highlight w:val="none"/>
        </w:rPr>
        <w:t>。投标文件因字迹潦草或者表达不清所引起的后果由投标人承担。</w:t>
      </w:r>
    </w:p>
    <w:p w14:paraId="6D8D2037">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20.投标文件的加密、解密</w:t>
      </w:r>
    </w:p>
    <w:p w14:paraId="60770156">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20.1电子投标文件编制完成后，投标人应按“广西政府采购云平台”的要求进行加密，并在规定时间内解密，否则，由此产生的后果由投标人自行负责。</w:t>
      </w:r>
    </w:p>
    <w:p w14:paraId="553A0C9A">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21.投标文件的提交</w:t>
      </w:r>
    </w:p>
    <w:p w14:paraId="0E384825">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bookmarkStart w:id="133" w:name="_21.1投标人必须在“投标人须知中的前附表”规定的投标文件接收时间和投"/>
      <w:bookmarkEnd w:id="133"/>
      <w:r>
        <w:rPr>
          <w:rFonts w:hint="eastAsia" w:ascii="仿宋" w:hAnsi="仿宋" w:eastAsia="仿宋"/>
          <w:b w:val="0"/>
          <w:sz w:val="24"/>
          <w:highlight w:val="none"/>
        </w:rPr>
        <w:t>21.1投标人必须在“投标人须知前附表”规定的投标文件接收时间和投标地点提交投标文件。</w:t>
      </w:r>
    </w:p>
    <w:p w14:paraId="21502BA3">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21.2本项目为全流程电子化政府采购项目，通过“广西政府采购云平台”实行在线电子投标。投标人必须在“投标人须知前附表”规定的投标文件接收时间内通过网络将电子投标文件上传至“广西政府采购云平台”，供应商在“广西政府采购云平台”提交电子版投标文件时，请填写参加远程开标活动经办人联系方式。</w:t>
      </w:r>
    </w:p>
    <w:p w14:paraId="613809C9">
      <w:pPr>
        <w:pStyle w:val="6"/>
        <w:keepNext w:val="0"/>
        <w:keepLines w:val="0"/>
        <w:numPr>
          <w:ilvl w:val="0"/>
          <w:numId w:val="0"/>
        </w:numPr>
        <w:spacing w:before="0" w:after="0" w:line="360" w:lineRule="auto"/>
        <w:ind w:firstLine="480" w:firstLineChars="200"/>
        <w:jc w:val="left"/>
        <w:rPr>
          <w:rFonts w:hint="eastAsia" w:ascii="仿宋" w:hAnsi="仿宋" w:eastAsia="仿宋"/>
          <w:b w:val="0"/>
          <w:sz w:val="24"/>
          <w:highlight w:val="none"/>
        </w:rPr>
      </w:pPr>
      <w:r>
        <w:rPr>
          <w:rFonts w:hint="eastAsia" w:ascii="仿宋" w:hAnsi="仿宋" w:eastAsia="仿宋"/>
          <w:b w:val="0"/>
          <w:sz w:val="24"/>
          <w:highlight w:val="none"/>
        </w:rPr>
        <w:t>21.3未在规定时间内上传或者未按“广西政府采购云平台”的要求编制、加密的电子投标文件，“广西政府采购云平台”将拒收。</w:t>
      </w:r>
    </w:p>
    <w:p w14:paraId="1B198496">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21.4电子投标文件提交方式见“招标公告”中“四、提交投标文件截止时间、开标时间和地点”。</w:t>
      </w:r>
    </w:p>
    <w:p w14:paraId="402AE8DF">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22. 投标文件的补充、修改、撤回与退回</w:t>
      </w:r>
    </w:p>
    <w:p w14:paraId="2EA1CACE">
      <w:pPr>
        <w:snapToGrid w:val="0"/>
        <w:spacing w:line="360" w:lineRule="auto"/>
        <w:ind w:firstLine="420"/>
        <w:jc w:val="left"/>
        <w:rPr>
          <w:rFonts w:hint="eastAsia" w:ascii="仿宋" w:hAnsi="仿宋" w:eastAsia="仿宋"/>
          <w:sz w:val="24"/>
          <w:highlight w:val="none"/>
        </w:rPr>
      </w:pPr>
      <w:bookmarkStart w:id="134" w:name="_Toc254970543"/>
      <w:bookmarkStart w:id="135" w:name="_Toc254970684"/>
      <w:r>
        <w:rPr>
          <w:rFonts w:hint="eastAsia" w:ascii="仿宋" w:hAnsi="仿宋" w:eastAsia="仿宋"/>
          <w:sz w:val="24"/>
          <w:highlight w:val="none"/>
        </w:rPr>
        <w:t>2</w:t>
      </w:r>
      <w:r>
        <w:rPr>
          <w:rFonts w:ascii="仿宋" w:hAnsi="仿宋" w:eastAsia="仿宋"/>
          <w:sz w:val="24"/>
          <w:highlight w:val="none"/>
        </w:rPr>
        <w:t>2.1</w:t>
      </w:r>
      <w:r>
        <w:rPr>
          <w:rFonts w:hint="eastAsia" w:ascii="仿宋" w:hAnsi="仿宋" w:eastAsia="仿宋"/>
          <w:sz w:val="24"/>
          <w:highlight w:val="none"/>
        </w:rPr>
        <w:t>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仿宋" w:hAnsi="仿宋" w:eastAsia="仿宋" w:cs="宋体"/>
          <w:sz w:val="24"/>
          <w:highlight w:val="none"/>
          <w:lang w:bidi="ar"/>
        </w:rPr>
        <w:t>“广西政府采购云平台”</w:t>
      </w:r>
      <w:r>
        <w:rPr>
          <w:rFonts w:hint="eastAsia" w:ascii="仿宋" w:hAnsi="仿宋" w:eastAsia="仿宋"/>
          <w:sz w:val="24"/>
          <w:highlight w:val="none"/>
        </w:rPr>
        <w:t>将予以拒收。</w:t>
      </w:r>
    </w:p>
    <w:bookmarkEnd w:id="134"/>
    <w:bookmarkEnd w:id="135"/>
    <w:p w14:paraId="5F37C710">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22.</w:t>
      </w:r>
      <w:r>
        <w:rPr>
          <w:rFonts w:ascii="仿宋" w:hAnsi="仿宋" w:eastAsia="仿宋"/>
          <w:sz w:val="24"/>
          <w:highlight w:val="none"/>
        </w:rPr>
        <w:t>2</w:t>
      </w:r>
      <w:r>
        <w:rPr>
          <w:rFonts w:hint="eastAsia" w:ascii="仿宋" w:hAnsi="仿宋" w:eastAsia="仿宋"/>
          <w:sz w:val="24"/>
          <w:highlight w:val="none"/>
        </w:rPr>
        <w:t>在投标截止时间止提交投标文件的投标人不足3家时，不得开标，采购代理机构将根据</w:t>
      </w:r>
      <w:r>
        <w:rPr>
          <w:rFonts w:hint="eastAsia" w:ascii="仿宋" w:hAnsi="仿宋" w:eastAsia="仿宋" w:cs="宋体"/>
          <w:sz w:val="24"/>
          <w:highlight w:val="none"/>
          <w:lang w:bidi="ar"/>
        </w:rPr>
        <w:t>“广西政府采购云平台”</w:t>
      </w:r>
      <w:r>
        <w:rPr>
          <w:rFonts w:hint="eastAsia" w:ascii="仿宋" w:hAnsi="仿宋" w:eastAsia="仿宋"/>
          <w:sz w:val="24"/>
          <w:highlight w:val="none"/>
        </w:rPr>
        <w:t>的操作将电子版投标文件退回，除此之外采购人和采购代理机构对已提交的投标文件概不退回。</w:t>
      </w:r>
    </w:p>
    <w:p w14:paraId="6CD2F2E5">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2</w:t>
      </w:r>
      <w:r>
        <w:rPr>
          <w:rFonts w:ascii="仿宋" w:hAnsi="仿宋" w:eastAsia="仿宋" w:cs="宋体"/>
          <w:sz w:val="24"/>
          <w:highlight w:val="none"/>
        </w:rPr>
        <w:t>2.3</w:t>
      </w:r>
      <w:r>
        <w:rPr>
          <w:rFonts w:hint="eastAsia" w:ascii="仿宋" w:hAnsi="仿宋" w:eastAsia="仿宋" w:cs="宋体"/>
          <w:sz w:val="24"/>
          <w:highlight w:val="none"/>
        </w:rPr>
        <w:t xml:space="preserve"> 投标人在投标截止时间后书面通知采购人、采购代理机构撤销投标文件的，将根据本须知正文1</w:t>
      </w:r>
      <w:r>
        <w:rPr>
          <w:rFonts w:ascii="仿宋" w:hAnsi="仿宋" w:eastAsia="仿宋" w:cs="宋体"/>
          <w:sz w:val="24"/>
          <w:highlight w:val="none"/>
        </w:rPr>
        <w:t>8</w:t>
      </w:r>
      <w:r>
        <w:rPr>
          <w:rFonts w:hint="eastAsia" w:ascii="仿宋" w:hAnsi="仿宋" w:eastAsia="仿宋" w:cs="宋体"/>
          <w:sz w:val="24"/>
          <w:highlight w:val="none"/>
        </w:rPr>
        <w:t>.4的规定不予退还其投标保证金。</w:t>
      </w:r>
    </w:p>
    <w:p w14:paraId="1B87517E">
      <w:pPr>
        <w:pStyle w:val="4"/>
        <w:keepNext w:val="0"/>
        <w:keepLines w:val="0"/>
        <w:jc w:val="center"/>
        <w:rPr>
          <w:rFonts w:hint="eastAsia" w:ascii="仿宋" w:hAnsi="仿宋" w:eastAsia="仿宋"/>
          <w:highlight w:val="none"/>
        </w:rPr>
      </w:pPr>
      <w:bookmarkStart w:id="136" w:name="_Toc254970685"/>
      <w:bookmarkStart w:id="137" w:name="_Toc254970544"/>
      <w:r>
        <w:rPr>
          <w:rFonts w:hint="eastAsia" w:ascii="仿宋" w:hAnsi="仿宋" w:eastAsia="仿宋"/>
          <w:highlight w:val="none"/>
        </w:rPr>
        <w:t>四、开    标</w:t>
      </w:r>
      <w:bookmarkEnd w:id="136"/>
      <w:bookmarkEnd w:id="137"/>
    </w:p>
    <w:p w14:paraId="1ED32EF7">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38" w:name="_23.开标时间和地点"/>
      <w:bookmarkEnd w:id="138"/>
      <w:r>
        <w:rPr>
          <w:rFonts w:hint="eastAsia" w:ascii="仿宋" w:hAnsi="仿宋" w:eastAsia="仿宋"/>
          <w:sz w:val="24"/>
          <w:highlight w:val="none"/>
        </w:rPr>
        <w:t>23.开标时间和地点</w:t>
      </w:r>
    </w:p>
    <w:p w14:paraId="743EA5B7">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23.1开标时间及地点详见“投标人须知前附表”</w:t>
      </w:r>
    </w:p>
    <w:p w14:paraId="7BC85A35">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23.2如投标人成功解密投标文件，但未在</w:t>
      </w:r>
      <w:r>
        <w:rPr>
          <w:rFonts w:hint="eastAsia" w:ascii="仿宋" w:hAnsi="仿宋" w:eastAsia="仿宋" w:cs="宋体"/>
          <w:sz w:val="24"/>
          <w:highlight w:val="none"/>
          <w:lang w:bidi="ar"/>
        </w:rPr>
        <w:t>“广西政府采购云平台”</w:t>
      </w:r>
      <w:r>
        <w:rPr>
          <w:rFonts w:hint="eastAsia" w:ascii="仿宋" w:hAnsi="仿宋" w:eastAsia="仿宋"/>
          <w:sz w:val="24"/>
          <w:highlight w:val="none"/>
        </w:rPr>
        <w:t>电子开标大厅参加开标的，视同认可开标过程和结果，由此产生的后果由投标人自行负责。成功解密投标文件的投标人不足3家的，不得开标。</w:t>
      </w:r>
    </w:p>
    <w:p w14:paraId="6B4C595F">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24.开标程序</w:t>
      </w:r>
    </w:p>
    <w:p w14:paraId="5CDC9BA3">
      <w:pPr>
        <w:pStyle w:val="6"/>
        <w:keepNext w:val="0"/>
        <w:keepLines w:val="0"/>
        <w:numPr>
          <w:ilvl w:val="4"/>
          <w:numId w:val="0"/>
        </w:numPr>
        <w:spacing w:before="0" w:after="0" w:line="360" w:lineRule="auto"/>
        <w:ind w:leftChars="200"/>
        <w:rPr>
          <w:rFonts w:hint="eastAsia" w:ascii="仿宋" w:hAnsi="仿宋" w:eastAsia="仿宋"/>
          <w:kern w:val="0"/>
          <w:sz w:val="24"/>
          <w:highlight w:val="none"/>
        </w:rPr>
      </w:pPr>
      <w:r>
        <w:rPr>
          <w:rFonts w:hint="eastAsia" w:ascii="仿宋" w:hAnsi="仿宋" w:eastAsia="仿宋"/>
          <w:bCs/>
          <w:sz w:val="24"/>
          <w:highlight w:val="none"/>
        </w:rPr>
        <w:t>24.1</w:t>
      </w:r>
      <w:r>
        <w:rPr>
          <w:rFonts w:hint="eastAsia" w:ascii="仿宋" w:hAnsi="仿宋" w:eastAsia="仿宋"/>
          <w:kern w:val="0"/>
          <w:sz w:val="24"/>
          <w:highlight w:val="none"/>
        </w:rPr>
        <w:t>开标形式：</w:t>
      </w:r>
    </w:p>
    <w:p w14:paraId="56F2043E">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采购代理机构将按照招标文件规定的时间通过</w:t>
      </w:r>
      <w:r>
        <w:rPr>
          <w:rFonts w:hint="eastAsia" w:ascii="仿宋" w:hAnsi="仿宋" w:eastAsia="仿宋" w:cs="宋体"/>
          <w:sz w:val="24"/>
          <w:highlight w:val="none"/>
          <w:lang w:bidi="ar"/>
        </w:rPr>
        <w:t>“广西政府采购云平台”</w:t>
      </w:r>
      <w:r>
        <w:rPr>
          <w:rFonts w:hint="eastAsia" w:ascii="仿宋" w:hAnsi="仿宋" w:eastAsia="仿宋"/>
          <w:sz w:val="24"/>
          <w:highlight w:val="none"/>
        </w:rPr>
        <w:t>组织线上开标活动、开启投标文件，所有供应商均应当准时在线参加。投标人</w:t>
      </w:r>
      <w:r>
        <w:rPr>
          <w:rFonts w:ascii="仿宋" w:hAnsi="仿宋" w:eastAsia="仿宋"/>
          <w:sz w:val="24"/>
          <w:highlight w:val="none"/>
        </w:rPr>
        <w:t>如不</w:t>
      </w:r>
      <w:r>
        <w:rPr>
          <w:rFonts w:hint="eastAsia" w:ascii="仿宋" w:hAnsi="仿宋" w:eastAsia="仿宋"/>
          <w:sz w:val="24"/>
          <w:highlight w:val="none"/>
        </w:rPr>
        <w:t>参加</w:t>
      </w:r>
      <w:r>
        <w:rPr>
          <w:rFonts w:ascii="仿宋" w:hAnsi="仿宋" w:eastAsia="仿宋"/>
          <w:sz w:val="24"/>
          <w:highlight w:val="none"/>
        </w:rPr>
        <w:t>开标大会的，</w:t>
      </w:r>
      <w:r>
        <w:rPr>
          <w:rFonts w:hint="eastAsia" w:ascii="仿宋" w:hAnsi="仿宋" w:eastAsia="仿宋"/>
          <w:sz w:val="24"/>
          <w:highlight w:val="none"/>
        </w:rPr>
        <w:t>视同认可开标结果，</w:t>
      </w:r>
      <w:r>
        <w:rPr>
          <w:rFonts w:ascii="仿宋" w:hAnsi="仿宋" w:eastAsia="仿宋"/>
          <w:sz w:val="24"/>
          <w:highlight w:val="none"/>
        </w:rPr>
        <w:t>事后不得对采购相关人员、开标过程和开标结果提出异议</w:t>
      </w:r>
      <w:r>
        <w:rPr>
          <w:rFonts w:hint="eastAsia" w:ascii="仿宋" w:hAnsi="仿宋" w:eastAsia="仿宋"/>
          <w:sz w:val="24"/>
          <w:highlight w:val="none"/>
        </w:rPr>
        <w:t>，同时投标人因未在线参加开标而导致投标文件无法按时解密等一切后果由投标人自己承担。</w:t>
      </w:r>
    </w:p>
    <w:p w14:paraId="7DB7DF1C">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24.2</w:t>
      </w:r>
      <w:r>
        <w:rPr>
          <w:rFonts w:ascii="仿宋" w:hAnsi="仿宋" w:eastAsia="仿宋"/>
          <w:sz w:val="24"/>
          <w:highlight w:val="none"/>
        </w:rPr>
        <w:t>开</w:t>
      </w:r>
      <w:r>
        <w:rPr>
          <w:rFonts w:hint="eastAsia" w:ascii="仿宋" w:hAnsi="仿宋" w:eastAsia="仿宋"/>
          <w:sz w:val="24"/>
          <w:highlight w:val="none"/>
        </w:rPr>
        <w:t>标</w:t>
      </w:r>
      <w:r>
        <w:rPr>
          <w:rFonts w:ascii="仿宋" w:hAnsi="仿宋" w:eastAsia="仿宋"/>
          <w:sz w:val="24"/>
          <w:highlight w:val="none"/>
        </w:rPr>
        <w:t>程序：</w:t>
      </w:r>
    </w:p>
    <w:p w14:paraId="0388EEA4">
      <w:pPr>
        <w:snapToGrid w:val="0"/>
        <w:spacing w:line="360" w:lineRule="auto"/>
        <w:ind w:firstLine="420"/>
        <w:jc w:val="left"/>
        <w:rPr>
          <w:rFonts w:hint="eastAsia" w:ascii="仿宋" w:hAnsi="仿宋" w:eastAsia="仿宋"/>
          <w:bCs/>
          <w:sz w:val="24"/>
          <w:highlight w:val="none"/>
        </w:rPr>
      </w:pPr>
      <w:r>
        <w:rPr>
          <w:rFonts w:hint="eastAsia" w:ascii="仿宋" w:hAnsi="仿宋" w:eastAsia="仿宋"/>
          <w:sz w:val="24"/>
          <w:highlight w:val="none"/>
        </w:rPr>
        <w:t>（1）解密电子投标文件。</w:t>
      </w:r>
      <w:r>
        <w:rPr>
          <w:rFonts w:hint="eastAsia" w:ascii="仿宋" w:hAnsi="仿宋" w:eastAsia="仿宋" w:cs="宋体"/>
          <w:sz w:val="24"/>
          <w:highlight w:val="none"/>
          <w:lang w:bidi="ar"/>
        </w:rPr>
        <w:t>“广西政府采购云平台”</w:t>
      </w:r>
      <w:r>
        <w:rPr>
          <w:rFonts w:hint="eastAsia" w:ascii="仿宋" w:hAnsi="仿宋" w:eastAsia="仿宋"/>
          <w:sz w:val="24"/>
          <w:highlight w:val="none"/>
        </w:rPr>
        <w:t>按开标时间自动提取所有投标文件。采购代理机构依托</w:t>
      </w:r>
      <w:r>
        <w:rPr>
          <w:rFonts w:hint="eastAsia" w:ascii="仿宋" w:hAnsi="仿宋" w:eastAsia="仿宋" w:cs="宋体"/>
          <w:sz w:val="24"/>
          <w:highlight w:val="none"/>
          <w:lang w:bidi="ar"/>
        </w:rPr>
        <w:t>“广西政府采购云平台”</w:t>
      </w:r>
      <w:r>
        <w:rPr>
          <w:rFonts w:hint="eastAsia" w:ascii="仿宋" w:hAnsi="仿宋" w:eastAsia="仿宋"/>
          <w:sz w:val="24"/>
          <w:highlight w:val="none"/>
        </w:rPr>
        <w:t>向各投标人发出电子加密投标文件【开始解密】通知，由投标人进</w:t>
      </w:r>
      <w:r>
        <w:rPr>
          <w:rFonts w:hint="eastAsia" w:ascii="仿宋" w:hAnsi="仿宋" w:eastAsia="仿宋"/>
          <w:bCs/>
          <w:sz w:val="24"/>
          <w:highlight w:val="none"/>
        </w:rPr>
        <w:t>行投标文件解密。</w:t>
      </w:r>
      <w:r>
        <w:rPr>
          <w:rFonts w:hint="eastAsia" w:ascii="仿宋" w:hAnsi="仿宋" w:eastAsia="仿宋"/>
          <w:b/>
          <w:bCs/>
          <w:sz w:val="24"/>
          <w:highlight w:val="none"/>
        </w:rPr>
        <w:t>投标人的法定代表人或其委托代理人须携带加密时所用的CA锁准时登录到“广西政府采购云平台”电子开标大厅签到</w:t>
      </w:r>
      <w:r>
        <w:rPr>
          <w:rFonts w:hint="eastAsia" w:ascii="仿宋" w:hAnsi="仿宋" w:eastAsia="仿宋" w:cs="宋体"/>
          <w:b/>
          <w:sz w:val="24"/>
          <w:highlight w:val="none"/>
        </w:rPr>
        <w:t>并在发起解密</w:t>
      </w:r>
      <w:r>
        <w:rPr>
          <w:rFonts w:hint="eastAsia" w:ascii="仿宋" w:hAnsi="仿宋" w:eastAsia="仿宋"/>
          <w:b/>
          <w:bCs/>
          <w:sz w:val="24"/>
          <w:highlight w:val="none"/>
        </w:rPr>
        <w:t>通知</w:t>
      </w:r>
      <w:r>
        <w:rPr>
          <w:rFonts w:hint="eastAsia" w:ascii="仿宋" w:hAnsi="仿宋" w:eastAsia="仿宋" w:cs="宋体"/>
          <w:b/>
          <w:sz w:val="24"/>
          <w:highlight w:val="none"/>
        </w:rPr>
        <w:t>之时起30分钟内完成</w:t>
      </w:r>
      <w:r>
        <w:rPr>
          <w:rFonts w:hint="eastAsia" w:ascii="仿宋" w:hAnsi="仿宋" w:eastAsia="仿宋"/>
          <w:b/>
          <w:bCs/>
          <w:sz w:val="24"/>
          <w:highlight w:val="none"/>
        </w:rPr>
        <w:t>对电子投标文件解密。投标文件未按时解密的，视为无效投标。</w:t>
      </w:r>
      <w:r>
        <w:rPr>
          <w:rFonts w:hint="eastAsia" w:ascii="仿宋" w:hAnsi="仿宋" w:eastAsia="仿宋"/>
          <w:bCs/>
          <w:sz w:val="24"/>
          <w:highlight w:val="none"/>
        </w:rPr>
        <w:t>（解密异常情况处理：详见本章29.4 电子交易活动的中止。</w:t>
      </w:r>
    </w:p>
    <w:p w14:paraId="3768FD4B">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（2）电子唱标。投标文件解密结束，各投标供应商报价均在</w:t>
      </w:r>
      <w:r>
        <w:rPr>
          <w:rFonts w:hint="eastAsia" w:ascii="仿宋" w:hAnsi="仿宋" w:eastAsia="仿宋" w:cs="宋体"/>
          <w:sz w:val="24"/>
          <w:highlight w:val="none"/>
          <w:lang w:bidi="ar"/>
        </w:rPr>
        <w:t>“广西政府采购云平台”</w:t>
      </w:r>
      <w:r>
        <w:rPr>
          <w:rFonts w:hint="eastAsia" w:ascii="仿宋" w:hAnsi="仿宋" w:eastAsia="仿宋"/>
          <w:sz w:val="24"/>
          <w:highlight w:val="none"/>
        </w:rPr>
        <w:t>远程不见面开标大厅展示；</w:t>
      </w:r>
    </w:p>
    <w:p w14:paraId="072FE7BC">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（3）开标过程由采购代理机构如实记录，并电子留痕，由参加电子开标的各投标人代表对电子开标记录在开标记录公布后15分钟内进行当场校核及勘误，并线上确认，未确认的视同认可开标结果。</w:t>
      </w:r>
    </w:p>
    <w:p w14:paraId="1CA3CC55">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B446E2E">
      <w:pPr>
        <w:snapToGrid w:val="0"/>
        <w:spacing w:line="360" w:lineRule="auto"/>
        <w:ind w:firstLine="420"/>
        <w:jc w:val="left"/>
        <w:rPr>
          <w:rFonts w:hint="eastAsia" w:ascii="仿宋" w:hAnsi="仿宋" w:eastAsia="仿宋"/>
          <w:sz w:val="24"/>
          <w:highlight w:val="none"/>
        </w:rPr>
      </w:pPr>
      <w:r>
        <w:rPr>
          <w:rFonts w:hint="eastAsia" w:ascii="仿宋" w:hAnsi="仿宋" w:eastAsia="仿宋"/>
          <w:sz w:val="24"/>
          <w:highlight w:val="none"/>
        </w:rPr>
        <w:t>（5）开标结束。</w:t>
      </w:r>
    </w:p>
    <w:p w14:paraId="6F4BC2B9">
      <w:pPr>
        <w:autoSpaceDE w:val="0"/>
        <w:autoSpaceDN w:val="0"/>
        <w:adjustRightInd w:val="0"/>
        <w:spacing w:line="440" w:lineRule="exact"/>
        <w:ind w:firstLine="482" w:firstLineChars="200"/>
        <w:rPr>
          <w:rFonts w:hint="eastAsia" w:ascii="仿宋" w:hAnsi="仿宋" w:eastAsia="仿宋"/>
          <w:b/>
          <w:bCs/>
          <w:sz w:val="24"/>
          <w:highlight w:val="none"/>
        </w:rPr>
      </w:pPr>
      <w:r>
        <w:rPr>
          <w:rFonts w:hint="eastAsia" w:ascii="仿宋" w:hAnsi="仿宋" w:eastAsia="仿宋"/>
          <w:b/>
          <w:bCs/>
          <w:sz w:val="24"/>
          <w:highlight w:val="none"/>
        </w:rPr>
        <w:t>特别说明：如遇“广西政府采购云平台”电子化开标或评审程序调整的，按调整后执行。</w:t>
      </w:r>
    </w:p>
    <w:p w14:paraId="2B3A4ECE">
      <w:pPr>
        <w:pStyle w:val="4"/>
        <w:keepNext w:val="0"/>
        <w:keepLines w:val="0"/>
        <w:jc w:val="center"/>
        <w:rPr>
          <w:rFonts w:hint="eastAsia" w:ascii="仿宋" w:hAnsi="仿宋" w:eastAsia="仿宋"/>
          <w:highlight w:val="none"/>
        </w:rPr>
      </w:pPr>
      <w:r>
        <w:rPr>
          <w:rFonts w:hint="eastAsia" w:ascii="仿宋" w:hAnsi="仿宋" w:eastAsia="仿宋"/>
          <w:highlight w:val="none"/>
        </w:rPr>
        <w:t>五、资格审查</w:t>
      </w:r>
    </w:p>
    <w:p w14:paraId="1809659A">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25.资格审查</w:t>
      </w:r>
    </w:p>
    <w:p w14:paraId="01273A97">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25.1</w:t>
      </w:r>
      <w:r>
        <w:rPr>
          <w:rFonts w:ascii="仿宋" w:hAnsi="仿宋" w:eastAsia="仿宋"/>
          <w:b w:val="0"/>
          <w:sz w:val="24"/>
          <w:highlight w:val="none"/>
        </w:rPr>
        <w:t>开标结束后，</w:t>
      </w:r>
      <w:r>
        <w:rPr>
          <w:rFonts w:hint="eastAsia" w:ascii="仿宋" w:hAnsi="仿宋" w:eastAsia="仿宋"/>
          <w:b w:val="0"/>
          <w:sz w:val="24"/>
          <w:highlight w:val="none"/>
        </w:rPr>
        <w:t>采购人或者采购代理机构</w:t>
      </w:r>
      <w:r>
        <w:rPr>
          <w:rFonts w:ascii="仿宋" w:hAnsi="仿宋" w:eastAsia="仿宋"/>
          <w:b w:val="0"/>
          <w:sz w:val="24"/>
          <w:highlight w:val="none"/>
        </w:rPr>
        <w:t>依法对投标人的资格进行审查。</w:t>
      </w:r>
    </w:p>
    <w:p w14:paraId="0B5A18FF">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25.2资格审查标准为本招标文件中载明对投标人资格要求的条件。本项目资格审查采用合格制，凡符合招标文件规定的投标人资格要求的投标人均通过资格审查。</w:t>
      </w:r>
    </w:p>
    <w:p w14:paraId="51637706">
      <w:pPr>
        <w:pStyle w:val="25"/>
        <w:spacing w:before="0" w:after="0"/>
        <w:rPr>
          <w:rFonts w:hint="eastAsia"/>
          <w:highlight w:val="none"/>
        </w:rPr>
      </w:pPr>
      <w:bookmarkStart w:id="139" w:name="_25.3_投标人有下列情形之一的，资格审查不通过而导致其投标无效："/>
      <w:bookmarkEnd w:id="139"/>
      <w:r>
        <w:rPr>
          <w:rFonts w:hint="eastAsia"/>
          <w:highlight w:val="none"/>
        </w:rPr>
        <w:t>25.3 投标人有下列情形之一的，资格审查不通过，作无效投标处理：</w:t>
      </w:r>
    </w:p>
    <w:p w14:paraId="7970821C">
      <w:pPr>
        <w:pStyle w:val="25"/>
        <w:spacing w:before="0" w:after="0"/>
        <w:rPr>
          <w:rFonts w:hint="eastAsia"/>
          <w:highlight w:val="none"/>
        </w:rPr>
      </w:pPr>
      <w:r>
        <w:rPr>
          <w:rFonts w:hint="eastAsia"/>
          <w:highlight w:val="none"/>
        </w:rPr>
        <w:t>（1）未按招标文件规定的方式获取本招标文件的投标人；</w:t>
      </w:r>
    </w:p>
    <w:p w14:paraId="23B4F370">
      <w:pPr>
        <w:pStyle w:val="25"/>
        <w:spacing w:before="0" w:after="0"/>
        <w:rPr>
          <w:rFonts w:hint="eastAsia"/>
          <w:highlight w:val="none"/>
        </w:rPr>
      </w:pPr>
      <w:r>
        <w:rPr>
          <w:rFonts w:hint="eastAsia"/>
          <w:highlight w:val="none"/>
        </w:rPr>
        <w:t>（2）不具备招标文件中规定的资格要求的；</w:t>
      </w:r>
    </w:p>
    <w:p w14:paraId="437624AD">
      <w:pPr>
        <w:pStyle w:val="25"/>
        <w:spacing w:before="0" w:after="0"/>
        <w:rPr>
          <w:rFonts w:hint="eastAsia"/>
          <w:highlight w:val="none"/>
        </w:rPr>
      </w:pPr>
      <w:r>
        <w:rPr>
          <w:rFonts w:hint="eastAsia"/>
          <w:highlight w:val="none"/>
        </w:rPr>
        <w:t>（3）在“信用中国”网站（www.creditchina.gov.cn） 、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p>
    <w:p w14:paraId="416DAF9E">
      <w:pPr>
        <w:pStyle w:val="25"/>
        <w:rPr>
          <w:rFonts w:hint="eastAsia"/>
          <w:highlight w:val="none"/>
        </w:rPr>
      </w:pPr>
      <w:r>
        <w:rPr>
          <w:rFonts w:hint="eastAsia"/>
          <w:highlight w:val="none"/>
        </w:rPr>
        <w:t>（4）同一合同项下的不同投标人，单位负责人为同一人或者存在直接控股、管理关系的；为本项目提供过整体设计、规范编制或者项目管理、监理、检测等服务的供应商，再参加该采购项目的其他采购活动的；</w:t>
      </w:r>
    </w:p>
    <w:p w14:paraId="088AF474">
      <w:pPr>
        <w:pStyle w:val="25"/>
        <w:rPr>
          <w:rFonts w:hint="eastAsia"/>
          <w:highlight w:val="none"/>
        </w:rPr>
      </w:pPr>
      <w:r>
        <w:rPr>
          <w:rFonts w:hint="eastAsia"/>
          <w:highlight w:val="none"/>
        </w:rPr>
        <w:t>（</w:t>
      </w:r>
      <w:r>
        <w:rPr>
          <w:highlight w:val="none"/>
        </w:rPr>
        <w:t>5</w:t>
      </w:r>
      <w:r>
        <w:rPr>
          <w:rFonts w:hint="eastAsia"/>
          <w:highlight w:val="none"/>
        </w:rPr>
        <w:t>）投标文件中的资格证明文件缺少任一项“投标人须知前附表”资格证明文件规定“必须提供”的文件资料的；</w:t>
      </w:r>
    </w:p>
    <w:p w14:paraId="1401DB4D">
      <w:pPr>
        <w:pStyle w:val="25"/>
        <w:rPr>
          <w:rFonts w:hint="eastAsia"/>
          <w:highlight w:val="none"/>
        </w:rPr>
      </w:pPr>
      <w:r>
        <w:rPr>
          <w:rFonts w:hint="eastAsia"/>
          <w:highlight w:val="none"/>
        </w:rPr>
        <w:t>（</w:t>
      </w:r>
      <w:r>
        <w:rPr>
          <w:highlight w:val="none"/>
        </w:rPr>
        <w:t>6</w:t>
      </w:r>
      <w:r>
        <w:rPr>
          <w:rFonts w:hint="eastAsia"/>
          <w:highlight w:val="none"/>
        </w:rPr>
        <w:t>）投标文件中的资格证明文件出现任一项不符合“投标人须知前附表”资格证明文件规定“必须提供”的文件资料要求或者无效的。</w:t>
      </w:r>
    </w:p>
    <w:p w14:paraId="399BF73E">
      <w:pPr>
        <w:pStyle w:val="6"/>
        <w:keepNext w:val="0"/>
        <w:keepLines w:val="0"/>
        <w:numPr>
          <w:ilvl w:val="4"/>
          <w:numId w:val="0"/>
        </w:numPr>
        <w:spacing w:before="0" w:after="0" w:line="360" w:lineRule="auto"/>
        <w:ind w:leftChars="200"/>
        <w:rPr>
          <w:rFonts w:hint="eastAsia" w:ascii="仿宋" w:hAnsi="仿宋" w:eastAsia="仿宋"/>
          <w:b w:val="0"/>
          <w:sz w:val="24"/>
          <w:highlight w:val="none"/>
        </w:rPr>
      </w:pPr>
      <w:r>
        <w:rPr>
          <w:rFonts w:hint="eastAsia" w:ascii="仿宋" w:hAnsi="仿宋" w:eastAsia="仿宋"/>
          <w:sz w:val="24"/>
          <w:highlight w:val="none"/>
        </w:rPr>
        <w:t>25.4</w:t>
      </w:r>
      <w:r>
        <w:rPr>
          <w:rFonts w:ascii="仿宋" w:hAnsi="仿宋" w:eastAsia="仿宋"/>
          <w:sz w:val="24"/>
          <w:highlight w:val="none"/>
        </w:rPr>
        <w:t>合格投标人不足3家的，不得评标。</w:t>
      </w:r>
    </w:p>
    <w:p w14:paraId="317FCB25">
      <w:pPr>
        <w:pStyle w:val="4"/>
        <w:keepNext w:val="0"/>
        <w:keepLines w:val="0"/>
        <w:jc w:val="center"/>
        <w:rPr>
          <w:rFonts w:hint="eastAsia" w:ascii="仿宋" w:hAnsi="仿宋" w:eastAsia="仿宋"/>
          <w:highlight w:val="none"/>
        </w:rPr>
      </w:pPr>
      <w:r>
        <w:rPr>
          <w:rFonts w:hint="eastAsia" w:ascii="仿宋" w:hAnsi="仿宋" w:eastAsia="仿宋"/>
          <w:highlight w:val="none"/>
        </w:rPr>
        <w:t>六、评   标</w:t>
      </w:r>
    </w:p>
    <w:p w14:paraId="4469672A">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40" w:name="_26.组建评标委员会"/>
      <w:bookmarkEnd w:id="140"/>
      <w:r>
        <w:rPr>
          <w:rFonts w:hint="eastAsia" w:ascii="仿宋" w:hAnsi="仿宋" w:eastAsia="仿宋"/>
          <w:sz w:val="24"/>
          <w:highlight w:val="none"/>
        </w:rPr>
        <w:t>26.组建评标委员会</w:t>
      </w:r>
    </w:p>
    <w:p w14:paraId="2DA7C0A3">
      <w:pPr>
        <w:pStyle w:val="25"/>
        <w:rPr>
          <w:rFonts w:hint="eastAsia"/>
          <w:highlight w:val="none"/>
        </w:rPr>
      </w:pPr>
      <w:r>
        <w:rPr>
          <w:rFonts w:hint="eastAsia"/>
          <w:highlight w:val="none"/>
        </w:rPr>
        <w:t>评标委员会由采购人代表和评审专家组成，具体人数详见“投标人须知前附表”，其中评审专家不得少于成员总数的三分之二。</w:t>
      </w:r>
    </w:p>
    <w:p w14:paraId="164F0C2D">
      <w:pPr>
        <w:pStyle w:val="25"/>
        <w:rPr>
          <w:rFonts w:hint="eastAsia"/>
          <w:highlight w:val="none"/>
        </w:rPr>
      </w:pPr>
      <w:r>
        <w:rPr>
          <w:rFonts w:hint="eastAsia"/>
          <w:highlight w:val="none"/>
        </w:rPr>
        <w:t>参加过采购项目前期咨询论证的专家，不得参加该采购项目的评审活动。</w:t>
      </w:r>
    </w:p>
    <w:p w14:paraId="6D0F18E0">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27.评标的依据</w:t>
      </w:r>
    </w:p>
    <w:p w14:paraId="6BE33060">
      <w:pPr>
        <w:pStyle w:val="25"/>
        <w:rPr>
          <w:rFonts w:hint="eastAsia"/>
          <w:highlight w:val="none"/>
        </w:rPr>
      </w:pPr>
      <w:r>
        <w:rPr>
          <w:rFonts w:hint="eastAsia"/>
          <w:highlight w:val="none"/>
        </w:rPr>
        <w:t>评标委员会以“第四章 评标方法和评标标准”为依据对投标文件进行评审，</w:t>
      </w:r>
      <w:r>
        <w:rPr>
          <w:highlight w:val="none"/>
        </w:rPr>
        <w:t>没有规定的方法、评审因素和标准，不作为评标依据。</w:t>
      </w:r>
    </w:p>
    <w:p w14:paraId="1B2D8470">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28.评标原则</w:t>
      </w:r>
    </w:p>
    <w:p w14:paraId="70018F44">
      <w:pPr>
        <w:pStyle w:val="25"/>
        <w:rPr>
          <w:rFonts w:hint="eastAsia"/>
          <w:highlight w:val="none"/>
        </w:rPr>
      </w:pPr>
      <w:r>
        <w:rPr>
          <w:rFonts w:hint="eastAsia"/>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E07F755">
      <w:pPr>
        <w:pStyle w:val="25"/>
        <w:rPr>
          <w:rFonts w:hint="eastAsia"/>
          <w:highlight w:val="none"/>
        </w:rPr>
      </w:pPr>
      <w:r>
        <w:rPr>
          <w:rFonts w:hint="eastAsia"/>
          <w:highlight w:val="none"/>
        </w:rPr>
        <w:t>28.2</w:t>
      </w:r>
      <w:bookmarkStart w:id="141" w:name="_28.3评标方法。本项目将按须知前附表规定的评标办法进行评标，具体评标"/>
      <w:bookmarkEnd w:id="141"/>
      <w:r>
        <w:rPr>
          <w:rFonts w:hint="eastAsia"/>
          <w:highlight w:val="none"/>
        </w:rPr>
        <w:t>评委表决。评标委员会成员对需要共同认定的事项存在争议的，应当按照少数服从多数的原则作出结论。</w:t>
      </w:r>
    </w:p>
    <w:p w14:paraId="2A6E818D">
      <w:pPr>
        <w:pStyle w:val="25"/>
        <w:rPr>
          <w:rFonts w:hint="eastAsia"/>
          <w:highlight w:val="none"/>
        </w:rPr>
      </w:pPr>
      <w:r>
        <w:rPr>
          <w:rFonts w:hint="eastAsia"/>
          <w:highlight w:val="none"/>
        </w:rPr>
        <w:t>28.</w:t>
      </w:r>
      <w:r>
        <w:rPr>
          <w:highlight w:val="none"/>
        </w:rPr>
        <w:t>3</w:t>
      </w:r>
      <w:r>
        <w:rPr>
          <w:rFonts w:hint="eastAsia"/>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F835F84">
      <w:pPr>
        <w:pStyle w:val="25"/>
        <w:rPr>
          <w:rFonts w:hint="eastAsia"/>
          <w:highlight w:val="none"/>
        </w:rPr>
      </w:pPr>
      <w:r>
        <w:rPr>
          <w:rFonts w:hint="eastAsia"/>
          <w:highlight w:val="none"/>
        </w:rPr>
        <w:t>2</w:t>
      </w:r>
      <w:r>
        <w:rPr>
          <w:highlight w:val="none"/>
        </w:rPr>
        <w:t>8.4</w:t>
      </w:r>
      <w:r>
        <w:rPr>
          <w:rFonts w:hint="eastAsia"/>
          <w:highlight w:val="none"/>
        </w:rPr>
        <w:t>评标过程的监控。本项目评标过程实行全程录音、录像监控，投标人在评标过程中所进行的试图影响评标结果的不公正活动，可能导致其投标无效。</w:t>
      </w:r>
    </w:p>
    <w:p w14:paraId="7561F4C1">
      <w:pPr>
        <w:pStyle w:val="6"/>
        <w:keepNext w:val="0"/>
        <w:keepLines w:val="0"/>
        <w:numPr>
          <w:ilvl w:val="4"/>
          <w:numId w:val="0"/>
        </w:numPr>
        <w:spacing w:before="0" w:after="0" w:line="360" w:lineRule="auto"/>
        <w:ind w:left="420" w:leftChars="200"/>
        <w:rPr>
          <w:rFonts w:hint="eastAsia" w:ascii="仿宋" w:hAnsi="仿宋" w:eastAsia="仿宋"/>
          <w:sz w:val="24"/>
          <w:highlight w:val="none"/>
        </w:rPr>
      </w:pPr>
      <w:r>
        <w:rPr>
          <w:rFonts w:hint="eastAsia" w:ascii="仿宋" w:hAnsi="仿宋" w:eastAsia="仿宋"/>
          <w:sz w:val="24"/>
          <w:highlight w:val="none"/>
        </w:rPr>
        <w:t>29.评标方法及中标候选人推荐</w:t>
      </w:r>
    </w:p>
    <w:p w14:paraId="15733160">
      <w:pPr>
        <w:pStyle w:val="25"/>
        <w:rPr>
          <w:rFonts w:hint="eastAsia"/>
          <w:highlight w:val="none"/>
        </w:rPr>
      </w:pPr>
      <w:r>
        <w:rPr>
          <w:rFonts w:hint="eastAsia"/>
          <w:highlight w:val="none"/>
        </w:rPr>
        <w:t>2</w:t>
      </w:r>
      <w:r>
        <w:rPr>
          <w:highlight w:val="none"/>
        </w:rPr>
        <w:t>9.1</w:t>
      </w:r>
      <w:r>
        <w:rPr>
          <w:rFonts w:hint="eastAsia"/>
          <w:highlight w:val="none"/>
        </w:rPr>
        <w:t>本项目的评标方法详见“投标人须知前附表”。</w:t>
      </w:r>
    </w:p>
    <w:p w14:paraId="773FB4D3">
      <w:pPr>
        <w:pStyle w:val="25"/>
        <w:rPr>
          <w:rFonts w:hint="eastAsia"/>
          <w:highlight w:val="none"/>
        </w:rPr>
      </w:pPr>
      <w:r>
        <w:rPr>
          <w:rFonts w:hint="eastAsia"/>
          <w:highlight w:val="none"/>
        </w:rPr>
        <w:t>2</w:t>
      </w:r>
      <w:r>
        <w:rPr>
          <w:highlight w:val="none"/>
        </w:rPr>
        <w:t>9.</w:t>
      </w:r>
      <w:r>
        <w:rPr>
          <w:rFonts w:hint="eastAsia"/>
          <w:highlight w:val="none"/>
        </w:rPr>
        <w:t>2</w:t>
      </w:r>
      <w:r>
        <w:rPr>
          <w:highlight w:val="none"/>
        </w:rPr>
        <w:t>中标候选人推荐数量详见</w:t>
      </w:r>
      <w:r>
        <w:rPr>
          <w:rFonts w:hint="eastAsia"/>
          <w:highlight w:val="none"/>
        </w:rPr>
        <w:t>“投标人须知前附表”。</w:t>
      </w:r>
    </w:p>
    <w:p w14:paraId="7CDB2F79">
      <w:pPr>
        <w:pStyle w:val="25"/>
        <w:rPr>
          <w:rFonts w:hint="eastAsia"/>
          <w:highlight w:val="none"/>
        </w:rPr>
      </w:pPr>
      <w:r>
        <w:rPr>
          <w:rFonts w:hint="eastAsia"/>
          <w:highlight w:val="none"/>
        </w:rPr>
        <w:t>2</w:t>
      </w:r>
      <w:r>
        <w:rPr>
          <w:highlight w:val="none"/>
        </w:rPr>
        <w:t>9.</w:t>
      </w:r>
      <w:r>
        <w:rPr>
          <w:rFonts w:hint="eastAsia"/>
          <w:highlight w:val="none"/>
        </w:rPr>
        <w:t>3</w:t>
      </w:r>
      <w:r>
        <w:rPr>
          <w:highlight w:val="none"/>
        </w:rPr>
        <w:t>评标委员会</w:t>
      </w:r>
      <w:r>
        <w:rPr>
          <w:rFonts w:hint="eastAsia"/>
          <w:highlight w:val="none"/>
        </w:rPr>
        <w:t>将</w:t>
      </w:r>
      <w:r>
        <w:rPr>
          <w:highlight w:val="none"/>
        </w:rPr>
        <w:t>按照</w:t>
      </w:r>
      <w:r>
        <w:rPr>
          <w:rFonts w:hint="eastAsia"/>
          <w:highlight w:val="none"/>
        </w:rPr>
        <w:t>“第四章 评标方法和评标标准”</w:t>
      </w:r>
      <w:r>
        <w:rPr>
          <w:highlight w:val="none"/>
        </w:rPr>
        <w:t>规定的方法、评审因素、标准和程序对投标文件进行评审。</w:t>
      </w:r>
    </w:p>
    <w:p w14:paraId="60CB8E07">
      <w:pPr>
        <w:pStyle w:val="25"/>
        <w:rPr>
          <w:rFonts w:hint="eastAsia"/>
          <w:highlight w:val="none"/>
        </w:rPr>
      </w:pPr>
      <w:r>
        <w:rPr>
          <w:rFonts w:hint="eastAsia"/>
          <w:highlight w:val="none"/>
        </w:rPr>
        <w:t>29.4电子交易活动的中止。采购过程中出现以下情形，导致电子交易平台无法正常运行，或者无法保证电子交易的公平、公正和安全时，采购代理机构可中止电子交易活动：</w:t>
      </w:r>
    </w:p>
    <w:p w14:paraId="0F395AD4">
      <w:pPr>
        <w:pStyle w:val="25"/>
        <w:rPr>
          <w:rFonts w:hint="eastAsia"/>
          <w:highlight w:val="none"/>
        </w:rPr>
      </w:pPr>
      <w:r>
        <w:rPr>
          <w:rFonts w:hint="eastAsia"/>
          <w:highlight w:val="none"/>
        </w:rPr>
        <w:t xml:space="preserve">（1）电子交易平台发生故障而无法登录访问的； </w:t>
      </w:r>
    </w:p>
    <w:p w14:paraId="3F13D0E6">
      <w:pPr>
        <w:pStyle w:val="25"/>
        <w:rPr>
          <w:rFonts w:hint="eastAsia"/>
          <w:highlight w:val="none"/>
        </w:rPr>
      </w:pPr>
      <w:r>
        <w:rPr>
          <w:rFonts w:hint="eastAsia"/>
          <w:highlight w:val="none"/>
        </w:rPr>
        <w:t>（2）电子交易平台应用或数据库出现错误，不能进行正常操作的；</w:t>
      </w:r>
    </w:p>
    <w:p w14:paraId="4B7B02B2">
      <w:pPr>
        <w:pStyle w:val="25"/>
        <w:rPr>
          <w:rFonts w:hint="eastAsia"/>
          <w:highlight w:val="none"/>
        </w:rPr>
      </w:pPr>
      <w:r>
        <w:rPr>
          <w:rFonts w:hint="eastAsia"/>
          <w:highlight w:val="none"/>
        </w:rPr>
        <w:t>（3）电子交易平台发现严重安全漏洞，有潜在泄密危险的；</w:t>
      </w:r>
    </w:p>
    <w:p w14:paraId="7946C5E3">
      <w:pPr>
        <w:pStyle w:val="25"/>
        <w:rPr>
          <w:rFonts w:hint="eastAsia"/>
          <w:highlight w:val="none"/>
        </w:rPr>
      </w:pPr>
      <w:r>
        <w:rPr>
          <w:rFonts w:hint="eastAsia"/>
          <w:highlight w:val="none"/>
        </w:rPr>
        <w:t xml:space="preserve">（4）病毒发作导致不能进行正常操作的； </w:t>
      </w:r>
    </w:p>
    <w:p w14:paraId="1B1C09EB">
      <w:pPr>
        <w:pStyle w:val="25"/>
        <w:rPr>
          <w:rFonts w:hint="eastAsia"/>
          <w:highlight w:val="none"/>
        </w:rPr>
      </w:pPr>
      <w:r>
        <w:rPr>
          <w:rFonts w:hint="eastAsia"/>
          <w:highlight w:val="none"/>
        </w:rPr>
        <w:t>（4）其他无法保证电子交易的公平、公正和安全的情况。</w:t>
      </w:r>
    </w:p>
    <w:p w14:paraId="4D593950">
      <w:pPr>
        <w:pStyle w:val="25"/>
        <w:rPr>
          <w:rFonts w:hint="eastAsia"/>
          <w:highlight w:val="none"/>
        </w:rPr>
      </w:pPr>
      <w:r>
        <w:rPr>
          <w:rFonts w:hint="eastAsia"/>
          <w:highlight w:val="none"/>
        </w:rPr>
        <w:t>29.5出现以上情形，不影响采购公平、公正性的，采购代理机构可以待上述情形消除后继续组织电子交易活动；影响或可能影响采购公平、公正性的，经采购代理机构确认后，应当重新采购。</w:t>
      </w:r>
    </w:p>
    <w:p w14:paraId="706E11E9">
      <w:pPr>
        <w:pStyle w:val="4"/>
        <w:keepNext w:val="0"/>
        <w:keepLines w:val="0"/>
        <w:jc w:val="center"/>
        <w:rPr>
          <w:rFonts w:hint="eastAsia" w:ascii="仿宋" w:hAnsi="仿宋" w:eastAsia="仿宋"/>
          <w:highlight w:val="none"/>
        </w:rPr>
      </w:pPr>
      <w:bookmarkStart w:id="142" w:name="_Toc254970546"/>
      <w:bookmarkStart w:id="143" w:name="_Toc254970687"/>
    </w:p>
    <w:p w14:paraId="353D6B27">
      <w:pPr>
        <w:pStyle w:val="4"/>
        <w:keepNext w:val="0"/>
        <w:keepLines w:val="0"/>
        <w:jc w:val="center"/>
        <w:rPr>
          <w:rFonts w:hint="eastAsia" w:ascii="仿宋" w:hAnsi="仿宋" w:eastAsia="仿宋"/>
          <w:highlight w:val="none"/>
        </w:rPr>
      </w:pPr>
      <w:r>
        <w:rPr>
          <w:rFonts w:hint="eastAsia" w:ascii="仿宋" w:hAnsi="仿宋" w:eastAsia="仿宋"/>
          <w:highlight w:val="none"/>
        </w:rPr>
        <w:t>七、</w:t>
      </w:r>
      <w:bookmarkEnd w:id="142"/>
      <w:bookmarkEnd w:id="143"/>
      <w:r>
        <w:rPr>
          <w:rFonts w:hint="eastAsia" w:ascii="仿宋" w:hAnsi="仿宋" w:eastAsia="仿宋"/>
          <w:highlight w:val="none"/>
        </w:rPr>
        <w:t>中标和合同</w:t>
      </w:r>
    </w:p>
    <w:p w14:paraId="18CD884E">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30</w:t>
      </w:r>
      <w:r>
        <w:rPr>
          <w:rFonts w:ascii="仿宋" w:hAnsi="仿宋" w:eastAsia="仿宋"/>
          <w:sz w:val="24"/>
          <w:highlight w:val="none"/>
        </w:rPr>
        <w:t xml:space="preserve"> </w:t>
      </w:r>
      <w:r>
        <w:rPr>
          <w:rFonts w:hint="eastAsia" w:ascii="仿宋" w:hAnsi="仿宋" w:eastAsia="仿宋"/>
          <w:sz w:val="24"/>
          <w:highlight w:val="none"/>
        </w:rPr>
        <w:t>确定中标人</w:t>
      </w:r>
    </w:p>
    <w:p w14:paraId="1F2ED835">
      <w:pPr>
        <w:pStyle w:val="6"/>
        <w:keepNext w:val="0"/>
        <w:keepLines w:val="0"/>
        <w:spacing w:before="0" w:after="0" w:line="360" w:lineRule="auto"/>
        <w:ind w:firstLine="480" w:firstLineChars="200"/>
        <w:rPr>
          <w:rFonts w:hint="eastAsia" w:ascii="仿宋" w:hAnsi="仿宋" w:eastAsia="仿宋"/>
          <w:b w:val="0"/>
          <w:sz w:val="24"/>
          <w:highlight w:val="none"/>
        </w:rPr>
      </w:pPr>
      <w:r>
        <w:rPr>
          <w:rFonts w:ascii="仿宋" w:hAnsi="仿宋" w:eastAsia="仿宋"/>
          <w:b w:val="0"/>
          <w:sz w:val="24"/>
          <w:highlight w:val="none"/>
        </w:rPr>
        <w:t>30.1</w:t>
      </w:r>
      <w:r>
        <w:rPr>
          <w:rFonts w:hint="eastAsia" w:ascii="仿宋" w:hAnsi="仿宋" w:eastAsia="仿宋"/>
          <w:b w:val="0"/>
          <w:sz w:val="24"/>
          <w:highlight w:val="none"/>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324917A3">
      <w:pPr>
        <w:snapToGrid w:val="0"/>
        <w:spacing w:line="360" w:lineRule="auto"/>
        <w:ind w:firstLine="480" w:firstLineChars="200"/>
        <w:rPr>
          <w:rFonts w:hint="eastAsia" w:ascii="仿宋" w:hAnsi="仿宋" w:eastAsia="仿宋" w:cs="Courier New"/>
          <w:sz w:val="24"/>
          <w:highlight w:val="none"/>
        </w:rPr>
      </w:pPr>
      <w:r>
        <w:rPr>
          <w:rFonts w:ascii="仿宋" w:hAnsi="仿宋" w:eastAsia="仿宋" w:cs="Courier New"/>
          <w:sz w:val="24"/>
          <w:highlight w:val="none"/>
        </w:rPr>
        <w:t>30.2</w:t>
      </w:r>
      <w:r>
        <w:rPr>
          <w:rFonts w:hint="eastAsia" w:ascii="仿宋" w:hAnsi="仿宋" w:eastAsia="仿宋" w:cs="Courier New"/>
          <w:sz w:val="24"/>
          <w:highlight w:val="none"/>
        </w:rPr>
        <w:t>采购人在收到评标报告5个工作日内未按评标报告推荐的中标候选人顺序确定中标人，又不能说明合法理由的，视同按评标报告推荐的顺序确定排名第一的中标候选人为中标人。</w:t>
      </w:r>
    </w:p>
    <w:p w14:paraId="55FDD06F">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30.3出现下列情形之一的，应予废标：</w:t>
      </w:r>
    </w:p>
    <w:p w14:paraId="605590AF">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（1）符合专业条件的供应商或者对招标文件作实质响应的供应商不足三家的；</w:t>
      </w:r>
    </w:p>
    <w:p w14:paraId="320EF6D4">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（2）出现影响采购公正的违法、违规行为的；</w:t>
      </w:r>
    </w:p>
    <w:p w14:paraId="38FF9F9F">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（3）投标人的报价均超过了采购预算，采购人不能支付的；</w:t>
      </w:r>
    </w:p>
    <w:p w14:paraId="70AE5840">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（4）因重大变故，采购任务取消的。</w:t>
      </w:r>
    </w:p>
    <w:p w14:paraId="19FE13A5">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废标后，采购人应当将废标理由通知所有投标人。</w:t>
      </w:r>
    </w:p>
    <w:p w14:paraId="5B13A622">
      <w:pPr>
        <w:snapToGrid w:val="0"/>
        <w:spacing w:line="360" w:lineRule="auto"/>
        <w:ind w:firstLine="480" w:firstLineChars="200"/>
        <w:rPr>
          <w:rFonts w:hint="eastAsia" w:ascii="仿宋" w:hAnsi="仿宋" w:eastAsia="仿宋" w:cs="Courier New"/>
          <w:sz w:val="24"/>
          <w:highlight w:val="none"/>
        </w:rPr>
      </w:pPr>
      <w:r>
        <w:rPr>
          <w:rFonts w:ascii="仿宋" w:hAnsi="仿宋" w:eastAsia="仿宋" w:cs="Courier New"/>
          <w:sz w:val="24"/>
          <w:highlight w:val="none"/>
        </w:rPr>
        <w:t>30.</w:t>
      </w:r>
      <w:r>
        <w:rPr>
          <w:rFonts w:hint="eastAsia" w:ascii="仿宋" w:hAnsi="仿宋" w:eastAsia="仿宋" w:cs="Courier New"/>
          <w:sz w:val="24"/>
          <w:highlight w:val="none"/>
        </w:rPr>
        <w:t>4 中标人拒绝签订政府采购合同（包括但不限于放弃中标、因不可抗力不能履行合同而放弃签订合同），采购人可以按照评审报告推荐的中标候选人名单排序，确定下一候选人为中标供应商，也可以重新开展政府采购活动。</w:t>
      </w:r>
      <w:r>
        <w:rPr>
          <w:rFonts w:ascii="仿宋" w:hAnsi="仿宋" w:eastAsia="仿宋" w:cs="Courier New"/>
          <w:sz w:val="24"/>
          <w:highlight w:val="none"/>
        </w:rPr>
        <w:t>拒绝签订政府采购合同的</w:t>
      </w:r>
      <w:r>
        <w:rPr>
          <w:rFonts w:hint="eastAsia" w:ascii="仿宋" w:hAnsi="仿宋" w:eastAsia="仿宋" w:cs="Courier New"/>
          <w:sz w:val="24"/>
          <w:highlight w:val="none"/>
        </w:rPr>
        <w:t>中标人</w:t>
      </w:r>
      <w:r>
        <w:rPr>
          <w:rFonts w:ascii="仿宋" w:hAnsi="仿宋" w:eastAsia="仿宋" w:cs="Courier New"/>
          <w:sz w:val="24"/>
          <w:highlight w:val="none"/>
        </w:rPr>
        <w:t>不得参加对该项目重新开展的采购活动。</w:t>
      </w:r>
    </w:p>
    <w:p w14:paraId="5729E486">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31. 结果公告</w:t>
      </w:r>
    </w:p>
    <w:p w14:paraId="5D4A5A39">
      <w:pPr>
        <w:pStyle w:val="6"/>
        <w:keepNext w:val="0"/>
        <w:keepLines w:val="0"/>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3</w:t>
      </w:r>
      <w:r>
        <w:rPr>
          <w:rFonts w:ascii="仿宋" w:hAnsi="仿宋" w:eastAsia="仿宋"/>
          <w:b w:val="0"/>
          <w:sz w:val="24"/>
          <w:highlight w:val="none"/>
        </w:rPr>
        <w:t>1.1</w:t>
      </w:r>
      <w:r>
        <w:rPr>
          <w:rFonts w:hint="eastAsia" w:ascii="仿宋" w:hAnsi="仿宋" w:eastAsia="仿宋"/>
          <w:b w:val="0"/>
          <w:sz w:val="24"/>
          <w:highlight w:val="none"/>
        </w:rPr>
        <w:t>采购人或者采购代理机构应当自中标人确定之日起2个工作日内，在省级以上财政部门指定的媒体上公告中标结果，招标文件应当随中标结果同时公告。</w:t>
      </w:r>
      <w:r>
        <w:rPr>
          <w:rFonts w:hint="eastAsia" w:ascii="仿宋" w:hAnsi="仿宋" w:eastAsia="仿宋"/>
          <w:sz w:val="24"/>
          <w:highlight w:val="none"/>
        </w:rPr>
        <w:t>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仿宋" w:hAnsi="仿宋" w:eastAsia="仿宋"/>
          <w:b w:val="0"/>
          <w:sz w:val="24"/>
          <w:highlight w:val="none"/>
        </w:rPr>
        <w:t>排名第二的中标候选人因前款规定的同样原因被取消中标资格的，采购人可以确定排名第三的中标候选人为中标人，以此类推。以上信息查询记录及相关证据与采购文件一并保存。</w:t>
      </w:r>
    </w:p>
    <w:p w14:paraId="6088AEEE">
      <w:pPr>
        <w:pStyle w:val="6"/>
        <w:keepNext w:val="0"/>
        <w:keepLines w:val="0"/>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31.2中标供应商享受《政府采购促进中小企业发展管理办法》（财库〔2020〕46号）规定的中小企业扶持政策的，采购人、采购代理机构应当随中标结果公开中标供应商的《中小企业声明函》。</w:t>
      </w:r>
    </w:p>
    <w:p w14:paraId="42A11104">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32.发出中标通知书</w:t>
      </w:r>
    </w:p>
    <w:p w14:paraId="37C28D3C">
      <w:pPr>
        <w:pStyle w:val="6"/>
        <w:keepNext w:val="0"/>
        <w:keepLines w:val="0"/>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在公告中标结果的同时，采购代理机构向中标人发出中标通知书。对未通过资格审查的投标人，应当告知其未通过的原因；采用综合评分办法评审的，还应当告知未中标人本人的评审得分与排序。</w:t>
      </w:r>
    </w:p>
    <w:p w14:paraId="0719EA10">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33. 无义务解释未中标原因</w:t>
      </w:r>
    </w:p>
    <w:p w14:paraId="1B72D24A">
      <w:pPr>
        <w:pStyle w:val="6"/>
        <w:keepNext w:val="0"/>
        <w:keepLines w:val="0"/>
        <w:spacing w:before="0" w:after="0" w:line="360" w:lineRule="auto"/>
        <w:ind w:left="420" w:leftChars="200"/>
        <w:rPr>
          <w:rFonts w:hint="eastAsia" w:ascii="仿宋" w:hAnsi="仿宋" w:eastAsia="仿宋"/>
          <w:b w:val="0"/>
          <w:sz w:val="24"/>
          <w:highlight w:val="none"/>
        </w:rPr>
      </w:pPr>
      <w:r>
        <w:rPr>
          <w:rFonts w:hint="eastAsia" w:ascii="仿宋" w:hAnsi="仿宋" w:eastAsia="仿宋"/>
          <w:b w:val="0"/>
          <w:sz w:val="24"/>
          <w:highlight w:val="none"/>
        </w:rPr>
        <w:t>采购代理机构无义务向未中标的投标人解释未中标原因和退还投标文件。</w:t>
      </w:r>
    </w:p>
    <w:p w14:paraId="2BE4F211">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34.合同授予标准</w:t>
      </w:r>
    </w:p>
    <w:p w14:paraId="246A2681">
      <w:pPr>
        <w:snapToGrid w:val="0"/>
        <w:spacing w:line="360" w:lineRule="auto"/>
        <w:ind w:firstLine="480" w:firstLineChars="200"/>
        <w:rPr>
          <w:rFonts w:hint="eastAsia" w:ascii="仿宋" w:hAnsi="仿宋" w:eastAsia="仿宋"/>
          <w:sz w:val="24"/>
          <w:highlight w:val="none"/>
        </w:rPr>
      </w:pPr>
      <w:r>
        <w:rPr>
          <w:rFonts w:hint="eastAsia" w:ascii="仿宋" w:hAnsi="仿宋" w:eastAsia="仿宋" w:cs="Courier New"/>
          <w:sz w:val="24"/>
          <w:highlight w:val="none"/>
        </w:rPr>
        <w:t>合同将授予被确定实质上响应招标文件要求，具备履行合同能力的中标人（招标文件另有约定多名中标人的除外）。</w:t>
      </w:r>
    </w:p>
    <w:p w14:paraId="172D3C09">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35.履约保证金</w:t>
      </w:r>
    </w:p>
    <w:p w14:paraId="300EB669">
      <w:pPr>
        <w:pStyle w:val="6"/>
        <w:keepNext w:val="0"/>
        <w:keepLines w:val="0"/>
        <w:spacing w:before="0" w:after="0" w:line="360" w:lineRule="auto"/>
        <w:ind w:firstLine="360" w:firstLineChars="150"/>
        <w:rPr>
          <w:rFonts w:hint="eastAsia" w:ascii="仿宋" w:hAnsi="仿宋" w:eastAsia="仿宋"/>
          <w:b w:val="0"/>
          <w:sz w:val="24"/>
          <w:highlight w:val="none"/>
        </w:rPr>
      </w:pPr>
      <w:bookmarkStart w:id="144" w:name="_39.1中标人须于签订合同前按本须知前附表规定的金额转账或电汇到指定账"/>
      <w:bookmarkEnd w:id="144"/>
      <w:r>
        <w:rPr>
          <w:rFonts w:ascii="仿宋" w:hAnsi="仿宋" w:eastAsia="仿宋"/>
          <w:b w:val="0"/>
          <w:sz w:val="24"/>
          <w:highlight w:val="none"/>
        </w:rPr>
        <w:t xml:space="preserve"> </w:t>
      </w:r>
      <w:r>
        <w:rPr>
          <w:rFonts w:hint="eastAsia" w:ascii="仿宋" w:hAnsi="仿宋" w:eastAsia="仿宋"/>
          <w:b w:val="0"/>
          <w:sz w:val="24"/>
          <w:highlight w:val="none"/>
        </w:rPr>
        <w:t>3</w:t>
      </w:r>
      <w:r>
        <w:rPr>
          <w:rFonts w:ascii="仿宋" w:hAnsi="仿宋" w:eastAsia="仿宋"/>
          <w:b w:val="0"/>
          <w:sz w:val="24"/>
          <w:highlight w:val="none"/>
        </w:rPr>
        <w:t>5</w:t>
      </w:r>
      <w:r>
        <w:rPr>
          <w:rFonts w:hint="eastAsia" w:ascii="仿宋" w:hAnsi="仿宋" w:eastAsia="仿宋"/>
          <w:b w:val="0"/>
          <w:sz w:val="24"/>
          <w:highlight w:val="none"/>
        </w:rPr>
        <w:t>.1 履约保证金的金额、提交方式、退付的时间和条件详见 “投标人须知前附表”。中标人未按规定提交履约保证金的，视为拒绝与采购人签订合同。</w:t>
      </w:r>
    </w:p>
    <w:p w14:paraId="21C4CC3B">
      <w:pPr>
        <w:pStyle w:val="6"/>
        <w:keepNext w:val="0"/>
        <w:keepLines w:val="0"/>
        <w:spacing w:before="0" w:after="0" w:line="360" w:lineRule="auto"/>
        <w:ind w:firstLine="361" w:firstLineChars="150"/>
        <w:rPr>
          <w:rFonts w:hint="eastAsia" w:ascii="仿宋" w:hAnsi="仿宋" w:eastAsia="仿宋"/>
          <w:sz w:val="24"/>
          <w:highlight w:val="none"/>
        </w:rPr>
      </w:pPr>
      <w:r>
        <w:rPr>
          <w:rFonts w:hint="eastAsia" w:ascii="仿宋" w:hAnsi="仿宋" w:eastAsia="仿宋"/>
          <w:sz w:val="24"/>
          <w:highlight w:val="none"/>
        </w:rPr>
        <w:t xml:space="preserve"> </w:t>
      </w:r>
      <w:r>
        <w:rPr>
          <w:rFonts w:hint="eastAsia" w:ascii="仿宋" w:hAnsi="仿宋" w:eastAsia="仿宋"/>
          <w:b w:val="0"/>
          <w:bCs/>
          <w:sz w:val="24"/>
          <w:highlight w:val="none"/>
        </w:rPr>
        <w:t>35.2在履约保证金退还日期前，若中标人的开户名称、开户银行、账号有变动的，请以书面形式通知履约保证金收取单位，否则由此产生的后果由中标人自行承担。</w:t>
      </w:r>
    </w:p>
    <w:p w14:paraId="13DE043B">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36.签订合同</w:t>
      </w:r>
    </w:p>
    <w:p w14:paraId="746DD617">
      <w:pPr>
        <w:pStyle w:val="6"/>
        <w:keepNext w:val="0"/>
        <w:keepLines w:val="0"/>
        <w:spacing w:before="0" w:after="0" w:line="360" w:lineRule="auto"/>
        <w:ind w:firstLine="360" w:firstLineChars="150"/>
        <w:rPr>
          <w:rFonts w:hint="eastAsia" w:ascii="仿宋" w:hAnsi="仿宋" w:eastAsia="仿宋"/>
          <w:b w:val="0"/>
          <w:bCs/>
          <w:sz w:val="24"/>
          <w:highlight w:val="none"/>
        </w:rPr>
      </w:pPr>
      <w:bookmarkStart w:id="145" w:name="_40.1投标人接到中标通知书后，按须知前附表规定向采购人出示相关资格证"/>
      <w:bookmarkEnd w:id="145"/>
      <w:r>
        <w:rPr>
          <w:rFonts w:hint="eastAsia" w:ascii="仿宋" w:hAnsi="仿宋" w:eastAsia="仿宋"/>
          <w:b w:val="0"/>
          <w:sz w:val="24"/>
          <w:highlight w:val="none"/>
        </w:rPr>
        <w:t xml:space="preserve"> 36.1投标人领取中标通知书（书面或电子）后，按“投标人须知前附表”规定向采购人出示相关证明材料，经采购人核验合格后方可签订采购合同（书面或电子）。</w:t>
      </w:r>
    </w:p>
    <w:p w14:paraId="5E780E87">
      <w:pPr>
        <w:pStyle w:val="6"/>
        <w:keepNext w:val="0"/>
        <w:keepLines w:val="0"/>
        <w:numPr>
          <w:ilvl w:val="0"/>
          <w:numId w:val="0"/>
        </w:numPr>
        <w:spacing w:before="0" w:after="0" w:line="360" w:lineRule="auto"/>
        <w:ind w:firstLine="480" w:firstLineChars="200"/>
        <w:rPr>
          <w:rFonts w:hint="eastAsia" w:ascii="仿宋" w:hAnsi="仿宋" w:eastAsia="仿宋"/>
          <w:b w:val="0"/>
          <w:sz w:val="24"/>
          <w:highlight w:val="none"/>
        </w:rPr>
      </w:pPr>
      <w:r>
        <w:rPr>
          <w:rFonts w:hint="eastAsia" w:ascii="仿宋" w:hAnsi="仿宋" w:eastAsia="仿宋"/>
          <w:b w:val="0"/>
          <w:sz w:val="24"/>
          <w:highlight w:val="none"/>
        </w:rPr>
        <w:t>36.2签订合同时间：中标通知书（中标公告）发出之日起</w:t>
      </w:r>
      <w:r>
        <w:rPr>
          <w:rFonts w:ascii="仿宋" w:hAnsi="仿宋" w:eastAsia="仿宋"/>
          <w:b w:val="0"/>
          <w:sz w:val="24"/>
          <w:highlight w:val="none"/>
        </w:rPr>
        <w:t>8</w:t>
      </w:r>
      <w:r>
        <w:rPr>
          <w:rFonts w:hint="eastAsia" w:ascii="仿宋" w:hAnsi="仿宋" w:eastAsia="仿宋"/>
          <w:b w:val="0"/>
          <w:sz w:val="24"/>
          <w:highlight w:val="none"/>
        </w:rPr>
        <w:t>个工作日内。</w:t>
      </w:r>
    </w:p>
    <w:p w14:paraId="7B832EEC">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36.</w:t>
      </w:r>
      <w:r>
        <w:rPr>
          <w:rFonts w:ascii="仿宋" w:hAnsi="仿宋" w:eastAsia="仿宋"/>
          <w:b w:val="0"/>
          <w:sz w:val="24"/>
          <w:highlight w:val="none"/>
        </w:rPr>
        <w:t>3</w:t>
      </w:r>
      <w:r>
        <w:rPr>
          <w:rFonts w:hint="eastAsia" w:ascii="仿宋" w:hAnsi="仿宋" w:eastAsia="仿宋"/>
          <w:b w:val="0"/>
          <w:sz w:val="24"/>
          <w:highlight w:val="none"/>
        </w:rPr>
        <w:t>中标人拒绝与采购人签订合同的，按照本须知正文第3</w:t>
      </w:r>
      <w:r>
        <w:rPr>
          <w:rFonts w:ascii="仿宋" w:hAnsi="仿宋" w:eastAsia="仿宋"/>
          <w:b w:val="0"/>
          <w:sz w:val="24"/>
          <w:highlight w:val="none"/>
        </w:rPr>
        <w:t>0.4条</w:t>
      </w:r>
      <w:r>
        <w:rPr>
          <w:rFonts w:hint="eastAsia" w:ascii="仿宋" w:hAnsi="仿宋" w:eastAsia="仿宋"/>
          <w:b w:val="0"/>
          <w:sz w:val="24"/>
          <w:highlight w:val="none"/>
        </w:rPr>
        <w:t>的规定执行。</w:t>
      </w:r>
    </w:p>
    <w:p w14:paraId="36C4CEC1">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46" w:name="_41.政府采购合同公告"/>
      <w:bookmarkEnd w:id="146"/>
      <w:r>
        <w:rPr>
          <w:rFonts w:hint="eastAsia" w:ascii="仿宋" w:hAnsi="仿宋" w:eastAsia="仿宋"/>
          <w:sz w:val="24"/>
          <w:highlight w:val="none"/>
        </w:rPr>
        <w:t>37.政府采购合同公告</w:t>
      </w:r>
    </w:p>
    <w:p w14:paraId="2B6220E1">
      <w:pPr>
        <w:pStyle w:val="6"/>
        <w:keepNext w:val="0"/>
        <w:keepLines w:val="0"/>
        <w:spacing w:before="0" w:after="0" w:line="360" w:lineRule="auto"/>
        <w:ind w:firstLine="360" w:firstLineChars="150"/>
        <w:rPr>
          <w:highlight w:val="none"/>
        </w:rPr>
      </w:pPr>
      <w:r>
        <w:rPr>
          <w:rFonts w:hint="eastAsia" w:ascii="仿宋" w:hAnsi="仿宋" w:eastAsia="仿宋"/>
          <w:b w:val="0"/>
          <w:bCs/>
          <w:sz w:val="24"/>
          <w:highlight w:val="none"/>
        </w:rPr>
        <w:t>采购人或者受托采购代理机构应当自政府采购合同签订之日起2个工作日内，将政府采购合同在省级以上人民政府财政部门指定的媒体上公告，</w:t>
      </w:r>
      <w:r>
        <w:rPr>
          <w:rFonts w:ascii="仿宋" w:hAnsi="仿宋" w:eastAsia="仿宋"/>
          <w:b w:val="0"/>
          <w:bCs/>
          <w:sz w:val="24"/>
          <w:highlight w:val="none"/>
        </w:rPr>
        <w:t>但政府采购合同中涉及国家秘密、商业秘密的内容除外。</w:t>
      </w:r>
    </w:p>
    <w:p w14:paraId="67D5D7D2">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8.</w:t>
      </w:r>
      <w:r>
        <w:rPr>
          <w:rFonts w:hint="eastAsia" w:ascii="仿宋" w:hAnsi="仿宋" w:eastAsia="仿宋"/>
          <w:sz w:val="24"/>
          <w:highlight w:val="none"/>
        </w:rPr>
        <w:t xml:space="preserve"> 询问、质疑和投诉</w:t>
      </w:r>
    </w:p>
    <w:p w14:paraId="3B2BD3D8">
      <w:pPr>
        <w:pStyle w:val="7"/>
        <w:spacing w:line="360" w:lineRule="auto"/>
        <w:ind w:firstLine="480" w:firstLineChars="200"/>
        <w:rPr>
          <w:rFonts w:hint="eastAsia" w:ascii="仿宋" w:hAnsi="仿宋" w:eastAsia="仿宋"/>
          <w:sz w:val="24"/>
          <w:szCs w:val="24"/>
          <w:highlight w:val="none"/>
        </w:rPr>
      </w:pPr>
      <w:r>
        <w:rPr>
          <w:rFonts w:hint="eastAsia" w:ascii="仿宋" w:hAnsi="仿宋" w:eastAsia="仿宋"/>
          <w:sz w:val="24"/>
          <w:szCs w:val="24"/>
          <w:highlight w:val="none"/>
        </w:rPr>
        <w:t>38.1</w:t>
      </w:r>
      <w:r>
        <w:rPr>
          <w:rFonts w:ascii="仿宋" w:hAnsi="仿宋" w:eastAsia="仿宋"/>
          <w:sz w:val="24"/>
          <w:szCs w:val="24"/>
          <w:highlight w:val="none"/>
        </w:rPr>
        <w:t>供应商对政府采购活动事项有疑问的，可以向采购人提出询问，采购人或者采购代理机构应当在3个工作日内对供应商依法提出的询问作出答复，但答复的内容不得涉及商业秘密。</w:t>
      </w:r>
    </w:p>
    <w:p w14:paraId="300F7047">
      <w:pPr>
        <w:pStyle w:val="6"/>
        <w:keepNext w:val="0"/>
        <w:keepLines w:val="0"/>
        <w:spacing w:before="0" w:after="0" w:line="360" w:lineRule="auto"/>
        <w:ind w:firstLine="360" w:firstLineChars="150"/>
        <w:rPr>
          <w:rFonts w:hint="eastAsia" w:ascii="仿宋" w:hAnsi="仿宋" w:eastAsia="仿宋"/>
          <w:b w:val="0"/>
          <w:sz w:val="24"/>
          <w:highlight w:val="none"/>
        </w:rPr>
      </w:pPr>
      <w:r>
        <w:rPr>
          <w:rFonts w:hint="eastAsia" w:ascii="仿宋" w:hAnsi="仿宋" w:eastAsia="仿宋"/>
          <w:b w:val="0"/>
          <w:sz w:val="24"/>
          <w:highlight w:val="none"/>
        </w:rPr>
        <w:t xml:space="preserve"> </w:t>
      </w:r>
      <w:r>
        <w:rPr>
          <w:rFonts w:ascii="仿宋" w:hAnsi="仿宋" w:eastAsia="仿宋"/>
          <w:b w:val="0"/>
          <w:sz w:val="24"/>
          <w:highlight w:val="none"/>
        </w:rPr>
        <w:t>38</w:t>
      </w:r>
      <w:r>
        <w:rPr>
          <w:rFonts w:hint="eastAsia" w:ascii="仿宋" w:hAnsi="仿宋" w:eastAsia="仿宋"/>
          <w:b w:val="0"/>
          <w:sz w:val="24"/>
          <w:highlight w:val="none"/>
        </w:rPr>
        <w:t>.</w:t>
      </w:r>
      <w:r>
        <w:rPr>
          <w:rFonts w:ascii="仿宋" w:hAnsi="仿宋" w:eastAsia="仿宋"/>
          <w:b w:val="0"/>
          <w:sz w:val="24"/>
          <w:highlight w:val="none"/>
        </w:rPr>
        <w:t>2</w:t>
      </w:r>
      <w:r>
        <w:rPr>
          <w:rFonts w:hint="eastAsia" w:ascii="仿宋" w:hAnsi="仿宋" w:eastAsia="仿宋"/>
          <w:b w:val="0"/>
          <w:sz w:val="24"/>
          <w:highlight w:val="none"/>
        </w:rPr>
        <w:t xml:space="preserve">供应商认为招标文件、采购过程或者中标结果使自己的合法权益受到损害的，必须在知道或者应知其权益受到损害之日起7个工作日内，以纸质书面形式向采购人、采购代理机构提出质疑。采购人、采购代理机构接收质疑函的方式、联系部门、联系电话和通讯地址等信息详见“投标人须知前附表”。具体质疑起算时间如下： </w:t>
      </w:r>
    </w:p>
    <w:p w14:paraId="0A90B6D8">
      <w:pPr>
        <w:pStyle w:val="25"/>
        <w:rPr>
          <w:rFonts w:hint="eastAsia"/>
          <w:highlight w:val="none"/>
        </w:rPr>
      </w:pPr>
      <w:r>
        <w:rPr>
          <w:highlight w:val="none"/>
        </w:rPr>
        <w:t>（</w:t>
      </w:r>
      <w:r>
        <w:rPr>
          <w:rFonts w:hint="eastAsia"/>
          <w:highlight w:val="none"/>
        </w:rPr>
        <w:t>1</w:t>
      </w:r>
      <w:r>
        <w:rPr>
          <w:highlight w:val="none"/>
        </w:rPr>
        <w:t>）对可以质疑的</w:t>
      </w:r>
      <w:r>
        <w:rPr>
          <w:rFonts w:hint="eastAsia"/>
          <w:highlight w:val="none"/>
        </w:rPr>
        <w:t>招标</w:t>
      </w:r>
      <w:r>
        <w:rPr>
          <w:highlight w:val="none"/>
        </w:rPr>
        <w:t>文件提出质疑的，为收到</w:t>
      </w:r>
      <w:r>
        <w:rPr>
          <w:rFonts w:hint="eastAsia"/>
          <w:highlight w:val="none"/>
        </w:rPr>
        <w:t>招标</w:t>
      </w:r>
      <w:r>
        <w:rPr>
          <w:highlight w:val="none"/>
        </w:rPr>
        <w:t>文件之日</w:t>
      </w:r>
      <w:r>
        <w:rPr>
          <w:rFonts w:hint="eastAsia"/>
          <w:highlight w:val="none"/>
        </w:rPr>
        <w:t>或者招标文件公告期限届满之日</w:t>
      </w:r>
      <w:r>
        <w:rPr>
          <w:highlight w:val="none"/>
        </w:rPr>
        <w:t>；</w:t>
      </w:r>
    </w:p>
    <w:p w14:paraId="48E9738D">
      <w:pPr>
        <w:pStyle w:val="25"/>
        <w:rPr>
          <w:rFonts w:hint="eastAsia"/>
          <w:highlight w:val="none"/>
        </w:rPr>
      </w:pPr>
      <w:r>
        <w:rPr>
          <w:highlight w:val="none"/>
        </w:rPr>
        <w:t>（</w:t>
      </w:r>
      <w:r>
        <w:rPr>
          <w:rFonts w:hint="eastAsia"/>
          <w:highlight w:val="none"/>
        </w:rPr>
        <w:t>2</w:t>
      </w:r>
      <w:r>
        <w:rPr>
          <w:highlight w:val="none"/>
        </w:rPr>
        <w:t>）对</w:t>
      </w:r>
      <w:r>
        <w:rPr>
          <w:rFonts w:hint="eastAsia"/>
          <w:highlight w:val="none"/>
        </w:rPr>
        <w:t>采购</w:t>
      </w:r>
      <w:r>
        <w:rPr>
          <w:highlight w:val="none"/>
        </w:rPr>
        <w:t>过程提出质疑的，为各采购程序环节结束之日；</w:t>
      </w:r>
    </w:p>
    <w:p w14:paraId="70A9E436">
      <w:pPr>
        <w:pStyle w:val="25"/>
        <w:rPr>
          <w:rFonts w:hint="eastAsia"/>
          <w:bCs/>
          <w:highlight w:val="none"/>
        </w:rPr>
      </w:pPr>
      <w:r>
        <w:rPr>
          <w:highlight w:val="none"/>
        </w:rPr>
        <w:t>（</w:t>
      </w:r>
      <w:r>
        <w:rPr>
          <w:rFonts w:hint="eastAsia"/>
          <w:highlight w:val="none"/>
        </w:rPr>
        <w:t>3</w:t>
      </w:r>
      <w:r>
        <w:rPr>
          <w:highlight w:val="none"/>
        </w:rPr>
        <w:t>）对中标结果提出质疑的，为中标结果公告期限届满之日。</w:t>
      </w:r>
    </w:p>
    <w:p w14:paraId="67374F2C">
      <w:pPr>
        <w:pStyle w:val="6"/>
        <w:keepNext w:val="0"/>
        <w:keepLines w:val="0"/>
        <w:spacing w:before="0" w:after="0" w:line="360" w:lineRule="auto"/>
        <w:ind w:firstLine="360" w:firstLineChars="150"/>
        <w:rPr>
          <w:rFonts w:hint="eastAsia" w:ascii="仿宋" w:hAnsi="仿宋" w:eastAsia="仿宋"/>
          <w:b w:val="0"/>
          <w:sz w:val="24"/>
          <w:highlight w:val="none"/>
        </w:rPr>
      </w:pPr>
      <w:r>
        <w:rPr>
          <w:rFonts w:ascii="仿宋" w:hAnsi="仿宋" w:eastAsia="仿宋"/>
          <w:b w:val="0"/>
          <w:sz w:val="24"/>
          <w:highlight w:val="none"/>
        </w:rPr>
        <w:t>38</w:t>
      </w:r>
      <w:r>
        <w:rPr>
          <w:rFonts w:hint="eastAsia" w:ascii="仿宋" w:hAnsi="仿宋" w:eastAsia="仿宋"/>
          <w:b w:val="0"/>
          <w:sz w:val="24"/>
          <w:highlight w:val="none"/>
        </w:rPr>
        <w:t>.</w:t>
      </w:r>
      <w:r>
        <w:rPr>
          <w:rFonts w:ascii="仿宋" w:hAnsi="仿宋" w:eastAsia="仿宋"/>
          <w:b w:val="0"/>
          <w:sz w:val="24"/>
          <w:highlight w:val="none"/>
        </w:rPr>
        <w:t>3</w:t>
      </w:r>
      <w:r>
        <w:rPr>
          <w:rFonts w:hint="eastAsia" w:ascii="仿宋" w:hAnsi="仿宋" w:eastAsia="仿宋"/>
          <w:b w:val="0"/>
          <w:sz w:val="24"/>
          <w:highlight w:val="none"/>
        </w:rPr>
        <w:t xml:space="preserve"> </w:t>
      </w:r>
      <w:r>
        <w:rPr>
          <w:rFonts w:ascii="仿宋" w:hAnsi="仿宋" w:eastAsia="仿宋"/>
          <w:bCs/>
          <w:sz w:val="24"/>
          <w:highlight w:val="none"/>
        </w:rPr>
        <w:t>供应商提出质疑应当提交质疑函和必要的证明材料</w:t>
      </w:r>
      <w:r>
        <w:rPr>
          <w:rFonts w:hint="eastAsia" w:ascii="仿宋" w:hAnsi="仿宋" w:eastAsia="仿宋"/>
          <w:bCs/>
          <w:sz w:val="24"/>
          <w:highlight w:val="none"/>
        </w:rPr>
        <w:t>，</w:t>
      </w:r>
      <w:r>
        <w:rPr>
          <w:rFonts w:ascii="仿宋" w:hAnsi="仿宋" w:eastAsia="仿宋"/>
          <w:bCs/>
          <w:sz w:val="24"/>
          <w:highlight w:val="none"/>
        </w:rPr>
        <w:t>针对同一采购程序环节的质疑</w:t>
      </w:r>
      <w:r>
        <w:rPr>
          <w:rFonts w:hint="eastAsia" w:ascii="仿宋" w:hAnsi="仿宋" w:eastAsia="仿宋"/>
          <w:bCs/>
          <w:sz w:val="24"/>
          <w:highlight w:val="none"/>
        </w:rPr>
        <w:t>必须</w:t>
      </w:r>
      <w:r>
        <w:rPr>
          <w:rFonts w:ascii="仿宋" w:hAnsi="仿宋" w:eastAsia="仿宋"/>
          <w:bCs/>
          <w:sz w:val="24"/>
          <w:highlight w:val="none"/>
        </w:rPr>
        <w:t>在法定质疑期内一次性提出。质疑函应当包括下列内容</w:t>
      </w:r>
      <w:r>
        <w:rPr>
          <w:rFonts w:hint="eastAsia" w:ascii="仿宋" w:hAnsi="仿宋" w:eastAsia="仿宋"/>
          <w:bCs/>
          <w:sz w:val="24"/>
          <w:highlight w:val="none"/>
        </w:rPr>
        <w:t>（质疑函格式后附）</w:t>
      </w:r>
      <w:r>
        <w:rPr>
          <w:rFonts w:ascii="仿宋" w:hAnsi="仿宋" w:eastAsia="仿宋"/>
          <w:bCs/>
          <w:sz w:val="24"/>
          <w:highlight w:val="none"/>
        </w:rPr>
        <w:t>：</w:t>
      </w:r>
    </w:p>
    <w:p w14:paraId="139C9894">
      <w:pPr>
        <w:pStyle w:val="25"/>
        <w:rPr>
          <w:rFonts w:hint="eastAsia"/>
          <w:highlight w:val="none"/>
        </w:rPr>
      </w:pPr>
      <w:r>
        <w:rPr>
          <w:highlight w:val="none"/>
        </w:rPr>
        <w:t>（</w:t>
      </w:r>
      <w:r>
        <w:rPr>
          <w:rFonts w:hint="eastAsia"/>
          <w:highlight w:val="none"/>
        </w:rPr>
        <w:t>1</w:t>
      </w:r>
      <w:r>
        <w:rPr>
          <w:highlight w:val="none"/>
        </w:rPr>
        <w:t>）供应商的姓名或者名称、地址、邮编、联系人及联系电话；</w:t>
      </w:r>
    </w:p>
    <w:p w14:paraId="00609909">
      <w:pPr>
        <w:pStyle w:val="25"/>
        <w:rPr>
          <w:rFonts w:hint="eastAsia"/>
          <w:highlight w:val="none"/>
        </w:rPr>
      </w:pPr>
      <w:r>
        <w:rPr>
          <w:highlight w:val="none"/>
        </w:rPr>
        <w:t>（</w:t>
      </w:r>
      <w:r>
        <w:rPr>
          <w:rFonts w:hint="eastAsia"/>
          <w:highlight w:val="none"/>
        </w:rPr>
        <w:t>2</w:t>
      </w:r>
      <w:r>
        <w:rPr>
          <w:highlight w:val="none"/>
        </w:rPr>
        <w:t>）质疑项目的名称、编号；</w:t>
      </w:r>
    </w:p>
    <w:p w14:paraId="6BB55123">
      <w:pPr>
        <w:pStyle w:val="25"/>
        <w:rPr>
          <w:rFonts w:hint="eastAsia"/>
          <w:highlight w:val="none"/>
        </w:rPr>
      </w:pPr>
      <w:r>
        <w:rPr>
          <w:highlight w:val="none"/>
        </w:rPr>
        <w:t>（</w:t>
      </w:r>
      <w:r>
        <w:rPr>
          <w:rFonts w:hint="eastAsia"/>
          <w:highlight w:val="none"/>
        </w:rPr>
        <w:t>3</w:t>
      </w:r>
      <w:r>
        <w:rPr>
          <w:highlight w:val="none"/>
        </w:rPr>
        <w:t>）具体、明确的质疑事项和与质疑事项相关的请求；</w:t>
      </w:r>
    </w:p>
    <w:p w14:paraId="74D2545E">
      <w:pPr>
        <w:pStyle w:val="25"/>
        <w:rPr>
          <w:rFonts w:hint="eastAsia"/>
          <w:highlight w:val="none"/>
        </w:rPr>
      </w:pPr>
      <w:r>
        <w:rPr>
          <w:highlight w:val="none"/>
        </w:rPr>
        <w:t>（</w:t>
      </w:r>
      <w:r>
        <w:rPr>
          <w:rFonts w:hint="eastAsia"/>
          <w:highlight w:val="none"/>
        </w:rPr>
        <w:t>4</w:t>
      </w:r>
      <w:r>
        <w:rPr>
          <w:highlight w:val="none"/>
        </w:rPr>
        <w:t>）事实依据；</w:t>
      </w:r>
    </w:p>
    <w:p w14:paraId="39828E2E">
      <w:pPr>
        <w:pStyle w:val="25"/>
        <w:rPr>
          <w:rFonts w:hint="eastAsia"/>
          <w:highlight w:val="none"/>
        </w:rPr>
      </w:pPr>
      <w:r>
        <w:rPr>
          <w:highlight w:val="none"/>
        </w:rPr>
        <w:t>（</w:t>
      </w:r>
      <w:r>
        <w:rPr>
          <w:rFonts w:hint="eastAsia"/>
          <w:highlight w:val="none"/>
        </w:rPr>
        <w:t>5</w:t>
      </w:r>
      <w:r>
        <w:rPr>
          <w:highlight w:val="none"/>
        </w:rPr>
        <w:t>）必要的法律依据；</w:t>
      </w:r>
    </w:p>
    <w:p w14:paraId="5CEE50FB">
      <w:pPr>
        <w:pStyle w:val="25"/>
        <w:rPr>
          <w:rFonts w:hint="eastAsia"/>
          <w:highlight w:val="none"/>
        </w:rPr>
      </w:pPr>
      <w:r>
        <w:rPr>
          <w:highlight w:val="none"/>
        </w:rPr>
        <w:t>（</w:t>
      </w:r>
      <w:r>
        <w:rPr>
          <w:rFonts w:hint="eastAsia"/>
          <w:highlight w:val="none"/>
        </w:rPr>
        <w:t>6</w:t>
      </w:r>
      <w:r>
        <w:rPr>
          <w:highlight w:val="none"/>
        </w:rPr>
        <w:t>）提出质疑的日期。</w:t>
      </w:r>
    </w:p>
    <w:p w14:paraId="62BC3458">
      <w:pPr>
        <w:pStyle w:val="25"/>
        <w:rPr>
          <w:rFonts w:hint="eastAsia"/>
          <w:highlight w:val="none"/>
        </w:rPr>
      </w:pPr>
      <w:r>
        <w:rPr>
          <w:highlight w:val="none"/>
        </w:rPr>
        <w:t>供应商为自然人的，应当由本人签字；供应商为法人或者其他组织的，应当由法定代表人、主要负责人，或者其委托代理人</w:t>
      </w:r>
      <w:r>
        <w:rPr>
          <w:rFonts w:hint="eastAsia"/>
          <w:highlight w:val="none"/>
          <w:lang w:eastAsia="zh-CN"/>
        </w:rPr>
        <w:t>签字或者盖CA章</w:t>
      </w:r>
      <w:r>
        <w:rPr>
          <w:highlight w:val="none"/>
        </w:rPr>
        <w:t>，并加</w:t>
      </w:r>
      <w:r>
        <w:rPr>
          <w:rFonts w:hint="eastAsia"/>
          <w:highlight w:val="none"/>
          <w:lang w:eastAsia="zh-CN"/>
        </w:rPr>
        <w:t>盖CA公章</w:t>
      </w:r>
      <w:r>
        <w:rPr>
          <w:rFonts w:hint="eastAsia"/>
          <w:highlight w:val="none"/>
        </w:rPr>
        <w:t>。</w:t>
      </w:r>
    </w:p>
    <w:p w14:paraId="13C91439">
      <w:pPr>
        <w:pStyle w:val="6"/>
        <w:keepNext w:val="0"/>
        <w:keepLines w:val="0"/>
        <w:snapToGrid w:val="0"/>
        <w:spacing w:before="0" w:after="0" w:line="360" w:lineRule="auto"/>
        <w:ind w:firstLine="480" w:firstLineChars="200"/>
        <w:rPr>
          <w:rFonts w:hint="eastAsia" w:ascii="仿宋" w:hAnsi="仿宋" w:eastAsia="仿宋"/>
          <w:b w:val="0"/>
          <w:bCs/>
          <w:sz w:val="24"/>
          <w:highlight w:val="none"/>
        </w:rPr>
      </w:pPr>
      <w:r>
        <w:rPr>
          <w:rFonts w:ascii="仿宋" w:hAnsi="仿宋" w:eastAsia="仿宋"/>
          <w:b w:val="0"/>
          <w:sz w:val="24"/>
          <w:highlight w:val="none"/>
        </w:rPr>
        <w:t>3</w:t>
      </w:r>
      <w:r>
        <w:rPr>
          <w:rFonts w:ascii="仿宋" w:hAnsi="仿宋" w:eastAsia="仿宋"/>
          <w:b w:val="0"/>
          <w:bCs/>
          <w:sz w:val="24"/>
          <w:highlight w:val="none"/>
        </w:rPr>
        <w:t>8.4</w:t>
      </w:r>
      <w:r>
        <w:rPr>
          <w:rFonts w:hint="eastAsia" w:ascii="仿宋" w:hAnsi="仿宋" w:eastAsia="仿宋"/>
          <w:b w:val="0"/>
          <w:bCs/>
          <w:sz w:val="24"/>
          <w:highlight w:val="none"/>
        </w:rPr>
        <w:t>采购人、采购代理机构认为供应商质疑不成立，或者成立但未对中标结果构成影响的，继续开展采购活动；认为供应商质疑成立且影响或者可能影响中标结果的，按照下列情况处理：</w:t>
      </w:r>
    </w:p>
    <w:p w14:paraId="63FCF30C">
      <w:pPr>
        <w:pStyle w:val="25"/>
        <w:rPr>
          <w:rFonts w:hint="eastAsia"/>
          <w:highlight w:val="none"/>
        </w:rPr>
      </w:pPr>
      <w:r>
        <w:rPr>
          <w:rFonts w:hint="eastAsia"/>
          <w:highlight w:val="none"/>
        </w:rPr>
        <w:t>（1）对招标文件提出的质疑，依法通过澄清或者修改可以继续开展采购活动的，澄清或者修改招标文件后继续开展采购活动；否则应当修改招标文件后重新开展采购活动。</w:t>
      </w:r>
    </w:p>
    <w:p w14:paraId="15B11FB0">
      <w:pPr>
        <w:pStyle w:val="25"/>
        <w:rPr>
          <w:rFonts w:hint="eastAsia"/>
          <w:highlight w:val="none"/>
        </w:rPr>
      </w:pPr>
      <w:r>
        <w:rPr>
          <w:rFonts w:hint="eastAsia"/>
          <w:highlight w:val="none"/>
        </w:rPr>
        <w:t>（2）对采购过程、中标结果提出的质疑，合格供应商符合法定数量时，可以从合格的中标候选人中另行确定中标供应商的，应当依法另行确定中标供应商；否则应当重新开展采购活动。</w:t>
      </w:r>
    </w:p>
    <w:p w14:paraId="59BA11C2">
      <w:pPr>
        <w:pStyle w:val="25"/>
        <w:rPr>
          <w:rFonts w:hint="eastAsia"/>
          <w:highlight w:val="none"/>
        </w:rPr>
      </w:pPr>
      <w:r>
        <w:rPr>
          <w:rFonts w:hint="eastAsia"/>
          <w:highlight w:val="none"/>
        </w:rPr>
        <w:t>质疑答复导致中标结果改变的，采购人或者采购代理机构应当将有关情况书面报告本级财政部门。</w:t>
      </w:r>
    </w:p>
    <w:p w14:paraId="6ACFADA0">
      <w:pPr>
        <w:pStyle w:val="25"/>
        <w:rPr>
          <w:rFonts w:hint="eastAsia"/>
          <w:highlight w:val="none"/>
        </w:rPr>
      </w:pPr>
      <w:r>
        <w:rPr>
          <w:highlight w:val="none"/>
        </w:rPr>
        <w:t>38</w:t>
      </w:r>
      <w:r>
        <w:rPr>
          <w:rFonts w:hint="eastAsia"/>
          <w:highlight w:val="none"/>
        </w:rPr>
        <w:t>.</w:t>
      </w:r>
      <w:r>
        <w:rPr>
          <w:highlight w:val="none"/>
        </w:rPr>
        <w:t>5</w:t>
      </w:r>
      <w:r>
        <w:rPr>
          <w:rFonts w:hint="eastAsia"/>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147" w:name="_八、其他事项"/>
      <w:bookmarkEnd w:id="147"/>
    </w:p>
    <w:p w14:paraId="66B17782">
      <w:pPr>
        <w:pStyle w:val="4"/>
        <w:keepNext w:val="0"/>
        <w:keepLines w:val="0"/>
        <w:jc w:val="center"/>
        <w:rPr>
          <w:rFonts w:hint="eastAsia" w:ascii="仿宋" w:hAnsi="仿宋" w:eastAsia="仿宋"/>
          <w:highlight w:val="none"/>
        </w:rPr>
      </w:pPr>
      <w:r>
        <w:rPr>
          <w:rFonts w:hint="eastAsia" w:ascii="仿宋" w:hAnsi="仿宋" w:eastAsia="仿宋"/>
          <w:highlight w:val="none"/>
        </w:rPr>
        <w:t>八、其他事项</w:t>
      </w:r>
    </w:p>
    <w:p w14:paraId="7FD19D42">
      <w:pPr>
        <w:pStyle w:val="6"/>
        <w:keepNext w:val="0"/>
        <w:keepLines w:val="0"/>
        <w:numPr>
          <w:ilvl w:val="4"/>
          <w:numId w:val="0"/>
        </w:numPr>
        <w:spacing w:before="0" w:after="0" w:line="360" w:lineRule="auto"/>
        <w:ind w:leftChars="200"/>
        <w:rPr>
          <w:rFonts w:hint="eastAsia" w:ascii="仿宋" w:hAnsi="仿宋" w:eastAsia="仿宋"/>
          <w:sz w:val="24"/>
          <w:highlight w:val="none"/>
        </w:rPr>
      </w:pPr>
      <w:bookmarkStart w:id="148" w:name="_42.代理服务费"/>
      <w:bookmarkEnd w:id="148"/>
      <w:r>
        <w:rPr>
          <w:rFonts w:hint="eastAsia" w:ascii="仿宋" w:hAnsi="仿宋" w:eastAsia="仿宋"/>
          <w:sz w:val="24"/>
          <w:highlight w:val="none"/>
        </w:rPr>
        <w:t>3</w:t>
      </w:r>
      <w:r>
        <w:rPr>
          <w:rFonts w:ascii="仿宋" w:hAnsi="仿宋" w:eastAsia="仿宋"/>
          <w:sz w:val="24"/>
          <w:highlight w:val="none"/>
        </w:rPr>
        <w:t>9</w:t>
      </w:r>
      <w:r>
        <w:rPr>
          <w:rFonts w:hint="eastAsia" w:ascii="仿宋" w:hAnsi="仿宋" w:eastAsia="仿宋"/>
          <w:sz w:val="24"/>
          <w:highlight w:val="none"/>
        </w:rPr>
        <w:t>.代理服务费</w:t>
      </w:r>
    </w:p>
    <w:p w14:paraId="48E41D87">
      <w:pPr>
        <w:pStyle w:val="25"/>
        <w:rPr>
          <w:rFonts w:hint="eastAsia"/>
          <w:highlight w:val="none"/>
        </w:rPr>
      </w:pPr>
      <w:r>
        <w:rPr>
          <w:rFonts w:hint="eastAsia"/>
          <w:highlight w:val="none"/>
        </w:rPr>
        <w:t>3</w:t>
      </w:r>
      <w:r>
        <w:rPr>
          <w:highlight w:val="none"/>
        </w:rPr>
        <w:t>9</w:t>
      </w:r>
      <w:r>
        <w:rPr>
          <w:rFonts w:hint="eastAsia"/>
          <w:highlight w:val="none"/>
        </w:rPr>
        <w:t>.1代理服务收取标准及缴费账户详见“投标人须知前附表”。</w:t>
      </w:r>
    </w:p>
    <w:p w14:paraId="54B0D85C">
      <w:pPr>
        <w:pStyle w:val="25"/>
        <w:rPr>
          <w:rFonts w:hint="eastAsia"/>
          <w:highlight w:val="none"/>
        </w:rPr>
      </w:pPr>
      <w:r>
        <w:rPr>
          <w:rFonts w:hint="eastAsia"/>
          <w:highlight w:val="none"/>
        </w:rPr>
        <w:t>3</w:t>
      </w:r>
      <w:r>
        <w:rPr>
          <w:highlight w:val="none"/>
        </w:rPr>
        <w:t>9</w:t>
      </w:r>
      <w:r>
        <w:rPr>
          <w:rFonts w:hint="eastAsia"/>
          <w:highlight w:val="none"/>
        </w:rPr>
        <w:t>.2代理服务收费标准：</w:t>
      </w:r>
    </w:p>
    <w:tbl>
      <w:tblPr>
        <w:tblStyle w:val="49"/>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7"/>
        <w:gridCol w:w="1910"/>
        <w:gridCol w:w="1942"/>
        <w:gridCol w:w="1910"/>
      </w:tblGrid>
      <w:tr w14:paraId="7EE9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tcBorders>
              <w:tl2br w:val="single" w:color="auto" w:sz="4" w:space="0"/>
            </w:tcBorders>
            <w:vAlign w:val="center"/>
          </w:tcPr>
          <w:p w14:paraId="3473F153">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 xml:space="preserve">               </w:t>
            </w:r>
            <w:r>
              <w:rPr>
                <w:rFonts w:ascii="仿宋" w:hAnsi="仿宋" w:eastAsia="仿宋"/>
                <w:sz w:val="21"/>
                <w:szCs w:val="21"/>
                <w:highlight w:val="none"/>
              </w:rPr>
              <w:t xml:space="preserve">    </w:t>
            </w:r>
            <w:r>
              <w:rPr>
                <w:rFonts w:hint="eastAsia" w:ascii="仿宋" w:hAnsi="仿宋" w:eastAsia="仿宋"/>
                <w:sz w:val="21"/>
                <w:szCs w:val="21"/>
                <w:highlight w:val="none"/>
              </w:rPr>
              <w:t>费率</w:t>
            </w:r>
          </w:p>
          <w:p w14:paraId="7C79F4EB">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中标金额</w:t>
            </w:r>
          </w:p>
        </w:tc>
        <w:tc>
          <w:tcPr>
            <w:tcW w:w="1910" w:type="dxa"/>
            <w:vAlign w:val="center"/>
          </w:tcPr>
          <w:p w14:paraId="5EAFAAD1">
            <w:pPr>
              <w:spacing w:line="360" w:lineRule="auto"/>
              <w:ind w:firstLine="105" w:firstLineChars="50"/>
              <w:jc w:val="center"/>
              <w:rPr>
                <w:rFonts w:hint="eastAsia" w:ascii="仿宋" w:hAnsi="仿宋" w:eastAsia="仿宋"/>
                <w:sz w:val="21"/>
                <w:szCs w:val="21"/>
                <w:highlight w:val="none"/>
              </w:rPr>
            </w:pPr>
            <w:r>
              <w:rPr>
                <w:rFonts w:hint="eastAsia" w:ascii="仿宋" w:hAnsi="仿宋" w:eastAsia="仿宋"/>
                <w:sz w:val="21"/>
                <w:szCs w:val="21"/>
                <w:highlight w:val="none"/>
              </w:rPr>
              <w:t>货物招标</w:t>
            </w:r>
          </w:p>
        </w:tc>
        <w:tc>
          <w:tcPr>
            <w:tcW w:w="1942" w:type="dxa"/>
            <w:vAlign w:val="center"/>
          </w:tcPr>
          <w:p w14:paraId="262E6B25">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服务招标</w:t>
            </w:r>
          </w:p>
        </w:tc>
        <w:tc>
          <w:tcPr>
            <w:tcW w:w="1910" w:type="dxa"/>
            <w:vAlign w:val="center"/>
          </w:tcPr>
          <w:p w14:paraId="2C0C0E11">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工程招标</w:t>
            </w:r>
          </w:p>
        </w:tc>
      </w:tr>
      <w:tr w14:paraId="310B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4DA56391">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100万元以下</w:t>
            </w:r>
          </w:p>
        </w:tc>
        <w:tc>
          <w:tcPr>
            <w:tcW w:w="1910" w:type="dxa"/>
            <w:vAlign w:val="center"/>
          </w:tcPr>
          <w:p w14:paraId="0BD2AE6D">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1.5%</w:t>
            </w:r>
          </w:p>
        </w:tc>
        <w:tc>
          <w:tcPr>
            <w:tcW w:w="1942" w:type="dxa"/>
            <w:vAlign w:val="center"/>
          </w:tcPr>
          <w:p w14:paraId="02AB9FA6">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1.5%</w:t>
            </w:r>
          </w:p>
        </w:tc>
        <w:tc>
          <w:tcPr>
            <w:tcW w:w="1910" w:type="dxa"/>
            <w:vAlign w:val="center"/>
          </w:tcPr>
          <w:p w14:paraId="0016E5B9">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1.0%</w:t>
            </w:r>
          </w:p>
        </w:tc>
      </w:tr>
      <w:tr w14:paraId="0DCD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0171C9C9">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100～500万元</w:t>
            </w:r>
          </w:p>
        </w:tc>
        <w:tc>
          <w:tcPr>
            <w:tcW w:w="1910" w:type="dxa"/>
            <w:vAlign w:val="center"/>
          </w:tcPr>
          <w:p w14:paraId="52072898">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1.1%</w:t>
            </w:r>
          </w:p>
        </w:tc>
        <w:tc>
          <w:tcPr>
            <w:tcW w:w="1942" w:type="dxa"/>
            <w:vAlign w:val="center"/>
          </w:tcPr>
          <w:p w14:paraId="45E41D8D">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0.8%</w:t>
            </w:r>
          </w:p>
        </w:tc>
        <w:tc>
          <w:tcPr>
            <w:tcW w:w="1910" w:type="dxa"/>
            <w:vAlign w:val="center"/>
          </w:tcPr>
          <w:p w14:paraId="0F84C892">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0.7%</w:t>
            </w:r>
          </w:p>
        </w:tc>
      </w:tr>
      <w:tr w14:paraId="7B57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12EE2C1E">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500～1000万元</w:t>
            </w:r>
          </w:p>
        </w:tc>
        <w:tc>
          <w:tcPr>
            <w:tcW w:w="1910" w:type="dxa"/>
            <w:vAlign w:val="center"/>
          </w:tcPr>
          <w:p w14:paraId="0437809E">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0.8%</w:t>
            </w:r>
          </w:p>
        </w:tc>
        <w:tc>
          <w:tcPr>
            <w:tcW w:w="1942" w:type="dxa"/>
            <w:vAlign w:val="center"/>
          </w:tcPr>
          <w:p w14:paraId="7C5E14E4">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0.45%</w:t>
            </w:r>
          </w:p>
        </w:tc>
        <w:tc>
          <w:tcPr>
            <w:tcW w:w="1910" w:type="dxa"/>
            <w:vAlign w:val="center"/>
          </w:tcPr>
          <w:p w14:paraId="1CA89A15">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0.55%</w:t>
            </w:r>
          </w:p>
        </w:tc>
      </w:tr>
      <w:tr w14:paraId="4D23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4441D5CF">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1000～5000万元</w:t>
            </w:r>
          </w:p>
        </w:tc>
        <w:tc>
          <w:tcPr>
            <w:tcW w:w="1910" w:type="dxa"/>
            <w:vAlign w:val="center"/>
          </w:tcPr>
          <w:p w14:paraId="6E9449A0">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0.5%</w:t>
            </w:r>
          </w:p>
        </w:tc>
        <w:tc>
          <w:tcPr>
            <w:tcW w:w="1942" w:type="dxa"/>
            <w:vAlign w:val="center"/>
          </w:tcPr>
          <w:p w14:paraId="7CBB8996">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0.25%</w:t>
            </w:r>
          </w:p>
        </w:tc>
        <w:tc>
          <w:tcPr>
            <w:tcW w:w="1910" w:type="dxa"/>
            <w:vAlign w:val="center"/>
          </w:tcPr>
          <w:p w14:paraId="3DE7311D">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0.35%</w:t>
            </w:r>
          </w:p>
        </w:tc>
      </w:tr>
      <w:tr w14:paraId="4700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7349DA74">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5000万元～1亿元</w:t>
            </w:r>
          </w:p>
        </w:tc>
        <w:tc>
          <w:tcPr>
            <w:tcW w:w="1910" w:type="dxa"/>
            <w:vAlign w:val="center"/>
          </w:tcPr>
          <w:p w14:paraId="70B0EB2D">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0.25%</w:t>
            </w:r>
          </w:p>
        </w:tc>
        <w:tc>
          <w:tcPr>
            <w:tcW w:w="1942" w:type="dxa"/>
            <w:vAlign w:val="center"/>
          </w:tcPr>
          <w:p w14:paraId="63381D21">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0.1%</w:t>
            </w:r>
          </w:p>
        </w:tc>
        <w:tc>
          <w:tcPr>
            <w:tcW w:w="1910" w:type="dxa"/>
            <w:vAlign w:val="center"/>
          </w:tcPr>
          <w:p w14:paraId="4CCC47F8">
            <w:pPr>
              <w:spacing w:line="360" w:lineRule="auto"/>
              <w:jc w:val="center"/>
              <w:rPr>
                <w:rFonts w:hint="eastAsia" w:ascii="仿宋" w:hAnsi="仿宋" w:eastAsia="仿宋"/>
                <w:sz w:val="21"/>
                <w:szCs w:val="21"/>
                <w:highlight w:val="none"/>
              </w:rPr>
            </w:pPr>
            <w:r>
              <w:rPr>
                <w:rFonts w:ascii="仿宋" w:hAnsi="仿宋" w:eastAsia="仿宋" w:cs="宋体"/>
                <w:kern w:val="0"/>
                <w:sz w:val="21"/>
                <w:szCs w:val="21"/>
                <w:highlight w:val="none"/>
              </w:rPr>
              <w:t>0.2%</w:t>
            </w:r>
          </w:p>
        </w:tc>
      </w:tr>
      <w:tr w14:paraId="1914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63BEDD90">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1～5亿元</w:t>
            </w:r>
          </w:p>
        </w:tc>
        <w:tc>
          <w:tcPr>
            <w:tcW w:w="1910" w:type="dxa"/>
            <w:vAlign w:val="center"/>
          </w:tcPr>
          <w:p w14:paraId="6991ECE7">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0.05%</w:t>
            </w:r>
          </w:p>
        </w:tc>
        <w:tc>
          <w:tcPr>
            <w:tcW w:w="1942" w:type="dxa"/>
            <w:vAlign w:val="center"/>
          </w:tcPr>
          <w:p w14:paraId="76E9B71C">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0.05%</w:t>
            </w:r>
          </w:p>
        </w:tc>
        <w:tc>
          <w:tcPr>
            <w:tcW w:w="1910" w:type="dxa"/>
            <w:vAlign w:val="center"/>
          </w:tcPr>
          <w:p w14:paraId="6221FF6B">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0.05%</w:t>
            </w:r>
          </w:p>
        </w:tc>
      </w:tr>
      <w:tr w14:paraId="2C2F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4A2DFAB9">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5～10亿元</w:t>
            </w:r>
          </w:p>
        </w:tc>
        <w:tc>
          <w:tcPr>
            <w:tcW w:w="1910" w:type="dxa"/>
            <w:vAlign w:val="center"/>
          </w:tcPr>
          <w:p w14:paraId="7E8A568E">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0.035%</w:t>
            </w:r>
          </w:p>
        </w:tc>
        <w:tc>
          <w:tcPr>
            <w:tcW w:w="1942" w:type="dxa"/>
            <w:vAlign w:val="center"/>
          </w:tcPr>
          <w:p w14:paraId="6251DF55">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0.035%</w:t>
            </w:r>
          </w:p>
        </w:tc>
        <w:tc>
          <w:tcPr>
            <w:tcW w:w="1910" w:type="dxa"/>
            <w:vAlign w:val="center"/>
          </w:tcPr>
          <w:p w14:paraId="16842E63">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0.035%</w:t>
            </w:r>
          </w:p>
        </w:tc>
      </w:tr>
      <w:tr w14:paraId="1F7B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05540422">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10～50亿元</w:t>
            </w:r>
          </w:p>
        </w:tc>
        <w:tc>
          <w:tcPr>
            <w:tcW w:w="1910" w:type="dxa"/>
            <w:vAlign w:val="center"/>
          </w:tcPr>
          <w:p w14:paraId="683633A1">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0.008%</w:t>
            </w:r>
          </w:p>
        </w:tc>
        <w:tc>
          <w:tcPr>
            <w:tcW w:w="1942" w:type="dxa"/>
            <w:vAlign w:val="center"/>
          </w:tcPr>
          <w:p w14:paraId="34DF205A">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0.008%</w:t>
            </w:r>
          </w:p>
        </w:tc>
        <w:tc>
          <w:tcPr>
            <w:tcW w:w="1910" w:type="dxa"/>
            <w:vAlign w:val="center"/>
          </w:tcPr>
          <w:p w14:paraId="17FE3B82">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0.008%</w:t>
            </w:r>
          </w:p>
        </w:tc>
      </w:tr>
      <w:tr w14:paraId="64AC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3A43F595">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50～100亿元</w:t>
            </w:r>
          </w:p>
        </w:tc>
        <w:tc>
          <w:tcPr>
            <w:tcW w:w="1910" w:type="dxa"/>
            <w:vAlign w:val="center"/>
          </w:tcPr>
          <w:p w14:paraId="3A888EE5">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0.006%</w:t>
            </w:r>
          </w:p>
        </w:tc>
        <w:tc>
          <w:tcPr>
            <w:tcW w:w="1942" w:type="dxa"/>
            <w:vAlign w:val="center"/>
          </w:tcPr>
          <w:p w14:paraId="3615E6B5">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0.006%</w:t>
            </w:r>
          </w:p>
        </w:tc>
        <w:tc>
          <w:tcPr>
            <w:tcW w:w="1910" w:type="dxa"/>
            <w:vAlign w:val="center"/>
          </w:tcPr>
          <w:p w14:paraId="1AD694E2">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0.006%</w:t>
            </w:r>
          </w:p>
        </w:tc>
      </w:tr>
      <w:tr w14:paraId="688A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97" w:type="dxa"/>
            <w:vAlign w:val="center"/>
          </w:tcPr>
          <w:p w14:paraId="3FDDBA45">
            <w:pPr>
              <w:spacing w:line="360" w:lineRule="auto"/>
              <w:rPr>
                <w:rFonts w:hint="eastAsia" w:ascii="仿宋" w:hAnsi="仿宋" w:eastAsia="仿宋"/>
                <w:sz w:val="21"/>
                <w:szCs w:val="21"/>
                <w:highlight w:val="none"/>
              </w:rPr>
            </w:pPr>
            <w:r>
              <w:rPr>
                <w:rFonts w:hint="eastAsia" w:ascii="仿宋" w:hAnsi="仿宋" w:eastAsia="仿宋"/>
                <w:sz w:val="21"/>
                <w:szCs w:val="21"/>
                <w:highlight w:val="none"/>
              </w:rPr>
              <w:t>100亿以上</w:t>
            </w:r>
          </w:p>
        </w:tc>
        <w:tc>
          <w:tcPr>
            <w:tcW w:w="1910" w:type="dxa"/>
            <w:vAlign w:val="center"/>
          </w:tcPr>
          <w:p w14:paraId="7307C99A">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0.004%</w:t>
            </w:r>
          </w:p>
        </w:tc>
        <w:tc>
          <w:tcPr>
            <w:tcW w:w="1942" w:type="dxa"/>
            <w:vAlign w:val="center"/>
          </w:tcPr>
          <w:p w14:paraId="7C71BB2C">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0.004%</w:t>
            </w:r>
          </w:p>
        </w:tc>
        <w:tc>
          <w:tcPr>
            <w:tcW w:w="1910" w:type="dxa"/>
            <w:vAlign w:val="center"/>
          </w:tcPr>
          <w:p w14:paraId="6352C9DE">
            <w:pPr>
              <w:spacing w:line="360" w:lineRule="auto"/>
              <w:jc w:val="center"/>
              <w:rPr>
                <w:rFonts w:hint="eastAsia" w:ascii="仿宋" w:hAnsi="仿宋" w:eastAsia="仿宋"/>
                <w:sz w:val="21"/>
                <w:szCs w:val="21"/>
                <w:highlight w:val="none"/>
              </w:rPr>
            </w:pPr>
            <w:r>
              <w:rPr>
                <w:rFonts w:hint="eastAsia" w:ascii="仿宋" w:hAnsi="仿宋" w:eastAsia="仿宋"/>
                <w:sz w:val="21"/>
                <w:szCs w:val="21"/>
                <w:highlight w:val="none"/>
              </w:rPr>
              <w:t>0.004%</w:t>
            </w:r>
          </w:p>
        </w:tc>
      </w:tr>
    </w:tbl>
    <w:p w14:paraId="7C369BAB">
      <w:pPr>
        <w:spacing w:line="360" w:lineRule="auto"/>
        <w:ind w:firstLine="480" w:firstLineChars="200"/>
        <w:rPr>
          <w:rFonts w:hint="eastAsia" w:ascii="仿宋" w:hAnsi="仿宋" w:eastAsia="仿宋" w:cs="宋体"/>
          <w:sz w:val="24"/>
          <w:highlight w:val="none"/>
        </w:rPr>
      </w:pPr>
      <w:r>
        <w:rPr>
          <w:rFonts w:hint="eastAsia" w:ascii="仿宋" w:hAnsi="仿宋" w:eastAsia="仿宋"/>
          <w:sz w:val="24"/>
          <w:highlight w:val="none"/>
        </w:rPr>
        <w:t>注:</w:t>
      </w:r>
      <w:r>
        <w:rPr>
          <w:rFonts w:ascii="仿宋" w:hAnsi="仿宋" w:eastAsia="仿宋" w:cs="宋体"/>
          <w:sz w:val="24"/>
          <w:highlight w:val="none"/>
        </w:rPr>
        <w:t xml:space="preserve"> </w:t>
      </w:r>
    </w:p>
    <w:p w14:paraId="4EB1A5A2">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（1）</w:t>
      </w:r>
      <w:r>
        <w:rPr>
          <w:rFonts w:ascii="仿宋" w:hAnsi="仿宋" w:eastAsia="仿宋" w:cs="宋体"/>
          <w:sz w:val="24"/>
          <w:highlight w:val="none"/>
        </w:rPr>
        <w:t>按本表费率计算的收费为</w:t>
      </w:r>
      <w:r>
        <w:rPr>
          <w:rFonts w:hint="eastAsia" w:ascii="仿宋" w:hAnsi="仿宋" w:eastAsia="仿宋" w:cs="宋体"/>
          <w:sz w:val="24"/>
          <w:highlight w:val="none"/>
        </w:rPr>
        <w:t>采购</w:t>
      </w:r>
      <w:r>
        <w:rPr>
          <w:rFonts w:ascii="仿宋" w:hAnsi="仿宋" w:eastAsia="仿宋" w:cs="宋体"/>
          <w:sz w:val="24"/>
          <w:highlight w:val="none"/>
        </w:rPr>
        <w:t>代理的收费基准价格</w:t>
      </w:r>
      <w:r>
        <w:rPr>
          <w:rFonts w:hint="eastAsia" w:ascii="仿宋" w:hAnsi="仿宋" w:eastAsia="仿宋" w:cs="宋体"/>
          <w:sz w:val="24"/>
          <w:highlight w:val="none"/>
        </w:rPr>
        <w:t>；</w:t>
      </w:r>
    </w:p>
    <w:p w14:paraId="65A86473">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（2）采购</w:t>
      </w:r>
      <w:r>
        <w:rPr>
          <w:rFonts w:ascii="仿宋" w:hAnsi="仿宋" w:eastAsia="仿宋" w:cs="宋体"/>
          <w:sz w:val="24"/>
          <w:highlight w:val="none"/>
        </w:rPr>
        <w:t>代理收费按差额定率累进法计算。</w:t>
      </w:r>
    </w:p>
    <w:p w14:paraId="10F4EAB0">
      <w:pPr>
        <w:spacing w:line="360" w:lineRule="auto"/>
        <w:ind w:firstLine="480" w:firstLineChars="200"/>
        <w:rPr>
          <w:rFonts w:hint="eastAsia" w:ascii="仿宋" w:hAnsi="仿宋" w:eastAsia="仿宋" w:cs="宋体"/>
          <w:sz w:val="24"/>
          <w:highlight w:val="none"/>
        </w:rPr>
      </w:pPr>
      <w:r>
        <w:rPr>
          <w:rFonts w:ascii="仿宋" w:hAnsi="仿宋" w:eastAsia="仿宋" w:cs="宋体"/>
          <w:sz w:val="24"/>
          <w:highlight w:val="none"/>
        </w:rPr>
        <w:t>例如：某</w:t>
      </w:r>
      <w:r>
        <w:rPr>
          <w:rFonts w:hint="eastAsia" w:ascii="仿宋" w:hAnsi="仿宋" w:eastAsia="仿宋" w:cs="宋体"/>
          <w:sz w:val="24"/>
          <w:highlight w:val="none"/>
        </w:rPr>
        <w:t>货物采购</w:t>
      </w:r>
      <w:r>
        <w:rPr>
          <w:rFonts w:ascii="仿宋" w:hAnsi="仿宋" w:eastAsia="仿宋" w:cs="宋体"/>
          <w:sz w:val="24"/>
          <w:highlight w:val="none"/>
        </w:rPr>
        <w:t>代理业务</w:t>
      </w:r>
      <w:r>
        <w:rPr>
          <w:rFonts w:hint="eastAsia" w:ascii="仿宋" w:hAnsi="仿宋" w:eastAsia="仿宋" w:cs="宋体"/>
          <w:sz w:val="24"/>
          <w:highlight w:val="none"/>
        </w:rPr>
        <w:t>中标</w:t>
      </w:r>
      <w:r>
        <w:rPr>
          <w:rFonts w:ascii="仿宋" w:hAnsi="仿宋" w:eastAsia="仿宋" w:cs="宋体"/>
          <w:sz w:val="24"/>
          <w:highlight w:val="none"/>
        </w:rPr>
        <w:t>金额</w:t>
      </w:r>
      <w:r>
        <w:rPr>
          <w:rFonts w:hint="eastAsia" w:ascii="仿宋" w:hAnsi="仿宋" w:eastAsia="仿宋" w:cs="宋体"/>
          <w:sz w:val="24"/>
          <w:highlight w:val="none"/>
        </w:rPr>
        <w:t>或者暂定价</w:t>
      </w:r>
      <w:r>
        <w:rPr>
          <w:rFonts w:ascii="仿宋" w:hAnsi="仿宋" w:eastAsia="仿宋" w:cs="宋体"/>
          <w:sz w:val="24"/>
          <w:highlight w:val="none"/>
        </w:rPr>
        <w:t>为200万元，计算</w:t>
      </w:r>
      <w:r>
        <w:rPr>
          <w:rFonts w:hint="eastAsia" w:ascii="仿宋" w:hAnsi="仿宋" w:eastAsia="仿宋" w:cs="宋体"/>
          <w:sz w:val="24"/>
          <w:highlight w:val="none"/>
        </w:rPr>
        <w:t>采购</w:t>
      </w:r>
      <w:r>
        <w:rPr>
          <w:rFonts w:ascii="仿宋" w:hAnsi="仿宋" w:eastAsia="仿宋" w:cs="宋体"/>
          <w:sz w:val="24"/>
          <w:highlight w:val="none"/>
        </w:rPr>
        <w:t>代理收费额如下：</w:t>
      </w:r>
    </w:p>
    <w:p w14:paraId="1AD8D3E1">
      <w:pPr>
        <w:spacing w:line="360" w:lineRule="auto"/>
        <w:ind w:firstLine="480" w:firstLineChars="200"/>
        <w:rPr>
          <w:rFonts w:hint="eastAsia" w:ascii="仿宋" w:hAnsi="仿宋" w:eastAsia="仿宋" w:cs="宋体"/>
          <w:sz w:val="24"/>
          <w:highlight w:val="none"/>
        </w:rPr>
      </w:pPr>
      <w:r>
        <w:rPr>
          <w:rFonts w:ascii="仿宋" w:hAnsi="仿宋" w:eastAsia="仿宋" w:cs="宋体"/>
          <w:sz w:val="24"/>
          <w:highlight w:val="none"/>
        </w:rPr>
        <w:t>100万元×l.5％＝1.5万元</w:t>
      </w:r>
    </w:p>
    <w:p w14:paraId="10A3068E">
      <w:pPr>
        <w:spacing w:line="360" w:lineRule="auto"/>
        <w:ind w:firstLine="480" w:firstLineChars="200"/>
        <w:rPr>
          <w:rFonts w:hint="eastAsia" w:ascii="仿宋" w:hAnsi="仿宋" w:eastAsia="仿宋" w:cs="宋体"/>
          <w:sz w:val="24"/>
          <w:highlight w:val="none"/>
        </w:rPr>
      </w:pPr>
      <w:r>
        <w:rPr>
          <w:rFonts w:ascii="仿宋" w:hAnsi="仿宋" w:eastAsia="仿宋" w:cs="宋体"/>
          <w:sz w:val="24"/>
          <w:highlight w:val="none"/>
        </w:rPr>
        <w:t>（200－100）万元 ×1.1％＝1.1万元</w:t>
      </w:r>
    </w:p>
    <w:p w14:paraId="08CAD030">
      <w:pPr>
        <w:spacing w:line="360" w:lineRule="auto"/>
        <w:ind w:firstLine="480" w:firstLineChars="200"/>
        <w:rPr>
          <w:rFonts w:hint="eastAsia" w:ascii="仿宋" w:hAnsi="仿宋" w:eastAsia="仿宋" w:cs="宋体"/>
          <w:sz w:val="24"/>
          <w:highlight w:val="none"/>
        </w:rPr>
      </w:pPr>
      <w:r>
        <w:rPr>
          <w:rFonts w:ascii="仿宋" w:hAnsi="仿宋" w:eastAsia="仿宋" w:cs="宋体"/>
          <w:sz w:val="24"/>
          <w:highlight w:val="none"/>
        </w:rPr>
        <w:t>合计收费＝1.5</w:t>
      </w:r>
      <w:r>
        <w:rPr>
          <w:rFonts w:hint="eastAsia" w:ascii="仿宋" w:hAnsi="仿宋" w:eastAsia="仿宋" w:cs="宋体"/>
          <w:sz w:val="24"/>
          <w:highlight w:val="none"/>
        </w:rPr>
        <w:t>+</w:t>
      </w:r>
      <w:r>
        <w:rPr>
          <w:rFonts w:ascii="仿宋" w:hAnsi="仿宋" w:eastAsia="仿宋" w:cs="宋体"/>
          <w:sz w:val="24"/>
          <w:highlight w:val="none"/>
        </w:rPr>
        <w:t>1.1＝2.6（万元）</w:t>
      </w:r>
    </w:p>
    <w:p w14:paraId="125F3861">
      <w:pPr>
        <w:spacing w:line="360" w:lineRule="auto"/>
        <w:ind w:firstLine="480" w:firstLineChars="200"/>
        <w:rPr>
          <w:rFonts w:hint="eastAsia" w:ascii="仿宋" w:hAnsi="仿宋" w:eastAsia="仿宋" w:cs="宋体"/>
          <w:sz w:val="24"/>
          <w:highlight w:val="none"/>
        </w:rPr>
      </w:pPr>
      <w:r>
        <w:rPr>
          <w:rFonts w:ascii="仿宋" w:hAnsi="仿宋" w:eastAsia="仿宋" w:cs="宋体"/>
          <w:sz w:val="24"/>
          <w:highlight w:val="none"/>
        </w:rPr>
        <w:t>3</w:t>
      </w:r>
      <w:r>
        <w:rPr>
          <w:rFonts w:hint="eastAsia" w:ascii="仿宋" w:hAnsi="仿宋" w:eastAsia="仿宋" w:cs="宋体"/>
          <w:sz w:val="24"/>
          <w:highlight w:val="none"/>
        </w:rPr>
        <w:t>9</w:t>
      </w:r>
      <w:r>
        <w:rPr>
          <w:rFonts w:ascii="仿宋" w:hAnsi="仿宋" w:eastAsia="仿宋" w:cs="宋体"/>
          <w:sz w:val="24"/>
          <w:highlight w:val="none"/>
        </w:rPr>
        <w:t>.</w:t>
      </w:r>
      <w:r>
        <w:rPr>
          <w:rFonts w:hint="eastAsia" w:ascii="仿宋" w:hAnsi="仿宋" w:eastAsia="仿宋" w:cs="宋体"/>
          <w:sz w:val="24"/>
          <w:highlight w:val="none"/>
        </w:rPr>
        <w:t>3</w:t>
      </w:r>
      <w:r>
        <w:rPr>
          <w:rFonts w:ascii="仿宋" w:hAnsi="仿宋" w:eastAsia="仿宋" w:cs="宋体"/>
          <w:sz w:val="24"/>
          <w:highlight w:val="none"/>
        </w:rPr>
        <w:t xml:space="preserve"> </w:t>
      </w:r>
      <w:r>
        <w:rPr>
          <w:rFonts w:hint="eastAsia" w:ascii="仿宋" w:hAnsi="仿宋" w:eastAsia="仿宋" w:cs="宋体"/>
          <w:sz w:val="24"/>
          <w:highlight w:val="none"/>
        </w:rPr>
        <w:t>代理服务费交纳</w:t>
      </w:r>
      <w:r>
        <w:rPr>
          <w:rFonts w:ascii="仿宋" w:hAnsi="仿宋" w:eastAsia="仿宋" w:cs="宋体"/>
          <w:sz w:val="24"/>
          <w:highlight w:val="none"/>
        </w:rPr>
        <w:t>银行</w:t>
      </w:r>
      <w:r>
        <w:rPr>
          <w:rFonts w:hint="eastAsia" w:ascii="仿宋" w:hAnsi="仿宋" w:eastAsia="仿宋" w:cs="宋体"/>
          <w:sz w:val="24"/>
          <w:highlight w:val="none"/>
        </w:rPr>
        <w:t>账</w:t>
      </w:r>
      <w:r>
        <w:rPr>
          <w:rFonts w:ascii="仿宋" w:hAnsi="仿宋" w:eastAsia="仿宋" w:cs="宋体"/>
          <w:sz w:val="24"/>
          <w:highlight w:val="none"/>
        </w:rPr>
        <w:t>号信息</w:t>
      </w:r>
      <w:r>
        <w:rPr>
          <w:rFonts w:hint="eastAsia" w:ascii="仿宋" w:hAnsi="仿宋" w:eastAsia="仿宋" w:cs="宋体"/>
          <w:sz w:val="24"/>
          <w:highlight w:val="none"/>
        </w:rPr>
        <w:t>：详见“投标人须知前附表”</w:t>
      </w:r>
    </w:p>
    <w:p w14:paraId="65CF8D95">
      <w:pPr>
        <w:pStyle w:val="6"/>
        <w:keepNext w:val="0"/>
        <w:keepLines w:val="0"/>
        <w:numPr>
          <w:ilvl w:val="4"/>
          <w:numId w:val="0"/>
        </w:numPr>
        <w:spacing w:before="0" w:after="0" w:line="360" w:lineRule="auto"/>
        <w:ind w:leftChars="200"/>
        <w:rPr>
          <w:rFonts w:hint="eastAsia" w:ascii="仿宋" w:hAnsi="仿宋" w:eastAsia="仿宋"/>
          <w:sz w:val="24"/>
          <w:highlight w:val="none"/>
        </w:rPr>
      </w:pPr>
      <w:r>
        <w:rPr>
          <w:rFonts w:ascii="仿宋" w:hAnsi="仿宋" w:eastAsia="仿宋"/>
          <w:sz w:val="24"/>
          <w:highlight w:val="none"/>
        </w:rPr>
        <w:t>40. 需要补充的其他内容</w:t>
      </w:r>
    </w:p>
    <w:p w14:paraId="4F89093D">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40.1本招标文件解释规则详见“投标人须知前附表”。</w:t>
      </w:r>
    </w:p>
    <w:p w14:paraId="6E9AD115">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40.2 其他事项详见“投标人须知前附表”。</w:t>
      </w:r>
    </w:p>
    <w:p w14:paraId="032CC45E">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40.3</w:t>
      </w:r>
      <w:bookmarkStart w:id="149" w:name="_Hlk65857140"/>
      <w:r>
        <w:rPr>
          <w:rFonts w:hint="eastAsia" w:ascii="仿宋" w:hAnsi="仿宋" w:eastAsia="仿宋" w:cs="宋体"/>
          <w:sz w:val="24"/>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74A2AC82">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（1）在货物采购项目中，货物由中小企业制造，即货物由中小企业生产且使用该中小企业商号或者注册商标，不对其中涉及的工程承建商和服务的承接商作出要求；</w:t>
      </w:r>
    </w:p>
    <w:p w14:paraId="64BE2ABD">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（2）在工程采购项目中，工程由中小企业承建，即工程施工单位为中小企业，不对其中涉及的货物的制造商和服务的承接商作出要求；</w:t>
      </w:r>
    </w:p>
    <w:p w14:paraId="4E42FDF8">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ED57E11">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在货物采购项目中，供应商提供的货物既有中小企业制造货物，也有大型企业制造货物的，不享受本招标文件规定的中小企业扶持政策。</w:t>
      </w:r>
    </w:p>
    <w:p w14:paraId="2C7BD266">
      <w:pPr>
        <w:spacing w:line="360" w:lineRule="auto"/>
        <w:ind w:firstLine="480" w:firstLineChars="200"/>
        <w:rPr>
          <w:rFonts w:hint="eastAsia" w:ascii="仿宋" w:hAnsi="仿宋" w:eastAsia="仿宋" w:cs="宋体"/>
          <w:sz w:val="24"/>
          <w:highlight w:val="none"/>
        </w:rPr>
      </w:pPr>
      <w:r>
        <w:rPr>
          <w:rFonts w:hint="eastAsia" w:ascii="仿宋" w:hAnsi="仿宋" w:eastAsia="仿宋" w:cs="宋体"/>
          <w:sz w:val="24"/>
          <w:highlight w:val="none"/>
        </w:rPr>
        <w:t>依据本招标文件规定享受扶持政策获得政府采购合同的，小微企业不得将合同分包给大中型企业，中型企业不得将合同分包给大型企业。</w:t>
      </w:r>
      <w:bookmarkEnd w:id="149"/>
    </w:p>
    <w:p w14:paraId="172CB8A6">
      <w:pPr>
        <w:pStyle w:val="2"/>
        <w:keepNext w:val="0"/>
        <w:keepLines w:val="0"/>
        <w:pageBreakBefore/>
        <w:spacing w:before="0" w:after="0" w:line="360" w:lineRule="auto"/>
        <w:jc w:val="center"/>
        <w:rPr>
          <w:rFonts w:hint="eastAsia" w:ascii="仿宋" w:hAnsi="仿宋" w:eastAsia="仿宋"/>
          <w:highlight w:val="none"/>
        </w:rPr>
      </w:pPr>
      <w:bookmarkStart w:id="150" w:name="_Toc330456896"/>
      <w:bookmarkStart w:id="151" w:name="_Toc254970689"/>
      <w:bookmarkStart w:id="152" w:name="_Toc18970"/>
      <w:bookmarkStart w:id="153" w:name="_Toc254970548"/>
      <w:r>
        <w:rPr>
          <w:rFonts w:hint="eastAsia" w:ascii="仿宋" w:hAnsi="仿宋" w:eastAsia="仿宋"/>
          <w:highlight w:val="none"/>
        </w:rPr>
        <w:t>第四章  评标方法及评标标准</w:t>
      </w:r>
      <w:bookmarkEnd w:id="150"/>
      <w:bookmarkEnd w:id="151"/>
      <w:bookmarkEnd w:id="152"/>
      <w:bookmarkEnd w:id="153"/>
    </w:p>
    <w:p w14:paraId="28E740CA">
      <w:pPr>
        <w:pStyle w:val="4"/>
        <w:keepNext w:val="0"/>
        <w:keepLines w:val="0"/>
        <w:spacing w:before="0" w:after="0" w:line="415" w:lineRule="auto"/>
        <w:jc w:val="center"/>
        <w:rPr>
          <w:rFonts w:hint="eastAsia" w:ascii="仿宋" w:hAnsi="仿宋" w:eastAsia="仿宋"/>
          <w:sz w:val="30"/>
          <w:szCs w:val="30"/>
          <w:highlight w:val="none"/>
        </w:rPr>
      </w:pPr>
      <w:r>
        <w:rPr>
          <w:rFonts w:hint="eastAsia" w:ascii="仿宋" w:hAnsi="仿宋" w:eastAsia="仿宋"/>
          <w:sz w:val="30"/>
          <w:szCs w:val="30"/>
          <w:highlight w:val="none"/>
        </w:rPr>
        <w:t>一、评标方法</w:t>
      </w:r>
    </w:p>
    <w:p w14:paraId="07948BBF">
      <w:pPr>
        <w:pStyle w:val="25"/>
        <w:rPr>
          <w:rFonts w:hint="eastAsia"/>
          <w:highlight w:val="none"/>
        </w:rPr>
      </w:pPr>
      <w:r>
        <w:rPr>
          <w:rFonts w:hint="eastAsia"/>
          <w:highlight w:val="none"/>
        </w:rPr>
        <w:t>综合评分法，是指投标文件满足招标文件全部实质性要求，且按照评审因素的量化指标评审得分最高的投标人为中标候选人的评标方法。</w:t>
      </w:r>
    </w:p>
    <w:p w14:paraId="530652FE">
      <w:pPr>
        <w:pStyle w:val="4"/>
        <w:keepNext w:val="0"/>
        <w:keepLines w:val="0"/>
        <w:spacing w:before="120" w:beforeLines="50" w:after="0" w:line="360" w:lineRule="auto"/>
        <w:jc w:val="center"/>
        <w:rPr>
          <w:rFonts w:hint="eastAsia" w:ascii="仿宋" w:hAnsi="仿宋" w:eastAsia="仿宋"/>
          <w:sz w:val="30"/>
          <w:szCs w:val="30"/>
          <w:highlight w:val="none"/>
        </w:rPr>
      </w:pPr>
      <w:r>
        <w:rPr>
          <w:rFonts w:hint="eastAsia" w:ascii="仿宋" w:hAnsi="仿宋" w:eastAsia="仿宋"/>
          <w:sz w:val="30"/>
          <w:szCs w:val="30"/>
          <w:highlight w:val="none"/>
        </w:rPr>
        <w:t>二、评标程序</w:t>
      </w:r>
    </w:p>
    <w:p w14:paraId="4144E7C5">
      <w:pPr>
        <w:pStyle w:val="6"/>
        <w:keepNext w:val="0"/>
        <w:keepLines w:val="0"/>
        <w:spacing w:before="0" w:after="0" w:line="360" w:lineRule="auto"/>
        <w:ind w:left="420" w:leftChars="200" w:firstLine="480"/>
        <w:rPr>
          <w:rFonts w:hint="eastAsia" w:ascii="仿宋" w:hAnsi="仿宋" w:eastAsia="仿宋"/>
          <w:sz w:val="24"/>
          <w:highlight w:val="none"/>
        </w:rPr>
      </w:pPr>
      <w:r>
        <w:rPr>
          <w:rFonts w:hint="eastAsia" w:ascii="仿宋" w:hAnsi="仿宋" w:eastAsia="仿宋"/>
          <w:sz w:val="24"/>
          <w:highlight w:val="none"/>
        </w:rPr>
        <w:t>1.符合性审查</w:t>
      </w:r>
    </w:p>
    <w:p w14:paraId="2696BC01">
      <w:pPr>
        <w:pStyle w:val="25"/>
        <w:rPr>
          <w:rFonts w:hint="eastAsia"/>
          <w:highlight w:val="none"/>
        </w:rPr>
      </w:pPr>
      <w:r>
        <w:rPr>
          <w:rFonts w:hint="eastAsia"/>
          <w:highlight w:val="none"/>
        </w:rPr>
        <w:t>评标委员会应当对符合资格的投标人的投标文件进行投标报价、商务、技术等实质性内容符合性审查，以确定其是否满足招标文件的实质性要求。</w:t>
      </w:r>
    </w:p>
    <w:p w14:paraId="6628CB33">
      <w:pPr>
        <w:pStyle w:val="6"/>
        <w:keepNext w:val="0"/>
        <w:keepLines w:val="0"/>
        <w:spacing w:before="0" w:after="0" w:line="360" w:lineRule="auto"/>
        <w:ind w:left="420" w:leftChars="200" w:firstLine="480"/>
        <w:rPr>
          <w:rFonts w:hint="eastAsia"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w:t>
      </w:r>
      <w:r>
        <w:rPr>
          <w:rFonts w:hint="eastAsia" w:ascii="仿宋" w:hAnsi="仿宋" w:eastAsia="仿宋"/>
          <w:sz w:val="24"/>
          <w:highlight w:val="none"/>
        </w:rPr>
        <w:t>符合性审查不通过而导致投标无效的情形</w:t>
      </w:r>
    </w:p>
    <w:p w14:paraId="2D6E6EB2">
      <w:p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投标人的投标文件中存在对招标文件的任何实质性要求和条件的负偏离，将被视为投标无效。</w:t>
      </w:r>
    </w:p>
    <w:p w14:paraId="520BD9E6">
      <w:pPr>
        <w:pStyle w:val="6"/>
        <w:keepNext w:val="0"/>
        <w:keepLines w:val="0"/>
        <w:spacing w:before="0" w:after="0" w:line="360" w:lineRule="auto"/>
        <w:ind w:left="420" w:leftChars="200" w:firstLine="480"/>
        <w:rPr>
          <w:rFonts w:hint="eastAsia" w:ascii="仿宋" w:hAnsi="仿宋" w:eastAsia="仿宋"/>
          <w:sz w:val="24"/>
          <w:highlight w:val="none"/>
        </w:rPr>
      </w:pPr>
      <w:r>
        <w:rPr>
          <w:rFonts w:hint="eastAsia" w:ascii="仿宋" w:hAnsi="仿宋" w:eastAsia="仿宋"/>
          <w:sz w:val="24"/>
          <w:highlight w:val="none"/>
        </w:rPr>
        <w:t>2.1在报价评审时，如发现下列情形之一的，将被视为投标无效：</w:t>
      </w:r>
    </w:p>
    <w:p w14:paraId="54CA1964">
      <w:pPr>
        <w:pStyle w:val="7"/>
        <w:numPr>
          <w:ilvl w:val="0"/>
          <w:numId w:val="5"/>
        </w:numPr>
        <w:spacing w:line="360" w:lineRule="auto"/>
        <w:ind w:firstLine="422"/>
        <w:rPr>
          <w:rFonts w:hint="eastAsia" w:ascii="仿宋" w:hAnsi="仿宋" w:eastAsia="仿宋"/>
          <w:b/>
          <w:sz w:val="24"/>
          <w:szCs w:val="24"/>
          <w:highlight w:val="none"/>
        </w:rPr>
      </w:pPr>
      <w:r>
        <w:rPr>
          <w:rFonts w:hint="eastAsia" w:ascii="仿宋" w:hAnsi="仿宋" w:eastAsia="仿宋"/>
          <w:b/>
          <w:spacing w:val="-6"/>
          <w:sz w:val="24"/>
          <w:szCs w:val="24"/>
          <w:highlight w:val="none"/>
        </w:rPr>
        <w:t>报价文件</w:t>
      </w:r>
      <w:r>
        <w:rPr>
          <w:rFonts w:hint="eastAsia" w:ascii="仿宋" w:hAnsi="仿宋" w:eastAsia="仿宋"/>
          <w:b/>
          <w:sz w:val="24"/>
          <w:szCs w:val="24"/>
          <w:highlight w:val="none"/>
        </w:rPr>
        <w:t>未提供“投标人须知前附表”第13.1条规定中“必须提供”的文件资料的；</w:t>
      </w:r>
    </w:p>
    <w:p w14:paraId="7B9C44DC">
      <w:pPr>
        <w:pStyle w:val="7"/>
        <w:numPr>
          <w:ilvl w:val="0"/>
          <w:numId w:val="5"/>
        </w:numPr>
        <w:spacing w:line="360" w:lineRule="auto"/>
        <w:ind w:firstLine="422"/>
        <w:rPr>
          <w:rFonts w:hint="eastAsia" w:ascii="仿宋" w:hAnsi="仿宋" w:eastAsia="仿宋"/>
          <w:b/>
          <w:sz w:val="24"/>
          <w:szCs w:val="24"/>
          <w:highlight w:val="none"/>
        </w:rPr>
      </w:pPr>
      <w:r>
        <w:rPr>
          <w:rFonts w:hint="eastAsia" w:ascii="仿宋" w:hAnsi="仿宋" w:eastAsia="仿宋"/>
          <w:b/>
          <w:sz w:val="24"/>
          <w:szCs w:val="24"/>
          <w:highlight w:val="none"/>
        </w:rPr>
        <w:t>未采用人民币报价或者未按照招标文件标明的币种报价的；</w:t>
      </w:r>
    </w:p>
    <w:p w14:paraId="62523C7B">
      <w:pPr>
        <w:pStyle w:val="7"/>
        <w:numPr>
          <w:ilvl w:val="0"/>
          <w:numId w:val="5"/>
        </w:numPr>
        <w:spacing w:line="360" w:lineRule="auto"/>
        <w:ind w:firstLine="422"/>
        <w:rPr>
          <w:rFonts w:hint="eastAsia" w:ascii="仿宋" w:hAnsi="仿宋" w:eastAsia="仿宋"/>
          <w:b/>
          <w:sz w:val="24"/>
          <w:szCs w:val="24"/>
          <w:highlight w:val="none"/>
        </w:rPr>
      </w:pPr>
      <w:r>
        <w:rPr>
          <w:rFonts w:hint="eastAsia" w:ascii="仿宋" w:hAnsi="仿宋" w:eastAsia="仿宋"/>
          <w:b/>
          <w:sz w:val="24"/>
          <w:szCs w:val="24"/>
          <w:highlight w:val="none"/>
        </w:rPr>
        <w:t>各</w:t>
      </w:r>
      <w:r>
        <w:rPr>
          <w:rFonts w:hint="eastAsia" w:ascii="仿宋" w:hAnsi="仿宋" w:eastAsia="仿宋"/>
          <w:b/>
          <w:sz w:val="24"/>
          <w:highlight w:val="none"/>
        </w:rPr>
        <w:t>标项</w:t>
      </w:r>
      <w:r>
        <w:rPr>
          <w:rFonts w:hint="eastAsia" w:ascii="仿宋" w:hAnsi="仿宋" w:eastAsia="仿宋"/>
          <w:b/>
          <w:sz w:val="24"/>
          <w:szCs w:val="24"/>
          <w:highlight w:val="none"/>
        </w:rPr>
        <w:t>报价超出招标文件相应</w:t>
      </w:r>
      <w:r>
        <w:rPr>
          <w:rFonts w:hint="eastAsia" w:ascii="仿宋" w:hAnsi="仿宋" w:eastAsia="仿宋"/>
          <w:b/>
          <w:sz w:val="24"/>
          <w:highlight w:val="none"/>
        </w:rPr>
        <w:t>标项</w:t>
      </w:r>
      <w:r>
        <w:rPr>
          <w:rFonts w:hint="eastAsia" w:ascii="仿宋" w:hAnsi="仿宋" w:eastAsia="仿宋"/>
          <w:b/>
          <w:sz w:val="24"/>
          <w:szCs w:val="24"/>
          <w:highlight w:val="none"/>
        </w:rPr>
        <w:t>规定最高限价，或者超出相应</w:t>
      </w:r>
      <w:r>
        <w:rPr>
          <w:rFonts w:hint="eastAsia" w:ascii="仿宋" w:hAnsi="仿宋" w:eastAsia="仿宋"/>
          <w:b/>
          <w:sz w:val="24"/>
          <w:highlight w:val="none"/>
        </w:rPr>
        <w:t>标项</w:t>
      </w:r>
      <w:r>
        <w:rPr>
          <w:rFonts w:hint="eastAsia" w:ascii="仿宋" w:hAnsi="仿宋" w:eastAsia="仿宋"/>
          <w:b/>
          <w:sz w:val="24"/>
          <w:szCs w:val="24"/>
          <w:highlight w:val="none"/>
        </w:rPr>
        <w:t>采购预算金额的；</w:t>
      </w:r>
    </w:p>
    <w:p w14:paraId="0EBDC060">
      <w:pPr>
        <w:pStyle w:val="7"/>
        <w:numPr>
          <w:ilvl w:val="0"/>
          <w:numId w:val="5"/>
        </w:numPr>
        <w:spacing w:line="360" w:lineRule="auto"/>
        <w:ind w:firstLine="422"/>
        <w:rPr>
          <w:rFonts w:hint="eastAsia" w:ascii="仿宋" w:hAnsi="仿宋" w:eastAsia="仿宋"/>
          <w:b/>
          <w:sz w:val="24"/>
          <w:szCs w:val="24"/>
          <w:highlight w:val="none"/>
        </w:rPr>
      </w:pPr>
      <w:r>
        <w:rPr>
          <w:rFonts w:hint="eastAsia" w:ascii="仿宋" w:hAnsi="仿宋" w:eastAsia="仿宋"/>
          <w:b/>
          <w:sz w:val="24"/>
          <w:szCs w:val="24"/>
          <w:highlight w:val="none"/>
        </w:rPr>
        <w:t>投标人未就所投</w:t>
      </w:r>
      <w:r>
        <w:rPr>
          <w:rFonts w:hint="eastAsia" w:ascii="仿宋" w:hAnsi="仿宋" w:eastAsia="仿宋"/>
          <w:b/>
          <w:sz w:val="24"/>
          <w:highlight w:val="none"/>
        </w:rPr>
        <w:t>标项</w:t>
      </w:r>
      <w:r>
        <w:rPr>
          <w:rFonts w:hint="eastAsia" w:ascii="仿宋" w:hAnsi="仿宋" w:eastAsia="仿宋"/>
          <w:b/>
          <w:sz w:val="24"/>
          <w:szCs w:val="24"/>
          <w:highlight w:val="none"/>
        </w:rPr>
        <w:t>进行报价或者存在漏项报价；投标人未就所投</w:t>
      </w:r>
      <w:r>
        <w:rPr>
          <w:rFonts w:hint="eastAsia" w:ascii="仿宋" w:hAnsi="仿宋" w:eastAsia="仿宋"/>
          <w:b/>
          <w:sz w:val="24"/>
          <w:highlight w:val="none"/>
        </w:rPr>
        <w:t>标项</w:t>
      </w:r>
      <w:r>
        <w:rPr>
          <w:rFonts w:hint="eastAsia" w:ascii="仿宋" w:hAnsi="仿宋" w:eastAsia="仿宋"/>
          <w:b/>
          <w:sz w:val="24"/>
          <w:szCs w:val="24"/>
          <w:highlight w:val="none"/>
        </w:rPr>
        <w:t>的单项内容作唯一报价；投标人未就所投</w:t>
      </w:r>
      <w:r>
        <w:rPr>
          <w:rFonts w:hint="eastAsia" w:ascii="仿宋" w:hAnsi="仿宋" w:eastAsia="仿宋"/>
          <w:b/>
          <w:sz w:val="24"/>
          <w:highlight w:val="none"/>
        </w:rPr>
        <w:t>标项</w:t>
      </w:r>
      <w:r>
        <w:rPr>
          <w:rFonts w:hint="eastAsia" w:ascii="仿宋" w:hAnsi="仿宋" w:eastAsia="仿宋"/>
          <w:b/>
          <w:sz w:val="24"/>
          <w:szCs w:val="24"/>
          <w:highlight w:val="none"/>
        </w:rPr>
        <w:t>的全部内容作完整唯一总价报价；存在有选择、有条件报价的（招标文件允许有备选方案或者其他约定的除外）；</w:t>
      </w:r>
    </w:p>
    <w:p w14:paraId="453C4818">
      <w:pPr>
        <w:pStyle w:val="7"/>
        <w:numPr>
          <w:ilvl w:val="0"/>
          <w:numId w:val="5"/>
        </w:numPr>
        <w:spacing w:line="360" w:lineRule="auto"/>
        <w:ind w:firstLine="422"/>
        <w:rPr>
          <w:rFonts w:hint="eastAsia" w:ascii="仿宋" w:hAnsi="仿宋" w:eastAsia="仿宋"/>
          <w:b/>
          <w:sz w:val="24"/>
          <w:szCs w:val="24"/>
          <w:highlight w:val="none"/>
        </w:rPr>
      </w:pPr>
      <w:r>
        <w:rPr>
          <w:rFonts w:hint="eastAsia" w:ascii="仿宋" w:hAnsi="仿宋" w:eastAsia="仿宋"/>
          <w:b/>
          <w:sz w:val="24"/>
          <w:szCs w:val="24"/>
          <w:highlight w:val="none"/>
        </w:rPr>
        <w:t>修正后的报价，投标人不确认的；</w:t>
      </w:r>
    </w:p>
    <w:p w14:paraId="1C751834">
      <w:pPr>
        <w:pStyle w:val="7"/>
        <w:numPr>
          <w:ilvl w:val="0"/>
          <w:numId w:val="5"/>
        </w:numPr>
        <w:spacing w:line="360" w:lineRule="auto"/>
        <w:ind w:firstLine="422"/>
        <w:rPr>
          <w:rFonts w:hint="eastAsia" w:ascii="仿宋" w:hAnsi="仿宋" w:eastAsia="仿宋"/>
          <w:b/>
          <w:sz w:val="24"/>
          <w:szCs w:val="24"/>
          <w:highlight w:val="none"/>
        </w:rPr>
      </w:pPr>
      <w:r>
        <w:rPr>
          <w:rFonts w:hint="eastAsia" w:ascii="仿宋" w:hAnsi="仿宋" w:eastAsia="仿宋"/>
          <w:b/>
          <w:sz w:val="24"/>
          <w:szCs w:val="24"/>
          <w:highlight w:val="none"/>
        </w:rPr>
        <w:t>投标人属于本章第</w:t>
      </w:r>
      <w:r>
        <w:rPr>
          <w:rFonts w:ascii="仿宋" w:hAnsi="仿宋" w:eastAsia="仿宋"/>
          <w:b/>
          <w:sz w:val="24"/>
          <w:szCs w:val="24"/>
          <w:highlight w:val="none"/>
        </w:rPr>
        <w:t>5.1</w:t>
      </w:r>
      <w:r>
        <w:rPr>
          <w:rFonts w:hint="eastAsia" w:ascii="仿宋" w:hAnsi="仿宋" w:eastAsia="仿宋"/>
          <w:b/>
          <w:sz w:val="24"/>
          <w:szCs w:val="24"/>
          <w:highlight w:val="none"/>
        </w:rPr>
        <w:t>条（2）或者第5</w:t>
      </w:r>
      <w:r>
        <w:rPr>
          <w:rFonts w:ascii="仿宋" w:hAnsi="仿宋" w:eastAsia="仿宋"/>
          <w:b/>
          <w:sz w:val="24"/>
          <w:szCs w:val="24"/>
          <w:highlight w:val="none"/>
        </w:rPr>
        <w:t>.2条</w:t>
      </w:r>
      <w:r>
        <w:rPr>
          <w:rFonts w:hint="eastAsia" w:ascii="仿宋" w:hAnsi="仿宋" w:eastAsia="仿宋"/>
          <w:b/>
          <w:sz w:val="24"/>
          <w:szCs w:val="24"/>
          <w:highlight w:val="none"/>
        </w:rPr>
        <w:t>（2）项情形的；</w:t>
      </w:r>
    </w:p>
    <w:p w14:paraId="3853DB75">
      <w:pPr>
        <w:pStyle w:val="7"/>
        <w:numPr>
          <w:ilvl w:val="0"/>
          <w:numId w:val="5"/>
        </w:numPr>
        <w:spacing w:line="360" w:lineRule="auto"/>
        <w:ind w:firstLine="422"/>
        <w:rPr>
          <w:rFonts w:hint="eastAsia" w:ascii="仿宋" w:hAnsi="仿宋" w:eastAsia="仿宋"/>
          <w:b/>
          <w:sz w:val="24"/>
          <w:szCs w:val="24"/>
          <w:highlight w:val="none"/>
        </w:rPr>
      </w:pPr>
      <w:r>
        <w:rPr>
          <w:rFonts w:hint="eastAsia" w:ascii="仿宋" w:hAnsi="仿宋" w:eastAsia="仿宋"/>
          <w:b/>
          <w:spacing w:val="-6"/>
          <w:sz w:val="24"/>
          <w:szCs w:val="24"/>
          <w:highlight w:val="none"/>
        </w:rPr>
        <w:t>报价文件</w:t>
      </w:r>
      <w:r>
        <w:rPr>
          <w:rFonts w:hint="eastAsia" w:ascii="仿宋" w:hAnsi="仿宋" w:eastAsia="仿宋"/>
          <w:b/>
          <w:sz w:val="24"/>
          <w:szCs w:val="24"/>
          <w:highlight w:val="none"/>
        </w:rPr>
        <w:t>响应的标的数量及单位与招标文件要求实质性不一致的。</w:t>
      </w:r>
    </w:p>
    <w:p w14:paraId="04D3C0A9">
      <w:pPr>
        <w:pStyle w:val="6"/>
        <w:keepNext w:val="0"/>
        <w:keepLines w:val="0"/>
        <w:spacing w:before="0" w:after="0" w:line="360" w:lineRule="auto"/>
        <w:ind w:left="420" w:leftChars="200" w:firstLine="480"/>
        <w:rPr>
          <w:rFonts w:hint="eastAsia" w:ascii="仿宋" w:hAnsi="仿宋" w:eastAsia="仿宋"/>
          <w:sz w:val="24"/>
          <w:highlight w:val="none"/>
        </w:rPr>
      </w:pPr>
      <w:r>
        <w:rPr>
          <w:rFonts w:hint="eastAsia" w:ascii="仿宋" w:hAnsi="仿宋" w:eastAsia="仿宋"/>
          <w:sz w:val="24"/>
          <w:highlight w:val="none"/>
        </w:rPr>
        <w:t>2.2在商务评审时，如发现下列情形之一的，将被视为投标无效：</w:t>
      </w:r>
    </w:p>
    <w:p w14:paraId="7CD53E75">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投标文件未按招标文件要求签署、盖章的；</w:t>
      </w:r>
    </w:p>
    <w:p w14:paraId="1A1F9D20">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委托代理人未能出具有效身份证或者出具的身份证与授权委托书中的信息不符的；</w:t>
      </w:r>
    </w:p>
    <w:p w14:paraId="455F1B59">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为无效投标保证金的或者未按照招标文件的规定提交投标保证金的；</w:t>
      </w:r>
    </w:p>
    <w:p w14:paraId="2E72D3DF">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投标文件未提供“投标人须知前附表”第13.</w:t>
      </w:r>
      <w:r>
        <w:rPr>
          <w:rFonts w:ascii="仿宋" w:hAnsi="仿宋" w:eastAsia="仿宋"/>
          <w:b/>
          <w:sz w:val="24"/>
          <w:highlight w:val="none"/>
        </w:rPr>
        <w:t>1</w:t>
      </w:r>
      <w:r>
        <w:rPr>
          <w:rFonts w:hint="eastAsia" w:ascii="仿宋" w:hAnsi="仿宋" w:eastAsia="仿宋"/>
          <w:b/>
          <w:sz w:val="24"/>
          <w:highlight w:val="none"/>
        </w:rPr>
        <w:t>条规定中“必须提供”或者“委托时必须提供”的文件资料的；</w:t>
      </w:r>
    </w:p>
    <w:p w14:paraId="3F1BD25D">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商务要求评审允许负偏离的条款数超过“投标人须知前附表”规定项数的；</w:t>
      </w:r>
    </w:p>
    <w:p w14:paraId="5DE1B6AE">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投标文件的实质性内容未使用中文表述、使用计量单位不符合招标文件要求的；</w:t>
      </w:r>
    </w:p>
    <w:p w14:paraId="198415EF">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投标文件中的文件资料因填写不齐全或者内容虚假或者出现其他情形而导致被评标委员会认定无效的；</w:t>
      </w:r>
    </w:p>
    <w:p w14:paraId="53B8408E">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投标文件含有采购人不能接受的附加条件的；</w:t>
      </w:r>
    </w:p>
    <w:p w14:paraId="76275341">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属于投标人须知正文第</w:t>
      </w:r>
      <w:r>
        <w:rPr>
          <w:rFonts w:ascii="仿宋" w:hAnsi="仿宋" w:eastAsia="仿宋"/>
          <w:b/>
          <w:sz w:val="24"/>
          <w:highlight w:val="none"/>
        </w:rPr>
        <w:t>9.2</w:t>
      </w:r>
      <w:r>
        <w:rPr>
          <w:rFonts w:hint="eastAsia" w:ascii="仿宋" w:hAnsi="仿宋" w:eastAsia="仿宋"/>
          <w:b/>
          <w:sz w:val="24"/>
          <w:highlight w:val="none"/>
        </w:rPr>
        <w:t>条情形的；</w:t>
      </w:r>
    </w:p>
    <w:p w14:paraId="005674ED">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投标文件标注的项目名称或者项目编号与招标文件标注的项目名称或者项目编号不一致的；</w:t>
      </w:r>
    </w:p>
    <w:p w14:paraId="2D232AB1">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招标文件明确不允许分包，投标文件拟分包的；</w:t>
      </w:r>
    </w:p>
    <w:p w14:paraId="6143035B">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未响应招标文件实质性要求的；</w:t>
      </w:r>
    </w:p>
    <w:p w14:paraId="54EF7879">
      <w:pPr>
        <w:numPr>
          <w:ilvl w:val="0"/>
          <w:numId w:val="6"/>
        </w:numPr>
        <w:snapToGrid w:val="0"/>
        <w:spacing w:line="360" w:lineRule="auto"/>
        <w:ind w:firstLine="482" w:firstLineChars="200"/>
        <w:rPr>
          <w:rFonts w:hint="eastAsia" w:ascii="仿宋" w:hAnsi="仿宋" w:eastAsia="仿宋"/>
          <w:b/>
          <w:sz w:val="24"/>
          <w:highlight w:val="none"/>
        </w:rPr>
      </w:pPr>
      <w:r>
        <w:rPr>
          <w:rFonts w:hint="eastAsia" w:ascii="仿宋" w:hAnsi="仿宋" w:eastAsia="仿宋"/>
          <w:b/>
          <w:sz w:val="24"/>
          <w:highlight w:val="none"/>
        </w:rPr>
        <w:t>法律、法规和招标文件规定的其他无效情形。</w:t>
      </w:r>
    </w:p>
    <w:p w14:paraId="6C18548D">
      <w:pPr>
        <w:pStyle w:val="6"/>
        <w:keepNext w:val="0"/>
        <w:keepLines w:val="0"/>
        <w:spacing w:before="0" w:after="0" w:line="360" w:lineRule="auto"/>
        <w:ind w:left="420" w:leftChars="200" w:firstLine="480"/>
        <w:rPr>
          <w:rFonts w:hint="eastAsia" w:ascii="仿宋" w:hAnsi="仿宋" w:eastAsia="仿宋"/>
          <w:sz w:val="24"/>
          <w:highlight w:val="none"/>
        </w:rPr>
      </w:pPr>
      <w:r>
        <w:rPr>
          <w:rFonts w:hint="eastAsia" w:ascii="仿宋" w:hAnsi="仿宋" w:eastAsia="仿宋"/>
          <w:sz w:val="24"/>
          <w:highlight w:val="none"/>
        </w:rPr>
        <w:t>2.3在技术评审时，如发现下列情形之一的，将被视为投标无效：</w:t>
      </w:r>
    </w:p>
    <w:p w14:paraId="528A2429">
      <w:pPr>
        <w:pStyle w:val="19"/>
        <w:snapToGrid w:val="0"/>
        <w:spacing w:line="360" w:lineRule="auto"/>
        <w:ind w:firstLine="472" w:firstLineChars="196"/>
        <w:rPr>
          <w:rFonts w:hint="eastAsia" w:ascii="仿宋" w:hAnsi="仿宋" w:eastAsia="仿宋"/>
          <w:b/>
          <w:kern w:val="2"/>
          <w:sz w:val="24"/>
          <w:szCs w:val="24"/>
          <w:highlight w:val="none"/>
        </w:rPr>
      </w:pPr>
      <w:r>
        <w:rPr>
          <w:rFonts w:hint="eastAsia" w:ascii="仿宋" w:hAnsi="仿宋" w:eastAsia="仿宋"/>
          <w:b/>
          <w:kern w:val="2"/>
          <w:sz w:val="24"/>
          <w:szCs w:val="24"/>
          <w:highlight w:val="none"/>
        </w:rPr>
        <w:t>（1）技术要求评审允许负偏离的条款数超过“投标人须知前附表”</w:t>
      </w:r>
      <w:r>
        <w:rPr>
          <w:rFonts w:hint="eastAsia" w:ascii="仿宋" w:hAnsi="仿宋" w:eastAsia="仿宋"/>
          <w:b/>
          <w:kern w:val="2"/>
          <w:sz w:val="24"/>
          <w:szCs w:val="24"/>
          <w:highlight w:val="none"/>
          <w:lang w:val="en-US" w:eastAsia="zh-CN"/>
        </w:rPr>
        <w:t>或“采购需求”</w:t>
      </w:r>
      <w:r>
        <w:rPr>
          <w:rFonts w:hint="eastAsia" w:ascii="仿宋" w:hAnsi="仿宋" w:eastAsia="仿宋"/>
          <w:b/>
          <w:kern w:val="2"/>
          <w:sz w:val="24"/>
          <w:szCs w:val="24"/>
          <w:highlight w:val="none"/>
        </w:rPr>
        <w:t>规定项数的；</w:t>
      </w:r>
    </w:p>
    <w:p w14:paraId="7C0160DD">
      <w:pPr>
        <w:pStyle w:val="19"/>
        <w:snapToGrid w:val="0"/>
        <w:spacing w:line="360" w:lineRule="auto"/>
        <w:ind w:firstLine="472" w:firstLineChars="196"/>
        <w:rPr>
          <w:rFonts w:hint="eastAsia" w:ascii="仿宋" w:hAnsi="仿宋" w:eastAsia="仿宋"/>
          <w:b/>
          <w:kern w:val="2"/>
          <w:sz w:val="24"/>
          <w:szCs w:val="24"/>
          <w:highlight w:val="none"/>
        </w:rPr>
      </w:pPr>
      <w:r>
        <w:rPr>
          <w:rFonts w:hint="eastAsia" w:ascii="仿宋" w:hAnsi="仿宋" w:eastAsia="仿宋"/>
          <w:b/>
          <w:kern w:val="2"/>
          <w:sz w:val="24"/>
          <w:szCs w:val="24"/>
          <w:highlight w:val="none"/>
        </w:rPr>
        <w:t>（2）投标文件未提供“投标人须知前附表”第13.</w:t>
      </w:r>
      <w:r>
        <w:rPr>
          <w:rFonts w:ascii="仿宋" w:hAnsi="仿宋" w:eastAsia="仿宋"/>
          <w:b/>
          <w:kern w:val="2"/>
          <w:sz w:val="24"/>
          <w:szCs w:val="24"/>
          <w:highlight w:val="none"/>
        </w:rPr>
        <w:t>1</w:t>
      </w:r>
      <w:r>
        <w:rPr>
          <w:rFonts w:hint="eastAsia" w:ascii="仿宋" w:hAnsi="仿宋" w:eastAsia="仿宋"/>
          <w:b/>
          <w:kern w:val="2"/>
          <w:sz w:val="24"/>
          <w:szCs w:val="24"/>
          <w:highlight w:val="none"/>
        </w:rPr>
        <w:t>条规定中“必须提供”的文件资料的；</w:t>
      </w:r>
    </w:p>
    <w:p w14:paraId="4552483C">
      <w:pPr>
        <w:pStyle w:val="19"/>
        <w:snapToGrid w:val="0"/>
        <w:spacing w:line="360" w:lineRule="auto"/>
        <w:ind w:firstLine="472" w:firstLineChars="196"/>
        <w:rPr>
          <w:rFonts w:hint="eastAsia" w:ascii="仿宋" w:hAnsi="仿宋" w:eastAsia="仿宋"/>
          <w:b/>
          <w:kern w:val="2"/>
          <w:sz w:val="24"/>
          <w:szCs w:val="24"/>
          <w:highlight w:val="none"/>
        </w:rPr>
      </w:pPr>
      <w:r>
        <w:rPr>
          <w:rFonts w:hint="eastAsia" w:ascii="仿宋" w:hAnsi="仿宋" w:eastAsia="仿宋"/>
          <w:b/>
          <w:kern w:val="2"/>
          <w:sz w:val="24"/>
          <w:szCs w:val="24"/>
          <w:highlight w:val="none"/>
        </w:rPr>
        <w:t>（3）虚假投标，或者出现其他情形而导致被评标委员会认定无效的；</w:t>
      </w:r>
    </w:p>
    <w:p w14:paraId="37ED8FFD">
      <w:pPr>
        <w:pStyle w:val="19"/>
        <w:snapToGrid w:val="0"/>
        <w:spacing w:line="360" w:lineRule="auto"/>
        <w:ind w:firstLine="472" w:firstLineChars="196"/>
        <w:rPr>
          <w:rFonts w:hint="eastAsia" w:ascii="仿宋" w:hAnsi="仿宋" w:eastAsia="仿宋"/>
          <w:b/>
          <w:kern w:val="2"/>
          <w:sz w:val="24"/>
          <w:szCs w:val="24"/>
          <w:highlight w:val="none"/>
        </w:rPr>
      </w:pPr>
      <w:r>
        <w:rPr>
          <w:rFonts w:hint="eastAsia" w:ascii="仿宋" w:hAnsi="仿宋" w:eastAsia="仿宋"/>
          <w:b/>
          <w:kern w:val="2"/>
          <w:sz w:val="24"/>
          <w:szCs w:val="24"/>
          <w:highlight w:val="none"/>
        </w:rPr>
        <w:t>（4）</w:t>
      </w:r>
      <w:bookmarkStart w:id="154" w:name="_Hlk71706244"/>
      <w:r>
        <w:rPr>
          <w:rFonts w:hint="eastAsia" w:ascii="仿宋" w:hAnsi="仿宋" w:eastAsia="仿宋"/>
          <w:b/>
          <w:kern w:val="2"/>
          <w:sz w:val="24"/>
          <w:szCs w:val="24"/>
          <w:highlight w:val="none"/>
        </w:rPr>
        <w:t>招标文件未载明允许提供备选（替代）投标方案或明确不允许提供备选（替代）投标方案时，投标人提供了备选（替代）投标方案的；</w:t>
      </w:r>
      <w:bookmarkEnd w:id="154"/>
    </w:p>
    <w:p w14:paraId="046BB181">
      <w:pPr>
        <w:pStyle w:val="19"/>
        <w:snapToGrid w:val="0"/>
        <w:spacing w:line="360" w:lineRule="auto"/>
        <w:ind w:firstLine="472" w:firstLineChars="196"/>
        <w:rPr>
          <w:rFonts w:hint="eastAsia" w:ascii="仿宋" w:hAnsi="仿宋" w:eastAsia="仿宋"/>
          <w:b/>
          <w:kern w:val="2"/>
          <w:sz w:val="24"/>
          <w:szCs w:val="24"/>
          <w:highlight w:val="none"/>
        </w:rPr>
      </w:pPr>
      <w:r>
        <w:rPr>
          <w:rFonts w:hint="eastAsia" w:ascii="仿宋" w:hAnsi="仿宋" w:eastAsia="仿宋"/>
          <w:b/>
          <w:kern w:val="2"/>
          <w:sz w:val="24"/>
          <w:szCs w:val="24"/>
          <w:highlight w:val="none"/>
        </w:rPr>
        <w:t>（5）未响应招标文件实质性要求的。</w:t>
      </w:r>
    </w:p>
    <w:p w14:paraId="5F293153">
      <w:pPr>
        <w:pStyle w:val="19"/>
        <w:snapToGrid w:val="0"/>
        <w:spacing w:line="360" w:lineRule="auto"/>
        <w:ind w:firstLine="472" w:firstLineChars="196"/>
        <w:rPr>
          <w:rFonts w:hint="eastAsia" w:ascii="仿宋" w:hAnsi="仿宋" w:eastAsia="仿宋"/>
          <w:b/>
          <w:kern w:val="2"/>
          <w:sz w:val="24"/>
          <w:szCs w:val="24"/>
          <w:highlight w:val="none"/>
        </w:rPr>
      </w:pPr>
      <w:r>
        <w:rPr>
          <w:rFonts w:hint="eastAsia" w:ascii="仿宋" w:hAnsi="仿宋" w:eastAsia="仿宋"/>
          <w:b/>
          <w:kern w:val="2"/>
          <w:sz w:val="24"/>
          <w:szCs w:val="24"/>
          <w:highlight w:val="none"/>
        </w:rPr>
        <w:t>2.4通过符合性审查的投标人不足3家，评标委员会不得继续评标，并出具评标报告。</w:t>
      </w:r>
    </w:p>
    <w:p w14:paraId="2519F331">
      <w:pPr>
        <w:pStyle w:val="6"/>
        <w:keepNext w:val="0"/>
        <w:keepLines w:val="0"/>
        <w:spacing w:before="0" w:after="0" w:line="360" w:lineRule="auto"/>
        <w:ind w:left="420" w:leftChars="200" w:firstLine="480"/>
        <w:rPr>
          <w:rFonts w:hint="eastAsia" w:ascii="仿宋" w:hAnsi="仿宋" w:eastAsia="仿宋"/>
          <w:sz w:val="24"/>
          <w:highlight w:val="none"/>
        </w:rPr>
      </w:pPr>
      <w:r>
        <w:rPr>
          <w:rFonts w:hint="eastAsia" w:ascii="仿宋" w:hAnsi="仿宋" w:eastAsia="仿宋"/>
          <w:sz w:val="24"/>
          <w:highlight w:val="none"/>
        </w:rPr>
        <w:t>3</w:t>
      </w:r>
      <w:r>
        <w:rPr>
          <w:rFonts w:ascii="仿宋" w:hAnsi="仿宋" w:eastAsia="仿宋"/>
          <w:sz w:val="24"/>
          <w:highlight w:val="none"/>
        </w:rPr>
        <w:t>.</w:t>
      </w:r>
      <w:r>
        <w:rPr>
          <w:rFonts w:hint="eastAsia" w:ascii="仿宋" w:hAnsi="仿宋" w:eastAsia="仿宋"/>
          <w:sz w:val="24"/>
          <w:highlight w:val="none"/>
        </w:rPr>
        <w:t>澄清补正</w:t>
      </w:r>
    </w:p>
    <w:p w14:paraId="579A81E2">
      <w:pPr>
        <w:snapToGrid w:val="0"/>
        <w:spacing w:line="360" w:lineRule="auto"/>
        <w:ind w:firstLine="480" w:firstLineChars="200"/>
        <w:rPr>
          <w:rFonts w:hint="eastAsia" w:ascii="仿宋" w:hAnsi="仿宋" w:eastAsia="仿宋" w:cs="Courier New"/>
          <w:sz w:val="24"/>
          <w:highlight w:val="none"/>
        </w:rPr>
      </w:pPr>
      <w:r>
        <w:rPr>
          <w:rFonts w:hint="eastAsia" w:ascii="仿宋" w:hAnsi="仿宋" w:eastAsia="仿宋" w:cs="Courier New"/>
          <w:sz w:val="24"/>
          <w:highlight w:val="none"/>
        </w:rPr>
        <w:t>对投标文件中含义不明确、同类问题表述不一致或者有明显文字和计算错误的内容，评标委员会以</w:t>
      </w:r>
      <w:r>
        <w:rPr>
          <w:rFonts w:hint="eastAsia" w:ascii="仿宋" w:hAnsi="仿宋" w:eastAsia="仿宋" w:cs="宋体"/>
          <w:sz w:val="24"/>
          <w:highlight w:val="none"/>
        </w:rPr>
        <w:t>电子澄清函形式</w:t>
      </w:r>
      <w:r>
        <w:rPr>
          <w:rFonts w:hint="eastAsia" w:ascii="仿宋" w:hAnsi="仿宋" w:eastAsia="仿宋" w:cs="Courier New"/>
          <w:sz w:val="24"/>
          <w:highlight w:val="none"/>
        </w:rPr>
        <w:t>要求投标人在规定时间内作出必要的澄清、说明或者纠正。投标人的澄清、说明或者补正必须采用</w:t>
      </w:r>
      <w:r>
        <w:rPr>
          <w:rFonts w:hint="eastAsia" w:ascii="仿宋" w:hAnsi="仿宋" w:eastAsia="仿宋" w:cs="宋体"/>
          <w:sz w:val="24"/>
          <w:highlight w:val="none"/>
        </w:rPr>
        <w:t>电子回函形式</w:t>
      </w:r>
      <w:r>
        <w:rPr>
          <w:rFonts w:hint="eastAsia" w:ascii="仿宋" w:hAnsi="仿宋" w:eastAsia="仿宋" w:cs="Courier New"/>
          <w:sz w:val="24"/>
          <w:highlight w:val="none"/>
        </w:rPr>
        <w:t>，并加盖投标人公章，或者由法定代表人或者其授权的代表签字。投标人的澄清、说明或者补正不得超出投标文件的范围或者改变投标文件的实质性内容。</w:t>
      </w:r>
    </w:p>
    <w:p w14:paraId="10C54690">
      <w:pPr>
        <w:pStyle w:val="6"/>
        <w:keepNext w:val="0"/>
        <w:keepLines w:val="0"/>
        <w:spacing w:before="0" w:after="0" w:line="360" w:lineRule="auto"/>
        <w:ind w:left="420" w:leftChars="200" w:firstLine="480"/>
        <w:rPr>
          <w:rFonts w:hint="eastAsia" w:ascii="仿宋" w:hAnsi="仿宋" w:eastAsia="仿宋"/>
          <w:sz w:val="24"/>
          <w:highlight w:val="none"/>
        </w:rPr>
      </w:pPr>
      <w:r>
        <w:rPr>
          <w:rFonts w:ascii="仿宋" w:hAnsi="仿宋" w:eastAsia="仿宋"/>
          <w:sz w:val="24"/>
          <w:highlight w:val="none"/>
        </w:rPr>
        <w:t>4.</w:t>
      </w:r>
      <w:r>
        <w:rPr>
          <w:rFonts w:hint="eastAsia" w:ascii="仿宋" w:hAnsi="仿宋" w:eastAsia="仿宋"/>
          <w:sz w:val="24"/>
          <w:highlight w:val="none"/>
        </w:rPr>
        <w:t>投标文件修正</w:t>
      </w:r>
    </w:p>
    <w:p w14:paraId="2A7AA1AA">
      <w:pPr>
        <w:pStyle w:val="6"/>
        <w:keepNext w:val="0"/>
        <w:keepLines w:val="0"/>
        <w:spacing w:before="0" w:after="0" w:line="360" w:lineRule="auto"/>
        <w:ind w:left="420" w:leftChars="200"/>
        <w:rPr>
          <w:rFonts w:hint="eastAsia" w:ascii="仿宋" w:hAnsi="仿宋" w:eastAsia="仿宋"/>
          <w:b w:val="0"/>
          <w:sz w:val="24"/>
          <w:highlight w:val="none"/>
        </w:rPr>
      </w:pPr>
      <w:r>
        <w:rPr>
          <w:rFonts w:ascii="仿宋" w:hAnsi="仿宋" w:eastAsia="仿宋"/>
          <w:b w:val="0"/>
          <w:sz w:val="24"/>
          <w:highlight w:val="none"/>
        </w:rPr>
        <w:t>4</w:t>
      </w:r>
      <w:r>
        <w:rPr>
          <w:rFonts w:hint="eastAsia" w:ascii="仿宋" w:hAnsi="仿宋" w:eastAsia="仿宋"/>
          <w:b w:val="0"/>
          <w:sz w:val="24"/>
          <w:highlight w:val="none"/>
        </w:rPr>
        <w:t xml:space="preserve">.1投标文件报价出现前后不一致的，按照下列规定修正： </w:t>
      </w:r>
    </w:p>
    <w:p w14:paraId="3F0FB3F8">
      <w:pPr>
        <w:pStyle w:val="25"/>
        <w:rPr>
          <w:rFonts w:hint="eastAsia"/>
          <w:highlight w:val="none"/>
        </w:rPr>
      </w:pPr>
      <w:r>
        <w:rPr>
          <w:rFonts w:hint="eastAsia"/>
          <w:highlight w:val="none"/>
        </w:rPr>
        <w:t>（1）投标文件中开标一览表（报价表）内容与投标文件中相应内容不一致的，以开标一览表（报价表）为准；</w:t>
      </w:r>
    </w:p>
    <w:p w14:paraId="3ADA0359">
      <w:pPr>
        <w:pStyle w:val="25"/>
        <w:rPr>
          <w:rFonts w:hint="eastAsia"/>
          <w:highlight w:val="none"/>
        </w:rPr>
      </w:pPr>
      <w:r>
        <w:rPr>
          <w:rFonts w:hint="eastAsia"/>
          <w:highlight w:val="none"/>
        </w:rPr>
        <w:t>（2）大写金额和小写金额不一致的，以大写金额为准；</w:t>
      </w:r>
    </w:p>
    <w:p w14:paraId="60E5AB63">
      <w:pPr>
        <w:pStyle w:val="25"/>
        <w:rPr>
          <w:rFonts w:hint="eastAsia"/>
          <w:highlight w:val="none"/>
        </w:rPr>
      </w:pPr>
      <w:r>
        <w:rPr>
          <w:rFonts w:hint="eastAsia"/>
          <w:highlight w:val="none"/>
        </w:rPr>
        <w:t>（3）单价金额小数点或者百分比有明显错位的，以开标一览表的总价为准，并修改单价；</w:t>
      </w:r>
    </w:p>
    <w:p w14:paraId="09FDA1D7">
      <w:pPr>
        <w:pStyle w:val="25"/>
        <w:rPr>
          <w:rFonts w:hint="eastAsia"/>
          <w:highlight w:val="none"/>
        </w:rPr>
      </w:pPr>
      <w:r>
        <w:rPr>
          <w:rFonts w:hint="eastAsia"/>
          <w:highlight w:val="none"/>
        </w:rPr>
        <w:t>（4）总价金额与按单价汇总金额不一致的，以单价金额计算结果为准。</w:t>
      </w:r>
    </w:p>
    <w:p w14:paraId="21365F80">
      <w:pPr>
        <w:pStyle w:val="25"/>
        <w:rPr>
          <w:rFonts w:hint="eastAsia"/>
          <w:highlight w:val="none"/>
        </w:rPr>
      </w:pPr>
      <w:r>
        <w:rPr>
          <w:rFonts w:hint="eastAsia"/>
          <w:highlight w:val="none"/>
        </w:rPr>
        <w:t>同时出现两种以上不一致的，按照以上（1）-（4）规定的顺序修正。修正后的报价经投标人确认后产生约束力，投标人不确认的，</w:t>
      </w:r>
      <w:r>
        <w:rPr>
          <w:rFonts w:hint="eastAsia"/>
          <w:kern w:val="2"/>
          <w:highlight w:val="none"/>
        </w:rPr>
        <w:t>其投标无效</w:t>
      </w:r>
      <w:r>
        <w:rPr>
          <w:rFonts w:hint="eastAsia"/>
          <w:highlight w:val="none"/>
        </w:rPr>
        <w:t>。</w:t>
      </w:r>
    </w:p>
    <w:p w14:paraId="48B21208">
      <w:pPr>
        <w:pStyle w:val="6"/>
        <w:keepNext w:val="0"/>
        <w:keepLines w:val="0"/>
        <w:spacing w:before="0" w:after="0" w:line="360" w:lineRule="auto"/>
        <w:rPr>
          <w:rFonts w:hint="eastAsia" w:ascii="仿宋" w:hAnsi="仿宋" w:eastAsia="仿宋"/>
          <w:b w:val="0"/>
          <w:sz w:val="24"/>
          <w:highlight w:val="none"/>
        </w:rPr>
      </w:pPr>
      <w:r>
        <w:rPr>
          <w:rFonts w:ascii="仿宋" w:hAnsi="仿宋" w:eastAsia="仿宋"/>
          <w:b w:val="0"/>
          <w:sz w:val="24"/>
          <w:highlight w:val="none"/>
        </w:rPr>
        <w:t xml:space="preserve">    4</w:t>
      </w:r>
      <w:r>
        <w:rPr>
          <w:rFonts w:hint="eastAsia" w:ascii="仿宋" w:hAnsi="仿宋" w:eastAsia="仿宋"/>
          <w:b w:val="0"/>
          <w:sz w:val="24"/>
          <w:highlight w:val="none"/>
        </w:rPr>
        <w:t>.2经投标人确认修正后的报价若超过采购预算金额或者最高限价，</w:t>
      </w:r>
      <w:r>
        <w:rPr>
          <w:rFonts w:hint="eastAsia" w:ascii="仿宋" w:hAnsi="仿宋" w:eastAsia="仿宋"/>
          <w:sz w:val="24"/>
          <w:highlight w:val="none"/>
        </w:rPr>
        <w:t>投标人的投标文件作无效投标处理</w:t>
      </w:r>
      <w:r>
        <w:rPr>
          <w:rFonts w:hint="eastAsia" w:ascii="仿宋" w:hAnsi="仿宋" w:eastAsia="仿宋"/>
          <w:b w:val="0"/>
          <w:sz w:val="24"/>
          <w:highlight w:val="none"/>
        </w:rPr>
        <w:t>。</w:t>
      </w:r>
    </w:p>
    <w:p w14:paraId="693BE3E1">
      <w:pPr>
        <w:snapToGrid w:val="0"/>
        <w:spacing w:line="360" w:lineRule="auto"/>
        <w:ind w:firstLine="480" w:firstLineChars="200"/>
        <w:rPr>
          <w:rFonts w:hint="eastAsia" w:ascii="仿宋" w:hAnsi="仿宋" w:eastAsia="仿宋"/>
          <w:sz w:val="24"/>
          <w:highlight w:val="none"/>
        </w:rPr>
      </w:pPr>
      <w:r>
        <w:rPr>
          <w:rFonts w:ascii="仿宋" w:hAnsi="仿宋" w:eastAsia="仿宋"/>
          <w:sz w:val="24"/>
          <w:highlight w:val="none"/>
        </w:rPr>
        <w:t>4</w:t>
      </w:r>
      <w:r>
        <w:rPr>
          <w:rFonts w:hint="eastAsia" w:ascii="仿宋" w:hAnsi="仿宋" w:eastAsia="仿宋"/>
          <w:sz w:val="24"/>
          <w:highlight w:val="none"/>
        </w:rPr>
        <w:t>.3经投标人确认修正后的报价作为签订合同的依据，并以此报价计算价格分。</w:t>
      </w:r>
    </w:p>
    <w:p w14:paraId="5D3620EE">
      <w:pPr>
        <w:pStyle w:val="6"/>
        <w:keepNext w:val="0"/>
        <w:keepLines w:val="0"/>
        <w:spacing w:before="0" w:after="0" w:line="360" w:lineRule="auto"/>
        <w:ind w:left="420" w:leftChars="200" w:firstLine="480"/>
        <w:rPr>
          <w:rFonts w:hint="eastAsia" w:ascii="仿宋" w:hAnsi="仿宋" w:eastAsia="仿宋"/>
          <w:sz w:val="24"/>
          <w:highlight w:val="none"/>
        </w:rPr>
      </w:pPr>
      <w:r>
        <w:rPr>
          <w:rFonts w:ascii="仿宋" w:hAnsi="仿宋" w:eastAsia="仿宋"/>
          <w:sz w:val="24"/>
          <w:highlight w:val="none"/>
        </w:rPr>
        <w:t>5.</w:t>
      </w:r>
      <w:r>
        <w:rPr>
          <w:rFonts w:hint="eastAsia" w:ascii="仿宋" w:hAnsi="仿宋" w:eastAsia="仿宋"/>
          <w:sz w:val="24"/>
          <w:highlight w:val="none"/>
        </w:rPr>
        <w:t>比较与评价</w:t>
      </w:r>
    </w:p>
    <w:p w14:paraId="2C7EB3AD">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5.1采用综合评分法的</w:t>
      </w:r>
    </w:p>
    <w:p w14:paraId="7033B0C3">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（1）评标委员会按照招标文件中规定的评标方法及评标标准，对符合性审查合格的投标文件进行商务和技术评估，综合比较与评价。</w:t>
      </w:r>
    </w:p>
    <w:p w14:paraId="157FA053">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（2）评标委员会独立对每个投标人的投标文件进行评价，并汇总每个投标人的得分。</w:t>
      </w:r>
    </w:p>
    <w:p w14:paraId="37FB472A">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仿宋" w:hAnsi="仿宋" w:eastAsia="仿宋"/>
          <w:b/>
          <w:sz w:val="24"/>
          <w:highlight w:val="none"/>
        </w:rPr>
        <w:t>投标人不能证明其报价合理性的，评标委员会将其作为无效投标处理</w:t>
      </w:r>
      <w:r>
        <w:rPr>
          <w:rFonts w:hint="eastAsia" w:ascii="仿宋" w:hAnsi="仿宋" w:eastAsia="仿宋"/>
          <w:sz w:val="24"/>
          <w:highlight w:val="none"/>
        </w:rPr>
        <w:t>。</w:t>
      </w:r>
    </w:p>
    <w:p w14:paraId="5B6E4B48">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（3）评标委员会按照招标文件中规定的评标方法和标准计算各投标人的报价得分。在计算过程中，不得去掉最高报价或者最低报价。</w:t>
      </w:r>
    </w:p>
    <w:p w14:paraId="38605278">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（4）各投标人的得分为所有评委的有效评分的算术平均数。</w:t>
      </w:r>
    </w:p>
    <w:p w14:paraId="4A95C33E">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（5）评标委员会按照招标文件中的规定推荐中标候选人。</w:t>
      </w:r>
    </w:p>
    <w:p w14:paraId="02AF82AC">
      <w:pPr>
        <w:snapToGrid w:val="0"/>
        <w:spacing w:line="360" w:lineRule="auto"/>
        <w:ind w:firstLine="480" w:firstLineChars="200"/>
        <w:rPr>
          <w:rFonts w:hint="eastAsia" w:ascii="仿宋" w:hAnsi="仿宋" w:eastAsia="仿宋"/>
          <w:sz w:val="24"/>
          <w:highlight w:val="none"/>
        </w:rPr>
      </w:pPr>
      <w:r>
        <w:rPr>
          <w:rFonts w:hint="eastAsia" w:ascii="仿宋" w:hAnsi="仿宋" w:eastAsia="仿宋"/>
          <w:sz w:val="24"/>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DB8F36C">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outlineLvl w:val="9"/>
        <w:rPr>
          <w:rFonts w:hint="eastAsia" w:ascii="仿宋" w:hAnsi="仿宋" w:eastAsia="仿宋"/>
          <w:sz w:val="24"/>
          <w:highlight w:val="none"/>
        </w:rPr>
      </w:pPr>
      <w:r>
        <w:rPr>
          <w:rFonts w:hint="eastAsia" w:ascii="仿宋" w:hAnsi="仿宋" w:eastAsia="仿宋"/>
          <w:sz w:val="24"/>
          <w:highlight w:val="none"/>
        </w:rPr>
        <w:t>5.2采用最低评标价法的</w:t>
      </w:r>
    </w:p>
    <w:p w14:paraId="03978F23">
      <w:pPr>
        <w:keepNext w:val="0"/>
        <w:keepLines w:val="0"/>
        <w:pageBreakBefore w:val="0"/>
        <w:widowControl w:val="0"/>
        <w:kinsoku/>
        <w:wordWrap/>
        <w:overflowPunct/>
        <w:topLinePunct w:val="0"/>
        <w:autoSpaceDE/>
        <w:autoSpaceDN/>
        <w:bidi w:val="0"/>
        <w:adjustRightInd/>
        <w:snapToGrid w:val="0"/>
        <w:spacing w:line="380" w:lineRule="exact"/>
        <w:ind w:firstLine="484" w:firstLineChars="202"/>
        <w:jc w:val="left"/>
        <w:textAlignment w:val="auto"/>
        <w:outlineLvl w:val="9"/>
        <w:rPr>
          <w:rFonts w:hint="eastAsia" w:ascii="仿宋" w:hAnsi="仿宋" w:eastAsia="仿宋"/>
          <w:sz w:val="24"/>
          <w:highlight w:val="none"/>
        </w:rPr>
      </w:pPr>
      <w:r>
        <w:rPr>
          <w:rFonts w:hint="eastAsia" w:ascii="仿宋" w:hAnsi="仿宋" w:eastAsia="仿宋"/>
          <w:sz w:val="24"/>
          <w:highlight w:val="none"/>
        </w:rPr>
        <w:t>（1）评标委员会按照招标文件中规定的评标方法及评标标准，对符合性审查合格的投标文件报价进行比较。</w:t>
      </w:r>
    </w:p>
    <w:p w14:paraId="39E08ABD">
      <w:pPr>
        <w:keepNext w:val="0"/>
        <w:keepLines w:val="0"/>
        <w:pageBreakBefore w:val="0"/>
        <w:widowControl w:val="0"/>
        <w:kinsoku/>
        <w:wordWrap/>
        <w:overflowPunct/>
        <w:topLinePunct w:val="0"/>
        <w:autoSpaceDE/>
        <w:autoSpaceDN/>
        <w:bidi w:val="0"/>
        <w:adjustRightInd/>
        <w:snapToGrid w:val="0"/>
        <w:spacing w:line="380" w:lineRule="exact"/>
        <w:ind w:firstLine="460" w:firstLineChars="202"/>
        <w:jc w:val="left"/>
        <w:textAlignment w:val="auto"/>
        <w:outlineLvl w:val="9"/>
        <w:rPr>
          <w:rFonts w:hint="eastAsia" w:ascii="仿宋" w:hAnsi="仿宋" w:eastAsia="仿宋"/>
          <w:spacing w:val="-6"/>
          <w:sz w:val="24"/>
          <w:highlight w:val="none"/>
        </w:rPr>
      </w:pPr>
      <w:r>
        <w:rPr>
          <w:rFonts w:hint="eastAsia" w:ascii="仿宋" w:hAnsi="仿宋" w:eastAsia="仿宋"/>
          <w:spacing w:val="-6"/>
          <w:sz w:val="24"/>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仿宋" w:hAnsi="仿宋" w:eastAsia="仿宋"/>
          <w:b/>
          <w:spacing w:val="-6"/>
          <w:sz w:val="24"/>
          <w:highlight w:val="none"/>
        </w:rPr>
        <w:t>投标人不能证明其报价合理性的，评标委员会将其作为无效投标处理</w:t>
      </w:r>
      <w:r>
        <w:rPr>
          <w:rFonts w:hint="eastAsia" w:ascii="仿宋" w:hAnsi="仿宋" w:eastAsia="仿宋"/>
          <w:spacing w:val="-6"/>
          <w:sz w:val="24"/>
          <w:highlight w:val="none"/>
        </w:rPr>
        <w:t>。</w:t>
      </w:r>
    </w:p>
    <w:p w14:paraId="24E07587">
      <w:pPr>
        <w:keepNext w:val="0"/>
        <w:keepLines w:val="0"/>
        <w:pageBreakBefore w:val="0"/>
        <w:widowControl w:val="0"/>
        <w:kinsoku/>
        <w:wordWrap/>
        <w:overflowPunct/>
        <w:topLinePunct w:val="0"/>
        <w:autoSpaceDE/>
        <w:autoSpaceDN/>
        <w:bidi w:val="0"/>
        <w:adjustRightInd/>
        <w:snapToGrid w:val="0"/>
        <w:spacing w:line="380" w:lineRule="exact"/>
        <w:ind w:firstLine="484" w:firstLineChars="202"/>
        <w:jc w:val="left"/>
        <w:textAlignment w:val="auto"/>
        <w:outlineLvl w:val="9"/>
        <w:rPr>
          <w:rFonts w:hint="eastAsia" w:ascii="仿宋" w:hAnsi="仿宋" w:eastAsia="仿宋"/>
          <w:sz w:val="24"/>
          <w:highlight w:val="none"/>
        </w:rPr>
      </w:pPr>
      <w:r>
        <w:rPr>
          <w:rFonts w:hint="eastAsia" w:ascii="仿宋" w:hAnsi="仿宋" w:eastAsia="仿宋"/>
          <w:sz w:val="24"/>
          <w:highlight w:val="none"/>
        </w:rPr>
        <w:t>（3）评标委员会按照招标文件中的规定推荐中标候选人。</w:t>
      </w:r>
    </w:p>
    <w:p w14:paraId="67B7D249">
      <w:pPr>
        <w:keepNext w:val="0"/>
        <w:keepLines w:val="0"/>
        <w:pageBreakBefore w:val="0"/>
        <w:widowControl w:val="0"/>
        <w:kinsoku/>
        <w:wordWrap/>
        <w:overflowPunct/>
        <w:topLinePunct w:val="0"/>
        <w:autoSpaceDE/>
        <w:autoSpaceDN/>
        <w:bidi w:val="0"/>
        <w:adjustRightInd/>
        <w:snapToGrid w:val="0"/>
        <w:spacing w:line="380" w:lineRule="exact"/>
        <w:ind w:firstLine="484" w:firstLineChars="202"/>
        <w:jc w:val="left"/>
        <w:textAlignment w:val="auto"/>
        <w:outlineLvl w:val="9"/>
        <w:rPr>
          <w:rFonts w:hint="eastAsia" w:ascii="仿宋" w:hAnsi="仿宋" w:eastAsia="仿宋"/>
          <w:sz w:val="24"/>
          <w:highlight w:val="none"/>
        </w:rPr>
      </w:pPr>
      <w:r>
        <w:rPr>
          <w:rFonts w:hint="eastAsia" w:ascii="仿宋" w:hAnsi="仿宋" w:eastAsia="仿宋"/>
          <w:sz w:val="24"/>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65E8470">
      <w:pPr>
        <w:keepNext w:val="0"/>
        <w:keepLines w:val="0"/>
        <w:pageBreakBefore w:val="0"/>
        <w:widowControl w:val="0"/>
        <w:kinsoku/>
        <w:wordWrap/>
        <w:overflowPunct/>
        <w:topLinePunct w:val="0"/>
        <w:autoSpaceDE/>
        <w:autoSpaceDN/>
        <w:bidi w:val="0"/>
        <w:adjustRightInd/>
        <w:snapToGrid w:val="0"/>
        <w:spacing w:line="380" w:lineRule="exact"/>
        <w:ind w:firstLine="720" w:firstLineChars="300"/>
        <w:textAlignment w:val="auto"/>
        <w:outlineLvl w:val="9"/>
        <w:rPr>
          <w:rFonts w:ascii="仿宋" w:hAnsi="仿宋" w:eastAsia="仿宋" w:cs="仿宋"/>
          <w:color w:val="auto"/>
          <w:sz w:val="24"/>
        </w:rPr>
      </w:pPr>
      <w:r>
        <w:rPr>
          <w:rFonts w:hint="eastAsia" w:ascii="仿宋" w:hAnsi="仿宋" w:eastAsia="仿宋" w:cs="仿宋"/>
          <w:color w:val="auto"/>
          <w:sz w:val="24"/>
        </w:rPr>
        <w:t>6.异常低价响应审查</w:t>
      </w:r>
    </w:p>
    <w:p w14:paraId="4FBA7CAE">
      <w:pPr>
        <w:keepNext w:val="0"/>
        <w:keepLines w:val="0"/>
        <w:pageBreakBefore w:val="0"/>
        <w:widowControl w:val="0"/>
        <w:kinsoku/>
        <w:wordWrap/>
        <w:overflowPunct/>
        <w:topLinePunct w:val="0"/>
        <w:autoSpaceDE/>
        <w:autoSpaceDN/>
        <w:bidi w:val="0"/>
        <w:adjustRightInd/>
        <w:snapToGrid w:val="0"/>
        <w:spacing w:line="380" w:lineRule="exact"/>
        <w:ind w:firstLine="482" w:firstLineChars="200"/>
        <w:textAlignment w:val="auto"/>
        <w:outlineLvl w:val="9"/>
        <w:rPr>
          <w:rFonts w:hint="eastAsia" w:ascii="仿宋" w:hAnsi="仿宋" w:eastAsia="仿宋" w:cs="仿宋"/>
          <w:b/>
          <w:bCs/>
          <w:color w:val="auto"/>
          <w:sz w:val="24"/>
        </w:rPr>
      </w:pPr>
      <w:r>
        <w:rPr>
          <w:rFonts w:hint="eastAsia" w:ascii="仿宋" w:hAnsi="仿宋" w:eastAsia="仿宋" w:cs="仿宋"/>
          <w:b/>
          <w:bCs/>
          <w:color w:val="auto"/>
          <w:sz w:val="24"/>
        </w:rPr>
        <w:t>6.1采购项目评审中出现下列情形之一的，评标委员会应当启动异常低价审查程序：</w:t>
      </w:r>
    </w:p>
    <w:p w14:paraId="2C516CE6">
      <w:pPr>
        <w:keepNext w:val="0"/>
        <w:keepLines w:val="0"/>
        <w:pageBreakBefore w:val="0"/>
        <w:widowControl w:val="0"/>
        <w:kinsoku/>
        <w:wordWrap/>
        <w:overflowPunct/>
        <w:topLinePunct w:val="0"/>
        <w:autoSpaceDE/>
        <w:autoSpaceDN/>
        <w:bidi w:val="0"/>
        <w:adjustRightInd/>
        <w:snapToGrid w:val="0"/>
        <w:spacing w:line="380" w:lineRule="exact"/>
        <w:ind w:firstLine="484" w:firstLineChars="202"/>
        <w:jc w:val="left"/>
        <w:textAlignment w:val="auto"/>
        <w:outlineLvl w:val="9"/>
        <w:rPr>
          <w:rFonts w:hint="eastAsia" w:ascii="仿宋" w:hAnsi="仿宋" w:eastAsia="仿宋" w:cs="仿宋"/>
          <w:color w:val="auto"/>
          <w:sz w:val="24"/>
        </w:rPr>
      </w:pPr>
      <w:r>
        <w:rPr>
          <w:rFonts w:hint="eastAsia" w:ascii="仿宋" w:hAnsi="仿宋" w:eastAsia="仿宋" w:cs="仿宋"/>
          <w:color w:val="auto"/>
          <w:sz w:val="24"/>
        </w:rPr>
        <w:t>（1）投标报价低于全部通过符合性审查的投标供应商投标报价平均值</w:t>
      </w:r>
      <w:r>
        <w:rPr>
          <w:rFonts w:hint="eastAsia" w:ascii="仿宋" w:hAnsi="仿宋" w:eastAsia="仿宋" w:cs="仿宋"/>
          <w:color w:val="auto"/>
          <w:sz w:val="24"/>
          <w:lang w:val="en-US" w:eastAsia="zh-CN"/>
        </w:rPr>
        <w:t>50</w:t>
      </w:r>
      <w:r>
        <w:rPr>
          <w:rFonts w:hint="eastAsia" w:ascii="仿宋" w:hAnsi="仿宋" w:eastAsia="仿宋" w:cs="仿宋"/>
          <w:color w:val="auto"/>
          <w:sz w:val="24"/>
        </w:rPr>
        <w:t>%的，即投标报价＜全部通过符合性审查的投标供应商投标报价平均值×</w:t>
      </w:r>
      <w:r>
        <w:rPr>
          <w:rFonts w:hint="eastAsia" w:ascii="仿宋" w:hAnsi="仿宋" w:eastAsia="仿宋" w:cs="仿宋"/>
          <w:color w:val="auto"/>
          <w:sz w:val="24"/>
          <w:lang w:val="en-US" w:eastAsia="zh-CN"/>
        </w:rPr>
        <w:t>50</w:t>
      </w:r>
      <w:r>
        <w:rPr>
          <w:rFonts w:hint="eastAsia" w:ascii="仿宋" w:hAnsi="仿宋" w:eastAsia="仿宋" w:cs="仿宋"/>
          <w:color w:val="auto"/>
          <w:sz w:val="24"/>
        </w:rPr>
        <w:t>%；</w:t>
      </w:r>
    </w:p>
    <w:p w14:paraId="2625A4C4">
      <w:pPr>
        <w:keepNext w:val="0"/>
        <w:keepLines w:val="0"/>
        <w:pageBreakBefore w:val="0"/>
        <w:widowControl w:val="0"/>
        <w:kinsoku/>
        <w:wordWrap/>
        <w:overflowPunct/>
        <w:topLinePunct w:val="0"/>
        <w:autoSpaceDE/>
        <w:autoSpaceDN/>
        <w:bidi w:val="0"/>
        <w:adjustRightInd/>
        <w:snapToGrid w:val="0"/>
        <w:spacing w:line="380" w:lineRule="exact"/>
        <w:ind w:firstLine="484" w:firstLineChars="202"/>
        <w:jc w:val="left"/>
        <w:textAlignment w:val="auto"/>
        <w:outlineLvl w:val="9"/>
        <w:rPr>
          <w:rFonts w:hint="eastAsia" w:ascii="仿宋" w:hAnsi="仿宋" w:eastAsia="仿宋" w:cs="仿宋"/>
          <w:color w:val="auto"/>
          <w:sz w:val="24"/>
        </w:rPr>
      </w:pPr>
      <w:r>
        <w:rPr>
          <w:rFonts w:hint="eastAsia" w:ascii="仿宋" w:hAnsi="仿宋" w:eastAsia="仿宋" w:cs="仿宋"/>
          <w:color w:val="auto"/>
          <w:sz w:val="24"/>
        </w:rPr>
        <w:t>（2）投标报价低于通过符合性审查且报价次低投标供应商投标报价</w:t>
      </w:r>
      <w:r>
        <w:rPr>
          <w:rFonts w:hint="eastAsia" w:ascii="仿宋" w:hAnsi="仿宋" w:eastAsia="仿宋" w:cs="仿宋"/>
          <w:color w:val="auto"/>
          <w:sz w:val="24"/>
          <w:lang w:val="en-US" w:eastAsia="zh-CN"/>
        </w:rPr>
        <w:t>50</w:t>
      </w:r>
      <w:r>
        <w:rPr>
          <w:rFonts w:hint="eastAsia" w:ascii="仿宋" w:hAnsi="仿宋" w:eastAsia="仿宋" w:cs="仿宋"/>
          <w:color w:val="auto"/>
          <w:sz w:val="24"/>
        </w:rPr>
        <w:t>%的，即投标报价＜通过符合性审查且报价次的投标供应商投标报价×</w:t>
      </w:r>
      <w:r>
        <w:rPr>
          <w:rFonts w:hint="eastAsia" w:ascii="仿宋" w:hAnsi="仿宋" w:eastAsia="仿宋" w:cs="仿宋"/>
          <w:color w:val="auto"/>
          <w:sz w:val="24"/>
          <w:lang w:val="en-US" w:eastAsia="zh-CN"/>
        </w:rPr>
        <w:t>50</w:t>
      </w:r>
      <w:r>
        <w:rPr>
          <w:rFonts w:hint="eastAsia" w:ascii="仿宋" w:hAnsi="仿宋" w:eastAsia="仿宋" w:cs="仿宋"/>
          <w:color w:val="auto"/>
          <w:sz w:val="24"/>
        </w:rPr>
        <w:t>%；</w:t>
      </w:r>
    </w:p>
    <w:p w14:paraId="1968B971">
      <w:pPr>
        <w:keepNext w:val="0"/>
        <w:keepLines w:val="0"/>
        <w:pageBreakBefore w:val="0"/>
        <w:widowControl w:val="0"/>
        <w:kinsoku/>
        <w:wordWrap/>
        <w:overflowPunct/>
        <w:topLinePunct w:val="0"/>
        <w:autoSpaceDE/>
        <w:autoSpaceDN/>
        <w:bidi w:val="0"/>
        <w:adjustRightInd/>
        <w:snapToGrid w:val="0"/>
        <w:spacing w:line="380" w:lineRule="exact"/>
        <w:ind w:firstLine="484" w:firstLineChars="202"/>
        <w:jc w:val="left"/>
        <w:textAlignment w:val="auto"/>
        <w:outlineLvl w:val="9"/>
        <w:rPr>
          <w:rFonts w:hint="eastAsia" w:ascii="仿宋" w:hAnsi="仿宋" w:eastAsia="仿宋" w:cs="仿宋"/>
          <w:color w:val="auto"/>
          <w:sz w:val="24"/>
        </w:rPr>
      </w:pPr>
      <w:r>
        <w:rPr>
          <w:rFonts w:hint="eastAsia" w:ascii="仿宋" w:hAnsi="仿宋" w:eastAsia="仿宋" w:cs="仿宋"/>
          <w:color w:val="auto"/>
          <w:sz w:val="24"/>
        </w:rPr>
        <w:t>（3）投标报价低于采购项目最高限价</w:t>
      </w:r>
      <w:r>
        <w:rPr>
          <w:rFonts w:hint="eastAsia" w:ascii="仿宋" w:hAnsi="仿宋" w:eastAsia="仿宋" w:cs="仿宋"/>
          <w:color w:val="auto"/>
          <w:sz w:val="24"/>
          <w:lang w:val="en-US" w:eastAsia="zh-CN"/>
        </w:rPr>
        <w:t>45</w:t>
      </w:r>
      <w:r>
        <w:rPr>
          <w:rFonts w:hint="eastAsia" w:ascii="仿宋" w:hAnsi="仿宋" w:eastAsia="仿宋" w:cs="仿宋"/>
          <w:color w:val="auto"/>
          <w:sz w:val="24"/>
        </w:rPr>
        <w:t>%的，即投标报价＜采购项目最高限价×</w:t>
      </w:r>
      <w:r>
        <w:rPr>
          <w:rFonts w:hint="eastAsia" w:ascii="仿宋" w:hAnsi="仿宋" w:eastAsia="仿宋" w:cs="仿宋"/>
          <w:color w:val="auto"/>
          <w:sz w:val="24"/>
          <w:lang w:val="en-US" w:eastAsia="zh-CN"/>
        </w:rPr>
        <w:t>45</w:t>
      </w:r>
      <w:r>
        <w:rPr>
          <w:rFonts w:hint="eastAsia" w:ascii="仿宋" w:hAnsi="仿宋" w:eastAsia="仿宋" w:cs="仿宋"/>
          <w:color w:val="auto"/>
          <w:sz w:val="24"/>
        </w:rPr>
        <w:t>%。</w:t>
      </w:r>
    </w:p>
    <w:p w14:paraId="29035B69">
      <w:pPr>
        <w:keepNext w:val="0"/>
        <w:keepLines w:val="0"/>
        <w:pageBreakBefore w:val="0"/>
        <w:widowControl w:val="0"/>
        <w:kinsoku/>
        <w:wordWrap/>
        <w:overflowPunct/>
        <w:topLinePunct w:val="0"/>
        <w:autoSpaceDE/>
        <w:autoSpaceDN/>
        <w:bidi w:val="0"/>
        <w:adjustRightInd/>
        <w:snapToGrid w:val="0"/>
        <w:spacing w:line="380" w:lineRule="exact"/>
        <w:ind w:firstLine="484" w:firstLineChars="202"/>
        <w:jc w:val="left"/>
        <w:textAlignment w:val="auto"/>
        <w:outlineLvl w:val="9"/>
        <w:rPr>
          <w:rFonts w:hint="eastAsia" w:ascii="仿宋" w:hAnsi="仿宋" w:eastAsia="仿宋" w:cs="仿宋"/>
          <w:color w:val="auto"/>
          <w:sz w:val="24"/>
        </w:rPr>
      </w:pPr>
      <w:r>
        <w:rPr>
          <w:rFonts w:hint="eastAsia" w:ascii="仿宋" w:hAnsi="仿宋" w:eastAsia="仿宋" w:cs="仿宋"/>
          <w:color w:val="auto"/>
          <w:sz w:val="24"/>
        </w:rPr>
        <w:t>（4）评标委员会基于专业判断，认为供应商报价过低，有可能影响产品质量或者不能诚信履约的其他情形。</w:t>
      </w:r>
    </w:p>
    <w:p w14:paraId="403255FC">
      <w:pPr>
        <w:keepNext w:val="0"/>
        <w:keepLines w:val="0"/>
        <w:pageBreakBefore w:val="0"/>
        <w:widowControl w:val="0"/>
        <w:kinsoku/>
        <w:wordWrap/>
        <w:overflowPunct/>
        <w:topLinePunct w:val="0"/>
        <w:autoSpaceDE/>
        <w:autoSpaceDN/>
        <w:bidi w:val="0"/>
        <w:adjustRightInd/>
        <w:snapToGrid w:val="0"/>
        <w:spacing w:line="380" w:lineRule="exact"/>
        <w:ind w:firstLine="482" w:firstLineChars="200"/>
        <w:textAlignment w:val="auto"/>
        <w:outlineLvl w:val="9"/>
        <w:rPr>
          <w:rFonts w:ascii="仿宋" w:hAnsi="仿宋" w:eastAsia="仿宋" w:cs="仿宋"/>
          <w:b/>
          <w:bCs/>
          <w:color w:val="auto"/>
          <w:sz w:val="24"/>
        </w:rPr>
      </w:pPr>
      <w:r>
        <w:rPr>
          <w:rFonts w:hint="eastAsia" w:ascii="仿宋" w:hAnsi="仿宋" w:eastAsia="仿宋" w:cs="仿宋"/>
          <w:b/>
          <w:bCs/>
          <w:color w:val="auto"/>
          <w:sz w:val="24"/>
        </w:rPr>
        <w:t>6.2异常低价响应审查流程：</w:t>
      </w:r>
    </w:p>
    <w:p w14:paraId="36D838B4">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评标委员会启动异常低价响应审查后，属于上述第</w:t>
      </w:r>
      <w:r>
        <w:rPr>
          <w:rFonts w:ascii="仿宋" w:hAnsi="仿宋" w:eastAsia="仿宋" w:cs="仿宋"/>
          <w:color w:val="auto"/>
          <w:sz w:val="24"/>
        </w:rPr>
        <w:t>①</w:t>
      </w:r>
      <w:r>
        <w:rPr>
          <w:rFonts w:hint="eastAsia" w:ascii="仿宋" w:hAnsi="仿宋" w:eastAsia="仿宋" w:cs="仿宋"/>
          <w:color w:val="auto"/>
          <w:sz w:val="24"/>
        </w:rPr>
        <w:t>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6A2BDEE">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评标委员会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评标委员会应当将其作为无效响应处理。</w:t>
      </w:r>
    </w:p>
    <w:p w14:paraId="048A3F2C">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审查相关情况应当在评审报告中记录。</w:t>
      </w:r>
    </w:p>
    <w:p w14:paraId="7D1C8A00">
      <w:pPr>
        <w:snapToGrid w:val="0"/>
        <w:spacing w:line="360" w:lineRule="auto"/>
        <w:ind w:firstLine="484" w:firstLineChars="202"/>
        <w:jc w:val="left"/>
        <w:rPr>
          <w:rFonts w:hint="eastAsia" w:ascii="仿宋" w:hAnsi="仿宋" w:eastAsia="仿宋"/>
          <w:sz w:val="24"/>
          <w:highlight w:val="none"/>
        </w:rPr>
      </w:pPr>
    </w:p>
    <w:p w14:paraId="13D97EE4">
      <w:pPr>
        <w:snapToGrid w:val="0"/>
        <w:spacing w:line="360" w:lineRule="auto"/>
        <w:jc w:val="center"/>
        <w:rPr>
          <w:rFonts w:hint="eastAsia" w:ascii="仿宋" w:hAnsi="仿宋" w:eastAsia="仿宋"/>
          <w:highlight w:val="none"/>
        </w:rPr>
      </w:pPr>
      <w:r>
        <w:rPr>
          <w:rFonts w:ascii="仿宋" w:hAnsi="仿宋" w:eastAsia="仿宋" w:cs="宋体"/>
          <w:b/>
          <w:bCs/>
          <w:sz w:val="32"/>
          <w:szCs w:val="32"/>
          <w:highlight w:val="none"/>
        </w:rPr>
        <w:t>三</w:t>
      </w:r>
      <w:r>
        <w:rPr>
          <w:rFonts w:hint="eastAsia" w:ascii="仿宋" w:hAnsi="仿宋" w:eastAsia="仿宋" w:cs="宋体"/>
          <w:b/>
          <w:bCs/>
          <w:sz w:val="32"/>
          <w:szCs w:val="32"/>
          <w:highlight w:val="none"/>
        </w:rPr>
        <w:t>、评标标准</w:t>
      </w:r>
    </w:p>
    <w:p w14:paraId="2C1E646B">
      <w:pPr>
        <w:pStyle w:val="4"/>
        <w:keepNext w:val="0"/>
        <w:keepLines w:val="0"/>
        <w:spacing w:before="0" w:after="0" w:line="500" w:lineRule="exact"/>
        <w:jc w:val="center"/>
        <w:rPr>
          <w:rFonts w:hint="eastAsia" w:ascii="仿宋" w:hAnsi="仿宋" w:eastAsia="仿宋"/>
          <w:highlight w:val="none"/>
        </w:rPr>
      </w:pPr>
      <w:r>
        <w:rPr>
          <w:rFonts w:hint="eastAsia" w:ascii="仿宋" w:hAnsi="仿宋" w:eastAsia="仿宋"/>
          <w:highlight w:val="none"/>
        </w:rPr>
        <w:t>综合评分法</w:t>
      </w:r>
    </w:p>
    <w:p w14:paraId="1A22D309">
      <w:pPr>
        <w:pStyle w:val="4"/>
        <w:keepNext w:val="0"/>
        <w:keepLines w:val="0"/>
        <w:spacing w:before="0" w:after="0" w:line="500" w:lineRule="exact"/>
        <w:rPr>
          <w:rFonts w:hint="eastAsia" w:ascii="仿宋" w:hAnsi="仿宋" w:eastAsia="仿宋"/>
          <w:highlight w:val="none"/>
        </w:rPr>
      </w:pPr>
      <w:r>
        <w:rPr>
          <w:rFonts w:hint="eastAsia" w:ascii="仿宋" w:hAnsi="仿宋" w:eastAsia="仿宋"/>
          <w:highlight w:val="none"/>
        </w:rPr>
        <w:t>（一）评标标准</w:t>
      </w:r>
    </w:p>
    <w:tbl>
      <w:tblPr>
        <w:tblStyle w:val="49"/>
        <w:tblW w:w="10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993"/>
        <w:gridCol w:w="850"/>
        <w:gridCol w:w="1134"/>
        <w:gridCol w:w="6668"/>
      </w:tblGrid>
      <w:tr w14:paraId="277A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575" w:type="dxa"/>
            <w:tcBorders>
              <w:top w:val="single" w:color="auto" w:sz="4" w:space="0"/>
              <w:left w:val="single" w:color="auto" w:sz="4" w:space="0"/>
              <w:bottom w:val="single" w:color="auto" w:sz="4" w:space="0"/>
              <w:right w:val="single" w:color="auto" w:sz="4" w:space="0"/>
            </w:tcBorders>
            <w:vAlign w:val="center"/>
          </w:tcPr>
          <w:p w14:paraId="7850D18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序号</w:t>
            </w:r>
          </w:p>
        </w:tc>
        <w:tc>
          <w:tcPr>
            <w:tcW w:w="993" w:type="dxa"/>
            <w:tcBorders>
              <w:top w:val="single" w:color="auto" w:sz="4" w:space="0"/>
              <w:left w:val="single" w:color="auto" w:sz="4" w:space="0"/>
              <w:bottom w:val="single" w:color="auto" w:sz="4" w:space="0"/>
              <w:right w:val="single" w:color="auto" w:sz="4" w:space="0"/>
            </w:tcBorders>
            <w:vAlign w:val="center"/>
          </w:tcPr>
          <w:p w14:paraId="41D1AC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评审</w:t>
            </w:r>
          </w:p>
          <w:p w14:paraId="494F85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sz w:val="24"/>
                <w:highlight w:val="none"/>
              </w:rPr>
            </w:pPr>
            <w:r>
              <w:rPr>
                <w:rFonts w:hint="eastAsia" w:ascii="仿宋" w:hAnsi="仿宋" w:eastAsia="仿宋" w:cs="宋体"/>
                <w:b/>
                <w:sz w:val="24"/>
                <w:highlight w:val="none"/>
              </w:rPr>
              <w:t>因素</w:t>
            </w:r>
          </w:p>
        </w:tc>
        <w:tc>
          <w:tcPr>
            <w:tcW w:w="850" w:type="dxa"/>
            <w:tcBorders>
              <w:top w:val="single" w:color="auto" w:sz="4" w:space="0"/>
              <w:left w:val="single" w:color="auto" w:sz="4" w:space="0"/>
              <w:bottom w:val="single" w:color="auto" w:sz="4" w:space="0"/>
              <w:right w:val="single" w:color="auto" w:sz="4" w:space="0"/>
            </w:tcBorders>
            <w:vAlign w:val="center"/>
          </w:tcPr>
          <w:p w14:paraId="7E06C47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分值</w:t>
            </w:r>
          </w:p>
        </w:tc>
        <w:tc>
          <w:tcPr>
            <w:tcW w:w="7802" w:type="dxa"/>
            <w:gridSpan w:val="2"/>
            <w:tcBorders>
              <w:top w:val="single" w:color="auto" w:sz="4" w:space="0"/>
              <w:left w:val="single" w:color="auto" w:sz="4" w:space="0"/>
              <w:bottom w:val="single" w:color="auto" w:sz="4" w:space="0"/>
              <w:right w:val="single" w:color="auto" w:sz="4" w:space="0"/>
            </w:tcBorders>
            <w:vAlign w:val="center"/>
          </w:tcPr>
          <w:p w14:paraId="76E55EF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评标标准</w:t>
            </w:r>
          </w:p>
        </w:tc>
      </w:tr>
      <w:tr w14:paraId="7E78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75" w:type="dxa"/>
            <w:tcBorders>
              <w:top w:val="single" w:color="auto" w:sz="4" w:space="0"/>
              <w:left w:val="single" w:color="auto" w:sz="4" w:space="0"/>
              <w:bottom w:val="single" w:color="auto" w:sz="4" w:space="0"/>
              <w:right w:val="single" w:color="auto" w:sz="4" w:space="0"/>
            </w:tcBorders>
            <w:vAlign w:val="center"/>
          </w:tcPr>
          <w:p w14:paraId="37EEC7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1</w:t>
            </w:r>
          </w:p>
        </w:tc>
        <w:tc>
          <w:tcPr>
            <w:tcW w:w="993" w:type="dxa"/>
            <w:tcBorders>
              <w:top w:val="single" w:color="auto" w:sz="4" w:space="0"/>
              <w:left w:val="single" w:color="auto" w:sz="4" w:space="0"/>
              <w:bottom w:val="single" w:color="auto" w:sz="4" w:space="0"/>
              <w:right w:val="single" w:color="auto" w:sz="4" w:space="0"/>
            </w:tcBorders>
            <w:vAlign w:val="center"/>
          </w:tcPr>
          <w:p w14:paraId="4252F1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投标</w:t>
            </w:r>
          </w:p>
          <w:p w14:paraId="2BFE88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报价</w:t>
            </w:r>
          </w:p>
        </w:tc>
        <w:tc>
          <w:tcPr>
            <w:tcW w:w="850" w:type="dxa"/>
            <w:tcBorders>
              <w:top w:val="single" w:color="auto" w:sz="4" w:space="0"/>
              <w:left w:val="single" w:color="auto" w:sz="4" w:space="0"/>
              <w:bottom w:val="single" w:color="auto" w:sz="4" w:space="0"/>
              <w:right w:val="single" w:color="auto" w:sz="4" w:space="0"/>
            </w:tcBorders>
            <w:vAlign w:val="center"/>
          </w:tcPr>
          <w:p w14:paraId="229744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ascii="仿宋" w:hAnsi="仿宋" w:eastAsia="仿宋" w:cs="宋体"/>
                <w:b/>
                <w:sz w:val="24"/>
                <w:highlight w:val="none"/>
              </w:rPr>
              <w:t>30</w:t>
            </w:r>
            <w:r>
              <w:rPr>
                <w:rFonts w:hint="eastAsia" w:ascii="仿宋" w:hAnsi="仿宋" w:eastAsia="仿宋" w:cs="宋体"/>
                <w:b/>
                <w:sz w:val="24"/>
                <w:highlight w:val="none"/>
              </w:rPr>
              <w:t>分</w:t>
            </w:r>
          </w:p>
        </w:tc>
        <w:tc>
          <w:tcPr>
            <w:tcW w:w="7802" w:type="dxa"/>
            <w:gridSpan w:val="2"/>
            <w:tcBorders>
              <w:top w:val="single" w:color="auto" w:sz="4" w:space="0"/>
              <w:left w:val="single" w:color="auto" w:sz="4" w:space="0"/>
              <w:bottom w:val="single" w:color="auto" w:sz="4" w:space="0"/>
              <w:right w:val="single" w:color="auto" w:sz="4" w:space="0"/>
            </w:tcBorders>
            <w:vAlign w:val="center"/>
          </w:tcPr>
          <w:p w14:paraId="61AE1874">
            <w:pPr>
              <w:keepNext w:val="0"/>
              <w:keepLines w:val="0"/>
              <w:pageBreakBefore w:val="0"/>
              <w:widowControl w:val="0"/>
              <w:kinsoku/>
              <w:wordWrap/>
              <w:overflowPunct/>
              <w:topLinePunct w:val="0"/>
              <w:autoSpaceDE/>
              <w:autoSpaceDN/>
              <w:bidi w:val="0"/>
              <w:adjustRightInd/>
              <w:snapToGrid/>
              <w:spacing w:line="440" w:lineRule="exact"/>
              <w:textAlignment w:val="auto"/>
              <w:rPr>
                <w:rFonts w:ascii="仿宋" w:hAnsi="仿宋" w:eastAsia="仿宋" w:cs="宋体"/>
                <w:b/>
                <w:bCs/>
                <w:sz w:val="24"/>
                <w:highlight w:val="none"/>
              </w:rPr>
            </w:pPr>
            <w:r>
              <w:rPr>
                <w:rFonts w:hint="eastAsia" w:ascii="仿宋" w:hAnsi="仿宋" w:eastAsia="仿宋" w:cs="宋体"/>
                <w:b/>
                <w:bCs/>
                <w:sz w:val="24"/>
                <w:highlight w:val="none"/>
              </w:rPr>
              <w:t>一、政府采购政策扣除</w:t>
            </w:r>
          </w:p>
          <w:p w14:paraId="18F333A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 w:hAnsi="仿宋" w:eastAsia="仿宋" w:cs="宋体"/>
                <w:bCs/>
                <w:kern w:val="0"/>
                <w:sz w:val="24"/>
                <w:highlight w:val="none"/>
              </w:rPr>
            </w:pPr>
            <w:r>
              <w:rPr>
                <w:rFonts w:hint="eastAsia" w:ascii="仿宋" w:hAnsi="仿宋" w:eastAsia="仿宋" w:cs="宋体"/>
                <w:bCs/>
                <w:kern w:val="0"/>
                <w:sz w:val="24"/>
                <w:highlight w:val="none"/>
              </w:rPr>
              <w:t>1、根据《政府采购促进中小企业发展管理办法》的规定、广西壮族自治区财政厅关于进一步发挥政府采购政策功能促进企业发展的通知-桂财采〔2022〕30号规定，对于经主管预算单位统筹后未预留份额专门面向中小企业采购的采购项目，以及预留份额项目中的非预留部分采购包，投标人在其投标文件中提供《中小企业声明函》，且其投标产品全部为小型和微型企业产品的，对投标报价给予20%的扣除，用扣除后的价格参加评审。符合上述规定对报价给予扣除的，扣除后的价格为评标价，即评标价=投标报价×（1-扣除比例）；不符合上述给予扣除情形的，评标价=投标报价。</w:t>
            </w:r>
          </w:p>
          <w:p w14:paraId="0C04CC3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 w:hAnsi="仿宋" w:eastAsia="仿宋" w:cs="宋体"/>
                <w:bCs/>
                <w:kern w:val="0"/>
                <w:sz w:val="24"/>
                <w:highlight w:val="none"/>
              </w:rPr>
            </w:pPr>
            <w:r>
              <w:rPr>
                <w:rFonts w:hint="eastAsia" w:ascii="仿宋" w:hAnsi="仿宋" w:eastAsia="仿宋" w:cs="宋体"/>
                <w:bCs/>
                <w:kern w:val="0"/>
                <w:sz w:val="24"/>
                <w:highlight w:val="none"/>
              </w:rPr>
              <w:t>2、</w:t>
            </w:r>
            <w:r>
              <w:rPr>
                <w:rFonts w:hint="eastAsia" w:ascii="仿宋" w:hAnsi="仿宋" w:eastAsia="仿宋" w:cs="宋体"/>
                <w:kern w:val="0"/>
                <w:sz w:val="24"/>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687CD12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0"/>
              <w:rPr>
                <w:rFonts w:ascii="仿宋" w:hAnsi="仿宋" w:eastAsia="仿宋" w:cs="宋体"/>
                <w:kern w:val="0"/>
                <w:sz w:val="24"/>
                <w:highlight w:val="none"/>
              </w:rPr>
            </w:pPr>
            <w:bookmarkStart w:id="155" w:name="_Toc27424"/>
            <w:r>
              <w:rPr>
                <w:rFonts w:hint="eastAsia" w:ascii="仿宋" w:hAnsi="仿宋" w:eastAsia="仿宋" w:cs="宋体"/>
                <w:bCs/>
                <w:kern w:val="0"/>
                <w:sz w:val="24"/>
                <w:highlight w:val="none"/>
              </w:rPr>
              <w:t>3、</w:t>
            </w:r>
            <w:r>
              <w:rPr>
                <w:rFonts w:hint="eastAsia" w:ascii="仿宋" w:hAnsi="仿宋" w:eastAsia="仿宋" w:cs="宋体"/>
                <w:kern w:val="0"/>
                <w:sz w:val="24"/>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bookmarkEnd w:id="155"/>
          </w:p>
          <w:p w14:paraId="149A78F7">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仿宋" w:hAnsi="仿宋" w:eastAsia="仿宋" w:cs="宋体"/>
                <w:b/>
                <w:kern w:val="0"/>
                <w:sz w:val="24"/>
                <w:highlight w:val="none"/>
              </w:rPr>
            </w:pPr>
            <w:bookmarkStart w:id="156" w:name="_Toc6585"/>
            <w:r>
              <w:rPr>
                <w:rFonts w:hint="eastAsia" w:ascii="仿宋" w:hAnsi="仿宋" w:eastAsia="仿宋" w:cs="宋体"/>
                <w:b/>
                <w:kern w:val="0"/>
                <w:sz w:val="24"/>
                <w:highlight w:val="none"/>
              </w:rPr>
              <w:t>二、投标报价分（满分</w:t>
            </w:r>
            <w:r>
              <w:rPr>
                <w:rFonts w:ascii="仿宋" w:hAnsi="仿宋" w:eastAsia="仿宋" w:cs="宋体"/>
                <w:b/>
                <w:kern w:val="0"/>
                <w:sz w:val="24"/>
                <w:highlight w:val="none"/>
              </w:rPr>
              <w:t>30</w:t>
            </w:r>
            <w:r>
              <w:rPr>
                <w:rFonts w:hint="eastAsia" w:ascii="仿宋" w:hAnsi="仿宋" w:eastAsia="仿宋" w:cs="宋体"/>
                <w:b/>
                <w:kern w:val="0"/>
                <w:sz w:val="24"/>
                <w:highlight w:val="none"/>
              </w:rPr>
              <w:t>分）</w:t>
            </w:r>
            <w:bookmarkEnd w:id="156"/>
          </w:p>
          <w:p w14:paraId="1425F5F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bCs/>
                <w:kern w:val="0"/>
                <w:sz w:val="24"/>
                <w:highlight w:val="none"/>
              </w:rPr>
            </w:pPr>
            <w:r>
              <w:rPr>
                <w:rFonts w:hint="eastAsia" w:ascii="仿宋" w:hAnsi="仿宋" w:eastAsia="仿宋" w:cs="宋体"/>
                <w:kern w:val="0"/>
                <w:sz w:val="24"/>
                <w:highlight w:val="none"/>
              </w:rPr>
              <w:t>1、</w:t>
            </w:r>
            <w:r>
              <w:rPr>
                <w:rFonts w:hint="eastAsia" w:ascii="仿宋" w:hAnsi="仿宋" w:eastAsia="仿宋" w:cs="宋体"/>
                <w:bCs/>
                <w:kern w:val="0"/>
                <w:sz w:val="24"/>
                <w:highlight w:val="none"/>
              </w:rPr>
              <w:t>投标报价分采用低价优先法计算，满足招标文件要求且评标价最低的有效投标人的评标价为评标基准价，其投标报价分为满分。</w:t>
            </w:r>
          </w:p>
          <w:p w14:paraId="447782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bCs/>
                <w:kern w:val="0"/>
                <w:sz w:val="24"/>
                <w:highlight w:val="none"/>
              </w:rPr>
            </w:pPr>
            <w:r>
              <w:rPr>
                <w:rFonts w:hint="eastAsia" w:ascii="仿宋" w:hAnsi="仿宋" w:eastAsia="仿宋" w:cs="宋体"/>
                <w:bCs/>
                <w:kern w:val="0"/>
                <w:sz w:val="24"/>
                <w:highlight w:val="none"/>
              </w:rPr>
              <w:t>2、其他投标人的价格分统一按照下列公式计算：</w:t>
            </w:r>
          </w:p>
          <w:p w14:paraId="6AD3CE0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bCs/>
                <w:kern w:val="0"/>
                <w:sz w:val="24"/>
                <w:highlight w:val="none"/>
              </w:rPr>
            </w:pPr>
            <w:r>
              <w:rPr>
                <w:rFonts w:hint="eastAsia" w:ascii="仿宋" w:hAnsi="仿宋" w:eastAsia="仿宋" w:cs="宋体"/>
                <w:bCs/>
                <w:kern w:val="0"/>
                <w:sz w:val="24"/>
                <w:highlight w:val="none"/>
              </w:rPr>
              <w:t>某有效投标人的投标报价分=（评标基准价／某有效投标人评标价）×</w:t>
            </w:r>
            <w:r>
              <w:rPr>
                <w:rFonts w:ascii="仿宋" w:hAnsi="仿宋" w:eastAsia="仿宋" w:cs="宋体"/>
                <w:bCs/>
                <w:kern w:val="0"/>
                <w:sz w:val="24"/>
                <w:highlight w:val="none"/>
              </w:rPr>
              <w:t>30</w:t>
            </w:r>
            <w:r>
              <w:rPr>
                <w:rFonts w:hint="eastAsia" w:ascii="仿宋" w:hAnsi="仿宋" w:eastAsia="仿宋" w:cs="宋体"/>
                <w:bCs/>
                <w:kern w:val="0"/>
                <w:sz w:val="24"/>
                <w:highlight w:val="none"/>
              </w:rPr>
              <w:t>分</w:t>
            </w:r>
          </w:p>
        </w:tc>
      </w:tr>
      <w:tr w14:paraId="0900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75" w:type="dxa"/>
            <w:vMerge w:val="restart"/>
            <w:tcBorders>
              <w:top w:val="single" w:color="auto" w:sz="4" w:space="0"/>
              <w:left w:val="single" w:color="auto" w:sz="4" w:space="0"/>
              <w:bottom w:val="single" w:color="auto" w:sz="4" w:space="0"/>
              <w:right w:val="single" w:color="auto" w:sz="4" w:space="0"/>
            </w:tcBorders>
            <w:vAlign w:val="center"/>
          </w:tcPr>
          <w:p w14:paraId="45D643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2</w:t>
            </w:r>
          </w:p>
        </w:tc>
        <w:tc>
          <w:tcPr>
            <w:tcW w:w="993" w:type="dxa"/>
            <w:vMerge w:val="restart"/>
            <w:tcBorders>
              <w:top w:val="single" w:color="auto" w:sz="4" w:space="0"/>
              <w:left w:val="single" w:color="auto" w:sz="4" w:space="0"/>
              <w:bottom w:val="single" w:color="auto" w:sz="4" w:space="0"/>
              <w:right w:val="single" w:color="auto" w:sz="4" w:space="0"/>
            </w:tcBorders>
            <w:vAlign w:val="center"/>
          </w:tcPr>
          <w:p w14:paraId="70FC9D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技术分</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00BC57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color w:val="auto"/>
                <w:sz w:val="24"/>
                <w:highlight w:val="none"/>
              </w:rPr>
              <w:t>5</w:t>
            </w:r>
            <w:r>
              <w:rPr>
                <w:rFonts w:hint="eastAsia" w:ascii="仿宋" w:hAnsi="仿宋" w:eastAsia="仿宋" w:cs="宋体"/>
                <w:b/>
                <w:color w:val="auto"/>
                <w:sz w:val="24"/>
                <w:highlight w:val="none"/>
                <w:lang w:val="en-US" w:eastAsia="zh-CN"/>
              </w:rPr>
              <w:t>8</w:t>
            </w:r>
            <w:r>
              <w:rPr>
                <w:rFonts w:hint="eastAsia" w:ascii="仿宋" w:hAnsi="仿宋" w:eastAsia="仿宋" w:cs="宋体"/>
                <w:b/>
                <w:color w:val="auto"/>
                <w:sz w:val="24"/>
                <w:highlight w:val="none"/>
              </w:rPr>
              <w:t>分</w:t>
            </w:r>
          </w:p>
        </w:tc>
        <w:tc>
          <w:tcPr>
            <w:tcW w:w="1134" w:type="dxa"/>
            <w:tcBorders>
              <w:top w:val="single" w:color="auto" w:sz="4" w:space="0"/>
              <w:left w:val="single" w:color="auto" w:sz="4" w:space="0"/>
              <w:bottom w:val="single" w:color="auto" w:sz="4" w:space="0"/>
              <w:right w:val="single" w:color="auto" w:sz="4" w:space="0"/>
            </w:tcBorders>
            <w:vAlign w:val="center"/>
          </w:tcPr>
          <w:p w14:paraId="0BD43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bCs/>
                <w:kern w:val="0"/>
                <w:sz w:val="24"/>
                <w:szCs w:val="21"/>
                <w:highlight w:val="none"/>
              </w:rPr>
            </w:pPr>
            <w:bookmarkStart w:id="157" w:name="OLE_LINK28"/>
            <w:r>
              <w:rPr>
                <w:rFonts w:hint="eastAsia" w:ascii="仿宋" w:hAnsi="仿宋" w:eastAsia="仿宋" w:cs="宋体"/>
                <w:b/>
                <w:bCs/>
                <w:kern w:val="0"/>
                <w:sz w:val="24"/>
                <w:szCs w:val="21"/>
                <w:highlight w:val="none"/>
              </w:rPr>
              <w:t>产品参数分（满分</w:t>
            </w:r>
            <w:r>
              <w:rPr>
                <w:rFonts w:ascii="仿宋" w:hAnsi="仿宋" w:eastAsia="仿宋" w:cs="宋体"/>
                <w:b/>
                <w:bCs/>
                <w:kern w:val="0"/>
                <w:sz w:val="24"/>
                <w:szCs w:val="21"/>
                <w:highlight w:val="none"/>
              </w:rPr>
              <w:t>40</w:t>
            </w:r>
            <w:r>
              <w:rPr>
                <w:rFonts w:hint="eastAsia" w:ascii="仿宋" w:hAnsi="仿宋" w:eastAsia="仿宋" w:cs="宋体"/>
                <w:b/>
                <w:bCs/>
                <w:kern w:val="0"/>
                <w:sz w:val="24"/>
                <w:szCs w:val="21"/>
                <w:highlight w:val="none"/>
              </w:rPr>
              <w:t>分）</w:t>
            </w:r>
            <w:bookmarkEnd w:id="157"/>
          </w:p>
        </w:tc>
        <w:tc>
          <w:tcPr>
            <w:tcW w:w="6668" w:type="dxa"/>
            <w:tcBorders>
              <w:top w:val="single" w:color="auto" w:sz="4" w:space="0"/>
              <w:left w:val="single" w:color="auto" w:sz="4" w:space="0"/>
              <w:bottom w:val="single" w:color="auto" w:sz="4" w:space="0"/>
              <w:right w:val="single" w:color="auto" w:sz="4" w:space="0"/>
            </w:tcBorders>
            <w:vAlign w:val="center"/>
          </w:tcPr>
          <w:p w14:paraId="7BD8BE5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通过资格和符合性审查的投标人得基本分</w:t>
            </w:r>
            <w:r>
              <w:rPr>
                <w:rFonts w:hint="eastAsia" w:ascii="仿宋" w:hAnsi="仿宋" w:eastAsia="仿宋" w:cs="宋体"/>
                <w:color w:val="auto"/>
                <w:sz w:val="24"/>
                <w:highlight w:val="none"/>
                <w:lang w:val="en-US" w:eastAsia="zh-CN"/>
              </w:rPr>
              <w:t>1</w:t>
            </w:r>
            <w:r>
              <w:rPr>
                <w:rFonts w:ascii="仿宋" w:hAnsi="仿宋" w:eastAsia="仿宋" w:cs="宋体"/>
                <w:color w:val="auto"/>
                <w:sz w:val="24"/>
                <w:highlight w:val="none"/>
              </w:rPr>
              <w:t>0</w:t>
            </w:r>
            <w:r>
              <w:rPr>
                <w:rFonts w:hint="eastAsia" w:ascii="仿宋" w:hAnsi="仿宋" w:eastAsia="仿宋" w:cs="宋体"/>
                <w:color w:val="auto"/>
                <w:sz w:val="24"/>
                <w:highlight w:val="none"/>
              </w:rPr>
              <w:t>分。评标委员会将根据招标文件第二章“采购需求”中技术条款要求，对比各投标人相应所投产品的技术参数，并按以下标准评分：</w:t>
            </w:r>
          </w:p>
          <w:p w14:paraId="6BE48E3F">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宋体"/>
                <w:color w:val="FF0000"/>
                <w:sz w:val="24"/>
                <w:highlight w:val="none"/>
                <w:lang w:val="en-US" w:eastAsia="zh-CN"/>
              </w:rPr>
            </w:pPr>
            <w:r>
              <w:rPr>
                <w:rFonts w:hint="eastAsia" w:ascii="仿宋" w:hAnsi="仿宋" w:eastAsia="仿宋" w:cs="宋体"/>
                <w:color w:val="auto"/>
                <w:sz w:val="24"/>
                <w:highlight w:val="none"/>
                <w:lang w:eastAsia="zh-CN"/>
              </w:rPr>
              <w:t>（</w:t>
            </w:r>
            <w:r>
              <w:rPr>
                <w:rFonts w:hint="eastAsia" w:ascii="仿宋" w:hAnsi="仿宋" w:eastAsia="仿宋" w:cs="宋体"/>
                <w:color w:val="auto"/>
                <w:sz w:val="24"/>
                <w:highlight w:val="none"/>
                <w:lang w:val="en-US" w:eastAsia="zh-CN"/>
              </w:rPr>
              <w:t>1</w:t>
            </w:r>
            <w:r>
              <w:rPr>
                <w:rFonts w:hint="eastAsia" w:ascii="仿宋" w:hAnsi="仿宋" w:eastAsia="仿宋" w:cs="宋体"/>
                <w:color w:val="auto"/>
                <w:sz w:val="24"/>
                <w:highlight w:val="none"/>
                <w:lang w:eastAsia="zh-CN"/>
              </w:rPr>
              <w:t>）</w:t>
            </w:r>
            <w:r>
              <w:rPr>
                <w:rFonts w:hint="eastAsia" w:ascii="仿宋" w:hAnsi="仿宋" w:eastAsia="仿宋" w:cs="宋体"/>
                <w:color w:val="auto"/>
                <w:sz w:val="24"/>
                <w:highlight w:val="none"/>
                <w:lang w:val="en-US" w:eastAsia="zh-CN"/>
              </w:rPr>
              <w:t>所投产品技术指标优于非</w:t>
            </w:r>
            <w:r>
              <w:rPr>
                <w:rFonts w:hint="eastAsia" w:ascii="仿宋" w:hAnsi="仿宋" w:eastAsia="仿宋" w:cs="宋体"/>
                <w:color w:val="auto"/>
                <w:sz w:val="24"/>
                <w:highlight w:val="none"/>
              </w:rPr>
              <w:t>标注</w:t>
            </w:r>
            <w:r>
              <w:rPr>
                <w:rFonts w:hint="eastAsia" w:ascii="仿宋" w:hAnsi="仿宋" w:eastAsia="仿宋" w:cs="仿宋"/>
                <w:color w:val="auto"/>
                <w:sz w:val="24"/>
                <w:highlight w:val="none"/>
              </w:rPr>
              <w:t>▲</w:t>
            </w:r>
            <w:r>
              <w:rPr>
                <w:rFonts w:hint="eastAsia" w:ascii="仿宋" w:hAnsi="仿宋" w:eastAsia="仿宋" w:cs="宋体"/>
                <w:color w:val="auto"/>
                <w:sz w:val="24"/>
                <w:highlight w:val="none"/>
              </w:rPr>
              <w:t>号项技术指标</w:t>
            </w:r>
            <w:r>
              <w:rPr>
                <w:rFonts w:hint="eastAsia" w:ascii="仿宋" w:hAnsi="仿宋" w:eastAsia="仿宋" w:cs="宋体"/>
                <w:color w:val="auto"/>
                <w:sz w:val="24"/>
                <w:highlight w:val="none"/>
                <w:lang w:val="en-US" w:eastAsia="zh-CN"/>
              </w:rPr>
              <w:t>的（需提供证明材料，证明材料包含但不限于产品彩页、说明书、检验报告等），每项得3分，满分30分。</w:t>
            </w:r>
          </w:p>
        </w:tc>
      </w:tr>
      <w:tr w14:paraId="725E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75" w:type="dxa"/>
            <w:vMerge w:val="continue"/>
            <w:tcBorders>
              <w:top w:val="single" w:color="auto" w:sz="4" w:space="0"/>
              <w:left w:val="single" w:color="auto" w:sz="4" w:space="0"/>
              <w:bottom w:val="single" w:color="auto" w:sz="4" w:space="0"/>
              <w:right w:val="single" w:color="auto" w:sz="4" w:space="0"/>
            </w:tcBorders>
            <w:vAlign w:val="center"/>
          </w:tcPr>
          <w:p w14:paraId="07573BD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宋体"/>
                <w:b/>
                <w:sz w:val="24"/>
                <w:highlight w:val="none"/>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1891D64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宋体"/>
                <w:b/>
                <w:sz w:val="24"/>
                <w:highlight w:val="none"/>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411DB1F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宋体"/>
                <w:b/>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FA044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bCs/>
                <w:color w:val="auto"/>
                <w:sz w:val="24"/>
                <w:highlight w:val="none"/>
              </w:rPr>
            </w:pPr>
            <w:bookmarkStart w:id="158" w:name="OLE_LINK29"/>
            <w:r>
              <w:rPr>
                <w:rFonts w:hint="eastAsia" w:ascii="仿宋" w:hAnsi="仿宋" w:eastAsia="仿宋" w:cs="宋体"/>
                <w:b/>
                <w:bCs/>
                <w:color w:val="auto"/>
                <w:sz w:val="24"/>
                <w:highlight w:val="none"/>
              </w:rPr>
              <w:t>项目实施方案分（满分</w:t>
            </w:r>
            <w:r>
              <w:rPr>
                <w:rFonts w:ascii="仿宋" w:hAnsi="仿宋" w:eastAsia="仿宋" w:cs="宋体"/>
                <w:b/>
                <w:bCs/>
                <w:color w:val="auto"/>
                <w:sz w:val="24"/>
                <w:highlight w:val="none"/>
              </w:rPr>
              <w:t>1</w:t>
            </w:r>
            <w:r>
              <w:rPr>
                <w:rFonts w:hint="eastAsia" w:ascii="仿宋" w:hAnsi="仿宋" w:eastAsia="仿宋" w:cs="宋体"/>
                <w:b/>
                <w:bCs/>
                <w:color w:val="auto"/>
                <w:sz w:val="24"/>
                <w:highlight w:val="none"/>
                <w:lang w:val="en-US" w:eastAsia="zh-CN"/>
              </w:rPr>
              <w:t>8</w:t>
            </w:r>
            <w:r>
              <w:rPr>
                <w:rFonts w:hint="eastAsia" w:ascii="仿宋" w:hAnsi="仿宋" w:eastAsia="仿宋" w:cs="宋体"/>
                <w:b/>
                <w:bCs/>
                <w:color w:val="auto"/>
                <w:sz w:val="24"/>
                <w:highlight w:val="none"/>
              </w:rPr>
              <w:t>分）</w:t>
            </w:r>
            <w:bookmarkEnd w:id="158"/>
          </w:p>
        </w:tc>
        <w:tc>
          <w:tcPr>
            <w:tcW w:w="6668" w:type="dxa"/>
            <w:tcBorders>
              <w:top w:val="single" w:color="auto" w:sz="4" w:space="0"/>
              <w:left w:val="single" w:color="auto" w:sz="4" w:space="0"/>
              <w:bottom w:val="single" w:color="auto" w:sz="4" w:space="0"/>
              <w:right w:val="single" w:color="auto" w:sz="4" w:space="0"/>
            </w:tcBorders>
            <w:vAlign w:val="center"/>
          </w:tcPr>
          <w:p w14:paraId="3A0F56C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bookmarkStart w:id="159" w:name="OLE_LINK30"/>
            <w:r>
              <w:rPr>
                <w:rFonts w:hint="eastAsia" w:ascii="仿宋" w:hAnsi="仿宋" w:eastAsia="仿宋" w:cs="宋体"/>
                <w:color w:val="auto"/>
                <w:sz w:val="24"/>
                <w:highlight w:val="none"/>
              </w:rPr>
              <w:t>评标委员会对比各投标人提供的项目实施方案，包含但不限于：①产品运输配送方案；②安装调试方案；③产品试运行等内容进行综合评定，并按以下内容进行独立评审评分：</w:t>
            </w:r>
          </w:p>
          <w:p w14:paraId="0E39AA5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一档（0分）：未提供项目实施方案或不满足二档评审标准的；</w:t>
            </w:r>
          </w:p>
          <w:p w14:paraId="515C776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二档（</w:t>
            </w:r>
            <w:r>
              <w:rPr>
                <w:rFonts w:hint="eastAsia" w:ascii="仿宋" w:hAnsi="仿宋" w:eastAsia="仿宋" w:cs="宋体"/>
                <w:color w:val="auto"/>
                <w:sz w:val="24"/>
                <w:highlight w:val="none"/>
                <w:lang w:val="en-US" w:eastAsia="zh-CN"/>
              </w:rPr>
              <w:t>6</w:t>
            </w:r>
            <w:r>
              <w:rPr>
                <w:rFonts w:hint="eastAsia" w:ascii="仿宋" w:hAnsi="仿宋" w:eastAsia="仿宋" w:cs="宋体"/>
                <w:color w:val="auto"/>
                <w:sz w:val="24"/>
                <w:highlight w:val="none"/>
              </w:rPr>
              <w:t>分）：上述评审内容中有1项内容经评审为完整、可行的；</w:t>
            </w:r>
          </w:p>
          <w:p w14:paraId="275C4F5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三档（</w:t>
            </w:r>
            <w:r>
              <w:rPr>
                <w:rFonts w:ascii="仿宋" w:hAnsi="仿宋" w:eastAsia="仿宋" w:cs="宋体"/>
                <w:color w:val="auto"/>
                <w:sz w:val="24"/>
                <w:highlight w:val="none"/>
              </w:rPr>
              <w:t>1</w:t>
            </w:r>
            <w:r>
              <w:rPr>
                <w:rFonts w:hint="eastAsia" w:ascii="仿宋" w:hAnsi="仿宋" w:eastAsia="仿宋" w:cs="宋体"/>
                <w:color w:val="auto"/>
                <w:sz w:val="24"/>
                <w:highlight w:val="none"/>
                <w:lang w:val="en-US" w:eastAsia="zh-CN"/>
              </w:rPr>
              <w:t>2</w:t>
            </w:r>
            <w:r>
              <w:rPr>
                <w:rFonts w:hint="eastAsia" w:ascii="仿宋" w:hAnsi="仿宋" w:eastAsia="仿宋" w:cs="宋体"/>
                <w:color w:val="auto"/>
                <w:sz w:val="24"/>
                <w:highlight w:val="none"/>
              </w:rPr>
              <w:t>分）：上述评审内容中有2项内容经评审为完整、可行的；</w:t>
            </w:r>
          </w:p>
          <w:p w14:paraId="75C4EF1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四档（</w:t>
            </w:r>
            <w:r>
              <w:rPr>
                <w:rFonts w:ascii="仿宋" w:hAnsi="仿宋" w:eastAsia="仿宋" w:cs="宋体"/>
                <w:color w:val="auto"/>
                <w:sz w:val="24"/>
                <w:highlight w:val="none"/>
              </w:rPr>
              <w:t>1</w:t>
            </w:r>
            <w:r>
              <w:rPr>
                <w:rFonts w:hint="eastAsia" w:ascii="仿宋" w:hAnsi="仿宋" w:eastAsia="仿宋" w:cs="宋体"/>
                <w:color w:val="auto"/>
                <w:sz w:val="24"/>
                <w:highlight w:val="none"/>
                <w:lang w:val="en-US" w:eastAsia="zh-CN"/>
              </w:rPr>
              <w:t>8</w:t>
            </w:r>
            <w:r>
              <w:rPr>
                <w:rFonts w:hint="eastAsia" w:ascii="仿宋" w:hAnsi="仿宋" w:eastAsia="仿宋" w:cs="宋体"/>
                <w:color w:val="auto"/>
                <w:sz w:val="24"/>
                <w:highlight w:val="none"/>
              </w:rPr>
              <w:t>分）：上述全部评审内容经评审为完整、可行的。</w:t>
            </w:r>
            <w:bookmarkEnd w:id="159"/>
          </w:p>
        </w:tc>
      </w:tr>
      <w:tr w14:paraId="6BF0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75" w:type="dxa"/>
            <w:vMerge w:val="restart"/>
            <w:tcBorders>
              <w:top w:val="single" w:color="auto" w:sz="4" w:space="0"/>
              <w:left w:val="single" w:color="auto" w:sz="4" w:space="0"/>
              <w:bottom w:val="single" w:color="auto" w:sz="4" w:space="0"/>
              <w:right w:val="single" w:color="auto" w:sz="4" w:space="0"/>
            </w:tcBorders>
            <w:vAlign w:val="center"/>
          </w:tcPr>
          <w:p w14:paraId="141CF5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3</w:t>
            </w:r>
          </w:p>
        </w:tc>
        <w:tc>
          <w:tcPr>
            <w:tcW w:w="993" w:type="dxa"/>
            <w:vMerge w:val="restart"/>
            <w:tcBorders>
              <w:top w:val="single" w:color="auto" w:sz="4" w:space="0"/>
              <w:left w:val="single" w:color="auto" w:sz="4" w:space="0"/>
              <w:bottom w:val="single" w:color="auto" w:sz="4" w:space="0"/>
              <w:right w:val="single" w:color="auto" w:sz="4" w:space="0"/>
            </w:tcBorders>
            <w:vAlign w:val="center"/>
          </w:tcPr>
          <w:p w14:paraId="2CFE4E3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b/>
                <w:sz w:val="24"/>
                <w:highlight w:val="none"/>
              </w:rPr>
            </w:pPr>
            <w:r>
              <w:rPr>
                <w:rFonts w:hint="eastAsia" w:ascii="仿宋" w:hAnsi="仿宋" w:eastAsia="仿宋" w:cs="宋体"/>
                <w:b/>
                <w:sz w:val="24"/>
                <w:highlight w:val="none"/>
              </w:rPr>
              <w:t>商务分</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14:paraId="1E22F9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color w:val="auto"/>
                <w:sz w:val="24"/>
                <w:highlight w:val="none"/>
              </w:rPr>
            </w:pPr>
            <w:bookmarkStart w:id="160" w:name="OLE_LINK31"/>
            <w:r>
              <w:rPr>
                <w:rFonts w:hint="eastAsia" w:ascii="仿宋" w:hAnsi="仿宋" w:eastAsia="仿宋" w:cs="宋体"/>
                <w:b/>
                <w:color w:val="auto"/>
                <w:sz w:val="24"/>
                <w:highlight w:val="none"/>
              </w:rPr>
              <w:t>1</w:t>
            </w:r>
            <w:r>
              <w:rPr>
                <w:rFonts w:hint="eastAsia" w:ascii="仿宋" w:hAnsi="仿宋" w:eastAsia="仿宋" w:cs="宋体"/>
                <w:b/>
                <w:color w:val="auto"/>
                <w:sz w:val="24"/>
                <w:highlight w:val="none"/>
                <w:lang w:val="en-US" w:eastAsia="zh-CN"/>
              </w:rPr>
              <w:t>0</w:t>
            </w:r>
            <w:r>
              <w:rPr>
                <w:rFonts w:hint="eastAsia" w:ascii="仿宋" w:hAnsi="仿宋" w:eastAsia="仿宋" w:cs="宋体"/>
                <w:b/>
                <w:color w:val="auto"/>
                <w:sz w:val="24"/>
                <w:highlight w:val="none"/>
              </w:rPr>
              <w:t>分</w:t>
            </w:r>
            <w:bookmarkEnd w:id="160"/>
          </w:p>
        </w:tc>
        <w:tc>
          <w:tcPr>
            <w:tcW w:w="1134" w:type="dxa"/>
            <w:tcBorders>
              <w:top w:val="single" w:color="auto" w:sz="4" w:space="0"/>
              <w:left w:val="single" w:color="auto" w:sz="4" w:space="0"/>
              <w:bottom w:val="single" w:color="auto" w:sz="4" w:space="0"/>
              <w:right w:val="single" w:color="auto" w:sz="4" w:space="0"/>
            </w:tcBorders>
            <w:vAlign w:val="center"/>
          </w:tcPr>
          <w:p w14:paraId="5584A3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bCs/>
                <w:color w:val="auto"/>
                <w:sz w:val="24"/>
                <w:highlight w:val="none"/>
              </w:rPr>
            </w:pPr>
            <w:bookmarkStart w:id="161" w:name="OLE_LINK32"/>
            <w:r>
              <w:rPr>
                <w:rFonts w:hint="eastAsia" w:ascii="仿宋" w:hAnsi="仿宋" w:eastAsia="仿宋" w:cs="宋体"/>
                <w:b/>
                <w:bCs/>
                <w:color w:val="auto"/>
                <w:sz w:val="24"/>
                <w:highlight w:val="none"/>
              </w:rPr>
              <w:t>售后服务分(满分</w:t>
            </w:r>
            <w:r>
              <w:rPr>
                <w:rFonts w:hint="eastAsia" w:ascii="仿宋" w:hAnsi="仿宋" w:eastAsia="仿宋" w:cs="宋体"/>
                <w:b/>
                <w:bCs/>
                <w:color w:val="auto"/>
                <w:sz w:val="24"/>
                <w:highlight w:val="none"/>
                <w:lang w:val="en-US" w:eastAsia="zh-CN"/>
              </w:rPr>
              <w:t>6</w:t>
            </w:r>
            <w:r>
              <w:rPr>
                <w:rFonts w:hint="eastAsia" w:ascii="仿宋" w:hAnsi="仿宋" w:eastAsia="仿宋" w:cs="宋体"/>
                <w:b/>
                <w:bCs/>
                <w:color w:val="auto"/>
                <w:sz w:val="24"/>
                <w:highlight w:val="none"/>
              </w:rPr>
              <w:t>分)</w:t>
            </w:r>
            <w:bookmarkEnd w:id="161"/>
          </w:p>
        </w:tc>
        <w:tc>
          <w:tcPr>
            <w:tcW w:w="6668" w:type="dxa"/>
            <w:tcBorders>
              <w:top w:val="single" w:color="auto" w:sz="4" w:space="0"/>
              <w:left w:val="single" w:color="auto" w:sz="4" w:space="0"/>
              <w:bottom w:val="single" w:color="auto" w:sz="4" w:space="0"/>
              <w:right w:val="single" w:color="auto" w:sz="4" w:space="0"/>
            </w:tcBorders>
            <w:vAlign w:val="center"/>
          </w:tcPr>
          <w:p w14:paraId="270588D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评标委员会对比各投标人提供的售后服务内容，包括但不限于：①售后服务计划；②售后保障措施；③应急预案等内容进行综合评定，并按以下标准独立评分：</w:t>
            </w:r>
          </w:p>
          <w:p w14:paraId="13452F2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一档（0分）：未提供售后服务方案或不满足二档评审标准的；</w:t>
            </w:r>
          </w:p>
          <w:p w14:paraId="211DBD9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二档（</w:t>
            </w:r>
            <w:r>
              <w:rPr>
                <w:rFonts w:hint="eastAsia" w:ascii="仿宋" w:hAnsi="仿宋" w:eastAsia="仿宋" w:cs="宋体"/>
                <w:color w:val="auto"/>
                <w:sz w:val="24"/>
                <w:highlight w:val="none"/>
                <w:lang w:val="en-US" w:eastAsia="zh-CN"/>
              </w:rPr>
              <w:t>2</w:t>
            </w:r>
            <w:r>
              <w:rPr>
                <w:rFonts w:hint="eastAsia" w:ascii="仿宋" w:hAnsi="仿宋" w:eastAsia="仿宋" w:cs="宋体"/>
                <w:color w:val="auto"/>
                <w:sz w:val="24"/>
                <w:highlight w:val="none"/>
              </w:rPr>
              <w:t>分）：售后服务内容满足招标文件相关要求，上述评审内容中有1项内容经评审为完整、可行的；</w:t>
            </w:r>
          </w:p>
          <w:p w14:paraId="7996C8D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三档（</w:t>
            </w:r>
            <w:r>
              <w:rPr>
                <w:rFonts w:hint="eastAsia" w:ascii="仿宋" w:hAnsi="仿宋" w:eastAsia="仿宋" w:cs="宋体"/>
                <w:color w:val="auto"/>
                <w:sz w:val="24"/>
                <w:highlight w:val="none"/>
                <w:lang w:val="en-US" w:eastAsia="zh-CN"/>
              </w:rPr>
              <w:t>4</w:t>
            </w:r>
            <w:r>
              <w:rPr>
                <w:rFonts w:hint="eastAsia" w:ascii="仿宋" w:hAnsi="仿宋" w:eastAsia="仿宋" w:cs="宋体"/>
                <w:color w:val="auto"/>
                <w:sz w:val="24"/>
                <w:highlight w:val="none"/>
              </w:rPr>
              <w:t>分）：售后服务内容满足招标文件相关要求，上述评审内容中有</w:t>
            </w:r>
            <w:r>
              <w:rPr>
                <w:rFonts w:ascii="仿宋" w:hAnsi="仿宋" w:eastAsia="仿宋" w:cs="宋体"/>
                <w:color w:val="auto"/>
                <w:sz w:val="24"/>
                <w:highlight w:val="none"/>
              </w:rPr>
              <w:t>2</w:t>
            </w:r>
            <w:r>
              <w:rPr>
                <w:rFonts w:hint="eastAsia" w:ascii="仿宋" w:hAnsi="仿宋" w:eastAsia="仿宋" w:cs="宋体"/>
                <w:color w:val="auto"/>
                <w:sz w:val="24"/>
                <w:highlight w:val="none"/>
              </w:rPr>
              <w:t>项内容经评审为完整、可行的；</w:t>
            </w:r>
          </w:p>
          <w:p w14:paraId="70E51A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r>
              <w:rPr>
                <w:rFonts w:hint="eastAsia" w:ascii="仿宋" w:hAnsi="仿宋" w:eastAsia="仿宋" w:cs="宋体"/>
                <w:color w:val="auto"/>
                <w:sz w:val="24"/>
                <w:highlight w:val="none"/>
              </w:rPr>
              <w:t>四档（</w:t>
            </w:r>
            <w:r>
              <w:rPr>
                <w:rFonts w:hint="eastAsia" w:ascii="仿宋" w:hAnsi="仿宋" w:eastAsia="仿宋" w:cs="宋体"/>
                <w:color w:val="auto"/>
                <w:sz w:val="24"/>
                <w:highlight w:val="none"/>
                <w:lang w:val="en-US" w:eastAsia="zh-CN"/>
              </w:rPr>
              <w:t>6</w:t>
            </w:r>
            <w:r>
              <w:rPr>
                <w:rFonts w:hint="eastAsia" w:ascii="仿宋" w:hAnsi="仿宋" w:eastAsia="仿宋" w:cs="宋体"/>
                <w:color w:val="auto"/>
                <w:sz w:val="24"/>
                <w:highlight w:val="none"/>
              </w:rPr>
              <w:t>分）：售后服务内容满足招标文件相关要求，上述全部评审内容经评审为完整、可行的。</w:t>
            </w:r>
          </w:p>
        </w:tc>
      </w:tr>
      <w:tr w14:paraId="0322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75" w:type="dxa"/>
            <w:vMerge w:val="continue"/>
            <w:tcBorders>
              <w:left w:val="single" w:color="auto" w:sz="4" w:space="0"/>
              <w:right w:val="single" w:color="auto" w:sz="4" w:space="0"/>
            </w:tcBorders>
            <w:vAlign w:val="center"/>
          </w:tcPr>
          <w:p w14:paraId="515D6F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p>
        </w:tc>
        <w:tc>
          <w:tcPr>
            <w:tcW w:w="993" w:type="dxa"/>
            <w:vMerge w:val="continue"/>
            <w:tcBorders>
              <w:left w:val="single" w:color="auto" w:sz="4" w:space="0"/>
              <w:right w:val="single" w:color="auto" w:sz="4" w:space="0"/>
            </w:tcBorders>
            <w:vAlign w:val="center"/>
          </w:tcPr>
          <w:p w14:paraId="22F9B21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b/>
                <w:sz w:val="24"/>
                <w:highlight w:val="none"/>
              </w:rPr>
            </w:pPr>
          </w:p>
        </w:tc>
        <w:tc>
          <w:tcPr>
            <w:tcW w:w="850" w:type="dxa"/>
            <w:vMerge w:val="continue"/>
            <w:tcBorders>
              <w:left w:val="single" w:color="auto" w:sz="4" w:space="0"/>
              <w:right w:val="single" w:color="auto" w:sz="4" w:space="0"/>
            </w:tcBorders>
            <w:vAlign w:val="center"/>
          </w:tcPr>
          <w:p w14:paraId="1EED74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06E858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bCs/>
                <w:color w:val="auto"/>
                <w:sz w:val="24"/>
                <w:highlight w:val="none"/>
                <w:lang w:val="en-US" w:eastAsia="zh-CN"/>
              </w:rPr>
            </w:pPr>
            <w:r>
              <w:rPr>
                <w:rFonts w:hint="eastAsia" w:ascii="仿宋" w:hAnsi="仿宋" w:eastAsia="仿宋" w:cs="宋体"/>
                <w:b/>
                <w:bCs/>
                <w:color w:val="auto"/>
                <w:sz w:val="24"/>
                <w:highlight w:val="none"/>
                <w:lang w:val="en-US" w:eastAsia="zh-CN"/>
              </w:rPr>
              <w:t>管理体系认证（满分1.5分）</w:t>
            </w:r>
          </w:p>
        </w:tc>
        <w:tc>
          <w:tcPr>
            <w:tcW w:w="6668" w:type="dxa"/>
            <w:tcBorders>
              <w:top w:val="single" w:color="auto" w:sz="4" w:space="0"/>
              <w:left w:val="single" w:color="auto" w:sz="4" w:space="0"/>
              <w:bottom w:val="single" w:color="auto" w:sz="4" w:space="0"/>
              <w:right w:val="single" w:color="auto" w:sz="4" w:space="0"/>
            </w:tcBorders>
            <w:vAlign w:val="center"/>
          </w:tcPr>
          <w:p w14:paraId="05EEFBC0">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lang w:val="en-US" w:eastAsia="zh-CN"/>
              </w:rPr>
            </w:pPr>
            <w:r>
              <w:rPr>
                <w:rFonts w:hint="eastAsia" w:ascii="仿宋" w:hAnsi="仿宋" w:eastAsia="仿宋" w:cs="宋体"/>
                <w:color w:val="auto"/>
                <w:sz w:val="24"/>
                <w:highlight w:val="none"/>
                <w:lang w:val="en-US" w:eastAsia="zh-CN"/>
              </w:rPr>
              <w:t>（1）投标人或投标产品生产厂家具有有效期内的质量管理体系认证证书的得0.5分；</w:t>
            </w:r>
          </w:p>
          <w:p w14:paraId="167555D2">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lang w:val="en-US" w:eastAsia="zh-CN"/>
              </w:rPr>
            </w:pPr>
            <w:r>
              <w:rPr>
                <w:rFonts w:hint="eastAsia" w:ascii="仿宋" w:hAnsi="仿宋" w:eastAsia="仿宋" w:cs="宋体"/>
                <w:color w:val="auto"/>
                <w:sz w:val="24"/>
                <w:highlight w:val="none"/>
                <w:lang w:val="en-US" w:eastAsia="zh-CN"/>
              </w:rPr>
              <w:t>（2）投标人或投标产品生产厂家具有有效期内的环境管理体系认证证书的得0.5分；</w:t>
            </w:r>
          </w:p>
          <w:p w14:paraId="0D934F55">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lang w:val="en-US" w:eastAsia="zh-CN"/>
              </w:rPr>
            </w:pPr>
            <w:r>
              <w:rPr>
                <w:rFonts w:hint="eastAsia" w:ascii="仿宋" w:hAnsi="仿宋" w:eastAsia="仿宋" w:cs="宋体"/>
                <w:color w:val="auto"/>
                <w:sz w:val="24"/>
                <w:highlight w:val="none"/>
                <w:lang w:val="en-US" w:eastAsia="zh-CN"/>
              </w:rPr>
              <w:t>（3）投标人或投标产品生产厂家具有有效期内的职业安全健康管理认证证书的得0.5分。</w:t>
            </w:r>
          </w:p>
          <w:p w14:paraId="661AA432">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lang w:val="en-US" w:eastAsia="zh-CN"/>
              </w:rPr>
            </w:pPr>
            <w:r>
              <w:rPr>
                <w:rFonts w:hint="eastAsia" w:ascii="仿宋" w:hAnsi="仿宋" w:eastAsia="仿宋" w:cs="宋体"/>
                <w:color w:val="auto"/>
                <w:sz w:val="24"/>
                <w:highlight w:val="none"/>
                <w:lang w:val="en-US" w:eastAsia="zh-CN"/>
              </w:rPr>
              <w:t>以上述认证证书复印件为准，否则将不予计分。</w:t>
            </w:r>
          </w:p>
        </w:tc>
      </w:tr>
      <w:tr w14:paraId="5FD8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75" w:type="dxa"/>
            <w:vMerge w:val="continue"/>
            <w:tcBorders>
              <w:top w:val="single" w:color="auto" w:sz="4" w:space="0"/>
              <w:left w:val="single" w:color="auto" w:sz="4" w:space="0"/>
              <w:bottom w:val="single" w:color="auto" w:sz="4" w:space="0"/>
              <w:right w:val="single" w:color="auto" w:sz="4" w:space="0"/>
            </w:tcBorders>
            <w:vAlign w:val="center"/>
          </w:tcPr>
          <w:p w14:paraId="25F58B1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宋体"/>
                <w:b/>
                <w:sz w:val="24"/>
                <w:highlight w:val="none"/>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3AF8F4A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宋体"/>
                <w:b/>
                <w:sz w:val="24"/>
                <w:highlight w:val="none"/>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077299E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宋体"/>
                <w:b/>
                <w:sz w:val="24"/>
                <w:highlight w:val="none"/>
              </w:rPr>
            </w:pPr>
          </w:p>
        </w:tc>
        <w:tc>
          <w:tcPr>
            <w:tcW w:w="1134" w:type="dxa"/>
            <w:tcBorders>
              <w:left w:val="single" w:color="auto" w:sz="4" w:space="0"/>
              <w:bottom w:val="single" w:color="auto" w:sz="4" w:space="0"/>
              <w:right w:val="single" w:color="auto" w:sz="4" w:space="0"/>
            </w:tcBorders>
            <w:vAlign w:val="center"/>
          </w:tcPr>
          <w:p w14:paraId="2340566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 w:hAnsi="仿宋" w:eastAsia="仿宋" w:cs="宋体"/>
                <w:b/>
                <w:bCs/>
                <w:color w:val="auto"/>
                <w:sz w:val="24"/>
                <w:highlight w:val="none"/>
                <w:lang w:val="en-US" w:eastAsia="zh-CN"/>
              </w:rPr>
            </w:pPr>
            <w:r>
              <w:rPr>
                <w:rFonts w:hint="eastAsia" w:ascii="仿宋" w:hAnsi="仿宋" w:eastAsia="仿宋" w:cs="宋体"/>
                <w:b/>
                <w:bCs/>
                <w:color w:val="auto"/>
                <w:sz w:val="24"/>
                <w:highlight w:val="none"/>
                <w:lang w:val="en-US" w:eastAsia="zh-CN"/>
              </w:rPr>
              <w:t>业绩分（满分2.5分）</w:t>
            </w:r>
          </w:p>
        </w:tc>
        <w:tc>
          <w:tcPr>
            <w:tcW w:w="6668" w:type="dxa"/>
            <w:tcBorders>
              <w:top w:val="single" w:color="auto" w:sz="4" w:space="0"/>
              <w:left w:val="single" w:color="auto" w:sz="4" w:space="0"/>
              <w:bottom w:val="single" w:color="auto" w:sz="4" w:space="0"/>
              <w:right w:val="single" w:color="auto" w:sz="4" w:space="0"/>
            </w:tcBorders>
            <w:vAlign w:val="center"/>
          </w:tcPr>
          <w:p w14:paraId="3E66B98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color w:val="auto"/>
                <w:sz w:val="24"/>
                <w:highlight w:val="none"/>
              </w:rPr>
            </w:pPr>
            <w:bookmarkStart w:id="162" w:name="OLE_LINK34"/>
            <w:r>
              <w:rPr>
                <w:rFonts w:hint="eastAsia" w:ascii="仿宋" w:hAnsi="仿宋" w:eastAsia="仿宋" w:cs="宋体"/>
                <w:color w:val="auto"/>
                <w:sz w:val="24"/>
                <w:highlight w:val="none"/>
              </w:rPr>
              <w:t>投标人</w:t>
            </w:r>
            <w:r>
              <w:rPr>
                <w:rFonts w:hint="eastAsia" w:ascii="仿宋" w:hAnsi="仿宋" w:eastAsia="仿宋" w:cs="宋体"/>
                <w:color w:val="auto"/>
                <w:sz w:val="24"/>
                <w:highlight w:val="none"/>
                <w:lang w:val="en-US" w:eastAsia="zh-CN"/>
              </w:rPr>
              <w:t>或投标产品生产厂家</w:t>
            </w:r>
            <w:r>
              <w:rPr>
                <w:rFonts w:hint="eastAsia" w:ascii="仿宋" w:hAnsi="仿宋" w:eastAsia="仿宋" w:cs="宋体"/>
                <w:color w:val="auto"/>
                <w:sz w:val="24"/>
                <w:highlight w:val="none"/>
              </w:rPr>
              <w:t>202</w:t>
            </w:r>
            <w:r>
              <w:rPr>
                <w:rFonts w:hint="eastAsia" w:ascii="仿宋" w:hAnsi="仿宋" w:eastAsia="仿宋" w:cs="宋体"/>
                <w:color w:val="auto"/>
                <w:sz w:val="24"/>
                <w:highlight w:val="none"/>
                <w:lang w:val="en-US" w:eastAsia="zh-CN"/>
              </w:rPr>
              <w:t>2</w:t>
            </w:r>
            <w:r>
              <w:rPr>
                <w:rFonts w:hint="eastAsia" w:ascii="仿宋" w:hAnsi="仿宋" w:eastAsia="仿宋" w:cs="宋体"/>
                <w:color w:val="auto"/>
                <w:sz w:val="24"/>
                <w:highlight w:val="none"/>
              </w:rPr>
              <w:t>年以来完成同类产品（同类产品指</w:t>
            </w:r>
            <w:r>
              <w:rPr>
                <w:rFonts w:hint="eastAsia" w:ascii="仿宋" w:hAnsi="仿宋" w:eastAsia="仿宋" w:cs="宋体"/>
                <w:color w:val="auto"/>
                <w:sz w:val="24"/>
                <w:highlight w:val="none"/>
                <w:lang w:val="en-US" w:eastAsia="zh-CN"/>
              </w:rPr>
              <w:t>相应检验或检测设备或医疗</w:t>
            </w:r>
            <w:r>
              <w:rPr>
                <w:rFonts w:hint="eastAsia" w:ascii="仿宋" w:hAnsi="仿宋" w:eastAsia="仿宋" w:cs="宋体"/>
                <w:color w:val="auto"/>
                <w:sz w:val="24"/>
                <w:highlight w:val="none"/>
              </w:rPr>
              <w:t>设备）的销售业绩[无不良记录，以中标（成交）通知书</w:t>
            </w:r>
            <w:r>
              <w:rPr>
                <w:rFonts w:hint="eastAsia" w:ascii="仿宋" w:hAnsi="仿宋" w:eastAsia="仿宋" w:cs="宋体"/>
                <w:color w:val="auto"/>
                <w:sz w:val="24"/>
                <w:highlight w:val="none"/>
                <w:lang w:val="en-US" w:eastAsia="zh-CN"/>
              </w:rPr>
              <w:t>或</w:t>
            </w:r>
            <w:r>
              <w:rPr>
                <w:rFonts w:hint="eastAsia" w:ascii="仿宋" w:hAnsi="仿宋" w:eastAsia="仿宋" w:cs="宋体"/>
                <w:color w:val="auto"/>
                <w:sz w:val="24"/>
                <w:highlight w:val="none"/>
              </w:rPr>
              <w:t>合同书复印件为准（能清晰反映所销售的货物名称、种类、金额)，否则将不予计分；同一个编号的项目有两个或两个以上的分标中标的只算一次]，每个业绩得</w:t>
            </w:r>
            <w:r>
              <w:rPr>
                <w:rFonts w:hint="eastAsia" w:ascii="仿宋" w:hAnsi="仿宋" w:eastAsia="仿宋" w:cs="宋体"/>
                <w:color w:val="auto"/>
                <w:sz w:val="24"/>
                <w:highlight w:val="none"/>
                <w:lang w:val="en-US" w:eastAsia="zh-CN"/>
              </w:rPr>
              <w:t>0.5</w:t>
            </w:r>
            <w:r>
              <w:rPr>
                <w:rFonts w:hint="eastAsia" w:ascii="仿宋" w:hAnsi="仿宋" w:eastAsia="仿宋" w:cs="宋体"/>
                <w:color w:val="auto"/>
                <w:sz w:val="24"/>
                <w:highlight w:val="none"/>
              </w:rPr>
              <w:t>分，满分</w:t>
            </w:r>
            <w:r>
              <w:rPr>
                <w:rFonts w:hint="eastAsia" w:ascii="仿宋" w:hAnsi="仿宋" w:eastAsia="仿宋" w:cs="宋体"/>
                <w:color w:val="auto"/>
                <w:sz w:val="24"/>
                <w:highlight w:val="none"/>
                <w:lang w:val="en-US" w:eastAsia="zh-CN"/>
              </w:rPr>
              <w:t>2.5</w:t>
            </w:r>
            <w:r>
              <w:rPr>
                <w:rFonts w:hint="eastAsia" w:ascii="仿宋" w:hAnsi="仿宋" w:eastAsia="仿宋" w:cs="宋体"/>
                <w:color w:val="auto"/>
                <w:sz w:val="24"/>
                <w:highlight w:val="none"/>
              </w:rPr>
              <w:t>分。</w:t>
            </w:r>
            <w:bookmarkEnd w:id="162"/>
          </w:p>
        </w:tc>
      </w:tr>
      <w:tr w14:paraId="2E1D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75" w:type="dxa"/>
            <w:tcBorders>
              <w:top w:val="single" w:color="auto" w:sz="4" w:space="0"/>
              <w:left w:val="single" w:color="auto" w:sz="4" w:space="0"/>
              <w:bottom w:val="single" w:color="auto" w:sz="4" w:space="0"/>
              <w:right w:val="single" w:color="auto" w:sz="4" w:space="0"/>
            </w:tcBorders>
            <w:vAlign w:val="center"/>
          </w:tcPr>
          <w:p w14:paraId="26D530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4</w:t>
            </w:r>
          </w:p>
        </w:tc>
        <w:tc>
          <w:tcPr>
            <w:tcW w:w="993" w:type="dxa"/>
            <w:tcBorders>
              <w:top w:val="single" w:color="auto" w:sz="4" w:space="0"/>
              <w:left w:val="single" w:color="auto" w:sz="4" w:space="0"/>
              <w:bottom w:val="single" w:color="auto" w:sz="4" w:space="0"/>
              <w:right w:val="single" w:color="auto" w:sz="4" w:space="0"/>
            </w:tcBorders>
            <w:vAlign w:val="center"/>
          </w:tcPr>
          <w:p w14:paraId="692FE5D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政策</w:t>
            </w:r>
          </w:p>
          <w:p w14:paraId="6EA298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功能</w:t>
            </w:r>
          </w:p>
        </w:tc>
        <w:tc>
          <w:tcPr>
            <w:tcW w:w="850" w:type="dxa"/>
            <w:tcBorders>
              <w:top w:val="single" w:color="auto" w:sz="4" w:space="0"/>
              <w:left w:val="single" w:color="auto" w:sz="4" w:space="0"/>
              <w:bottom w:val="single" w:color="auto" w:sz="4" w:space="0"/>
              <w:right w:val="single" w:color="auto" w:sz="4" w:space="0"/>
            </w:tcBorders>
            <w:vAlign w:val="center"/>
          </w:tcPr>
          <w:p w14:paraId="44D077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宋体"/>
                <w:b/>
                <w:sz w:val="24"/>
                <w:highlight w:val="none"/>
              </w:rPr>
            </w:pPr>
            <w:r>
              <w:rPr>
                <w:rFonts w:hint="eastAsia" w:ascii="仿宋" w:hAnsi="仿宋" w:eastAsia="仿宋" w:cs="宋体"/>
                <w:b/>
                <w:sz w:val="24"/>
                <w:highlight w:val="none"/>
              </w:rPr>
              <w:t>2分</w:t>
            </w:r>
          </w:p>
        </w:tc>
        <w:tc>
          <w:tcPr>
            <w:tcW w:w="7802" w:type="dxa"/>
            <w:gridSpan w:val="2"/>
            <w:tcBorders>
              <w:top w:val="single" w:color="auto" w:sz="4" w:space="0"/>
              <w:left w:val="single" w:color="auto" w:sz="4" w:space="0"/>
              <w:bottom w:val="single" w:color="auto" w:sz="4" w:space="0"/>
              <w:right w:val="single" w:color="auto" w:sz="4" w:space="0"/>
            </w:tcBorders>
            <w:vAlign w:val="center"/>
          </w:tcPr>
          <w:p w14:paraId="3364AC9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bCs/>
                <w:sz w:val="24"/>
                <w:highlight w:val="none"/>
              </w:rPr>
            </w:pPr>
            <w:bookmarkStart w:id="163" w:name="OLE_LINK35"/>
            <w:r>
              <w:rPr>
                <w:rFonts w:hint="eastAsia" w:ascii="仿宋" w:hAnsi="仿宋" w:eastAsia="仿宋" w:cs="宋体"/>
                <w:bCs/>
                <w:sz w:val="24"/>
                <w:highlight w:val="none"/>
              </w:rPr>
              <w:t>（1）主要投标产品（单一</w:t>
            </w:r>
            <w:r>
              <w:rPr>
                <w:rFonts w:hint="eastAsia" w:ascii="仿宋" w:hAnsi="仿宋" w:eastAsia="仿宋" w:cs="宋体"/>
                <w:sz w:val="24"/>
                <w:highlight w:val="none"/>
              </w:rPr>
              <w:t>标项</w:t>
            </w:r>
            <w:r>
              <w:rPr>
                <w:rFonts w:hint="eastAsia" w:ascii="仿宋" w:hAnsi="仿宋" w:eastAsia="仿宋" w:cs="宋体"/>
                <w:bCs/>
                <w:sz w:val="24"/>
                <w:highlight w:val="none"/>
              </w:rPr>
              <w:t>的投标报价或产品项号数占三分之一及以上）为政府采购节能产品的，得1分（适用于非强制采购节能产品，以有效的政府采购节能产品认证证书复印件为准，投标产品需清晰反映在证书上）。</w:t>
            </w:r>
            <w:bookmarkEnd w:id="163"/>
          </w:p>
          <w:p w14:paraId="5058EAC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sz w:val="24"/>
                <w:highlight w:val="none"/>
              </w:rPr>
            </w:pPr>
            <w:r>
              <w:rPr>
                <w:rFonts w:hint="eastAsia" w:ascii="仿宋" w:hAnsi="仿宋" w:eastAsia="仿宋" w:cs="宋体"/>
                <w:bCs/>
                <w:sz w:val="24"/>
                <w:highlight w:val="none"/>
              </w:rPr>
              <w:t>（2）主要投标产品（单一</w:t>
            </w:r>
            <w:r>
              <w:rPr>
                <w:rFonts w:hint="eastAsia" w:ascii="仿宋" w:hAnsi="仿宋" w:eastAsia="仿宋" w:cs="宋体"/>
                <w:sz w:val="24"/>
                <w:highlight w:val="none"/>
              </w:rPr>
              <w:t>标项</w:t>
            </w:r>
            <w:r>
              <w:rPr>
                <w:rFonts w:hint="eastAsia" w:ascii="仿宋" w:hAnsi="仿宋" w:eastAsia="仿宋" w:cs="宋体"/>
                <w:bCs/>
                <w:sz w:val="24"/>
                <w:highlight w:val="none"/>
              </w:rPr>
              <w:t>的投标报价或产品项号数占三分之一及以上）为政府采购环境标志产品的，得1分（以有效的政府采购环境标志产品认证证书复印件为准，投标产品需清晰反映在证书上）。</w:t>
            </w:r>
          </w:p>
        </w:tc>
      </w:tr>
      <w:tr w14:paraId="0A0E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0" w:type="dxa"/>
            <w:gridSpan w:val="5"/>
            <w:tcBorders>
              <w:top w:val="single" w:color="auto" w:sz="4" w:space="0"/>
              <w:left w:val="single" w:color="auto" w:sz="4" w:space="0"/>
              <w:bottom w:val="single" w:color="auto" w:sz="4" w:space="0"/>
              <w:right w:val="single" w:color="auto" w:sz="4" w:space="0"/>
            </w:tcBorders>
            <w:vAlign w:val="center"/>
          </w:tcPr>
          <w:p w14:paraId="194C9B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b/>
                <w:bCs/>
                <w:sz w:val="24"/>
                <w:highlight w:val="none"/>
              </w:rPr>
            </w:pPr>
            <w:r>
              <w:rPr>
                <w:rFonts w:hint="eastAsia" w:ascii="仿宋" w:hAnsi="仿宋" w:eastAsia="仿宋" w:cs="宋体"/>
                <w:b/>
                <w:bCs/>
                <w:sz w:val="24"/>
                <w:highlight w:val="none"/>
              </w:rPr>
              <w:t>总得分=1+2+3</w:t>
            </w:r>
            <w:r>
              <w:rPr>
                <w:rFonts w:hint="eastAsia" w:ascii="仿宋" w:hAnsi="仿宋" w:eastAsia="仿宋" w:cs="宋体"/>
                <w:b/>
                <w:bCs/>
                <w:sz w:val="24"/>
                <w:highlight w:val="none"/>
                <w:lang w:val="en-US" w:eastAsia="zh-CN"/>
              </w:rPr>
              <w:t>+4</w:t>
            </w:r>
            <w:r>
              <w:rPr>
                <w:rFonts w:hint="eastAsia" w:ascii="仿宋" w:hAnsi="仿宋" w:eastAsia="仿宋" w:cs="宋体"/>
                <w:b/>
                <w:bCs/>
                <w:sz w:val="24"/>
                <w:highlight w:val="none"/>
              </w:rPr>
              <w:t>。</w:t>
            </w:r>
          </w:p>
          <w:p w14:paraId="7E8B66D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bCs/>
                <w:sz w:val="24"/>
                <w:highlight w:val="none"/>
              </w:rPr>
            </w:pPr>
            <w:r>
              <w:rPr>
                <w:rFonts w:hint="eastAsia" w:ascii="仿宋" w:hAnsi="仿宋" w:eastAsia="仿宋" w:cs="宋体"/>
                <w:bCs/>
                <w:sz w:val="24"/>
                <w:highlight w:val="none"/>
              </w:rPr>
              <w:t>注：1.计分方法按四舍五入取至百分位；</w:t>
            </w:r>
          </w:p>
          <w:p w14:paraId="40F9988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宋体"/>
                <w:bCs/>
                <w:sz w:val="24"/>
                <w:highlight w:val="none"/>
              </w:rPr>
            </w:pPr>
            <w:r>
              <w:rPr>
                <w:rFonts w:hint="eastAsia" w:ascii="仿宋" w:hAnsi="仿宋" w:eastAsia="仿宋" w:cs="宋体"/>
                <w:bCs/>
                <w:sz w:val="24"/>
                <w:highlight w:val="none"/>
              </w:rPr>
              <w:t xml:space="preserve">    2.因落实政府采购政策进行价格调整的，以调整后的价格计算评标基准价和投标报价。</w:t>
            </w:r>
          </w:p>
        </w:tc>
      </w:tr>
    </w:tbl>
    <w:p w14:paraId="6A7B8311">
      <w:pPr>
        <w:pStyle w:val="4"/>
        <w:keepNext w:val="0"/>
        <w:keepLines w:val="0"/>
        <w:spacing w:before="0" w:after="0" w:line="415" w:lineRule="auto"/>
        <w:jc w:val="center"/>
        <w:rPr>
          <w:rFonts w:hint="eastAsia" w:ascii="仿宋" w:hAnsi="仿宋" w:eastAsia="仿宋"/>
          <w:sz w:val="30"/>
          <w:szCs w:val="30"/>
          <w:highlight w:val="none"/>
        </w:rPr>
      </w:pPr>
      <w:r>
        <w:rPr>
          <w:rFonts w:ascii="仿宋" w:hAnsi="仿宋" w:eastAsia="仿宋"/>
          <w:highlight w:val="none"/>
        </w:rPr>
        <w:br w:type="page"/>
      </w:r>
      <w:r>
        <w:rPr>
          <w:rFonts w:hint="eastAsia" w:ascii="仿宋" w:hAnsi="仿宋" w:eastAsia="仿宋"/>
          <w:sz w:val="30"/>
          <w:szCs w:val="30"/>
          <w:highlight w:val="none"/>
        </w:rPr>
        <w:t>四、中标候选人推荐原则</w:t>
      </w:r>
    </w:p>
    <w:p w14:paraId="527C9BEB">
      <w:pPr>
        <w:pStyle w:val="25"/>
        <w:rPr>
          <w:rFonts w:hint="eastAsia"/>
          <w:highlight w:val="none"/>
        </w:rPr>
      </w:pPr>
      <w:r>
        <w:rPr>
          <w:rFonts w:hint="eastAsia"/>
          <w:highlight w:val="none"/>
        </w:rPr>
        <w:t>（一）综合评分法</w:t>
      </w:r>
    </w:p>
    <w:p w14:paraId="1FD0EC2C">
      <w:pPr>
        <w:pStyle w:val="25"/>
        <w:rPr>
          <w:rFonts w:hint="eastAsia"/>
          <w:highlight w:val="none"/>
        </w:rPr>
      </w:pPr>
      <w:r>
        <w:rPr>
          <w:rFonts w:hint="eastAsia"/>
          <w:highlight w:val="none"/>
        </w:rPr>
        <w:t>评标委员会将根据得分由高到低排列次序（得分相同时，以投标报价由低到高顺序排列；得分相同且投标报价相同的，按技术、商务、政策功能得分由高到低顺序排列）并推荐三名中标候选供应商。招标采购人应当确定评审委员会推荐排名第一的中标候选人为中标人。排名第一的中标候选人放弃中标、因不可抗力提出不能履行合同，或者招标文件规定应当提交履约保证金而在规定的期限内未能提交的，招标采购人可以确定排名第二的中标候选人为中标人。排名第二的中标候选人因前款规定的同样原因不能签订合同的，招标采购人可以确定排名第三的中标候选人为中标人。</w:t>
      </w:r>
    </w:p>
    <w:p w14:paraId="6E7F90CE">
      <w:pPr>
        <w:pStyle w:val="2"/>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szCs w:val="44"/>
          <w:highlight w:val="none"/>
        </w:rPr>
      </w:pPr>
      <w:r>
        <w:rPr>
          <w:rFonts w:ascii="仿宋" w:hAnsi="仿宋" w:eastAsia="仿宋"/>
          <w:highlight w:val="none"/>
        </w:rPr>
        <w:br w:type="page"/>
      </w:r>
      <w:bookmarkStart w:id="164" w:name="_Toc24990"/>
      <w:r>
        <w:rPr>
          <w:rFonts w:hint="eastAsia" w:ascii="仿宋" w:hAnsi="仿宋" w:eastAsia="仿宋" w:cs="仿宋"/>
          <w:highlight w:val="none"/>
        </w:rPr>
        <w:t>第五章  拟签订的合同文本</w:t>
      </w:r>
      <w:bookmarkEnd w:id="164"/>
    </w:p>
    <w:p w14:paraId="6F983F53">
      <w:pPr>
        <w:snapToGrid w:val="0"/>
        <w:spacing w:line="420" w:lineRule="exact"/>
        <w:ind w:right="480" w:firstLine="480" w:firstLineChars="200"/>
        <w:rPr>
          <w:rFonts w:hint="eastAsia" w:ascii="仿宋" w:hAnsi="仿宋" w:eastAsia="仿宋"/>
          <w:bCs/>
          <w:sz w:val="24"/>
          <w:highlight w:val="none"/>
          <w:u w:val="single"/>
        </w:rPr>
      </w:pPr>
      <w:r>
        <w:rPr>
          <w:rFonts w:hint="eastAsia" w:ascii="仿宋" w:hAnsi="仿宋" w:eastAsia="仿宋"/>
          <w:bCs/>
          <w:sz w:val="24"/>
          <w:highlight w:val="none"/>
        </w:rPr>
        <w:t>合同编号：</w:t>
      </w:r>
    </w:p>
    <w:p w14:paraId="09B0C48B">
      <w:pPr>
        <w:snapToGrid w:val="0"/>
        <w:spacing w:line="400" w:lineRule="exact"/>
        <w:ind w:firstLine="480" w:firstLineChars="200"/>
        <w:rPr>
          <w:rFonts w:hint="eastAsia" w:ascii="仿宋" w:hAnsi="仿宋" w:eastAsia="仿宋"/>
          <w:sz w:val="24"/>
          <w:highlight w:val="none"/>
          <w:u w:val="single"/>
        </w:rPr>
      </w:pPr>
      <w:r>
        <w:rPr>
          <w:rFonts w:hint="eastAsia" w:ascii="仿宋" w:hAnsi="仿宋" w:eastAsia="仿宋"/>
          <w:sz w:val="24"/>
          <w:highlight w:val="none"/>
        </w:rPr>
        <w:t>采购人（甲方）</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r>
        <w:rPr>
          <w:rFonts w:ascii="仿宋" w:hAnsi="仿宋" w:eastAsia="仿宋"/>
          <w:sz w:val="24"/>
          <w:highlight w:val="none"/>
        </w:rPr>
        <w:t xml:space="preserve"> </w:t>
      </w:r>
      <w:r>
        <w:rPr>
          <w:rFonts w:hint="eastAsia" w:ascii="仿宋" w:hAnsi="仿宋" w:eastAsia="仿宋"/>
          <w:spacing w:val="-20"/>
          <w:sz w:val="24"/>
          <w:highlight w:val="none"/>
        </w:rPr>
        <w:t>采 购 计 划 号</w:t>
      </w:r>
      <w:r>
        <w:rPr>
          <w:rFonts w:hint="eastAsia" w:ascii="仿宋" w:hAnsi="仿宋" w:eastAsia="仿宋"/>
          <w:sz w:val="24"/>
          <w:highlight w:val="none"/>
          <w:u w:val="single"/>
        </w:rPr>
        <w:t xml:space="preserve">             </w:t>
      </w:r>
    </w:p>
    <w:p w14:paraId="2983D447">
      <w:pPr>
        <w:snapToGrid w:val="0"/>
        <w:spacing w:line="400" w:lineRule="exact"/>
        <w:ind w:firstLine="480" w:firstLineChars="200"/>
        <w:rPr>
          <w:rFonts w:hint="eastAsia" w:ascii="仿宋" w:hAnsi="仿宋" w:eastAsia="仿宋"/>
          <w:sz w:val="24"/>
          <w:highlight w:val="none"/>
          <w:u w:val="single"/>
        </w:rPr>
      </w:pPr>
      <w:r>
        <w:rPr>
          <w:rFonts w:hint="eastAsia" w:ascii="仿宋" w:hAnsi="仿宋" w:eastAsia="仿宋"/>
          <w:sz w:val="24"/>
          <w:highlight w:val="none"/>
        </w:rPr>
        <w:t>供 应 商（乙方）</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r>
        <w:rPr>
          <w:rFonts w:hint="eastAsia" w:ascii="仿宋" w:hAnsi="仿宋" w:eastAsia="仿宋"/>
          <w:spacing w:val="-20"/>
          <w:sz w:val="24"/>
          <w:highlight w:val="none"/>
        </w:rPr>
        <w:t>招  标  编  号</w:t>
      </w:r>
      <w:r>
        <w:rPr>
          <w:rFonts w:hint="eastAsia" w:ascii="仿宋" w:hAnsi="仿宋" w:eastAsia="仿宋"/>
          <w:sz w:val="24"/>
          <w:highlight w:val="none"/>
          <w:u w:val="single"/>
        </w:rPr>
        <w:t xml:space="preserve">             </w:t>
      </w:r>
    </w:p>
    <w:p w14:paraId="5038D3B1">
      <w:pPr>
        <w:snapToGrid w:val="0"/>
        <w:spacing w:line="400" w:lineRule="exact"/>
        <w:ind w:firstLine="480" w:firstLineChars="200"/>
        <w:rPr>
          <w:rFonts w:hint="eastAsia" w:ascii="仿宋" w:hAnsi="仿宋" w:eastAsia="仿宋"/>
          <w:sz w:val="24"/>
          <w:highlight w:val="none"/>
          <w:u w:val="single"/>
        </w:rPr>
      </w:pPr>
      <w:r>
        <w:rPr>
          <w:rFonts w:hint="eastAsia" w:ascii="仿宋" w:hAnsi="仿宋" w:eastAsia="仿宋"/>
          <w:sz w:val="24"/>
          <w:highlight w:val="none"/>
        </w:rPr>
        <w:t xml:space="preserve">签  订  地  点  </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签 订 时 间</w:t>
      </w:r>
      <w:r>
        <w:rPr>
          <w:rFonts w:hint="eastAsia" w:ascii="仿宋" w:hAnsi="仿宋" w:eastAsia="仿宋"/>
          <w:sz w:val="24"/>
          <w:highlight w:val="none"/>
          <w:u w:val="single"/>
        </w:rPr>
        <w:t xml:space="preserve">             </w:t>
      </w:r>
    </w:p>
    <w:p w14:paraId="7BFA80BB">
      <w:pPr>
        <w:spacing w:line="440" w:lineRule="exact"/>
        <w:ind w:firstLine="480" w:firstLineChars="200"/>
        <w:rPr>
          <w:rFonts w:hint="eastAsia" w:ascii="仿宋" w:hAnsi="仿宋" w:eastAsia="仿宋" w:cs="宋体"/>
          <w:sz w:val="24"/>
          <w:highlight w:val="none"/>
        </w:rPr>
      </w:pPr>
      <w:r>
        <w:rPr>
          <w:rFonts w:hint="eastAsia" w:ascii="仿宋" w:hAnsi="仿宋" w:eastAsia="仿宋" w:cs="宋体"/>
          <w:sz w:val="24"/>
          <w:highlight w:val="none"/>
        </w:rPr>
        <w:t>本合同为中小企业预留合同：</w:t>
      </w:r>
      <w:r>
        <w:rPr>
          <w:rFonts w:hint="eastAsia" w:ascii="仿宋" w:hAnsi="仿宋" w:eastAsia="仿宋" w:cs="宋体"/>
          <w:sz w:val="24"/>
          <w:highlight w:val="none"/>
          <w:u w:val="single"/>
        </w:rPr>
        <w:t xml:space="preserve">（否） </w:t>
      </w:r>
      <w:r>
        <w:rPr>
          <w:rFonts w:hint="eastAsia" w:ascii="仿宋" w:hAnsi="仿宋" w:eastAsia="仿宋" w:cs="宋体"/>
          <w:sz w:val="24"/>
          <w:highlight w:val="none"/>
        </w:rPr>
        <w:t>。</w:t>
      </w:r>
    </w:p>
    <w:p w14:paraId="00B04992">
      <w:pPr>
        <w:snapToGrid w:val="0"/>
        <w:spacing w:line="440" w:lineRule="exact"/>
        <w:ind w:firstLine="480" w:firstLineChars="200"/>
        <w:rPr>
          <w:rFonts w:hint="eastAsia" w:ascii="仿宋" w:hAnsi="仿宋" w:eastAsia="仿宋"/>
          <w:sz w:val="24"/>
          <w:highlight w:val="none"/>
        </w:rPr>
      </w:pPr>
      <w:r>
        <w:rPr>
          <w:rFonts w:hint="eastAsia" w:ascii="仿宋" w:hAnsi="仿宋" w:eastAsia="仿宋"/>
          <w:sz w:val="24"/>
          <w:highlight w:val="none"/>
        </w:rPr>
        <w:t>根据《中华人民共和国政府采购法》、《中华人民共和国民法典》等法律、法规规定，按照招标文件规定条款和中标供应商承诺，甲乙双方签订本合同。</w:t>
      </w:r>
    </w:p>
    <w:p w14:paraId="0DD69676">
      <w:pPr>
        <w:spacing w:line="460" w:lineRule="exact"/>
        <w:ind w:firstLine="482" w:firstLineChars="200"/>
        <w:jc w:val="left"/>
        <w:rPr>
          <w:rFonts w:hint="eastAsia" w:ascii="仿宋" w:hAnsi="仿宋" w:eastAsia="仿宋" w:cs="宋体"/>
          <w:b/>
          <w:sz w:val="24"/>
          <w:highlight w:val="none"/>
        </w:rPr>
      </w:pPr>
      <w:r>
        <w:rPr>
          <w:rFonts w:hint="eastAsia" w:ascii="仿宋" w:hAnsi="仿宋" w:eastAsia="仿宋" w:cs="宋体"/>
          <w:b/>
          <w:sz w:val="24"/>
          <w:highlight w:val="none"/>
        </w:rPr>
        <w:t>1、合同主要条款</w:t>
      </w:r>
    </w:p>
    <w:p w14:paraId="7FB9067F">
      <w:pPr>
        <w:spacing w:line="400" w:lineRule="exact"/>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 xml:space="preserve">第一条 合同标的及合同金额 </w:t>
      </w:r>
    </w:p>
    <w:p w14:paraId="37094258">
      <w:pPr>
        <w:spacing w:line="400" w:lineRule="exact"/>
        <w:ind w:firstLine="480" w:firstLineChars="200"/>
        <w:rPr>
          <w:rFonts w:hint="eastAsia" w:ascii="仿宋" w:hAnsi="仿宋" w:eastAsia="仿宋" w:cs="仿宋"/>
          <w:b/>
          <w:bCs/>
          <w:sz w:val="24"/>
          <w:highlight w:val="none"/>
        </w:rPr>
      </w:pPr>
      <w:r>
        <w:rPr>
          <w:rFonts w:hint="eastAsia" w:ascii="仿宋" w:hAnsi="仿宋" w:eastAsia="仿宋" w:cs="仿宋"/>
          <w:sz w:val="24"/>
          <w:highlight w:val="none"/>
        </w:rPr>
        <w:t>甲方向乙方购买</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见下表）；设备配置包括但不限于双方签字（甲方为使用科室签字）确认的清单（清单附后），该配置必须同时满足乙方在投标文件中所有的响应条款以及在采购和商务谈判过程中做出的所有承诺，并综合配置清单、招标文件及投标文件承诺中的条款进行验收。</w:t>
      </w:r>
    </w:p>
    <w:tbl>
      <w:tblPr>
        <w:tblStyle w:val="49"/>
        <w:tblW w:w="9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840"/>
        <w:gridCol w:w="2089"/>
        <w:gridCol w:w="1621"/>
        <w:gridCol w:w="684"/>
        <w:gridCol w:w="529"/>
        <w:gridCol w:w="1153"/>
        <w:gridCol w:w="2402"/>
      </w:tblGrid>
      <w:tr w14:paraId="5DAB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07750FEC">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序号</w:t>
            </w:r>
          </w:p>
        </w:tc>
        <w:tc>
          <w:tcPr>
            <w:tcW w:w="840" w:type="dxa"/>
            <w:tcBorders>
              <w:top w:val="single" w:color="auto" w:sz="4" w:space="0"/>
              <w:left w:val="single" w:color="auto" w:sz="4" w:space="0"/>
              <w:bottom w:val="single" w:color="auto" w:sz="4" w:space="0"/>
              <w:right w:val="single" w:color="auto" w:sz="4" w:space="0"/>
            </w:tcBorders>
            <w:vAlign w:val="center"/>
          </w:tcPr>
          <w:p w14:paraId="7998794C">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货物名称</w:t>
            </w:r>
          </w:p>
        </w:tc>
        <w:tc>
          <w:tcPr>
            <w:tcW w:w="2089" w:type="dxa"/>
            <w:tcBorders>
              <w:top w:val="single" w:color="auto" w:sz="4" w:space="0"/>
              <w:left w:val="single" w:color="auto" w:sz="4" w:space="0"/>
              <w:bottom w:val="single" w:color="auto" w:sz="4" w:space="0"/>
              <w:right w:val="single" w:color="auto" w:sz="4" w:space="0"/>
            </w:tcBorders>
            <w:vAlign w:val="center"/>
          </w:tcPr>
          <w:p w14:paraId="2AC7CFE8">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生产厂家、品牌、规格型号</w:t>
            </w:r>
          </w:p>
        </w:tc>
        <w:tc>
          <w:tcPr>
            <w:tcW w:w="1621" w:type="dxa"/>
            <w:tcBorders>
              <w:top w:val="single" w:color="auto" w:sz="4" w:space="0"/>
              <w:left w:val="single" w:color="auto" w:sz="4" w:space="0"/>
              <w:bottom w:val="single" w:color="auto" w:sz="4" w:space="0"/>
              <w:right w:val="single" w:color="auto" w:sz="4" w:space="0"/>
            </w:tcBorders>
            <w:vAlign w:val="center"/>
          </w:tcPr>
          <w:p w14:paraId="3E5F438A">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技术参数性能指标等</w:t>
            </w:r>
          </w:p>
        </w:tc>
        <w:tc>
          <w:tcPr>
            <w:tcW w:w="684" w:type="dxa"/>
            <w:tcBorders>
              <w:top w:val="single" w:color="auto" w:sz="4" w:space="0"/>
              <w:left w:val="single" w:color="auto" w:sz="4" w:space="0"/>
              <w:bottom w:val="single" w:color="auto" w:sz="4" w:space="0"/>
              <w:right w:val="single" w:color="auto" w:sz="4" w:space="0"/>
            </w:tcBorders>
            <w:vAlign w:val="center"/>
          </w:tcPr>
          <w:p w14:paraId="3D926038">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数量①</w:t>
            </w:r>
          </w:p>
        </w:tc>
        <w:tc>
          <w:tcPr>
            <w:tcW w:w="529" w:type="dxa"/>
            <w:tcBorders>
              <w:top w:val="single" w:color="auto" w:sz="4" w:space="0"/>
              <w:left w:val="single" w:color="auto" w:sz="4" w:space="0"/>
              <w:bottom w:val="single" w:color="auto" w:sz="4" w:space="0"/>
              <w:right w:val="single" w:color="auto" w:sz="4" w:space="0"/>
            </w:tcBorders>
            <w:vAlign w:val="center"/>
          </w:tcPr>
          <w:p w14:paraId="7A321143">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单位</w:t>
            </w:r>
          </w:p>
        </w:tc>
        <w:tc>
          <w:tcPr>
            <w:tcW w:w="1153" w:type="dxa"/>
            <w:tcBorders>
              <w:top w:val="single" w:color="auto" w:sz="4" w:space="0"/>
              <w:left w:val="single" w:color="auto" w:sz="4" w:space="0"/>
              <w:bottom w:val="single" w:color="auto" w:sz="4" w:space="0"/>
              <w:right w:val="single" w:color="auto" w:sz="4" w:space="0"/>
            </w:tcBorders>
            <w:vAlign w:val="center"/>
          </w:tcPr>
          <w:p w14:paraId="383320D7">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单价（元）②</w:t>
            </w:r>
          </w:p>
        </w:tc>
        <w:tc>
          <w:tcPr>
            <w:tcW w:w="2402" w:type="dxa"/>
            <w:tcBorders>
              <w:top w:val="single" w:color="auto" w:sz="4" w:space="0"/>
              <w:left w:val="single" w:color="auto" w:sz="4" w:space="0"/>
              <w:bottom w:val="single" w:color="auto" w:sz="4" w:space="0"/>
              <w:right w:val="single" w:color="auto" w:sz="4" w:space="0"/>
            </w:tcBorders>
            <w:vAlign w:val="center"/>
          </w:tcPr>
          <w:p w14:paraId="75E552BD">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单项合计 =数量×单价＝①×②</w:t>
            </w:r>
          </w:p>
        </w:tc>
      </w:tr>
      <w:tr w14:paraId="6421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615909D7">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1</w:t>
            </w:r>
          </w:p>
        </w:tc>
        <w:tc>
          <w:tcPr>
            <w:tcW w:w="840" w:type="dxa"/>
            <w:tcBorders>
              <w:top w:val="single" w:color="auto" w:sz="4" w:space="0"/>
              <w:left w:val="single" w:color="auto" w:sz="4" w:space="0"/>
              <w:bottom w:val="single" w:color="auto" w:sz="4" w:space="0"/>
              <w:right w:val="single" w:color="auto" w:sz="4" w:space="0"/>
            </w:tcBorders>
            <w:vAlign w:val="center"/>
          </w:tcPr>
          <w:p w14:paraId="404411CF">
            <w:pPr>
              <w:spacing w:line="400" w:lineRule="exact"/>
              <w:jc w:val="center"/>
              <w:rPr>
                <w:rFonts w:hint="eastAsia" w:ascii="仿宋" w:hAnsi="仿宋" w:eastAsia="仿宋" w:cs="仿宋"/>
                <w:sz w:val="24"/>
                <w:highlight w:val="none"/>
              </w:rPr>
            </w:pPr>
          </w:p>
        </w:tc>
        <w:tc>
          <w:tcPr>
            <w:tcW w:w="2089" w:type="dxa"/>
            <w:tcBorders>
              <w:top w:val="single" w:color="auto" w:sz="4" w:space="0"/>
              <w:left w:val="single" w:color="auto" w:sz="4" w:space="0"/>
              <w:bottom w:val="single" w:color="auto" w:sz="4" w:space="0"/>
              <w:right w:val="single" w:color="auto" w:sz="4" w:space="0"/>
            </w:tcBorders>
            <w:vAlign w:val="center"/>
          </w:tcPr>
          <w:p w14:paraId="52FBE220">
            <w:pPr>
              <w:spacing w:line="400" w:lineRule="exact"/>
              <w:jc w:val="center"/>
              <w:rPr>
                <w:rFonts w:hint="eastAsia" w:ascii="仿宋" w:hAnsi="仿宋" w:eastAsia="仿宋" w:cs="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1F490E07">
            <w:pPr>
              <w:spacing w:line="400" w:lineRule="exact"/>
              <w:jc w:val="center"/>
              <w:rPr>
                <w:rFonts w:hint="eastAsia" w:ascii="仿宋" w:hAnsi="仿宋" w:eastAsia="仿宋" w:cs="仿宋"/>
                <w:sz w:val="24"/>
                <w:highlight w:val="none"/>
              </w:rPr>
            </w:pPr>
          </w:p>
        </w:tc>
        <w:tc>
          <w:tcPr>
            <w:tcW w:w="684" w:type="dxa"/>
            <w:tcBorders>
              <w:top w:val="single" w:color="auto" w:sz="4" w:space="0"/>
              <w:left w:val="single" w:color="auto" w:sz="4" w:space="0"/>
              <w:bottom w:val="single" w:color="auto" w:sz="4" w:space="0"/>
              <w:right w:val="single" w:color="auto" w:sz="4" w:space="0"/>
            </w:tcBorders>
            <w:vAlign w:val="center"/>
          </w:tcPr>
          <w:p w14:paraId="63D0FE6F">
            <w:pPr>
              <w:spacing w:line="400" w:lineRule="exact"/>
              <w:jc w:val="center"/>
              <w:rPr>
                <w:rFonts w:hint="eastAsia" w:ascii="仿宋" w:hAnsi="仿宋" w:eastAsia="仿宋" w:cs="仿宋"/>
                <w:sz w:val="24"/>
                <w:highlight w:val="none"/>
              </w:rPr>
            </w:pPr>
          </w:p>
        </w:tc>
        <w:tc>
          <w:tcPr>
            <w:tcW w:w="529" w:type="dxa"/>
            <w:tcBorders>
              <w:top w:val="single" w:color="auto" w:sz="4" w:space="0"/>
              <w:left w:val="single" w:color="auto" w:sz="4" w:space="0"/>
              <w:bottom w:val="single" w:color="auto" w:sz="4" w:space="0"/>
              <w:right w:val="single" w:color="auto" w:sz="4" w:space="0"/>
            </w:tcBorders>
            <w:vAlign w:val="center"/>
          </w:tcPr>
          <w:p w14:paraId="1E666758">
            <w:pPr>
              <w:spacing w:line="400" w:lineRule="exact"/>
              <w:jc w:val="center"/>
              <w:rPr>
                <w:rFonts w:hint="eastAsia" w:ascii="仿宋" w:hAnsi="仿宋" w:eastAsia="仿宋" w:cs="仿宋"/>
                <w:sz w:val="24"/>
                <w:highlight w:val="none"/>
              </w:rPr>
            </w:pPr>
          </w:p>
        </w:tc>
        <w:tc>
          <w:tcPr>
            <w:tcW w:w="1153" w:type="dxa"/>
            <w:tcBorders>
              <w:top w:val="single" w:color="auto" w:sz="4" w:space="0"/>
              <w:left w:val="single" w:color="auto" w:sz="4" w:space="0"/>
              <w:bottom w:val="single" w:color="auto" w:sz="4" w:space="0"/>
              <w:right w:val="single" w:color="auto" w:sz="4" w:space="0"/>
            </w:tcBorders>
            <w:vAlign w:val="center"/>
          </w:tcPr>
          <w:p w14:paraId="55FA050D">
            <w:pPr>
              <w:spacing w:line="400" w:lineRule="exact"/>
              <w:jc w:val="center"/>
              <w:rPr>
                <w:rFonts w:hint="eastAsia" w:ascii="仿宋" w:hAnsi="仿宋" w:eastAsia="仿宋" w:cs="仿宋"/>
                <w:sz w:val="24"/>
                <w:highlight w:val="none"/>
              </w:rPr>
            </w:pPr>
          </w:p>
        </w:tc>
        <w:tc>
          <w:tcPr>
            <w:tcW w:w="2402" w:type="dxa"/>
            <w:tcBorders>
              <w:top w:val="single" w:color="auto" w:sz="4" w:space="0"/>
              <w:left w:val="single" w:color="auto" w:sz="4" w:space="0"/>
              <w:bottom w:val="single" w:color="auto" w:sz="4" w:space="0"/>
              <w:right w:val="single" w:color="auto" w:sz="4" w:space="0"/>
            </w:tcBorders>
            <w:vAlign w:val="center"/>
          </w:tcPr>
          <w:p w14:paraId="11FA4EBC">
            <w:pPr>
              <w:spacing w:line="400" w:lineRule="exact"/>
              <w:jc w:val="center"/>
              <w:rPr>
                <w:rFonts w:hint="eastAsia" w:ascii="仿宋" w:hAnsi="仿宋" w:eastAsia="仿宋" w:cs="仿宋"/>
                <w:sz w:val="24"/>
                <w:highlight w:val="none"/>
              </w:rPr>
            </w:pPr>
          </w:p>
        </w:tc>
      </w:tr>
      <w:tr w14:paraId="7F70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4123CB31">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2</w:t>
            </w:r>
          </w:p>
        </w:tc>
        <w:tc>
          <w:tcPr>
            <w:tcW w:w="840" w:type="dxa"/>
            <w:tcBorders>
              <w:top w:val="single" w:color="auto" w:sz="4" w:space="0"/>
              <w:left w:val="single" w:color="auto" w:sz="4" w:space="0"/>
              <w:bottom w:val="single" w:color="auto" w:sz="4" w:space="0"/>
              <w:right w:val="single" w:color="auto" w:sz="4" w:space="0"/>
            </w:tcBorders>
            <w:vAlign w:val="center"/>
          </w:tcPr>
          <w:p w14:paraId="0A5528C9">
            <w:pPr>
              <w:spacing w:line="400" w:lineRule="exact"/>
              <w:jc w:val="center"/>
              <w:rPr>
                <w:rFonts w:hint="eastAsia" w:ascii="仿宋" w:hAnsi="仿宋" w:eastAsia="仿宋" w:cs="仿宋"/>
                <w:sz w:val="24"/>
                <w:highlight w:val="none"/>
              </w:rPr>
            </w:pPr>
          </w:p>
        </w:tc>
        <w:tc>
          <w:tcPr>
            <w:tcW w:w="2089" w:type="dxa"/>
            <w:tcBorders>
              <w:top w:val="single" w:color="auto" w:sz="4" w:space="0"/>
              <w:left w:val="single" w:color="auto" w:sz="4" w:space="0"/>
              <w:bottom w:val="single" w:color="auto" w:sz="4" w:space="0"/>
              <w:right w:val="single" w:color="auto" w:sz="4" w:space="0"/>
            </w:tcBorders>
            <w:vAlign w:val="center"/>
          </w:tcPr>
          <w:p w14:paraId="38B568B6">
            <w:pPr>
              <w:spacing w:line="400" w:lineRule="exact"/>
              <w:jc w:val="center"/>
              <w:rPr>
                <w:rFonts w:hint="eastAsia" w:ascii="仿宋" w:hAnsi="仿宋" w:eastAsia="仿宋" w:cs="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21D06906">
            <w:pPr>
              <w:spacing w:line="400" w:lineRule="exact"/>
              <w:jc w:val="center"/>
              <w:rPr>
                <w:rFonts w:hint="eastAsia" w:ascii="仿宋" w:hAnsi="仿宋" w:eastAsia="仿宋" w:cs="仿宋"/>
                <w:sz w:val="24"/>
                <w:highlight w:val="none"/>
              </w:rPr>
            </w:pPr>
          </w:p>
        </w:tc>
        <w:tc>
          <w:tcPr>
            <w:tcW w:w="684" w:type="dxa"/>
            <w:tcBorders>
              <w:top w:val="single" w:color="auto" w:sz="4" w:space="0"/>
              <w:left w:val="single" w:color="auto" w:sz="4" w:space="0"/>
              <w:bottom w:val="single" w:color="auto" w:sz="4" w:space="0"/>
              <w:right w:val="single" w:color="auto" w:sz="4" w:space="0"/>
            </w:tcBorders>
            <w:vAlign w:val="center"/>
          </w:tcPr>
          <w:p w14:paraId="3C057601">
            <w:pPr>
              <w:spacing w:line="400" w:lineRule="exact"/>
              <w:jc w:val="center"/>
              <w:rPr>
                <w:rFonts w:hint="eastAsia" w:ascii="仿宋" w:hAnsi="仿宋" w:eastAsia="仿宋" w:cs="仿宋"/>
                <w:sz w:val="24"/>
                <w:highlight w:val="none"/>
              </w:rPr>
            </w:pPr>
          </w:p>
        </w:tc>
        <w:tc>
          <w:tcPr>
            <w:tcW w:w="529" w:type="dxa"/>
            <w:tcBorders>
              <w:top w:val="single" w:color="auto" w:sz="4" w:space="0"/>
              <w:left w:val="single" w:color="auto" w:sz="4" w:space="0"/>
              <w:bottom w:val="single" w:color="auto" w:sz="4" w:space="0"/>
              <w:right w:val="single" w:color="auto" w:sz="4" w:space="0"/>
            </w:tcBorders>
            <w:vAlign w:val="center"/>
          </w:tcPr>
          <w:p w14:paraId="1817CDB8">
            <w:pPr>
              <w:spacing w:line="400" w:lineRule="exact"/>
              <w:jc w:val="center"/>
              <w:rPr>
                <w:rFonts w:hint="eastAsia" w:ascii="仿宋" w:hAnsi="仿宋" w:eastAsia="仿宋" w:cs="仿宋"/>
                <w:sz w:val="24"/>
                <w:highlight w:val="none"/>
              </w:rPr>
            </w:pPr>
          </w:p>
        </w:tc>
        <w:tc>
          <w:tcPr>
            <w:tcW w:w="1153" w:type="dxa"/>
            <w:tcBorders>
              <w:top w:val="single" w:color="auto" w:sz="4" w:space="0"/>
              <w:left w:val="single" w:color="auto" w:sz="4" w:space="0"/>
              <w:bottom w:val="single" w:color="auto" w:sz="4" w:space="0"/>
              <w:right w:val="single" w:color="auto" w:sz="4" w:space="0"/>
            </w:tcBorders>
            <w:vAlign w:val="center"/>
          </w:tcPr>
          <w:p w14:paraId="4FF2D049">
            <w:pPr>
              <w:spacing w:line="400" w:lineRule="exact"/>
              <w:jc w:val="center"/>
              <w:rPr>
                <w:rFonts w:hint="eastAsia" w:ascii="仿宋" w:hAnsi="仿宋" w:eastAsia="仿宋" w:cs="仿宋"/>
                <w:sz w:val="24"/>
                <w:highlight w:val="none"/>
              </w:rPr>
            </w:pPr>
          </w:p>
        </w:tc>
        <w:tc>
          <w:tcPr>
            <w:tcW w:w="2402" w:type="dxa"/>
            <w:tcBorders>
              <w:top w:val="single" w:color="auto" w:sz="4" w:space="0"/>
              <w:left w:val="single" w:color="auto" w:sz="4" w:space="0"/>
              <w:bottom w:val="single" w:color="auto" w:sz="4" w:space="0"/>
              <w:right w:val="single" w:color="auto" w:sz="4" w:space="0"/>
            </w:tcBorders>
            <w:vAlign w:val="center"/>
          </w:tcPr>
          <w:p w14:paraId="3119C84C">
            <w:pPr>
              <w:spacing w:line="400" w:lineRule="exact"/>
              <w:jc w:val="center"/>
              <w:rPr>
                <w:rFonts w:hint="eastAsia" w:ascii="仿宋" w:hAnsi="仿宋" w:eastAsia="仿宋" w:cs="仿宋"/>
                <w:sz w:val="24"/>
                <w:highlight w:val="none"/>
              </w:rPr>
            </w:pPr>
          </w:p>
        </w:tc>
      </w:tr>
      <w:tr w14:paraId="5E53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4F42D7B2">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w:t>
            </w:r>
          </w:p>
        </w:tc>
        <w:tc>
          <w:tcPr>
            <w:tcW w:w="840" w:type="dxa"/>
            <w:tcBorders>
              <w:top w:val="single" w:color="auto" w:sz="4" w:space="0"/>
              <w:left w:val="single" w:color="auto" w:sz="4" w:space="0"/>
              <w:bottom w:val="single" w:color="auto" w:sz="4" w:space="0"/>
              <w:right w:val="single" w:color="auto" w:sz="4" w:space="0"/>
            </w:tcBorders>
            <w:vAlign w:val="center"/>
          </w:tcPr>
          <w:p w14:paraId="0003C5E3">
            <w:pPr>
              <w:spacing w:line="400" w:lineRule="exact"/>
              <w:jc w:val="center"/>
              <w:rPr>
                <w:rFonts w:hint="eastAsia" w:ascii="仿宋" w:hAnsi="仿宋" w:eastAsia="仿宋" w:cs="仿宋"/>
                <w:sz w:val="24"/>
                <w:highlight w:val="none"/>
              </w:rPr>
            </w:pPr>
          </w:p>
        </w:tc>
        <w:tc>
          <w:tcPr>
            <w:tcW w:w="2089" w:type="dxa"/>
            <w:tcBorders>
              <w:top w:val="single" w:color="auto" w:sz="4" w:space="0"/>
              <w:left w:val="single" w:color="auto" w:sz="4" w:space="0"/>
              <w:bottom w:val="single" w:color="auto" w:sz="4" w:space="0"/>
              <w:right w:val="single" w:color="auto" w:sz="4" w:space="0"/>
            </w:tcBorders>
            <w:vAlign w:val="center"/>
          </w:tcPr>
          <w:p w14:paraId="6CC78D43">
            <w:pPr>
              <w:spacing w:line="400" w:lineRule="exact"/>
              <w:jc w:val="center"/>
              <w:rPr>
                <w:rFonts w:hint="eastAsia" w:ascii="仿宋" w:hAnsi="仿宋" w:eastAsia="仿宋" w:cs="仿宋"/>
                <w:sz w:val="24"/>
                <w:highlight w:val="none"/>
              </w:rPr>
            </w:pPr>
          </w:p>
        </w:tc>
        <w:tc>
          <w:tcPr>
            <w:tcW w:w="1621" w:type="dxa"/>
            <w:tcBorders>
              <w:top w:val="single" w:color="auto" w:sz="4" w:space="0"/>
              <w:left w:val="single" w:color="auto" w:sz="4" w:space="0"/>
              <w:bottom w:val="single" w:color="auto" w:sz="4" w:space="0"/>
              <w:right w:val="single" w:color="auto" w:sz="4" w:space="0"/>
            </w:tcBorders>
            <w:vAlign w:val="center"/>
          </w:tcPr>
          <w:p w14:paraId="71FC19EC">
            <w:pPr>
              <w:spacing w:line="400" w:lineRule="exact"/>
              <w:jc w:val="center"/>
              <w:rPr>
                <w:rFonts w:hint="eastAsia" w:ascii="仿宋" w:hAnsi="仿宋" w:eastAsia="仿宋" w:cs="仿宋"/>
                <w:sz w:val="24"/>
                <w:highlight w:val="none"/>
              </w:rPr>
            </w:pPr>
          </w:p>
        </w:tc>
        <w:tc>
          <w:tcPr>
            <w:tcW w:w="684" w:type="dxa"/>
            <w:tcBorders>
              <w:top w:val="single" w:color="auto" w:sz="4" w:space="0"/>
              <w:left w:val="single" w:color="auto" w:sz="4" w:space="0"/>
              <w:bottom w:val="single" w:color="auto" w:sz="4" w:space="0"/>
              <w:right w:val="single" w:color="auto" w:sz="4" w:space="0"/>
            </w:tcBorders>
            <w:vAlign w:val="center"/>
          </w:tcPr>
          <w:p w14:paraId="66AA0040">
            <w:pPr>
              <w:spacing w:line="400" w:lineRule="exact"/>
              <w:jc w:val="center"/>
              <w:rPr>
                <w:rFonts w:hint="eastAsia" w:ascii="仿宋" w:hAnsi="仿宋" w:eastAsia="仿宋" w:cs="仿宋"/>
                <w:sz w:val="24"/>
                <w:highlight w:val="none"/>
              </w:rPr>
            </w:pPr>
          </w:p>
        </w:tc>
        <w:tc>
          <w:tcPr>
            <w:tcW w:w="529" w:type="dxa"/>
            <w:tcBorders>
              <w:top w:val="single" w:color="auto" w:sz="4" w:space="0"/>
              <w:left w:val="single" w:color="auto" w:sz="4" w:space="0"/>
              <w:bottom w:val="single" w:color="auto" w:sz="4" w:space="0"/>
              <w:right w:val="single" w:color="auto" w:sz="4" w:space="0"/>
            </w:tcBorders>
            <w:vAlign w:val="center"/>
          </w:tcPr>
          <w:p w14:paraId="4C77151F">
            <w:pPr>
              <w:spacing w:line="400" w:lineRule="exact"/>
              <w:jc w:val="center"/>
              <w:rPr>
                <w:rFonts w:hint="eastAsia" w:ascii="仿宋" w:hAnsi="仿宋" w:eastAsia="仿宋" w:cs="仿宋"/>
                <w:sz w:val="24"/>
                <w:highlight w:val="none"/>
              </w:rPr>
            </w:pPr>
          </w:p>
        </w:tc>
        <w:tc>
          <w:tcPr>
            <w:tcW w:w="1153" w:type="dxa"/>
            <w:tcBorders>
              <w:top w:val="single" w:color="auto" w:sz="4" w:space="0"/>
              <w:left w:val="single" w:color="auto" w:sz="4" w:space="0"/>
              <w:bottom w:val="single" w:color="auto" w:sz="4" w:space="0"/>
              <w:right w:val="single" w:color="auto" w:sz="4" w:space="0"/>
            </w:tcBorders>
            <w:vAlign w:val="center"/>
          </w:tcPr>
          <w:p w14:paraId="144BEC6E">
            <w:pPr>
              <w:spacing w:line="400" w:lineRule="exact"/>
              <w:jc w:val="center"/>
              <w:rPr>
                <w:rFonts w:hint="eastAsia" w:ascii="仿宋" w:hAnsi="仿宋" w:eastAsia="仿宋" w:cs="仿宋"/>
                <w:sz w:val="24"/>
                <w:highlight w:val="none"/>
              </w:rPr>
            </w:pPr>
          </w:p>
        </w:tc>
        <w:tc>
          <w:tcPr>
            <w:tcW w:w="2402" w:type="dxa"/>
            <w:tcBorders>
              <w:top w:val="single" w:color="auto" w:sz="4" w:space="0"/>
              <w:left w:val="single" w:color="auto" w:sz="4" w:space="0"/>
              <w:bottom w:val="single" w:color="auto" w:sz="4" w:space="0"/>
              <w:right w:val="single" w:color="auto" w:sz="4" w:space="0"/>
            </w:tcBorders>
            <w:vAlign w:val="center"/>
          </w:tcPr>
          <w:p w14:paraId="148F900F">
            <w:pPr>
              <w:spacing w:line="400" w:lineRule="exact"/>
              <w:jc w:val="center"/>
              <w:rPr>
                <w:rFonts w:hint="eastAsia" w:ascii="仿宋" w:hAnsi="仿宋" w:eastAsia="仿宋" w:cs="仿宋"/>
                <w:sz w:val="24"/>
                <w:highlight w:val="none"/>
              </w:rPr>
            </w:pPr>
          </w:p>
        </w:tc>
      </w:tr>
      <w:tr w14:paraId="3924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444" w:type="dxa"/>
            <w:gridSpan w:val="7"/>
            <w:tcBorders>
              <w:top w:val="single" w:color="auto" w:sz="4" w:space="0"/>
              <w:left w:val="single" w:color="auto" w:sz="4" w:space="0"/>
              <w:bottom w:val="single" w:color="auto" w:sz="4" w:space="0"/>
              <w:right w:val="single" w:color="auto" w:sz="4" w:space="0"/>
            </w:tcBorders>
            <w:vAlign w:val="center"/>
          </w:tcPr>
          <w:p w14:paraId="4338D399">
            <w:pPr>
              <w:spacing w:line="400" w:lineRule="exact"/>
              <w:jc w:val="center"/>
              <w:rPr>
                <w:rFonts w:hint="eastAsia" w:ascii="仿宋" w:hAnsi="仿宋" w:eastAsia="仿宋" w:cs="仿宋"/>
                <w:sz w:val="24"/>
                <w:highlight w:val="none"/>
              </w:rPr>
            </w:pPr>
            <w:r>
              <w:rPr>
                <w:rFonts w:hint="eastAsia" w:ascii="仿宋" w:hAnsi="仿宋" w:eastAsia="仿宋" w:cs="仿宋"/>
                <w:sz w:val="24"/>
                <w:highlight w:val="none"/>
              </w:rPr>
              <w:t>合计</w:t>
            </w:r>
          </w:p>
        </w:tc>
        <w:tc>
          <w:tcPr>
            <w:tcW w:w="2402" w:type="dxa"/>
            <w:tcBorders>
              <w:top w:val="single" w:color="auto" w:sz="4" w:space="0"/>
              <w:left w:val="single" w:color="auto" w:sz="4" w:space="0"/>
              <w:bottom w:val="single" w:color="auto" w:sz="4" w:space="0"/>
              <w:right w:val="single" w:color="auto" w:sz="4" w:space="0"/>
            </w:tcBorders>
            <w:vAlign w:val="center"/>
          </w:tcPr>
          <w:p w14:paraId="380EFBD6">
            <w:pPr>
              <w:spacing w:line="400" w:lineRule="exact"/>
              <w:jc w:val="center"/>
              <w:rPr>
                <w:rFonts w:hint="eastAsia" w:ascii="仿宋" w:hAnsi="仿宋" w:eastAsia="仿宋" w:cs="仿宋"/>
                <w:sz w:val="24"/>
                <w:highlight w:val="none"/>
              </w:rPr>
            </w:pPr>
          </w:p>
        </w:tc>
      </w:tr>
    </w:tbl>
    <w:p w14:paraId="06F33231">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sz w:val="24"/>
          <w:highlight w:val="none"/>
        </w:rPr>
        <w:t>根据《中标通知书》的中标内容，合同的总金额为：（大写）</w:t>
      </w:r>
      <w:r>
        <w:rPr>
          <w:rFonts w:hint="eastAsia" w:ascii="仿宋" w:hAnsi="仿宋" w:eastAsia="仿宋" w:cs="仿宋"/>
          <w:bCs/>
          <w:sz w:val="24"/>
          <w:highlight w:val="none"/>
        </w:rPr>
        <w:t>人民币</w:t>
      </w:r>
      <w:r>
        <w:rPr>
          <w:rFonts w:hint="eastAsia" w:ascii="仿宋" w:hAnsi="仿宋" w:eastAsia="仿宋" w:cs="仿宋"/>
          <w:bCs/>
          <w:sz w:val="24"/>
          <w:highlight w:val="none"/>
          <w:u w:val="single"/>
        </w:rPr>
        <w:t>（</w:t>
      </w:r>
      <w:r>
        <w:rPr>
          <w:rFonts w:ascii="Calibri" w:hAnsi="Calibri" w:eastAsia="仿宋" w:cs="Calibri"/>
          <w:bCs/>
          <w:sz w:val="24"/>
          <w:highlight w:val="none"/>
          <w:u w:val="single"/>
        </w:rPr>
        <w:t>¥</w:t>
      </w:r>
      <w:r>
        <w:rPr>
          <w:rFonts w:hint="eastAsia" w:ascii="仿宋" w:hAnsi="仿宋" w:eastAsia="仿宋" w:cs="仿宋"/>
          <w:bCs/>
          <w:sz w:val="24"/>
          <w:highlight w:val="none"/>
          <w:u w:val="single"/>
        </w:rPr>
        <w:t xml:space="preserve">     </w:t>
      </w:r>
      <w:r>
        <w:rPr>
          <w:rFonts w:ascii="仿宋" w:hAnsi="仿宋" w:eastAsia="仿宋" w:cs="仿宋"/>
          <w:bCs/>
          <w:sz w:val="24"/>
          <w:highlight w:val="none"/>
          <w:u w:val="single"/>
        </w:rPr>
        <w:t xml:space="preserve"> </w:t>
      </w:r>
      <w:r>
        <w:rPr>
          <w:rFonts w:hint="eastAsia" w:ascii="仿宋" w:hAnsi="仿宋" w:eastAsia="仿宋" w:cs="仿宋"/>
          <w:bCs/>
          <w:sz w:val="24"/>
          <w:highlight w:val="none"/>
          <w:u w:val="single"/>
        </w:rPr>
        <w:t xml:space="preserve">    元）</w:t>
      </w:r>
      <w:r>
        <w:rPr>
          <w:rFonts w:hint="eastAsia" w:ascii="仿宋" w:hAnsi="仿宋" w:eastAsia="仿宋" w:cs="仿宋"/>
          <w:bCs/>
          <w:sz w:val="24"/>
          <w:highlight w:val="none"/>
        </w:rPr>
        <w:t xml:space="preserve"> 。</w:t>
      </w:r>
    </w:p>
    <w:p w14:paraId="7AC8B9B4">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第二条  质量保证</w:t>
      </w:r>
    </w:p>
    <w:p w14:paraId="313CED54">
      <w:pPr>
        <w:snapToGrid w:val="0"/>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1.乙方所提供的货物型号、技术规格、技术参数等质量必须与投标文件的承诺相一致。乙方提供的自主创新产品、节能和环保产品必须是列入政府采购清单的产品。</w:t>
      </w:r>
    </w:p>
    <w:p w14:paraId="3811CEE7">
      <w:pPr>
        <w:snapToGrid w:val="0"/>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2.乙方所提供的货物必须是全新、未使用的原装产品，且在正常安装、使用和保养条件下，其使用寿命期内各项指标均达到质量要求。</w:t>
      </w:r>
    </w:p>
    <w:p w14:paraId="76F2BD98">
      <w:pPr>
        <w:snapToGrid w:val="0"/>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3.如在使用过程中发生质量问题，乙方在接到甲方通知后在按乙方投标文件中承诺的不超过招标要求的响应时间小时内到达甲方现场处理。</w:t>
      </w:r>
    </w:p>
    <w:p w14:paraId="15F836D3">
      <w:pPr>
        <w:snapToGrid w:val="0"/>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4.乙方提供货物的免费保修期为自交货物验收合格之日起</w:t>
      </w:r>
      <w:r>
        <w:rPr>
          <w:rFonts w:hint="eastAsia" w:ascii="仿宋" w:hAnsi="仿宋" w:eastAsia="仿宋" w:cs="仿宋"/>
          <w:sz w:val="24"/>
          <w:highlight w:val="none"/>
          <w:u w:val="single"/>
        </w:rPr>
        <w:t xml:space="preserve"> </w:t>
      </w:r>
      <w:r>
        <w:rPr>
          <w:rFonts w:ascii="仿宋" w:hAnsi="仿宋" w:eastAsia="仿宋" w:cs="仿宋"/>
          <w:sz w:val="24"/>
          <w:highlight w:val="none"/>
          <w:u w:val="single"/>
        </w:rPr>
        <w:t xml:space="preserve">  </w:t>
      </w:r>
      <w:r>
        <w:rPr>
          <w:rFonts w:hint="eastAsia" w:ascii="仿宋" w:hAnsi="仿宋" w:eastAsia="仿宋" w:cs="仿宋"/>
          <w:sz w:val="24"/>
          <w:highlight w:val="none"/>
        </w:rPr>
        <w:t>年（企业备案标准厂家规定免费保修期超过年的，按厂家规定，“采购需求”有规定的，按规定执行）。</w:t>
      </w:r>
    </w:p>
    <w:p w14:paraId="24CB021E">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5.在免费保修期内，乙方应对货物出现的质量及安全问题负责处理解决并承担一切费用。在免费保修期内因货物本身的质量问题发生故障，乙方应负责免费修理和更换零部件。乙方同意，对达不到技术要求者，根据实际情况，甲方可以要求乙方按以下办法处理：</w:t>
      </w:r>
    </w:p>
    <w:p w14:paraId="3F9D3D07">
      <w:pPr>
        <w:spacing w:line="400" w:lineRule="exact"/>
        <w:ind w:left="412" w:leftChars="196"/>
        <w:rPr>
          <w:rFonts w:hint="eastAsia" w:ascii="仿宋" w:hAnsi="仿宋" w:eastAsia="仿宋" w:cs="仿宋"/>
          <w:sz w:val="24"/>
          <w:highlight w:val="none"/>
        </w:rPr>
      </w:pPr>
      <w:r>
        <w:rPr>
          <w:rFonts w:hint="eastAsia" w:ascii="仿宋" w:hAnsi="仿宋" w:eastAsia="仿宋" w:cs="仿宋"/>
          <w:sz w:val="24"/>
          <w:highlight w:val="none"/>
        </w:rPr>
        <w:t>（1）更换：由乙方承担所发生的全部费用。</w:t>
      </w:r>
    </w:p>
    <w:p w14:paraId="32BF7384">
      <w:pPr>
        <w:spacing w:line="400" w:lineRule="exact"/>
        <w:ind w:left="412" w:leftChars="196"/>
        <w:rPr>
          <w:rFonts w:hint="eastAsia" w:ascii="仿宋" w:hAnsi="仿宋" w:eastAsia="仿宋" w:cs="仿宋"/>
          <w:sz w:val="24"/>
          <w:highlight w:val="none"/>
        </w:rPr>
      </w:pPr>
      <w:r>
        <w:rPr>
          <w:rFonts w:hint="eastAsia" w:ascii="仿宋" w:hAnsi="仿宋" w:eastAsia="仿宋" w:cs="仿宋"/>
          <w:sz w:val="24"/>
          <w:highlight w:val="none"/>
        </w:rPr>
        <w:t>（2）贬值处理：由甲乙双方合议定价。</w:t>
      </w:r>
    </w:p>
    <w:p w14:paraId="797FA77A">
      <w:pPr>
        <w:spacing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（3）退货处理：乙方应退还甲方支付的合同款，同时应承担该货物的直接费用（运输、保险、检验、贷款利息及银行手续费等）。</w:t>
      </w:r>
    </w:p>
    <w:p w14:paraId="3C961C74">
      <w:pPr>
        <w:snapToGrid w:val="0"/>
        <w:spacing w:line="400" w:lineRule="exact"/>
        <w:ind w:firstLine="480" w:firstLineChars="200"/>
        <w:rPr>
          <w:rFonts w:hint="eastAsia" w:ascii="仿宋" w:hAnsi="仿宋" w:eastAsia="仿宋" w:cs="仿宋"/>
          <w:b/>
          <w:bCs/>
          <w:sz w:val="24"/>
          <w:highlight w:val="none"/>
        </w:rPr>
      </w:pPr>
      <w:r>
        <w:rPr>
          <w:rFonts w:hint="eastAsia" w:ascii="仿宋" w:hAnsi="仿宋" w:eastAsia="仿宋" w:cs="仿宋"/>
          <w:sz w:val="24"/>
          <w:highlight w:val="none"/>
        </w:rPr>
        <w:t>6.乙方应按投标文件承诺的货物规格型号、技术参数、质量标准等向甲方提供未经使用的全新原装产品（包括产品的零部件），且在正常安装使用和保养条件下，其使用寿命期内各项指标均达到质量标准。乙方提供的节能和环境标志产品必须是列入现行政府采购清单目录内的产品。</w:t>
      </w:r>
    </w:p>
    <w:p w14:paraId="2746808B">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第三条  权利保证</w:t>
      </w:r>
    </w:p>
    <w:p w14:paraId="167D73FD">
      <w:pPr>
        <w:spacing w:line="400" w:lineRule="exact"/>
        <w:ind w:firstLine="470" w:firstLineChars="196"/>
        <w:rPr>
          <w:rFonts w:hint="eastAsia" w:ascii="仿宋" w:hAnsi="仿宋" w:eastAsia="仿宋" w:cs="仿宋"/>
          <w:b/>
          <w:bCs/>
          <w:sz w:val="24"/>
          <w:highlight w:val="none"/>
        </w:rPr>
      </w:pPr>
      <w:r>
        <w:rPr>
          <w:rFonts w:hint="eastAsia" w:ascii="仿宋" w:hAnsi="仿宋" w:eastAsia="仿宋" w:cs="仿宋"/>
          <w:sz w:val="24"/>
          <w:highlight w:val="none"/>
        </w:rPr>
        <w:t>1.乙方应保证所提供货物在使用时不会侵犯任何第三方的专利权、商标权、著作权在内的知识产权或其他权利。如果甲方因此遭受任何第三方的索赔、诉讼或任何权利请求，乙方有义务以买方名义自费处理纠纷，并承担所有法律和经济责任。</w:t>
      </w:r>
    </w:p>
    <w:p w14:paraId="5EA745E0">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2.乙方应按招标文件规定的时间向甲方提供使用货物的有关技术资料。</w:t>
      </w:r>
    </w:p>
    <w:p w14:paraId="4665698E">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3.乙方保证所交付的货物的所有权完全属于乙方，且无任何抵押、质押、查封等物权瑕疵，乙方保证对乙方所交付的货物享有完全的处分权。</w:t>
      </w:r>
    </w:p>
    <w:p w14:paraId="367E9634">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4.乙方保证对本合同项下产品及其配件在合同期内拥有完全知识产权或知识产权授权，对于所涉及的第三方知识产权予以了充分的尊重和依法保护，乙方为本合同所提供的相关产品均不存在知识产权方面的瑕疵，否则乙方应对甲方因使用乙方产品导致任何第三方向甲方提起知识产权索赔要求、诉讼或其他侵权指控行为承担全部责任（包括甲方因此造成的直接和间接的损失赔偿）。</w:t>
      </w:r>
    </w:p>
    <w:p w14:paraId="10DCCB26">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5.乙方保证对本合同项下产品拥有完全的销售权利（包括但不限于代理经营权等），如因为乙方原因导致无法供货，甲方可单方解除合同。乙方应当承担本合同总金额20%的违约责任，且应当承担甲方全部损失，包括但不限于重新采购、使用替代产品等。</w:t>
      </w:r>
    </w:p>
    <w:p w14:paraId="4CB25EF1">
      <w:pPr>
        <w:spacing w:line="400" w:lineRule="exact"/>
        <w:ind w:firstLine="470" w:firstLineChars="196"/>
        <w:rPr>
          <w:rFonts w:hint="eastAsia" w:ascii="仿宋" w:hAnsi="仿宋" w:eastAsia="仿宋" w:cs="仿宋"/>
          <w:b/>
          <w:bCs/>
          <w:sz w:val="24"/>
          <w:highlight w:val="none"/>
        </w:rPr>
      </w:pPr>
      <w:r>
        <w:rPr>
          <w:rFonts w:hint="eastAsia" w:ascii="仿宋" w:hAnsi="仿宋" w:eastAsia="仿宋" w:cs="仿宋"/>
          <w:sz w:val="24"/>
          <w:highlight w:val="none"/>
        </w:rPr>
        <w:t>6.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5363BDA">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第四条  货物包装、运输</w:t>
      </w:r>
    </w:p>
    <w:p w14:paraId="422A8832">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1.乙方应在货物发运前对其进行满足运输距离、防潮、防震、防锈和防破损装卸等要求的包装，以保证货物安全运达甲方指定地点。</w:t>
      </w:r>
    </w:p>
    <w:p w14:paraId="5C66EEBC">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2.使用中文说明书（货物属于进口产品的，供货时应同时附上中文使用说明书）、质量检验证明书、随配附件和工具以及清单一并附随货物送达。</w:t>
      </w:r>
    </w:p>
    <w:p w14:paraId="7F4DD747">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3.乙方在货物发运手续办理完毕后二十四小时内或货到甲方四十八小时前通知甲方，以准备接货。</w:t>
      </w:r>
    </w:p>
    <w:p w14:paraId="448A513D">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4.货物在交付甲方前发生的全部风险和责任均由乙方负责承担，甲方对此不负责任。</w:t>
      </w:r>
    </w:p>
    <w:p w14:paraId="7913D548">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第五条  交付</w:t>
      </w:r>
    </w:p>
    <w:p w14:paraId="334D27F5">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1.交付使用日期：自本合同签订之日起</w:t>
      </w:r>
      <w:r>
        <w:rPr>
          <w:rFonts w:hint="eastAsia" w:ascii="仿宋" w:hAnsi="仿宋" w:eastAsia="仿宋" w:cs="仿宋"/>
          <w:sz w:val="24"/>
          <w:highlight w:val="none"/>
          <w:u w:val="single"/>
        </w:rPr>
        <w:t xml:space="preserve"> </w:t>
      </w:r>
      <w:r>
        <w:rPr>
          <w:rFonts w:ascii="仿宋" w:hAnsi="仿宋" w:eastAsia="仿宋" w:cs="仿宋"/>
          <w:sz w:val="24"/>
          <w:highlight w:val="none"/>
          <w:u w:val="single"/>
        </w:rPr>
        <w:t xml:space="preserve">   </w:t>
      </w:r>
      <w:r>
        <w:rPr>
          <w:rFonts w:hint="eastAsia" w:ascii="仿宋" w:hAnsi="仿宋" w:eastAsia="仿宋" w:cs="仿宋"/>
          <w:sz w:val="24"/>
          <w:highlight w:val="none"/>
        </w:rPr>
        <w:t>日历天；地点：</w:t>
      </w:r>
      <w:r>
        <w:rPr>
          <w:rFonts w:hint="eastAsia" w:ascii="仿宋" w:hAnsi="仿宋" w:eastAsia="仿宋" w:cs="仿宋"/>
          <w:sz w:val="24"/>
          <w:highlight w:val="none"/>
          <w:u w:val="single"/>
        </w:rPr>
        <w:t>甲方指定地点，</w:t>
      </w:r>
      <w:r>
        <w:rPr>
          <w:rFonts w:hint="eastAsia" w:ascii="仿宋" w:hAnsi="仿宋" w:eastAsia="仿宋" w:cs="仿宋"/>
          <w:sz w:val="24"/>
          <w:highlight w:val="none"/>
        </w:rPr>
        <w:t>该交付日为绝对交付日，即乙方已经充分考虑交付前的相关风险等原因，乙方确认货物将在该交付日在甲方的指定地点交付给甲方。</w:t>
      </w:r>
    </w:p>
    <w:p w14:paraId="5FCEE889">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2.乙方提供不符合招投标和招标文件及本合同规定的货物，甲方有权拒绝接受。</w:t>
      </w:r>
    </w:p>
    <w:p w14:paraId="2F1732F9">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乙方应将所有提供货物的装箱清单、用户手册、原厂保修卡、随机资料、工具和备用、备件等交付给甲方，货物属于进口产品的，供货时应同时附上中文使用说明书，如有缺失应及时补齐，补齐时间由甲方规定的时间为准，否则视为逾期交货。</w:t>
      </w:r>
    </w:p>
    <w:p w14:paraId="57B4DE88">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第六条  调试和验收</w:t>
      </w:r>
    </w:p>
    <w:p w14:paraId="6483D0E0">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1.乙方交货前应对产品做出全面的检查和对验收文件进行整理，并列出清单，作为甲方验收和使用的技术条件依据，验收的结果应随货物交甲方。</w:t>
      </w:r>
    </w:p>
    <w:p w14:paraId="06027B9B">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2.甲方依据招标文件要求、投标文件的承诺和国家有关质量标准对货物进行现场初步验收，外观、说明书符合招标文件技术要求的，给予签收，初步验收不合格的不予签收。货到后，甲方应当在设备（含附件）全部安装到位、调试完好、相关培训结束后七个工作日内进行验收。验收合格后由甲乙双方签署货物验收单并加</w:t>
      </w:r>
      <w:r>
        <w:rPr>
          <w:rFonts w:hint="eastAsia" w:ascii="仿宋" w:hAnsi="仿宋" w:eastAsia="仿宋" w:cs="仿宋"/>
          <w:bCs/>
          <w:sz w:val="24"/>
          <w:highlight w:val="none"/>
          <w:lang w:eastAsia="zh-CN"/>
        </w:rPr>
        <w:t>盖CA公章</w:t>
      </w:r>
      <w:r>
        <w:rPr>
          <w:rFonts w:hint="eastAsia" w:ascii="仿宋" w:hAnsi="仿宋" w:eastAsia="仿宋" w:cs="仿宋"/>
          <w:bCs/>
          <w:sz w:val="24"/>
          <w:highlight w:val="none"/>
        </w:rPr>
        <w:t>，甲乙双方各执一份。</w:t>
      </w:r>
    </w:p>
    <w:p w14:paraId="208CB3D4">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3.甲方对乙方提供的货物在使用前进行调试和试用时，乙方需负责安装并培训甲方的使用操作人员，并协助甲方人员一起调试，乙方对于培训质量负责直到符合技术要求，甲方才做最终验收。</w:t>
      </w:r>
    </w:p>
    <w:p w14:paraId="348049B9">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4.对技术复杂的货物（“技术复杂的货物”以甲方定义为准），甲方可以请国家认可的专业检测机构参与初步验收及最终验收，并由其出具质量检测报告。进口设备必须提供货物清关记录，具备省级（或相当于省级）商检部门的检验证明。甲方针对技术复杂的货物可以按照以下流程进行初步验收及最终验收：</w:t>
      </w:r>
    </w:p>
    <w:p w14:paraId="3C7F39A0">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（1）货物在乙方通知安装调试完毕后七个工作日内初步验收。初步验收合格后，进入一个月试用期；试用期间发生重大质量问题，修复后重新起计试用期；试用期结束后七个工作日内完成最终验收；</w:t>
      </w:r>
    </w:p>
    <w:p w14:paraId="52C49D32">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2）按招标文件“采购需求”要求的验收标准与本合同约定标准进行验收。甲乙双方如对质量要求和技术指标的约定标准有相互抵触或异议的事项，由甲方在招标文件与投标文件中，按质量要求和技术指标比较优胜的原则，确定该项的约定标准进行验收；</w:t>
      </w:r>
    </w:p>
    <w:p w14:paraId="1A315452">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13505712">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 xml:space="preserve">（4）如货物经乙方2次维修仍不能达到合同约定的质量标准，甲方有权更换新机或者退货，如退货，视作乙方不能交付货物，乙方应当支付赔偿金赔偿甲方的实际损失并且向甲方承担合同总金额20%的违约责任。 </w:t>
      </w:r>
    </w:p>
    <w:p w14:paraId="6E14D7E5">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（5）验收结束后，应当出具验收书，列明各项标准的验收情况及项目总体评价，由验收双方共同签署。</w:t>
      </w:r>
    </w:p>
    <w:p w14:paraId="1A91FCB8">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5.验收时乙方必须在现场，验收完毕后作出验收结果报告，验收费用及产生的相关费用由乙方全部负担。</w:t>
      </w:r>
    </w:p>
    <w:p w14:paraId="7FAD821D">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6.甲方对验收有异议的，在验收后五个工作日内以书面形式向乙方提出，乙方应自收到甲方书面异议后3日内及时予以解决。</w:t>
      </w:r>
    </w:p>
    <w:p w14:paraId="61AF2193">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7.乙方供货时必须向甲方提供招标文件中约定的证明材料，否则不予验收。如有委托代理人，乙方必须提供：①关于本项目的授权委托书（授权需要含有授权事由、权限范围、时间期限、法定代表人签字、写上日期并且</w:t>
      </w:r>
      <w:r>
        <w:rPr>
          <w:rFonts w:hint="eastAsia" w:ascii="仿宋" w:hAnsi="仿宋" w:eastAsia="仿宋" w:cs="仿宋"/>
          <w:sz w:val="24"/>
          <w:highlight w:val="none"/>
          <w:lang w:eastAsia="zh-CN"/>
        </w:rPr>
        <w:t>盖CA公章</w:t>
      </w:r>
      <w:r>
        <w:rPr>
          <w:rFonts w:hint="eastAsia" w:ascii="仿宋" w:hAnsi="仿宋" w:eastAsia="仿宋" w:cs="仿宋"/>
          <w:sz w:val="24"/>
          <w:highlight w:val="none"/>
        </w:rPr>
        <w:t>）；②被委托人/被授权人的身份证彩色扫描打印件（加</w:t>
      </w:r>
      <w:r>
        <w:rPr>
          <w:rFonts w:hint="eastAsia" w:ascii="仿宋" w:hAnsi="仿宋" w:eastAsia="仿宋" w:cs="仿宋"/>
          <w:sz w:val="24"/>
          <w:highlight w:val="none"/>
          <w:lang w:eastAsia="zh-CN"/>
        </w:rPr>
        <w:t>盖CA公章</w:t>
      </w:r>
      <w:r>
        <w:rPr>
          <w:rFonts w:hint="eastAsia" w:ascii="仿宋" w:hAnsi="仿宋" w:eastAsia="仿宋" w:cs="仿宋"/>
          <w:sz w:val="24"/>
          <w:highlight w:val="none"/>
        </w:rPr>
        <w:t>）；③法定代表人身份证扫描件（加</w:t>
      </w:r>
      <w:r>
        <w:rPr>
          <w:rFonts w:hint="eastAsia" w:ascii="仿宋" w:hAnsi="仿宋" w:eastAsia="仿宋" w:cs="仿宋"/>
          <w:sz w:val="24"/>
          <w:highlight w:val="none"/>
          <w:lang w:eastAsia="zh-CN"/>
        </w:rPr>
        <w:t>盖CA公章</w:t>
      </w:r>
      <w:r>
        <w:rPr>
          <w:rFonts w:hint="eastAsia" w:ascii="仿宋" w:hAnsi="仿宋" w:eastAsia="仿宋" w:cs="仿宋"/>
          <w:sz w:val="24"/>
          <w:highlight w:val="none"/>
        </w:rPr>
        <w:t>）。</w:t>
      </w:r>
    </w:p>
    <w:p w14:paraId="2000DE02">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8.供货时，乙方必须提供全新的原装正品，符合有关质量标准的产品；乙方所提供的货物规格、技术标准等质量必须与采购需求及投标文件中承诺的参数一致。甲方将委托具有检测资质的第三方检测机构，邀请相关专家，根据招标文件要求及投标文件承诺，逐条对应进行现场核验。核验不合格的，乙方应在3个工作日内进行更换。乙方未按要求进行更换或再次验收不合格的，甲方有权解除合同，同时报相关监督管理部门处理，由此造成甲方损失的由乙方负责承担全部赔偿责任和本合同总金额20%的违约金，甲方有权处理已进场的产品。如有异议，将交由具有检测资质的第三方检测机构邀请相关专家进行实际检验，以实测值为准，所有产生的费用由乙方承担。验收完成后乙方须提供完整的安装、操作、使用和维护手册及设备位置图等所有技术资料、图纸。</w:t>
      </w:r>
    </w:p>
    <w:p w14:paraId="755391CE">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第七条  安装和培训</w:t>
      </w:r>
    </w:p>
    <w:p w14:paraId="05384E4E">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1.甲方应提供必要安装条件（如场地、电源、水源等）。</w:t>
      </w:r>
    </w:p>
    <w:p w14:paraId="7526BF5B">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2.设备到达甲方使用科室后，乙方负责派工程师免费安装、调试机器，并在甲方指定时间地点，培训甲方工作人员，直至熟练掌握设备的操作、日常维护保养技能为止。乙方负责提供针对甲方维修工程师的现场操作、维修、维护培训服务。乙方负责免费安装，甲方不再支付任何与安装相关费用。乙方安装完毕后立即清理包装等残留垃圾，不准在甲方场所内堆放，一旦发现，甲方有权要求乙方支付合同金额10%的违约金。</w:t>
      </w:r>
    </w:p>
    <w:p w14:paraId="6FCE0E4C">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第八条  售后服务约定</w:t>
      </w:r>
    </w:p>
    <w:p w14:paraId="4218AF81">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1.乙方应按照国家有关法律规定和“三包”规定以及招标文件要求、乙方投标文件承诺为甲方提供售后服务。</w:t>
      </w:r>
    </w:p>
    <w:p w14:paraId="17729E78">
      <w:pPr>
        <w:adjustRightInd w:val="0"/>
        <w:snapToGrid w:val="0"/>
        <w:spacing w:line="400" w:lineRule="exact"/>
        <w:ind w:firstLine="480" w:firstLineChars="200"/>
        <w:textAlignment w:val="center"/>
        <w:rPr>
          <w:rFonts w:hint="eastAsia" w:ascii="仿宋" w:hAnsi="仿宋" w:eastAsia="仿宋" w:cs="仿宋"/>
          <w:sz w:val="24"/>
          <w:highlight w:val="none"/>
        </w:rPr>
      </w:pPr>
      <w:r>
        <w:rPr>
          <w:rFonts w:hint="eastAsia" w:ascii="仿宋" w:hAnsi="仿宋" w:eastAsia="仿宋" w:cs="仿宋"/>
          <w:sz w:val="24"/>
          <w:highlight w:val="none"/>
        </w:rPr>
        <w:t>2.按国家有关产品“三包”规定执行“三包”，产品免费保修期为：</w:t>
      </w:r>
      <w:r>
        <w:rPr>
          <w:rFonts w:hint="eastAsia" w:ascii="仿宋" w:hAnsi="仿宋" w:eastAsia="仿宋" w:cs="仿宋"/>
          <w:sz w:val="24"/>
          <w:highlight w:val="none"/>
          <w:u w:val="single"/>
        </w:rPr>
        <w:t xml:space="preserve"> </w:t>
      </w:r>
      <w:r>
        <w:rPr>
          <w:rFonts w:ascii="仿宋" w:hAnsi="仿宋" w:eastAsia="仿宋" w:cs="仿宋"/>
          <w:sz w:val="24"/>
          <w:highlight w:val="none"/>
          <w:u w:val="single"/>
        </w:rPr>
        <w:t xml:space="preserve">                  </w:t>
      </w:r>
      <w:r>
        <w:rPr>
          <w:rFonts w:hint="eastAsia" w:ascii="仿宋" w:hAnsi="仿宋" w:eastAsia="仿宋" w:cs="仿宋"/>
          <w:sz w:val="24"/>
          <w:highlight w:val="none"/>
        </w:rPr>
        <w:t>，以上免费保修期均自交货验收合格之日起计算。</w:t>
      </w:r>
    </w:p>
    <w:p w14:paraId="5C75B3EA">
      <w:pPr>
        <w:adjustRightInd w:val="0"/>
        <w:snapToGrid w:val="0"/>
        <w:spacing w:line="400" w:lineRule="exact"/>
        <w:ind w:firstLine="480" w:firstLineChars="200"/>
        <w:textAlignment w:val="center"/>
        <w:rPr>
          <w:rFonts w:hint="eastAsia" w:ascii="仿宋" w:hAnsi="仿宋" w:eastAsia="仿宋" w:cs="仿宋"/>
          <w:sz w:val="24"/>
          <w:highlight w:val="none"/>
        </w:rPr>
      </w:pPr>
      <w:r>
        <w:rPr>
          <w:rFonts w:hint="eastAsia" w:ascii="仿宋" w:hAnsi="仿宋" w:eastAsia="仿宋" w:cs="仿宋"/>
          <w:sz w:val="24"/>
          <w:highlight w:val="none"/>
        </w:rPr>
        <w:t>3.送货上门、安装调试合格，向甲方提供培训服务，直至甲方相关人员熟练使用为止。</w:t>
      </w:r>
    </w:p>
    <w:p w14:paraId="1244A743">
      <w:pPr>
        <w:adjustRightInd w:val="0"/>
        <w:snapToGrid w:val="0"/>
        <w:spacing w:line="400" w:lineRule="exact"/>
        <w:ind w:firstLine="480" w:firstLineChars="200"/>
        <w:textAlignment w:val="center"/>
        <w:rPr>
          <w:rFonts w:hint="eastAsia" w:ascii="仿宋" w:hAnsi="仿宋" w:eastAsia="仿宋" w:cs="仿宋"/>
          <w:sz w:val="24"/>
          <w:highlight w:val="none"/>
        </w:rPr>
      </w:pPr>
      <w:r>
        <w:rPr>
          <w:rFonts w:hint="eastAsia" w:ascii="仿宋" w:hAnsi="仿宋" w:eastAsia="仿宋" w:cs="仿宋"/>
          <w:sz w:val="24"/>
          <w:highlight w:val="none"/>
        </w:rPr>
        <w:t>4.免费保修要求：</w:t>
      </w:r>
    </w:p>
    <w:p w14:paraId="58E5F73D">
      <w:pPr>
        <w:adjustRightInd w:val="0"/>
        <w:snapToGrid w:val="0"/>
        <w:spacing w:line="400" w:lineRule="exact"/>
        <w:ind w:firstLine="480" w:firstLineChars="200"/>
        <w:textAlignment w:val="center"/>
        <w:rPr>
          <w:rFonts w:hint="eastAsia" w:ascii="仿宋" w:hAnsi="仿宋" w:eastAsia="仿宋" w:cs="仿宋"/>
          <w:sz w:val="24"/>
          <w:highlight w:val="none"/>
        </w:rPr>
      </w:pPr>
      <w:r>
        <w:rPr>
          <w:rFonts w:hint="eastAsia" w:ascii="仿宋" w:hAnsi="仿宋" w:eastAsia="仿宋" w:cs="仿宋"/>
          <w:sz w:val="24"/>
          <w:highlight w:val="none"/>
        </w:rPr>
        <w:t>（1）免费保修期内定期上门检查、上门维修。在使用过程中若产品发生质量问题或故障，在接到甲方通知后个</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小时内响应，</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小时内到达故障现场处理，一般故障处理时限不超过</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小时修复；重大故障处理时限不超过</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小时修复（不可抗力情况除外）。如遇更换配件或其它特殊原因短时间内无法解决的（故障发生后的</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小时内无法修复），应向甲方提供备用产品以保障甲方工作的正常开展，如无法提供备用产品的，则按实际停止使用时间的7倍顺延保修期（如停止使用1天，保修期则在原有保修年限基础上加7天，停止使用2天则加14天，停3天则加21天，以此类推）。保修期第一年内设备正常运行率低于95％[计算公式：设备正常运行率=（365-实际停机时间）÷365×100%]则无条件退货（退货后的责任承担问题参照本合同第6条第4款中（4）项中相关规定。）维修中如需要更换配件的，要求更换的配件应跟被更换的品牌、类型相一致或者是同类同档次的替代品，后者需提供相应证明文件并征得甲方同意。</w:t>
      </w:r>
    </w:p>
    <w:p w14:paraId="3C0F422E">
      <w:pPr>
        <w:adjustRightInd w:val="0"/>
        <w:snapToGrid w:val="0"/>
        <w:spacing w:line="400" w:lineRule="exact"/>
        <w:ind w:firstLine="480" w:firstLineChars="200"/>
        <w:textAlignment w:val="center"/>
        <w:rPr>
          <w:rFonts w:hint="eastAsia" w:ascii="仿宋" w:hAnsi="仿宋" w:eastAsia="仿宋" w:cs="仿宋"/>
          <w:sz w:val="24"/>
          <w:highlight w:val="none"/>
        </w:rPr>
      </w:pPr>
      <w:r>
        <w:rPr>
          <w:rFonts w:hint="eastAsia" w:ascii="仿宋" w:hAnsi="仿宋" w:eastAsia="仿宋" w:cs="仿宋"/>
          <w:sz w:val="24"/>
          <w:highlight w:val="none"/>
        </w:rPr>
        <w:t>（2）若产品自带软件的，则须提供免费保修期内提供软件升级服务。</w:t>
      </w:r>
    </w:p>
    <w:p w14:paraId="4454D724">
      <w:pPr>
        <w:adjustRightInd w:val="0"/>
        <w:snapToGrid w:val="0"/>
        <w:spacing w:line="400" w:lineRule="exact"/>
        <w:ind w:firstLine="480" w:firstLineChars="200"/>
        <w:textAlignment w:val="center"/>
        <w:rPr>
          <w:rFonts w:hint="eastAsia" w:ascii="仿宋" w:hAnsi="仿宋" w:eastAsia="仿宋" w:cs="仿宋"/>
          <w:sz w:val="24"/>
          <w:highlight w:val="none"/>
        </w:rPr>
      </w:pPr>
      <w:r>
        <w:rPr>
          <w:rFonts w:hint="eastAsia" w:ascii="仿宋" w:hAnsi="仿宋" w:eastAsia="仿宋" w:cs="仿宋"/>
          <w:sz w:val="24"/>
          <w:highlight w:val="none"/>
        </w:rPr>
        <w:t>（3）乙方如将设备运离甲方处进行维修，须事先征得甲方设备管理部门和临床使用科室的同意，并留下书面字据。免费保修期内厂家应每年对设备进行1-2次的巡回检修，并出具检修报告。由设备本身原因产生的医疗事故、医疗纠纷、安全事故等由乙方负责。</w:t>
      </w:r>
    </w:p>
    <w:p w14:paraId="1DCDDF6E">
      <w:pPr>
        <w:adjustRightInd w:val="0"/>
        <w:snapToGrid w:val="0"/>
        <w:spacing w:line="400" w:lineRule="exact"/>
        <w:ind w:firstLine="480" w:firstLineChars="200"/>
        <w:textAlignment w:val="center"/>
        <w:rPr>
          <w:rFonts w:hint="eastAsia" w:ascii="仿宋" w:hAnsi="仿宋" w:eastAsia="仿宋" w:cs="仿宋"/>
          <w:sz w:val="24"/>
          <w:highlight w:val="none"/>
        </w:rPr>
      </w:pPr>
      <w:r>
        <w:rPr>
          <w:rFonts w:hint="eastAsia" w:ascii="仿宋" w:hAnsi="仿宋" w:eastAsia="仿宋" w:cs="仿宋"/>
          <w:sz w:val="24"/>
          <w:highlight w:val="none"/>
        </w:rPr>
        <w:t>（4）签订合同时，由厂家提供的保修承诺作为合同的附件，效力与合同正文一致。乙方保证厂家提供的保修承诺与乙方承诺的售后服务条款并行有效。</w:t>
      </w:r>
    </w:p>
    <w:p w14:paraId="2D4291DB">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第九条  税费</w:t>
      </w:r>
    </w:p>
    <w:p w14:paraId="191EA216">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本合同执行中相关的一切税费均由乙方自行全部负担。</w:t>
      </w:r>
    </w:p>
    <w:p w14:paraId="5040924C">
      <w:pPr>
        <w:spacing w:line="400" w:lineRule="exact"/>
        <w:ind w:firstLine="472" w:firstLineChars="196"/>
        <w:rPr>
          <w:rFonts w:hint="eastAsia" w:ascii="仿宋" w:hAnsi="仿宋" w:eastAsia="仿宋" w:cs="仿宋"/>
          <w:sz w:val="24"/>
          <w:highlight w:val="none"/>
        </w:rPr>
      </w:pPr>
      <w:r>
        <w:rPr>
          <w:rFonts w:hint="eastAsia" w:ascii="仿宋" w:hAnsi="仿宋" w:eastAsia="仿宋" w:cs="仿宋"/>
          <w:b/>
          <w:bCs/>
          <w:sz w:val="24"/>
          <w:highlight w:val="none"/>
        </w:rPr>
        <w:t>第十条 履约保证金</w:t>
      </w:r>
    </w:p>
    <w:p w14:paraId="7ABD2E19">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1.履约保证金金额按合同金额的</w:t>
      </w:r>
      <w:r>
        <w:rPr>
          <w:rFonts w:ascii="仿宋" w:hAnsi="仿宋" w:eastAsia="仿宋" w:cs="仿宋"/>
          <w:sz w:val="24"/>
          <w:highlight w:val="none"/>
          <w:u w:val="single"/>
        </w:rPr>
        <w:t xml:space="preserve">     </w:t>
      </w:r>
      <w:r>
        <w:rPr>
          <w:rFonts w:hint="eastAsia" w:ascii="仿宋" w:hAnsi="仿宋" w:eastAsia="仿宋" w:cs="仿宋"/>
          <w:sz w:val="24"/>
          <w:highlight w:val="none"/>
        </w:rPr>
        <w:t>%交纳（人民币，四舍五入到元，如为中型企业中标的按合同金额的2%交纳，如为小微企业中标的则免收履约保证金），乙方于签订合同前将履约保证金以支票、汇票、本票或者金融机构、担保机构出具的保函等非现金形式提交至甲方。</w:t>
      </w:r>
    </w:p>
    <w:p w14:paraId="4D12F795">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2.履约保证金形式：以支票、汇票、本票或者金融机构、担保机构出具的保函等非现金形式。</w:t>
      </w:r>
    </w:p>
    <w:p w14:paraId="54D03393">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3.履约保证金递交时间：乙方于中标通知书发出之日起8个工作日内且在签订合同前将履约保证金提交至甲方，否则，甲方有权不予签订合同。</w:t>
      </w:r>
    </w:p>
    <w:p w14:paraId="38676956">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4.乙方按合同约定交货、安装调试验收完毕交付甲方使用后，凭《政府采购项目合同验收书》和履约保证金交纳凭证向甲方申请办理退还手续，甲方不得额外要求乙方提交其他证明材料，并应当自收到退还资料之日起5个工作日内退还其履约保证金（无息）。如乙方不按双方签订的合同规定履约，则没收其全部履约保证金，履约保证金不足以赔偿损失的，按实际损失赔偿。</w:t>
      </w:r>
    </w:p>
    <w:p w14:paraId="5B1D40A9">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5.在履约保证金到期退还前，若乙方的开户名称、开户银行、账号有变动的，以书面形式通知甲方，否则由此产生的后果由乙方自负。</w:t>
      </w:r>
    </w:p>
    <w:p w14:paraId="41996A4D">
      <w:pPr>
        <w:spacing w:line="400" w:lineRule="exact"/>
        <w:ind w:firstLine="472" w:firstLineChars="196"/>
        <w:rPr>
          <w:rFonts w:hint="eastAsia" w:ascii="仿宋" w:hAnsi="仿宋" w:eastAsia="仿宋" w:cs="仿宋"/>
          <w:b/>
          <w:sz w:val="24"/>
          <w:highlight w:val="none"/>
        </w:rPr>
      </w:pPr>
      <w:r>
        <w:rPr>
          <w:rFonts w:hint="eastAsia" w:ascii="仿宋" w:hAnsi="仿宋" w:eastAsia="仿宋" w:cs="仿宋"/>
          <w:b/>
          <w:sz w:val="24"/>
          <w:highlight w:val="none"/>
        </w:rPr>
        <w:t>第十一条 付款方式</w:t>
      </w:r>
    </w:p>
    <w:p w14:paraId="70FB6B23">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除车载X射线机外的其他设备：合同签订生效后30个日历日内甲方向市财政申请支付合同金额的30%给乙方。设备安装调试并经甲方验收合格后，乙方开具足额发票给甲方，甲方收到发票后30个日历日内向市财政申请支付合同金额的67%(无息)支付乙方，剩余的3%合同金额待履行完合同约定的权利义务事项后【成交供应商承诺保质期（免费保修、维护、升级期）满】且不存在争议的,成交供应商凭合同和《政府采购项目验收单》向采购人申请办理支付手续，</w:t>
      </w:r>
      <w:r>
        <w:rPr>
          <w:rFonts w:hint="eastAsia" w:ascii="仿宋" w:hAnsi="仿宋" w:eastAsia="仿宋" w:cs="仿宋"/>
          <w:color w:val="auto"/>
          <w:kern w:val="0"/>
          <w:sz w:val="24"/>
          <w:highlight w:val="none"/>
        </w:rPr>
        <w:t>22个工作日内</w:t>
      </w:r>
      <w:r>
        <w:rPr>
          <w:rFonts w:hint="eastAsia" w:ascii="仿宋" w:hAnsi="仿宋" w:eastAsia="仿宋" w:cs="仿宋"/>
          <w:color w:val="auto"/>
          <w:kern w:val="0"/>
          <w:sz w:val="24"/>
          <w:highlight w:val="none"/>
          <w:lang w:val="en-US" w:eastAsia="zh-CN"/>
        </w:rPr>
        <w:t>向市财政申请</w:t>
      </w:r>
      <w:r>
        <w:rPr>
          <w:rFonts w:hint="eastAsia" w:ascii="仿宋" w:hAnsi="仿宋" w:eastAsia="仿宋" w:cs="仿宋"/>
          <w:color w:val="auto"/>
          <w:kern w:val="0"/>
          <w:sz w:val="24"/>
          <w:highlight w:val="none"/>
        </w:rPr>
        <w:t>支付</w:t>
      </w:r>
      <w:r>
        <w:rPr>
          <w:rFonts w:hint="eastAsia" w:ascii="仿宋" w:hAnsi="仿宋" w:eastAsia="仿宋" w:cs="仿宋"/>
          <w:sz w:val="24"/>
          <w:highlight w:val="none"/>
        </w:rPr>
        <w:t>，不计息。</w:t>
      </w:r>
    </w:p>
    <w:p w14:paraId="6DDCE11A">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2.车载X射线机设备：设备完成安装调试并验收合格后，乙方开具合同总金额50% 的合规足额发票，采购人收到合规发票后15个工作日内无息支付；自设备验收合格之日起满12个月，设备运行稳定、质保履约无误后，乙方开具合同总金额50% 的合规足额发票，采购人收票后15个工作日内无息支付。</w:t>
      </w:r>
    </w:p>
    <w:p w14:paraId="71D0807B">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第十二条  违约责任</w:t>
      </w:r>
    </w:p>
    <w:p w14:paraId="05673FD7">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1.乙方所提供的货物规格、技术标准、材料等质量不合格的，应及时更换，更换不及时的按逾期交货处理，乙方应向甲方支付合同金额</w:t>
      </w:r>
      <w:r>
        <w:rPr>
          <w:rFonts w:hint="eastAsia" w:ascii="仿宋" w:hAnsi="仿宋" w:eastAsia="仿宋" w:cs="仿宋"/>
          <w:sz w:val="24"/>
          <w:highlight w:val="none"/>
          <w:u w:val="single"/>
        </w:rPr>
        <w:t>　30　</w:t>
      </w:r>
      <w:r>
        <w:rPr>
          <w:rFonts w:hint="eastAsia" w:ascii="仿宋" w:hAnsi="仿宋" w:eastAsia="仿宋" w:cs="仿宋"/>
          <w:sz w:val="24"/>
          <w:highlight w:val="none"/>
        </w:rPr>
        <w:t>%违约金并赔偿甲方经济损失。</w:t>
      </w:r>
    </w:p>
    <w:p w14:paraId="6E5BC010">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2.乙方提供的货物如果侵犯了第三方合法权益而引发的任何纠纷或诉讼，均由乙方负责交涉并承担全部责任，如果累及甲方，需赔偿甲方的损失（包括处理费用）。</w:t>
      </w:r>
    </w:p>
    <w:p w14:paraId="5C81E6FE">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3.因包装、运输引起的货物损坏，按质量不合格处理。</w:t>
      </w:r>
    </w:p>
    <w:p w14:paraId="7AC2691C">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4.乙方逾期交货的，每天向对方偿付违约货款额</w:t>
      </w:r>
      <w:r>
        <w:rPr>
          <w:rFonts w:hint="eastAsia" w:ascii="仿宋" w:hAnsi="仿宋" w:eastAsia="仿宋" w:cs="仿宋"/>
          <w:sz w:val="24"/>
          <w:highlight w:val="none"/>
          <w:u w:val="single"/>
        </w:rPr>
        <w:t>5‰</w:t>
      </w:r>
      <w:r>
        <w:rPr>
          <w:rFonts w:hint="eastAsia" w:ascii="仿宋" w:hAnsi="仿宋" w:eastAsia="仿宋" w:cs="仿宋"/>
          <w:sz w:val="24"/>
          <w:highlight w:val="none"/>
        </w:rPr>
        <w:t>违约金，但违约金累计不得超过违约货款额</w:t>
      </w:r>
      <w:r>
        <w:rPr>
          <w:rFonts w:hint="eastAsia" w:ascii="仿宋" w:hAnsi="仿宋" w:eastAsia="仿宋" w:cs="仿宋"/>
          <w:sz w:val="24"/>
          <w:highlight w:val="none"/>
          <w:u w:val="single"/>
        </w:rPr>
        <w:t>5%</w:t>
      </w:r>
      <w:r>
        <w:rPr>
          <w:rFonts w:hint="eastAsia" w:ascii="仿宋" w:hAnsi="仿宋" w:eastAsia="仿宋" w:cs="仿宋"/>
          <w:sz w:val="24"/>
          <w:highlight w:val="none"/>
        </w:rPr>
        <w:t>，超过</w:t>
      </w:r>
      <w:r>
        <w:rPr>
          <w:rFonts w:hint="eastAsia" w:ascii="仿宋" w:hAnsi="仿宋" w:eastAsia="仿宋" w:cs="仿宋"/>
          <w:sz w:val="24"/>
          <w:highlight w:val="none"/>
          <w:u w:val="single"/>
        </w:rPr>
        <w:t xml:space="preserve"> 5 天</w:t>
      </w:r>
      <w:r>
        <w:rPr>
          <w:rFonts w:hint="eastAsia" w:ascii="仿宋" w:hAnsi="仿宋" w:eastAsia="仿宋" w:cs="仿宋"/>
          <w:sz w:val="24"/>
          <w:highlight w:val="none"/>
        </w:rPr>
        <w:t>甲方有权解除合同，乙方承担甲方损失，包括但不限于甲方为维护权利而支付的律师费、诉讼费、保全费、财产保全保险费、鉴定费、交通费、食宿费等费用。</w:t>
      </w:r>
    </w:p>
    <w:p w14:paraId="62E6815C">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5.乙方未按本合同和投标文件中规定的服务承诺提供售后服务的，甲方有权要求解除合同或者继续履行合同，同时乙方应按本合同合计金额 30%向甲方支付违约金并赔偿甲方经济损失，乙方还应承担甲方为维护权利而支付的律师费、诉讼费、保全费、财产保全保险费、鉴定费、交通费、食宿费等费用。</w:t>
      </w:r>
    </w:p>
    <w:p w14:paraId="5F47BDFE">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6.若商品存在设计、工艺或材料的缺陷，且这些缺陷使得商品无法正常使用，乙方应当负责维修或更换；若维修不能解决问题，乙方应退还商品价格并承担由此导致的其他合理费用。</w:t>
      </w:r>
    </w:p>
    <w:p w14:paraId="0F150FE1">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7.乙方存在其它违约行为，乙方应向甲方支付违约货款额30%违约金并赔偿甲方经济损失，包括但不限于甲方为维护权利而支付的律师费、诉讼费、保全费、财产保全保险费、鉴定费、交通费、食宿费等费用。</w:t>
      </w:r>
    </w:p>
    <w:p w14:paraId="09DC5F88">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8.因乙方的行为造成违约的，甲方有权解除合同或者继续履行合同，乙方还应承担甲方为维护权利而支付的律师费、诉讼费、保全费、财产保全保险费、鉴定费、交通费、食宿费等费用。</w:t>
      </w:r>
    </w:p>
    <w:p w14:paraId="5B352A46">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9.违约方造成对方损害的，应当赔偿损失。如未能按期支付相关违约金等，乙方同意按两倍同期银行贷款利率向甲方支付此违约金的利息，甲方有权利以货款抵扣违约金及利息。解除通知的送达方式包括但不限于：书面手递送达、邮政快递送达、电子邮件送达、短信送达等。送达地址为本合同列明的地址，自解除通知发出之日起7个自然日后视为送达。</w:t>
      </w:r>
    </w:p>
    <w:p w14:paraId="3637B0F3">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第十三条  不可抗力事件处理</w:t>
      </w:r>
    </w:p>
    <w:p w14:paraId="7CB2E9E2">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在合同有效期内，乙方因不可抗力事件导致不能履行合同，则合同履行期可延长，其延长期与不可抗力影响期相同。不可抗力事件包括但不限于自然灾害、战争、政府行为等无法预见且无法避免并无法克服的外力事件。乙方在不可抗力事件发生后，应立即以书面形式通知甲方，并在15日内提供由公证机构出具的与不可抗力事件相关的证明。</w:t>
      </w:r>
    </w:p>
    <w:p w14:paraId="2FB32D72">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2.不可抗力事件发生后，应立即通知对方，并寄送有关权威机构出具的证明。</w:t>
      </w:r>
    </w:p>
    <w:p w14:paraId="268590D0">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3.不可抗力事件延续一百二十天以上，双方应通过友好协商，确定是否继续履行合同。</w:t>
      </w:r>
    </w:p>
    <w:p w14:paraId="7B85AF47">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第十四条  合同争议解决</w:t>
      </w:r>
    </w:p>
    <w:p w14:paraId="2BC73135">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1.因货物质量问题发生争议的，应邀请国家认可的质量检测机构对货物质量进行鉴定。货物符合标准的，鉴定费由甲方承担；货物不符合标准的，鉴定费由乙方承担。</w:t>
      </w:r>
    </w:p>
    <w:p w14:paraId="048C0B3C">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2.因履行本合同引起的或与本合同有关的争议，甲乙双方应首先通过友好协商解决，如果协商不能解决，可向甲方所在地有管辖权的人民法院起诉。</w:t>
      </w:r>
    </w:p>
    <w:p w14:paraId="00B0BE16">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3.诉讼期间，本合同继续履行。</w:t>
      </w:r>
    </w:p>
    <w:p w14:paraId="36946B49">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第十五条  合同生效及其他</w:t>
      </w:r>
    </w:p>
    <w:p w14:paraId="2AA285C7">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1.本合同履行期限为：；合同履行地点为：</w:t>
      </w:r>
      <w:r>
        <w:rPr>
          <w:rFonts w:hint="eastAsia" w:ascii="仿宋" w:hAnsi="仿宋" w:eastAsia="仿宋" w:cs="仿宋"/>
          <w:sz w:val="24"/>
          <w:highlight w:val="none"/>
          <w:u w:val="single"/>
        </w:rPr>
        <w:t>甲方指定地点</w:t>
      </w:r>
      <w:r>
        <w:rPr>
          <w:rFonts w:hint="eastAsia" w:ascii="仿宋" w:hAnsi="仿宋" w:eastAsia="仿宋" w:cs="仿宋"/>
          <w:sz w:val="24"/>
          <w:highlight w:val="none"/>
        </w:rPr>
        <w:t>；合同履行的方式：</w:t>
      </w:r>
      <w:r>
        <w:rPr>
          <w:rFonts w:hint="eastAsia" w:ascii="仿宋" w:hAnsi="仿宋" w:eastAsia="仿宋" w:cs="仿宋"/>
          <w:sz w:val="24"/>
          <w:highlight w:val="none"/>
          <w:u w:val="single"/>
        </w:rPr>
        <w:t>按照本合同约定</w:t>
      </w:r>
      <w:r>
        <w:rPr>
          <w:rFonts w:hint="eastAsia" w:ascii="仿宋" w:hAnsi="仿宋" w:eastAsia="仿宋" w:cs="仿宋"/>
          <w:sz w:val="24"/>
          <w:highlight w:val="none"/>
        </w:rPr>
        <w:t>。</w:t>
      </w:r>
    </w:p>
    <w:p w14:paraId="45E07E93">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2.合同经甲乙双方法定代表人或相应的授权代表签字并加盖供应商公章后生效。</w:t>
      </w:r>
    </w:p>
    <w:p w14:paraId="0063A1C0">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3.合同执行中涉及采购资金和采购内容修改或补充的，需经财政部门审批，并签订书面补充协议报</w:t>
      </w:r>
      <w:r>
        <w:rPr>
          <w:rFonts w:hint="eastAsia" w:ascii="仿宋" w:hAnsi="仿宋" w:eastAsia="仿宋" w:cs="仿宋"/>
          <w:sz w:val="24"/>
          <w:highlight w:val="none"/>
          <w:lang w:val="en-US" w:eastAsia="zh-CN"/>
        </w:rPr>
        <w:t>兴安县</w:t>
      </w:r>
      <w:r>
        <w:rPr>
          <w:rFonts w:hint="eastAsia" w:ascii="仿宋" w:hAnsi="仿宋" w:eastAsia="仿宋" w:cs="仿宋"/>
          <w:sz w:val="24"/>
          <w:highlight w:val="none"/>
        </w:rPr>
        <w:t>政府采购监督管理办公室备案，方可作为主合同不可分割的一部分。</w:t>
      </w:r>
    </w:p>
    <w:p w14:paraId="230314DA">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4.本合同未尽事宜，遵照《中华人民共和国民法典》及有关条文执行。</w:t>
      </w:r>
    </w:p>
    <w:p w14:paraId="28D9BE66">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第十六条  合同的变更、终止与转让</w:t>
      </w:r>
    </w:p>
    <w:p w14:paraId="74BC7BD3">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1.除《中华人民共和国政府采购法》第五十条规定的情形外，本合同一经签订，甲乙双方不得擅自变更，中止或终止。</w:t>
      </w:r>
    </w:p>
    <w:p w14:paraId="1949DF75">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乙方不得未经甲方书面同意，擅自转让其应履行的合同义务。违反此条款的，甲方有权解除合同，并要求乙方承担本合同总金额20%的违约责任。原则上，对于无进口资格的供应商，不得签订与进口产品相关的合同。如遇特殊情况，经甲方书面认可，对于无进口资格的供应商转委托有进口资格第三方进口货物的行为，应该在保证货物进口质量和进口时间的前提下进行，并且乙方应与第三方承担连带责任。</w:t>
      </w:r>
    </w:p>
    <w:p w14:paraId="448807E4">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3.合同期内，未经甲方同意，乙方供货义务不得转让给第三人，否则，甲方可以单方解除本合同。本合同项下乙方收取货款的权利，未经甲方同意，不得转让。</w:t>
      </w:r>
    </w:p>
    <w:p w14:paraId="3DA403F2">
      <w:pPr>
        <w:spacing w:line="400" w:lineRule="exact"/>
        <w:ind w:firstLine="472" w:firstLineChars="196"/>
        <w:rPr>
          <w:rFonts w:hint="eastAsia" w:ascii="仿宋" w:hAnsi="仿宋" w:eastAsia="仿宋" w:cs="仿宋"/>
          <w:b/>
          <w:sz w:val="24"/>
          <w:highlight w:val="none"/>
        </w:rPr>
      </w:pPr>
      <w:r>
        <w:rPr>
          <w:rFonts w:hint="eastAsia" w:ascii="仿宋" w:hAnsi="仿宋" w:eastAsia="仿宋" w:cs="仿宋"/>
          <w:b/>
          <w:sz w:val="24"/>
          <w:highlight w:val="none"/>
        </w:rPr>
        <w:t>第十七条  合同解除</w:t>
      </w:r>
    </w:p>
    <w:p w14:paraId="16CAACD3">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乙方如有下列情形之一的，甲方有权解除合同，并要求乙方支付违约金，并赔偿损失：</w:t>
      </w:r>
    </w:p>
    <w:p w14:paraId="3129ECCE">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1.在合同期内甲方有权对乙方的售后服务质量、响应及时性、货物质量等进行不定期考核，甲方评价乙方考核不合格的；</w:t>
      </w:r>
    </w:p>
    <w:p w14:paraId="1D0190F0">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服务期内如乙方出现（1）犯罪行为；（2）被行政执法机关处以吊销营业执照、取消资质、责令停业、行政罚款金额较大（叁万元人民币以上）、暂扣安全生产许可证；（3）财务被接管或冻结情况的。包括但不限于偷税漏税、虚假宣传、商业欺诈、商业贿赂、非法生产等商业不良行为；</w:t>
      </w:r>
    </w:p>
    <w:p w14:paraId="040A7FD0">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3.乙方在合同签署前未主动告知甲方其在合同签署前三年之内有本条第2款中的行为的；</w:t>
      </w:r>
    </w:p>
    <w:p w14:paraId="281CEC98">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4.乙方处于司法诉讼中且甲方认为乙方存在经营风险或专利侵权风险等可能影响合同履行的情形。</w:t>
      </w:r>
    </w:p>
    <w:p w14:paraId="319F3036">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5.因乙方原因，未按期交货一次以上，含专机专用试剂耗材（如有）；或未按招标文件、投标文件及合同规定履行服务承诺一次以上；</w:t>
      </w:r>
    </w:p>
    <w:p w14:paraId="7D4F52D1">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6. 其他解除情形依照本合同约定。</w:t>
      </w:r>
    </w:p>
    <w:p w14:paraId="29F70A1F">
      <w:pPr>
        <w:spacing w:line="400" w:lineRule="exact"/>
        <w:ind w:firstLine="472" w:firstLineChars="196"/>
        <w:rPr>
          <w:rFonts w:hint="eastAsia" w:ascii="仿宋" w:hAnsi="仿宋" w:eastAsia="仿宋" w:cs="仿宋"/>
          <w:b/>
          <w:sz w:val="24"/>
          <w:highlight w:val="none"/>
        </w:rPr>
      </w:pPr>
      <w:r>
        <w:rPr>
          <w:rFonts w:hint="eastAsia" w:ascii="仿宋" w:hAnsi="仿宋" w:eastAsia="仿宋" w:cs="仿宋"/>
          <w:b/>
          <w:sz w:val="24"/>
          <w:highlight w:val="none"/>
        </w:rPr>
        <w:t>第十八条 专机专用试剂/耗材声明与承诺</w:t>
      </w:r>
    </w:p>
    <w:p w14:paraId="4DDDB924">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试剂/耗材是指某类设备所配套使用的持续消耗品，包括但不限于试剂、校准品、质控品、电极模块、清洗保养品、消耗品等设备日常运作、维修、维护所需要全部材料，专机专用试剂/耗材是指在上述基础上符合下列条件之一的：</w:t>
      </w:r>
    </w:p>
    <w:p w14:paraId="713A0B69">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1）仅有唯一生产厂家（包括但不限于设备制造商、试剂/耗材生产商等）自行配套生产的；</w:t>
      </w:r>
    </w:p>
    <w:p w14:paraId="285F2F56">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2）其他生产厂家不生产或其他产品无法替代的；</w:t>
      </w:r>
    </w:p>
    <w:p w14:paraId="742144CF">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注：如甲乙方对本合同项下产品是否包含专机专用试剂/耗材产生争议，不包含专机专用试剂/耗材的举证责任归乙方承担，适用举证责任倒置。</w:t>
      </w:r>
    </w:p>
    <w:p w14:paraId="64712C2E">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乙方承诺，本合同项下全部设备专机专用试剂耗材在本合同签订前的招投标过程中已向甲方以特别提醒的方式明示（是否提醒甲方由乙方承担举证责任）并在投标文件中明示单次完整使用之消耗量及对应价格。如未明示的，则表示乙方确认专机专用试剂耗材由乙方永久不限量免费提供，该部分试剂耗材价格已计入设备款之中，甲方已经一次性支付完毕。</w:t>
      </w:r>
    </w:p>
    <w:p w14:paraId="73A0A26A">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乙方承诺，如若甲方选择乙方供应专机专用耗材，则乙方提供的价格不高于桂林市三级甲等医院相同产品或类似产品的价格。</w:t>
      </w:r>
    </w:p>
    <w:p w14:paraId="06803B56">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专机专用试剂耗材提供方式为：以甲方相关部门书面、电话形式向乙方合同首部载明的联系方式发送通知为准，书面形式包括纸质订单和数据电文（包括电传、传真、电子数据交换、电子邮件、短信、微信、qq）等可以有形地表现所载内容的形式。以数据电文订货的，电文发送成功之日为订单送达日，如电话通知则以乙方接通甲方订货电话之时起视为送达。具体订货信息以书面内容为准，如甲方当面口头或电话、书面订单对有关种类、数量等内容通知不明确的，则以该订货通知发送之日起7个工作日内甲方实际收货内部登记（包括系统数据及人工登记）为准；甲方以上述任意一种方式向乙方订货，视为甲方已经完成了订货及通知义务。自甲方通知送达之日起计算交货期，如延期交货应承担违约责任。</w:t>
      </w:r>
    </w:p>
    <w:p w14:paraId="1945C32A">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专机专用试剂耗材交货时间：自订单送达之日起2个自然日内。如乙方未按合同规定时间将产品运到甲方指定地点或未按约定时间送到全部产品（经甲方书面同意允许延期交货的产品除外），每延期一日，乙方应向甲方支付本合同总货款3%的违约金，上不封顶。</w:t>
      </w:r>
    </w:p>
    <w:p w14:paraId="621D982A">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本条款效力在本合同终止、解除后依然有效。</w:t>
      </w:r>
    </w:p>
    <w:p w14:paraId="5DE14052">
      <w:pPr>
        <w:spacing w:line="400" w:lineRule="exact"/>
        <w:ind w:firstLine="472" w:firstLineChars="196"/>
        <w:rPr>
          <w:rFonts w:hint="eastAsia" w:ascii="仿宋" w:hAnsi="仿宋" w:eastAsia="仿宋" w:cs="仿宋"/>
          <w:b/>
          <w:sz w:val="24"/>
          <w:highlight w:val="none"/>
        </w:rPr>
      </w:pPr>
      <w:r>
        <w:rPr>
          <w:rFonts w:hint="eastAsia" w:ascii="仿宋" w:hAnsi="仿宋" w:eastAsia="仿宋" w:cs="仿宋"/>
          <w:b/>
          <w:sz w:val="24"/>
          <w:highlight w:val="none"/>
        </w:rPr>
        <w:t>第十九条 反商业贿赂条款</w:t>
      </w:r>
    </w:p>
    <w:p w14:paraId="73E55781">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1.甲乙双方都清楚并愿意严格遵守中华人民共和国反商业贿赂的法律规定，双方都清楚任何形式的贿赂和贪渎行为都将触犯法律，并将受到法律的严惩。</w:t>
      </w:r>
    </w:p>
    <w:p w14:paraId="62DD50BD">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甲方或乙方均不得向对方或对方经办人或其他相关人员索要、收受、提供、给予合同约定外的任何利益，包括但不限于明扣、暗扣、现金、购物卡、实物、有价证券、旅游或其他非物质性利益等，但如该等利益属于行业惯例或通常做法，则须在合同中明示。</w:t>
      </w:r>
    </w:p>
    <w:p w14:paraId="70663024">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3.甲方严格禁止甲方经办人员的任何商业贿赂行为。甲方经办人发生本条第二款所列示的任何一种行为，都是违反甲方制度的，都将受到甲方制度和国家法律的惩处。</w:t>
      </w:r>
    </w:p>
    <w:p w14:paraId="59E3591B">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4.甲方郑重提示：甲方反对乙方或乙方经办人员为了本合同之目的与本合同以外的任何第三方发生本条第二款所列示的任何一种行为，该等行为都是违反国家法律的行为，并将受到国家法律的惩处。</w:t>
      </w:r>
    </w:p>
    <w:p w14:paraId="6B4B7BF1">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5.如因一方或一方经办人涉嫌违反第二十条第2点、第3点、第4点之规定，相对方均有权中止合同；如经司法机关调查后其商业贿赂行为属实，则相对方有权解除合同，造成守约方损失的，应承担损害赔偿责任。</w:t>
      </w:r>
    </w:p>
    <w:p w14:paraId="759E783B">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6.本条所称“其他相关人员”是指甲乙方经办人以外的与合同有直接或间接利益关系的人员，包括但不仅限于合同经办人的亲友。</w:t>
      </w:r>
    </w:p>
    <w:p w14:paraId="1F8FEF47">
      <w:pPr>
        <w:spacing w:line="400" w:lineRule="exact"/>
        <w:ind w:firstLine="472" w:firstLineChars="196"/>
        <w:rPr>
          <w:rFonts w:hint="eastAsia" w:ascii="仿宋" w:hAnsi="仿宋" w:eastAsia="仿宋" w:cs="仿宋"/>
          <w:b/>
          <w:bCs/>
          <w:sz w:val="24"/>
          <w:highlight w:val="none"/>
        </w:rPr>
      </w:pPr>
      <w:r>
        <w:rPr>
          <w:rFonts w:hint="eastAsia" w:ascii="仿宋" w:hAnsi="仿宋" w:eastAsia="仿宋" w:cs="仿宋"/>
          <w:b/>
          <w:bCs/>
          <w:sz w:val="24"/>
          <w:highlight w:val="none"/>
        </w:rPr>
        <w:t>第二十条  签订本合同时包括但不限于以下文件，以下文件属于本合同的依据和附件，具有与合同正文同等的法律效力：</w:t>
      </w:r>
    </w:p>
    <w:p w14:paraId="7F93CFDF">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 xml:space="preserve">1.合同主要条款； </w:t>
      </w:r>
    </w:p>
    <w:p w14:paraId="45813D69">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2.采购需求；</w:t>
      </w:r>
    </w:p>
    <w:p w14:paraId="1121DFDE">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3.投标函、</w:t>
      </w:r>
      <w:r>
        <w:rPr>
          <w:rFonts w:hint="eastAsia" w:ascii="仿宋" w:hAnsi="仿宋" w:eastAsia="仿宋" w:cs="仿宋"/>
          <w:sz w:val="24"/>
          <w:highlight w:val="none"/>
        </w:rPr>
        <w:t>投标报价表、易损件报价表（如有）</w:t>
      </w:r>
      <w:r>
        <w:rPr>
          <w:rFonts w:hint="eastAsia" w:ascii="仿宋" w:hAnsi="仿宋" w:eastAsia="仿宋" w:cs="仿宋"/>
          <w:bCs/>
          <w:sz w:val="24"/>
          <w:highlight w:val="none"/>
        </w:rPr>
        <w:t>；</w:t>
      </w:r>
    </w:p>
    <w:p w14:paraId="6684A13B">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4.</w:t>
      </w:r>
      <w:r>
        <w:rPr>
          <w:rFonts w:hint="eastAsia" w:ascii="仿宋" w:hAnsi="仿宋" w:eastAsia="仿宋" w:cs="仿宋"/>
          <w:sz w:val="24"/>
          <w:highlight w:val="none"/>
        </w:rPr>
        <w:t>技术偏离表、</w:t>
      </w:r>
      <w:r>
        <w:rPr>
          <w:rFonts w:hint="eastAsia" w:ascii="仿宋" w:hAnsi="仿宋" w:eastAsia="仿宋" w:cs="仿宋"/>
          <w:bCs/>
          <w:sz w:val="24"/>
          <w:highlight w:val="none"/>
        </w:rPr>
        <w:t>商</w:t>
      </w:r>
      <w:r>
        <w:rPr>
          <w:rFonts w:hint="eastAsia" w:ascii="仿宋" w:hAnsi="仿宋" w:eastAsia="仿宋" w:cs="仿宋"/>
          <w:sz w:val="24"/>
          <w:highlight w:val="none"/>
        </w:rPr>
        <w:t>务响应表</w:t>
      </w:r>
      <w:r>
        <w:rPr>
          <w:rFonts w:hint="eastAsia" w:ascii="仿宋" w:hAnsi="仿宋" w:eastAsia="仿宋" w:cs="仿宋"/>
          <w:bCs/>
          <w:sz w:val="24"/>
          <w:highlight w:val="none"/>
        </w:rPr>
        <w:t xml:space="preserve">； </w:t>
      </w:r>
    </w:p>
    <w:p w14:paraId="18DFCACB">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 xml:space="preserve">5.厂家售后服务承诺书（盖厂家公章，如有）； </w:t>
      </w:r>
    </w:p>
    <w:p w14:paraId="00FE2179">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6.乙方设备安装方案、售后服务实施方案（盖乙方公章）；</w:t>
      </w:r>
    </w:p>
    <w:p w14:paraId="38F7BEB7">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7.产品配置清单（盖乙方公章）；</w:t>
      </w:r>
    </w:p>
    <w:p w14:paraId="68366D28">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8.法定代表人授权委托书（详情见第六条第8款）；</w:t>
      </w:r>
    </w:p>
    <w:p w14:paraId="23EAB787">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9.中标单位注册证（三证合一）；</w:t>
      </w:r>
    </w:p>
    <w:p w14:paraId="48D054EC">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10.产品代理授权书（如有，请提供。1.授权书必须加盖厂家的公章2.有上级代理的，还应当提供上级代理公司出具的授权，授权必须加盖上级代理公司的公章3.授权链条务必完整）；</w:t>
      </w:r>
    </w:p>
    <w:p w14:paraId="4622A0B1">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11.医疗器械注册证（详情见第六条第7款，如不属于医疗器械或依法不需要相关注册证，请提供证据证明）；</w:t>
      </w:r>
    </w:p>
    <w:p w14:paraId="1363BC52">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12.廉洁协议；</w:t>
      </w:r>
    </w:p>
    <w:p w14:paraId="6DC061F7">
      <w:pPr>
        <w:spacing w:line="400" w:lineRule="exact"/>
        <w:ind w:firstLine="470" w:firstLineChars="196"/>
        <w:rPr>
          <w:rFonts w:hint="eastAsia" w:ascii="仿宋" w:hAnsi="仿宋" w:eastAsia="仿宋" w:cs="仿宋"/>
          <w:bCs/>
          <w:sz w:val="24"/>
          <w:highlight w:val="none"/>
        </w:rPr>
      </w:pPr>
      <w:r>
        <w:rPr>
          <w:rFonts w:hint="eastAsia" w:ascii="仿宋" w:hAnsi="仿宋" w:eastAsia="仿宋" w:cs="仿宋"/>
          <w:bCs/>
          <w:sz w:val="24"/>
          <w:highlight w:val="none"/>
        </w:rPr>
        <w:t>13.中标通知书。</w:t>
      </w:r>
    </w:p>
    <w:p w14:paraId="1A844EEC">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 xml:space="preserve">本项目的招标文件及投标文件均作为本合同的附件之一，效力等同于本合同正文。如有双方均认可的有利于甲方的条款更改或增加（如乙方出具的书面优惠承诺书等），则以更改或增加后的条款为准。 </w:t>
      </w:r>
    </w:p>
    <w:p w14:paraId="6A4891C4">
      <w:pPr>
        <w:spacing w:line="400" w:lineRule="exact"/>
        <w:ind w:firstLine="470" w:firstLineChars="196"/>
        <w:rPr>
          <w:rFonts w:hint="eastAsia" w:ascii="仿宋" w:hAnsi="仿宋" w:eastAsia="仿宋" w:cs="仿宋"/>
          <w:sz w:val="24"/>
          <w:highlight w:val="none"/>
        </w:rPr>
      </w:pPr>
      <w:r>
        <w:rPr>
          <w:rFonts w:hint="eastAsia" w:ascii="仿宋" w:hAnsi="仿宋" w:eastAsia="仿宋" w:cs="仿宋"/>
          <w:sz w:val="24"/>
          <w:highlight w:val="none"/>
        </w:rPr>
        <w:t>本合同甲乙双方签字盖章后生效，一式柒份，具有同等法律效力，甲方四份、乙方一份，政府采购合同双方自签订之日起 1 个工作日内将合同原件二份交采购代理机构。</w:t>
      </w:r>
    </w:p>
    <w:p w14:paraId="2BEF981F">
      <w:pPr>
        <w:spacing w:line="400" w:lineRule="exact"/>
        <w:rPr>
          <w:rFonts w:hint="eastAsia" w:ascii="仿宋" w:hAnsi="仿宋" w:eastAsia="仿宋" w:cs="仿宋"/>
          <w:sz w:val="24"/>
          <w:highlight w:val="none"/>
        </w:rPr>
      </w:pPr>
    </w:p>
    <w:p w14:paraId="3B612AB3">
      <w:pPr>
        <w:spacing w:line="400" w:lineRule="exact"/>
        <w:rPr>
          <w:rFonts w:hint="eastAsia" w:ascii="仿宋" w:hAnsi="仿宋" w:eastAsia="仿宋" w:cs="仿宋"/>
          <w:sz w:val="24"/>
          <w:highlight w:val="none"/>
        </w:rPr>
      </w:pPr>
      <w:r>
        <w:rPr>
          <w:rFonts w:hint="eastAsia" w:ascii="仿宋" w:hAnsi="仿宋" w:eastAsia="仿宋" w:cs="仿宋"/>
          <w:sz w:val="24"/>
          <w:highlight w:val="none"/>
        </w:rPr>
        <w:t>（以下无正文）</w:t>
      </w:r>
    </w:p>
    <w:p w14:paraId="1C643959">
      <w:pPr>
        <w:spacing w:line="400" w:lineRule="exact"/>
        <w:rPr>
          <w:rFonts w:hint="eastAsia" w:ascii="仿宋" w:hAnsi="仿宋" w:eastAsia="仿宋" w:cs="仿宋"/>
          <w:kern w:val="0"/>
          <w:sz w:val="24"/>
          <w:highlight w:val="none"/>
        </w:rPr>
      </w:pPr>
    </w:p>
    <w:p w14:paraId="7EB1305B">
      <w:pPr>
        <w:spacing w:line="400" w:lineRule="exact"/>
        <w:rPr>
          <w:rFonts w:hint="eastAsia" w:ascii="仿宋" w:hAnsi="仿宋" w:eastAsia="仿宋" w:cs="仿宋"/>
          <w:sz w:val="24"/>
          <w:highlight w:val="none"/>
          <w:u w:val="single"/>
        </w:rPr>
      </w:pPr>
      <w:r>
        <w:rPr>
          <w:rFonts w:hint="eastAsia" w:ascii="仿宋" w:hAnsi="仿宋" w:eastAsia="仿宋" w:cs="仿宋"/>
          <w:kern w:val="0"/>
          <w:sz w:val="24"/>
          <w:highlight w:val="none"/>
        </w:rPr>
        <w:t>甲方（公章）：</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乙方（公章）：</w:t>
      </w:r>
      <w:r>
        <w:rPr>
          <w:rFonts w:hint="eastAsia" w:ascii="仿宋" w:hAnsi="仿宋" w:eastAsia="仿宋" w:cs="仿宋"/>
          <w:kern w:val="0"/>
          <w:sz w:val="24"/>
          <w:highlight w:val="none"/>
          <w:u w:val="single"/>
        </w:rPr>
        <w:t xml:space="preserve">                                </w:t>
      </w:r>
    </w:p>
    <w:p w14:paraId="0AD270B9">
      <w:pPr>
        <w:widowControl/>
        <w:spacing w:line="400" w:lineRule="exact"/>
        <w:ind w:left="5040" w:hanging="5040" w:hangingChars="2100"/>
        <w:jc w:val="left"/>
        <w:rPr>
          <w:rFonts w:hint="eastAsia" w:ascii="仿宋" w:hAnsi="仿宋" w:eastAsia="仿宋" w:cs="仿宋"/>
          <w:sz w:val="24"/>
          <w:highlight w:val="none"/>
          <w:u w:val="single"/>
        </w:rPr>
      </w:pPr>
      <w:r>
        <w:rPr>
          <w:rFonts w:hint="eastAsia" w:ascii="仿宋" w:hAnsi="仿宋" w:eastAsia="仿宋" w:cs="仿宋"/>
          <w:kern w:val="0"/>
          <w:sz w:val="24"/>
          <w:highlight w:val="none"/>
        </w:rPr>
        <w:t>法定代表人签字：</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法定代表人签字：</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w:t>
      </w:r>
    </w:p>
    <w:p w14:paraId="183E0FEC">
      <w:pPr>
        <w:widowControl/>
        <w:spacing w:line="400" w:lineRule="exact"/>
        <w:jc w:val="left"/>
        <w:rPr>
          <w:rFonts w:hint="eastAsia" w:ascii="仿宋" w:hAnsi="仿宋" w:eastAsia="仿宋" w:cs="仿宋"/>
          <w:sz w:val="24"/>
          <w:highlight w:val="none"/>
        </w:rPr>
      </w:pPr>
      <w:r>
        <w:rPr>
          <w:rFonts w:hint="eastAsia" w:ascii="仿宋" w:hAnsi="仿宋" w:eastAsia="仿宋" w:cs="仿宋"/>
          <w:kern w:val="0"/>
          <w:sz w:val="24"/>
          <w:highlight w:val="none"/>
        </w:rPr>
        <w:t>委托代理人：</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委托代理人：</w:t>
      </w:r>
      <w:r>
        <w:rPr>
          <w:rFonts w:hint="eastAsia" w:ascii="仿宋" w:hAnsi="仿宋" w:eastAsia="仿宋" w:cs="仿宋"/>
          <w:kern w:val="0"/>
          <w:sz w:val="24"/>
          <w:highlight w:val="none"/>
          <w:u w:val="single"/>
        </w:rPr>
        <w:t xml:space="preserve">                                  </w:t>
      </w:r>
    </w:p>
    <w:p w14:paraId="298A5342">
      <w:pPr>
        <w:widowControl/>
        <w:spacing w:line="400" w:lineRule="exact"/>
        <w:jc w:val="left"/>
        <w:rPr>
          <w:rFonts w:hint="eastAsia" w:ascii="仿宋" w:hAnsi="仿宋" w:eastAsia="仿宋" w:cs="仿宋"/>
          <w:sz w:val="24"/>
          <w:highlight w:val="none"/>
        </w:rPr>
      </w:pPr>
      <w:r>
        <w:rPr>
          <w:rFonts w:hint="eastAsia" w:ascii="仿宋" w:hAnsi="仿宋" w:eastAsia="仿宋" w:cs="仿宋"/>
          <w:kern w:val="0"/>
          <w:sz w:val="24"/>
          <w:highlight w:val="none"/>
        </w:rPr>
        <w:t>电 话：</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电 话：</w:t>
      </w:r>
      <w:r>
        <w:rPr>
          <w:rFonts w:hint="eastAsia" w:ascii="仿宋" w:hAnsi="仿宋" w:eastAsia="仿宋" w:cs="仿宋"/>
          <w:kern w:val="0"/>
          <w:sz w:val="24"/>
          <w:highlight w:val="none"/>
          <w:u w:val="single"/>
        </w:rPr>
        <w:t xml:space="preserve">                                       </w:t>
      </w:r>
    </w:p>
    <w:p w14:paraId="1BE5F812">
      <w:pPr>
        <w:widowControl/>
        <w:spacing w:line="400" w:lineRule="exact"/>
        <w:ind w:left="8640" w:hanging="8640" w:hangingChars="3600"/>
        <w:jc w:val="left"/>
        <w:rPr>
          <w:rFonts w:hint="eastAsia" w:ascii="仿宋" w:hAnsi="仿宋" w:eastAsia="仿宋" w:cs="仿宋"/>
          <w:sz w:val="24"/>
          <w:highlight w:val="none"/>
          <w:u w:val="single"/>
        </w:rPr>
      </w:pPr>
      <w:r>
        <w:rPr>
          <w:rFonts w:hint="eastAsia" w:ascii="仿宋" w:hAnsi="仿宋" w:eastAsia="仿宋" w:cs="仿宋"/>
          <w:kern w:val="0"/>
          <w:sz w:val="24"/>
          <w:highlight w:val="none"/>
        </w:rPr>
        <w:t xml:space="preserve">开户名称：  </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开户名称：</w:t>
      </w:r>
      <w:r>
        <w:rPr>
          <w:rFonts w:hint="eastAsia" w:ascii="仿宋" w:hAnsi="仿宋" w:eastAsia="仿宋" w:cs="仿宋"/>
          <w:kern w:val="0"/>
          <w:sz w:val="24"/>
          <w:highlight w:val="none"/>
          <w:u w:val="single"/>
        </w:rPr>
        <w:t xml:space="preserve">                                    </w:t>
      </w:r>
    </w:p>
    <w:p w14:paraId="48E7C85F">
      <w:pPr>
        <w:widowControl/>
        <w:spacing w:line="400" w:lineRule="exact"/>
        <w:jc w:val="left"/>
        <w:rPr>
          <w:rFonts w:hint="eastAsia" w:ascii="仿宋" w:hAnsi="仿宋" w:eastAsia="仿宋" w:cs="仿宋"/>
          <w:sz w:val="24"/>
          <w:highlight w:val="none"/>
        </w:rPr>
      </w:pPr>
      <w:r>
        <w:rPr>
          <w:rFonts w:hint="eastAsia" w:ascii="仿宋" w:hAnsi="仿宋" w:eastAsia="仿宋" w:cs="仿宋"/>
          <w:kern w:val="0"/>
          <w:sz w:val="24"/>
          <w:highlight w:val="none"/>
        </w:rPr>
        <w:t>开户银行：</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开户银行：</w:t>
      </w:r>
      <w:r>
        <w:rPr>
          <w:rFonts w:hint="eastAsia" w:ascii="仿宋" w:hAnsi="仿宋" w:eastAsia="仿宋" w:cs="仿宋"/>
          <w:sz w:val="24"/>
          <w:highlight w:val="none"/>
          <w:u w:val="single"/>
        </w:rPr>
        <w:t xml:space="preserve">                                    </w:t>
      </w:r>
    </w:p>
    <w:p w14:paraId="11639376">
      <w:pPr>
        <w:widowControl/>
        <w:spacing w:line="400" w:lineRule="exact"/>
        <w:jc w:val="left"/>
        <w:rPr>
          <w:rFonts w:hint="eastAsia" w:ascii="仿宋" w:hAnsi="仿宋" w:eastAsia="仿宋" w:cs="仿宋"/>
          <w:sz w:val="24"/>
          <w:highlight w:val="none"/>
        </w:rPr>
      </w:pPr>
      <w:r>
        <w:rPr>
          <w:rFonts w:hint="eastAsia" w:ascii="仿宋" w:hAnsi="仿宋" w:eastAsia="仿宋" w:cs="仿宋"/>
          <w:kern w:val="0"/>
          <w:sz w:val="24"/>
          <w:highlight w:val="none"/>
        </w:rPr>
        <w:t xml:space="preserve">银行账号： </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银行账号：</w:t>
      </w:r>
      <w:r>
        <w:rPr>
          <w:rFonts w:hint="eastAsia" w:ascii="仿宋" w:hAnsi="仿宋" w:eastAsia="仿宋" w:cs="仿宋"/>
          <w:sz w:val="24"/>
          <w:highlight w:val="none"/>
          <w:u w:val="single"/>
        </w:rPr>
        <w:t xml:space="preserve">                                     </w:t>
      </w:r>
    </w:p>
    <w:p w14:paraId="17ECB76A">
      <w:pPr>
        <w:widowControl/>
        <w:spacing w:line="400" w:lineRule="exact"/>
        <w:jc w:val="left"/>
        <w:rPr>
          <w:rFonts w:hint="eastAsia" w:ascii="仿宋" w:hAnsi="仿宋" w:eastAsia="仿宋" w:cs="仿宋"/>
          <w:sz w:val="24"/>
          <w:highlight w:val="none"/>
        </w:rPr>
      </w:pPr>
      <w:r>
        <w:rPr>
          <w:rFonts w:hint="eastAsia" w:ascii="仿宋" w:hAnsi="仿宋" w:eastAsia="仿宋" w:cs="仿宋"/>
          <w:kern w:val="0"/>
          <w:sz w:val="24"/>
          <w:highlight w:val="none"/>
        </w:rPr>
        <w:t>日 期：</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rPr>
        <w:t xml:space="preserve"> 日 期：</w:t>
      </w:r>
      <w:r>
        <w:rPr>
          <w:rFonts w:hint="eastAsia" w:ascii="仿宋" w:hAnsi="仿宋" w:eastAsia="仿宋" w:cs="仿宋"/>
          <w:kern w:val="0"/>
          <w:sz w:val="24"/>
          <w:highlight w:val="none"/>
          <w:u w:val="single"/>
        </w:rPr>
        <w:t xml:space="preserve">                                       </w:t>
      </w:r>
    </w:p>
    <w:p w14:paraId="39CD44A5">
      <w:pPr>
        <w:spacing w:line="460" w:lineRule="exact"/>
        <w:jc w:val="left"/>
        <w:rPr>
          <w:rFonts w:hint="eastAsia" w:ascii="仿宋" w:hAnsi="仿宋" w:eastAsia="仿宋" w:cs="宋体"/>
          <w:b/>
          <w:sz w:val="24"/>
          <w:highlight w:val="none"/>
        </w:rPr>
      </w:pPr>
    </w:p>
    <w:p w14:paraId="1C42EA5E">
      <w:pPr>
        <w:adjustRightInd w:val="0"/>
        <w:snapToGrid w:val="0"/>
        <w:spacing w:line="380" w:lineRule="exact"/>
        <w:jc w:val="center"/>
        <w:rPr>
          <w:rFonts w:hint="eastAsia" w:ascii="宋体" w:hAnsi="宋体"/>
          <w:b/>
          <w:sz w:val="32"/>
          <w:szCs w:val="32"/>
          <w:highlight w:val="none"/>
        </w:rPr>
      </w:pPr>
    </w:p>
    <w:p w14:paraId="18B92949">
      <w:pPr>
        <w:spacing w:line="460" w:lineRule="exact"/>
        <w:jc w:val="left"/>
        <w:rPr>
          <w:rFonts w:hint="eastAsia" w:ascii="仿宋" w:hAnsi="仿宋" w:eastAsia="仿宋" w:cs="宋体"/>
          <w:b/>
          <w:sz w:val="24"/>
          <w:highlight w:val="none"/>
        </w:rPr>
      </w:pPr>
      <w:r>
        <w:rPr>
          <w:rFonts w:ascii="仿宋" w:hAnsi="仿宋" w:eastAsia="仿宋" w:cs="宋体"/>
          <w:b/>
          <w:sz w:val="24"/>
          <w:highlight w:val="none"/>
        </w:rPr>
        <w:br w:type="page"/>
      </w:r>
    </w:p>
    <w:p w14:paraId="6D0A778C">
      <w:pPr>
        <w:spacing w:line="460" w:lineRule="exact"/>
        <w:jc w:val="center"/>
        <w:rPr>
          <w:rFonts w:hint="eastAsia" w:ascii="仿宋" w:hAnsi="仿宋" w:eastAsia="仿宋" w:cs="宋体"/>
          <w:b/>
          <w:sz w:val="36"/>
          <w:szCs w:val="36"/>
          <w:highlight w:val="none"/>
        </w:rPr>
      </w:pPr>
      <w:r>
        <w:rPr>
          <w:rFonts w:hint="eastAsia" w:ascii="仿宋" w:hAnsi="仿宋" w:eastAsia="仿宋" w:cs="宋体"/>
          <w:b/>
          <w:sz w:val="36"/>
          <w:szCs w:val="36"/>
          <w:highlight w:val="none"/>
        </w:rPr>
        <w:t>医疗卫生机构医药产品廉洁购销合同</w:t>
      </w:r>
    </w:p>
    <w:p w14:paraId="4D694B76">
      <w:pPr>
        <w:adjustRightInd w:val="0"/>
        <w:snapToGrid w:val="0"/>
        <w:spacing w:line="380" w:lineRule="exact"/>
        <w:jc w:val="center"/>
        <w:rPr>
          <w:rFonts w:hint="eastAsia" w:ascii="宋体" w:hAnsi="宋体"/>
          <w:b/>
          <w:sz w:val="32"/>
          <w:szCs w:val="32"/>
          <w:highlight w:val="none"/>
        </w:rPr>
      </w:pPr>
    </w:p>
    <w:p w14:paraId="73BA7001">
      <w:pPr>
        <w:spacing w:line="400" w:lineRule="exact"/>
        <w:rPr>
          <w:rFonts w:hint="eastAsia" w:ascii="仿宋" w:hAnsi="仿宋" w:eastAsia="仿宋"/>
          <w:sz w:val="24"/>
          <w:highlight w:val="none"/>
        </w:rPr>
      </w:pPr>
      <w:r>
        <w:rPr>
          <w:rFonts w:hint="eastAsia" w:ascii="仿宋" w:hAnsi="仿宋" w:eastAsia="仿宋"/>
          <w:sz w:val="24"/>
          <w:highlight w:val="none"/>
        </w:rPr>
        <w:t>甲方（采购人）：</w:t>
      </w:r>
    </w:p>
    <w:p w14:paraId="43A6F3ED">
      <w:pPr>
        <w:spacing w:line="400" w:lineRule="exact"/>
        <w:rPr>
          <w:rFonts w:hint="eastAsia" w:ascii="仿宋" w:hAnsi="仿宋" w:eastAsia="仿宋"/>
          <w:sz w:val="24"/>
          <w:highlight w:val="none"/>
        </w:rPr>
      </w:pPr>
      <w:r>
        <w:rPr>
          <w:rFonts w:hint="eastAsia" w:ascii="仿宋" w:hAnsi="仿宋" w:eastAsia="仿宋"/>
          <w:sz w:val="24"/>
          <w:highlight w:val="none"/>
        </w:rPr>
        <w:t>乙方（中标人）：</w:t>
      </w:r>
    </w:p>
    <w:p w14:paraId="7D256042">
      <w:pPr>
        <w:spacing w:line="400" w:lineRule="exact"/>
        <w:rPr>
          <w:rFonts w:hint="eastAsia" w:ascii="仿宋" w:hAnsi="仿宋" w:eastAsia="仿宋"/>
          <w:sz w:val="24"/>
          <w:highlight w:val="none"/>
        </w:rPr>
      </w:pPr>
      <w:r>
        <w:rPr>
          <w:rFonts w:hint="eastAsia" w:ascii="仿宋" w:hAnsi="仿宋" w:eastAsia="仿宋"/>
          <w:sz w:val="24"/>
          <w:highlight w:val="none"/>
        </w:rPr>
        <w:t xml:space="preserve"> </w:t>
      </w:r>
    </w:p>
    <w:p w14:paraId="33C29363">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为进一步加强医疗卫生行风建设，规范医疗卫生机构医药购销行为，有效防范商业贿赂行为，营造公平交易、诚实守信的购销环境，经甲、乙双方协商，同意签订本合同，并共同遵守：</w:t>
      </w:r>
    </w:p>
    <w:p w14:paraId="36D4AFE2">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一、甲乙双方按照《中华人民共和国民法典》及医药产品购销合同约定购销药品、医用设备、医用耗材等医药产品。</w:t>
      </w:r>
    </w:p>
    <w:p w14:paraId="7999ACFE">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二、甲方应当严格执行医药产品购销合同验收、入库制度，对采购医药产品及发票进行查验，不得违反有关规定合同外采购、违价采购或从非规定渠道采购。</w:t>
      </w:r>
    </w:p>
    <w:p w14:paraId="1E531B5E">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3FB99E9">
      <w:pPr>
        <w:spacing w:line="400" w:lineRule="exact"/>
        <w:ind w:firstLine="480" w:firstLineChars="200"/>
        <w:rPr>
          <w:rFonts w:hint="eastAsia" w:ascii="仿宋" w:hAnsi="仿宋" w:eastAsia="仿宋"/>
          <w:sz w:val="24"/>
          <w:highlight w:val="none"/>
        </w:rPr>
      </w:pPr>
      <w:r>
        <w:rPr>
          <w:rFonts w:hint="eastAsia" w:ascii="仿宋" w:hAnsi="仿宋" w:eastAsia="仿宋"/>
          <w:sz w:val="24"/>
          <w:highlight w:val="none"/>
        </w:rPr>
        <w:t>四、严禁甲方工作人员利用任何途径和方式，为乙方统计医师个人及临床科室有关医药产品用量信息，或为乙方统计提供便利。</w:t>
      </w:r>
    </w:p>
    <w:p w14:paraId="585EED79">
      <w:pPr>
        <w:spacing w:line="400" w:lineRule="exact"/>
        <w:ind w:firstLine="480"/>
        <w:rPr>
          <w:rFonts w:hint="eastAsia" w:ascii="仿宋" w:hAnsi="仿宋" w:eastAsia="仿宋"/>
          <w:sz w:val="24"/>
          <w:highlight w:val="none"/>
        </w:rPr>
      </w:pPr>
      <w:r>
        <w:rPr>
          <w:rFonts w:hint="eastAsia" w:ascii="仿宋" w:hAnsi="仿宋" w:eastAsia="仿宋"/>
          <w:sz w:val="24"/>
          <w:highlight w:val="none"/>
        </w:rPr>
        <w:t>五、乙方不得以回扣、宴请等方式影响甲方工作人员采购或使用医药产品的选择权，不得在学术活动中提供旅游、超标准支付食宿费用。</w:t>
      </w:r>
    </w:p>
    <w:p w14:paraId="46E9655D">
      <w:pPr>
        <w:spacing w:line="400" w:lineRule="exact"/>
        <w:ind w:firstLine="480"/>
        <w:rPr>
          <w:rFonts w:hint="eastAsia" w:ascii="仿宋" w:hAnsi="仿宋" w:eastAsia="仿宋"/>
          <w:sz w:val="24"/>
          <w:highlight w:val="none"/>
        </w:rPr>
      </w:pPr>
      <w:r>
        <w:rPr>
          <w:rFonts w:hint="eastAsia" w:ascii="仿宋" w:hAnsi="仿宋" w:eastAsia="仿宋"/>
          <w:sz w:val="24"/>
          <w:highlight w:val="none"/>
        </w:rPr>
        <w:t>六、乙方指定____________洽谈业务。销售代表必须在工作时间到甲方指定地点联系商谈，不得到住院部、门诊部、医技科室等推销医药产品，不得借故到甲方相关领导、部门负责人及相关工作人员家中访谈并提供任何好处费。</w:t>
      </w:r>
    </w:p>
    <w:p w14:paraId="1C86B8FF">
      <w:pPr>
        <w:spacing w:line="400" w:lineRule="exact"/>
        <w:ind w:firstLine="480"/>
        <w:rPr>
          <w:rFonts w:hint="eastAsia" w:ascii="仿宋" w:hAnsi="仿宋" w:eastAsia="仿宋"/>
          <w:sz w:val="24"/>
          <w:highlight w:val="none"/>
        </w:rPr>
      </w:pPr>
      <w:r>
        <w:rPr>
          <w:rFonts w:hint="eastAsia" w:ascii="仿宋" w:hAnsi="仿宋" w:eastAsia="仿宋"/>
          <w:sz w:val="24"/>
          <w:highlight w:val="none"/>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787A06CC">
      <w:pPr>
        <w:spacing w:line="400" w:lineRule="exact"/>
        <w:ind w:firstLine="480"/>
        <w:rPr>
          <w:rFonts w:hint="eastAsia" w:ascii="仿宋" w:hAnsi="仿宋" w:eastAsia="仿宋"/>
          <w:sz w:val="24"/>
          <w:highlight w:val="none"/>
        </w:rPr>
      </w:pPr>
      <w:r>
        <w:rPr>
          <w:rFonts w:hint="eastAsia" w:ascii="仿宋" w:hAnsi="仿宋" w:eastAsia="仿宋"/>
          <w:sz w:val="24"/>
          <w:highlight w:val="none"/>
        </w:rPr>
        <w:t>八、本合同作为医药产品购销合同的重要组成部分，与购销合同一并执行，具有同等的法律效力。</w:t>
      </w:r>
    </w:p>
    <w:p w14:paraId="709CC0BC">
      <w:pPr>
        <w:spacing w:line="400" w:lineRule="exact"/>
        <w:ind w:firstLine="480"/>
        <w:rPr>
          <w:rFonts w:hint="eastAsia" w:ascii="仿宋" w:hAnsi="仿宋" w:eastAsia="仿宋"/>
          <w:sz w:val="24"/>
          <w:highlight w:val="none"/>
        </w:rPr>
      </w:pPr>
      <w:r>
        <w:rPr>
          <w:rFonts w:hint="eastAsia" w:ascii="仿宋" w:hAnsi="仿宋" w:eastAsia="仿宋"/>
          <w:sz w:val="24"/>
          <w:highlight w:val="none"/>
        </w:rPr>
        <w:t>九、本合同一式三份，甲、乙双方各执一份，甲方纪检监察部门（基层医疗卫生机构上报上级卫生计生行政部门）执一份，并从签订之日起生效。</w:t>
      </w:r>
    </w:p>
    <w:p w14:paraId="371A13D1">
      <w:pPr>
        <w:spacing w:line="400" w:lineRule="exact"/>
        <w:rPr>
          <w:rFonts w:hint="eastAsia" w:ascii="仿宋" w:hAnsi="仿宋" w:eastAsia="仿宋"/>
          <w:sz w:val="24"/>
          <w:highlight w:val="none"/>
        </w:rPr>
      </w:pPr>
      <w:r>
        <w:rPr>
          <w:rFonts w:hint="eastAsia" w:ascii="仿宋" w:hAnsi="仿宋" w:eastAsia="仿宋"/>
          <w:sz w:val="24"/>
          <w:highlight w:val="none"/>
        </w:rPr>
        <w:t xml:space="preserve"> </w:t>
      </w:r>
    </w:p>
    <w:p w14:paraId="6A5429F7">
      <w:pPr>
        <w:spacing w:line="400" w:lineRule="exact"/>
        <w:rPr>
          <w:rFonts w:hint="eastAsia" w:ascii="仿宋" w:hAnsi="仿宋" w:eastAsia="仿宋"/>
          <w:sz w:val="24"/>
          <w:highlight w:val="none"/>
        </w:rPr>
      </w:pPr>
    </w:p>
    <w:p w14:paraId="50AD7632">
      <w:pPr>
        <w:spacing w:line="400" w:lineRule="exact"/>
        <w:ind w:firstLine="1440" w:firstLineChars="600"/>
        <w:rPr>
          <w:rFonts w:hint="eastAsia" w:ascii="仿宋" w:hAnsi="仿宋" w:eastAsia="仿宋"/>
          <w:sz w:val="24"/>
          <w:highlight w:val="none"/>
        </w:rPr>
      </w:pPr>
      <w:r>
        <w:rPr>
          <w:rFonts w:hint="eastAsia" w:ascii="仿宋" w:hAnsi="仿宋" w:eastAsia="仿宋"/>
          <w:sz w:val="24"/>
          <w:highlight w:val="none"/>
        </w:rPr>
        <w:t xml:space="preserve">甲方（盖章）：                       </w:t>
      </w:r>
      <w:r>
        <w:rPr>
          <w:rFonts w:ascii="仿宋" w:hAnsi="仿宋" w:eastAsia="仿宋"/>
          <w:sz w:val="24"/>
          <w:highlight w:val="none"/>
        </w:rPr>
        <w:t xml:space="preserve"> </w:t>
      </w:r>
      <w:r>
        <w:rPr>
          <w:rFonts w:hint="eastAsia" w:ascii="仿宋" w:hAnsi="仿宋" w:eastAsia="仿宋"/>
          <w:sz w:val="24"/>
          <w:highlight w:val="none"/>
        </w:rPr>
        <w:t>乙方（盖章）：</w:t>
      </w:r>
    </w:p>
    <w:p w14:paraId="52C5627A">
      <w:pPr>
        <w:spacing w:line="400" w:lineRule="exact"/>
        <w:ind w:firstLine="1440" w:firstLineChars="600"/>
        <w:rPr>
          <w:rFonts w:hint="eastAsia" w:ascii="仿宋" w:hAnsi="仿宋" w:eastAsia="仿宋"/>
          <w:sz w:val="24"/>
          <w:highlight w:val="none"/>
        </w:rPr>
      </w:pPr>
      <w:r>
        <w:rPr>
          <w:rFonts w:hint="eastAsia" w:ascii="仿宋" w:hAnsi="仿宋" w:eastAsia="仿宋"/>
          <w:sz w:val="24"/>
          <w:highlight w:val="none"/>
        </w:rPr>
        <w:t xml:space="preserve">法定代表人：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 xml:space="preserve"> 法定代表人：</w:t>
      </w:r>
    </w:p>
    <w:p w14:paraId="25FD07AC">
      <w:pPr>
        <w:spacing w:line="400" w:lineRule="exact"/>
        <w:ind w:firstLine="1440" w:firstLineChars="600"/>
        <w:rPr>
          <w:rFonts w:hint="eastAsia" w:ascii="仿宋" w:hAnsi="仿宋" w:eastAsia="仿宋"/>
          <w:sz w:val="24"/>
          <w:highlight w:val="none"/>
        </w:rPr>
      </w:pPr>
      <w:r>
        <w:rPr>
          <w:rFonts w:hint="eastAsia" w:ascii="仿宋" w:hAnsi="仿宋" w:eastAsia="仿宋"/>
          <w:sz w:val="24"/>
          <w:highlight w:val="none"/>
        </w:rPr>
        <w:t xml:space="preserve">经办人签名：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 xml:space="preserve">  经办人签名：</w:t>
      </w:r>
    </w:p>
    <w:p w14:paraId="08443EDE">
      <w:pPr>
        <w:spacing w:line="400" w:lineRule="exact"/>
        <w:ind w:firstLine="1440" w:firstLineChars="600"/>
        <w:rPr>
          <w:rFonts w:hint="eastAsia" w:ascii="仿宋" w:hAnsi="仿宋" w:eastAsia="仿宋"/>
          <w:b/>
          <w:sz w:val="24"/>
          <w:highlight w:val="none"/>
        </w:rPr>
      </w:pPr>
      <w:r>
        <w:rPr>
          <w:rFonts w:hint="eastAsia" w:ascii="仿宋" w:hAnsi="仿宋" w:eastAsia="仿宋"/>
          <w:sz w:val="24"/>
          <w:highlight w:val="none"/>
        </w:rPr>
        <w:t xml:space="preserve">年    月    日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 xml:space="preserve"> 年    月    日</w:t>
      </w:r>
    </w:p>
    <w:p w14:paraId="76005368">
      <w:pPr>
        <w:pStyle w:val="2"/>
        <w:keepNext w:val="0"/>
        <w:keepLines w:val="0"/>
        <w:pageBreakBefore/>
        <w:spacing w:before="0" w:after="0" w:line="360" w:lineRule="auto"/>
        <w:jc w:val="center"/>
        <w:textAlignment w:val="center"/>
        <w:rPr>
          <w:rFonts w:hint="eastAsia" w:ascii="仿宋" w:hAnsi="仿宋" w:eastAsia="仿宋"/>
          <w:highlight w:val="none"/>
        </w:rPr>
      </w:pPr>
      <w:bookmarkStart w:id="165" w:name="_Toc13518"/>
      <w:r>
        <w:rPr>
          <w:rFonts w:hint="eastAsia" w:ascii="仿宋" w:hAnsi="仿宋" w:eastAsia="仿宋"/>
          <w:highlight w:val="none"/>
        </w:rPr>
        <w:t>第六章　投标文件格式</w:t>
      </w:r>
      <w:bookmarkEnd w:id="165"/>
    </w:p>
    <w:p w14:paraId="13C41664">
      <w:pPr>
        <w:rPr>
          <w:rFonts w:hint="eastAsia" w:ascii="仿宋" w:hAnsi="仿宋" w:eastAsia="仿宋"/>
          <w:b/>
          <w:sz w:val="28"/>
          <w:szCs w:val="28"/>
          <w:highlight w:val="none"/>
        </w:rPr>
      </w:pPr>
      <w:bookmarkStart w:id="166" w:name="_Toc19686836"/>
      <w:bookmarkStart w:id="167" w:name="_Toc254970698"/>
      <w:bookmarkStart w:id="168" w:name="_Toc254970557"/>
      <w:r>
        <w:rPr>
          <w:rFonts w:hint="eastAsia" w:ascii="仿宋" w:hAnsi="仿宋" w:eastAsia="仿宋"/>
          <w:b/>
          <w:sz w:val="28"/>
          <w:szCs w:val="28"/>
          <w:highlight w:val="none"/>
        </w:rPr>
        <w:t>一、报价文件格式</w:t>
      </w:r>
      <w:bookmarkEnd w:id="166"/>
    </w:p>
    <w:p w14:paraId="77DFE4EA">
      <w:pPr>
        <w:snapToGrid w:val="0"/>
        <w:spacing w:before="120" w:beforeLines="50" w:after="50" w:line="360" w:lineRule="auto"/>
        <w:ind w:left="142"/>
        <w:jc w:val="left"/>
        <w:rPr>
          <w:rFonts w:hint="eastAsia" w:ascii="仿宋" w:hAnsi="仿宋" w:eastAsia="仿宋"/>
          <w:sz w:val="24"/>
          <w:szCs w:val="20"/>
          <w:highlight w:val="none"/>
        </w:rPr>
      </w:pPr>
      <w:r>
        <w:rPr>
          <w:rFonts w:hint="eastAsia" w:ascii="仿宋" w:hAnsi="仿宋" w:eastAsia="仿宋"/>
          <w:b/>
          <w:sz w:val="24"/>
          <w:highlight w:val="none"/>
        </w:rPr>
        <w:t xml:space="preserve">1. 报价文件封面格式： </w:t>
      </w:r>
    </w:p>
    <w:p w14:paraId="40892931">
      <w:pPr>
        <w:snapToGrid w:val="0"/>
        <w:spacing w:before="120" w:beforeLines="50" w:after="50" w:line="400" w:lineRule="exact"/>
        <w:rPr>
          <w:rFonts w:hint="eastAsia" w:ascii="仿宋" w:hAnsi="仿宋" w:eastAsia="仿宋"/>
          <w:bCs/>
          <w:sz w:val="32"/>
          <w:szCs w:val="20"/>
          <w:highlight w:val="none"/>
        </w:rPr>
      </w:pPr>
      <w:r>
        <w:rPr>
          <w:rFonts w:hint="eastAsia" w:ascii="仿宋" w:hAnsi="仿宋" w:eastAsia="仿宋"/>
          <w:sz w:val="24"/>
          <w:highlight w:val="none"/>
        </w:rPr>
        <w:t xml:space="preserve">                                                   </w:t>
      </w:r>
    </w:p>
    <w:p w14:paraId="69798AA2">
      <w:pPr>
        <w:snapToGrid w:val="0"/>
        <w:spacing w:before="120" w:beforeLines="50" w:after="50" w:line="400" w:lineRule="exact"/>
        <w:jc w:val="center"/>
        <w:rPr>
          <w:rFonts w:hint="eastAsia" w:ascii="仿宋" w:hAnsi="仿宋" w:eastAsia="仿宋"/>
          <w:bCs/>
          <w:sz w:val="24"/>
          <w:szCs w:val="20"/>
          <w:highlight w:val="none"/>
        </w:rPr>
      </w:pPr>
    </w:p>
    <w:p w14:paraId="0F3D27F7">
      <w:pPr>
        <w:snapToGrid w:val="0"/>
        <w:spacing w:before="120" w:beforeLines="50" w:after="50"/>
        <w:jc w:val="center"/>
        <w:rPr>
          <w:rFonts w:hint="eastAsia" w:ascii="仿宋" w:hAnsi="仿宋" w:eastAsia="仿宋" w:cs="方正小标宋简体"/>
          <w:sz w:val="84"/>
          <w:szCs w:val="84"/>
          <w:highlight w:val="none"/>
        </w:rPr>
      </w:pPr>
      <w:r>
        <w:rPr>
          <w:rFonts w:hint="eastAsia" w:ascii="仿宋" w:hAnsi="仿宋" w:eastAsia="仿宋" w:cs="方正小标宋简体"/>
          <w:sz w:val="84"/>
          <w:szCs w:val="84"/>
          <w:highlight w:val="none"/>
        </w:rPr>
        <w:t>投  标  文  件</w:t>
      </w:r>
    </w:p>
    <w:p w14:paraId="4552263E">
      <w:pPr>
        <w:snapToGrid w:val="0"/>
        <w:spacing w:before="120" w:beforeLines="50" w:after="50" w:line="400" w:lineRule="exact"/>
        <w:jc w:val="center"/>
        <w:rPr>
          <w:rFonts w:hint="eastAsia" w:ascii="仿宋" w:hAnsi="仿宋" w:eastAsia="仿宋"/>
          <w:bCs/>
          <w:sz w:val="32"/>
          <w:szCs w:val="32"/>
          <w:highlight w:val="none"/>
        </w:rPr>
      </w:pPr>
    </w:p>
    <w:p w14:paraId="54309EF6">
      <w:pPr>
        <w:snapToGrid w:val="0"/>
        <w:spacing w:before="120" w:beforeLines="50" w:after="50" w:line="400" w:lineRule="exact"/>
        <w:jc w:val="center"/>
        <w:rPr>
          <w:rFonts w:hint="eastAsia" w:ascii="仿宋" w:hAnsi="仿宋" w:eastAsia="仿宋" w:cs="方正小标宋简体"/>
          <w:sz w:val="32"/>
          <w:szCs w:val="32"/>
          <w:highlight w:val="none"/>
        </w:rPr>
      </w:pPr>
      <w:r>
        <w:rPr>
          <w:rFonts w:hint="eastAsia" w:ascii="仿宋" w:hAnsi="仿宋" w:eastAsia="仿宋" w:cs="方正小标宋简体"/>
          <w:sz w:val="32"/>
          <w:szCs w:val="32"/>
          <w:highlight w:val="none"/>
        </w:rPr>
        <w:t>报  价  文  件</w:t>
      </w:r>
    </w:p>
    <w:p w14:paraId="148BA0E0">
      <w:pPr>
        <w:snapToGrid w:val="0"/>
        <w:spacing w:before="120" w:beforeLines="50" w:after="50" w:line="400" w:lineRule="exact"/>
        <w:rPr>
          <w:rFonts w:hint="eastAsia" w:ascii="仿宋" w:hAnsi="仿宋" w:eastAsia="仿宋"/>
          <w:bCs/>
          <w:sz w:val="24"/>
          <w:szCs w:val="20"/>
          <w:highlight w:val="none"/>
        </w:rPr>
      </w:pPr>
    </w:p>
    <w:p w14:paraId="7BA89048">
      <w:pPr>
        <w:snapToGrid w:val="0"/>
        <w:spacing w:before="120" w:beforeLines="50" w:after="50" w:line="400" w:lineRule="exact"/>
        <w:rPr>
          <w:rFonts w:hint="eastAsia" w:ascii="仿宋" w:hAnsi="仿宋" w:eastAsia="仿宋"/>
          <w:bCs/>
          <w:sz w:val="24"/>
          <w:szCs w:val="20"/>
          <w:highlight w:val="none"/>
        </w:rPr>
      </w:pPr>
    </w:p>
    <w:p w14:paraId="0C1B0E6B">
      <w:pPr>
        <w:snapToGrid w:val="0"/>
        <w:spacing w:before="120" w:beforeLines="50" w:after="50" w:line="400" w:lineRule="exact"/>
        <w:rPr>
          <w:rFonts w:hint="eastAsia" w:ascii="仿宋" w:hAnsi="仿宋" w:eastAsia="仿宋"/>
          <w:bCs/>
          <w:sz w:val="24"/>
          <w:szCs w:val="20"/>
          <w:highlight w:val="none"/>
        </w:rPr>
      </w:pPr>
    </w:p>
    <w:p w14:paraId="1A2883F1">
      <w:pPr>
        <w:snapToGrid w:val="0"/>
        <w:spacing w:before="120" w:beforeLines="50" w:after="50" w:line="400" w:lineRule="exact"/>
        <w:rPr>
          <w:rFonts w:hint="eastAsia" w:ascii="仿宋" w:hAnsi="仿宋" w:eastAsia="仿宋"/>
          <w:bCs/>
          <w:sz w:val="24"/>
          <w:szCs w:val="20"/>
          <w:highlight w:val="none"/>
        </w:rPr>
      </w:pPr>
    </w:p>
    <w:p w14:paraId="62B7032D">
      <w:pPr>
        <w:snapToGrid w:val="0"/>
        <w:spacing w:before="120" w:beforeLines="50" w:after="50" w:line="400" w:lineRule="exact"/>
        <w:ind w:firstLine="360" w:firstLineChars="150"/>
        <w:rPr>
          <w:rFonts w:hint="eastAsia" w:ascii="仿宋" w:hAnsi="仿宋" w:eastAsia="仿宋"/>
          <w:bCs/>
          <w:sz w:val="24"/>
          <w:highlight w:val="none"/>
        </w:rPr>
      </w:pPr>
      <w:r>
        <w:rPr>
          <w:rFonts w:hint="eastAsia" w:ascii="仿宋" w:hAnsi="仿宋" w:eastAsia="仿宋"/>
          <w:bCs/>
          <w:sz w:val="24"/>
          <w:highlight w:val="none"/>
        </w:rPr>
        <w:t xml:space="preserve">项目名称： </w:t>
      </w:r>
    </w:p>
    <w:p w14:paraId="685D7AEC">
      <w:pPr>
        <w:snapToGrid w:val="0"/>
        <w:spacing w:before="120" w:beforeLines="50" w:after="50" w:line="400" w:lineRule="exact"/>
        <w:ind w:firstLine="360" w:firstLineChars="150"/>
        <w:rPr>
          <w:rFonts w:hint="eastAsia" w:ascii="仿宋" w:hAnsi="仿宋" w:eastAsia="仿宋"/>
          <w:bCs/>
          <w:sz w:val="24"/>
          <w:highlight w:val="none"/>
        </w:rPr>
      </w:pPr>
    </w:p>
    <w:p w14:paraId="4F43B20A">
      <w:pPr>
        <w:snapToGrid w:val="0"/>
        <w:spacing w:before="120" w:beforeLines="50" w:after="50" w:line="400" w:lineRule="exact"/>
        <w:ind w:firstLine="360" w:firstLineChars="150"/>
        <w:rPr>
          <w:rFonts w:hint="eastAsia" w:ascii="仿宋" w:hAnsi="仿宋" w:eastAsia="仿宋"/>
          <w:bCs/>
          <w:sz w:val="24"/>
          <w:highlight w:val="none"/>
        </w:rPr>
      </w:pPr>
      <w:r>
        <w:rPr>
          <w:rFonts w:hint="eastAsia" w:ascii="仿宋" w:hAnsi="仿宋" w:eastAsia="仿宋"/>
          <w:bCs/>
          <w:sz w:val="24"/>
          <w:highlight w:val="none"/>
        </w:rPr>
        <w:t xml:space="preserve">项目编号： </w:t>
      </w:r>
    </w:p>
    <w:p w14:paraId="223F3E17">
      <w:pPr>
        <w:snapToGrid w:val="0"/>
        <w:spacing w:before="120" w:beforeLines="50" w:after="50" w:line="400" w:lineRule="exact"/>
        <w:ind w:firstLine="360" w:firstLineChars="150"/>
        <w:rPr>
          <w:rFonts w:hint="eastAsia" w:ascii="仿宋" w:hAnsi="仿宋" w:eastAsia="仿宋"/>
          <w:bCs/>
          <w:sz w:val="24"/>
          <w:highlight w:val="none"/>
        </w:rPr>
      </w:pPr>
    </w:p>
    <w:p w14:paraId="295C19D2">
      <w:pPr>
        <w:snapToGrid w:val="0"/>
        <w:spacing w:before="120" w:beforeLines="50" w:after="50" w:line="400" w:lineRule="exact"/>
        <w:ind w:firstLine="360" w:firstLineChars="150"/>
        <w:rPr>
          <w:rFonts w:hint="eastAsia" w:ascii="仿宋" w:hAnsi="仿宋" w:eastAsia="仿宋"/>
          <w:bCs/>
          <w:sz w:val="24"/>
          <w:highlight w:val="none"/>
        </w:rPr>
      </w:pPr>
    </w:p>
    <w:p w14:paraId="42275D23">
      <w:pPr>
        <w:snapToGrid w:val="0"/>
        <w:spacing w:before="120" w:beforeLines="50" w:after="50" w:line="400" w:lineRule="exact"/>
        <w:ind w:firstLine="360" w:firstLineChars="150"/>
        <w:rPr>
          <w:rFonts w:hint="eastAsia" w:ascii="仿宋" w:hAnsi="仿宋" w:eastAsia="仿宋"/>
          <w:bCs/>
          <w:sz w:val="24"/>
          <w:highlight w:val="none"/>
        </w:rPr>
      </w:pPr>
      <w:r>
        <w:rPr>
          <w:rFonts w:hint="eastAsia" w:ascii="仿宋" w:hAnsi="仿宋" w:eastAsia="仿宋"/>
          <w:bCs/>
          <w:sz w:val="24"/>
          <w:highlight w:val="none"/>
        </w:rPr>
        <w:t>投标人名称：</w:t>
      </w:r>
    </w:p>
    <w:p w14:paraId="56FFB5E0">
      <w:pPr>
        <w:snapToGrid w:val="0"/>
        <w:spacing w:before="120" w:beforeLines="50" w:after="50" w:line="400" w:lineRule="exact"/>
        <w:ind w:firstLine="360" w:firstLineChars="150"/>
        <w:rPr>
          <w:rFonts w:hint="eastAsia" w:ascii="仿宋" w:hAnsi="仿宋" w:eastAsia="仿宋"/>
          <w:bCs/>
          <w:sz w:val="24"/>
          <w:highlight w:val="none"/>
        </w:rPr>
      </w:pPr>
    </w:p>
    <w:p w14:paraId="33E93AEE">
      <w:pPr>
        <w:pStyle w:val="7"/>
        <w:rPr>
          <w:highlight w:val="none"/>
        </w:rPr>
      </w:pPr>
    </w:p>
    <w:p w14:paraId="47E39026">
      <w:pPr>
        <w:snapToGrid w:val="0"/>
        <w:spacing w:before="120" w:beforeLines="50" w:after="50" w:line="400" w:lineRule="exact"/>
        <w:rPr>
          <w:rFonts w:hint="eastAsia" w:ascii="仿宋" w:hAnsi="仿宋" w:eastAsia="仿宋"/>
          <w:sz w:val="30"/>
          <w:szCs w:val="20"/>
          <w:highlight w:val="none"/>
        </w:rPr>
      </w:pPr>
      <w:r>
        <w:rPr>
          <w:rFonts w:hint="eastAsia" w:ascii="仿宋" w:hAnsi="仿宋" w:eastAsia="仿宋"/>
          <w:sz w:val="24"/>
          <w:highlight w:val="none"/>
        </w:rPr>
        <w:t xml:space="preserve">                                   年 </w:t>
      </w:r>
      <w:r>
        <w:rPr>
          <w:rFonts w:ascii="仿宋" w:hAnsi="仿宋" w:eastAsia="仿宋"/>
          <w:sz w:val="24"/>
          <w:highlight w:val="none"/>
        </w:rPr>
        <w:t xml:space="preserve"> </w:t>
      </w:r>
      <w:r>
        <w:rPr>
          <w:rFonts w:hint="eastAsia" w:ascii="仿宋" w:hAnsi="仿宋" w:eastAsia="仿宋"/>
          <w:sz w:val="24"/>
          <w:highlight w:val="none"/>
        </w:rPr>
        <w:t xml:space="preserve"> 月 </w:t>
      </w:r>
      <w:r>
        <w:rPr>
          <w:rFonts w:ascii="仿宋" w:hAnsi="仿宋" w:eastAsia="仿宋"/>
          <w:sz w:val="24"/>
          <w:highlight w:val="none"/>
        </w:rPr>
        <w:t xml:space="preserve"> </w:t>
      </w:r>
      <w:r>
        <w:rPr>
          <w:rFonts w:hint="eastAsia" w:ascii="仿宋" w:hAnsi="仿宋" w:eastAsia="仿宋"/>
          <w:sz w:val="24"/>
          <w:highlight w:val="none"/>
        </w:rPr>
        <w:t xml:space="preserve"> 日</w:t>
      </w:r>
    </w:p>
    <w:p w14:paraId="5C805CC2">
      <w:pPr>
        <w:snapToGrid w:val="0"/>
        <w:spacing w:before="120" w:beforeLines="50" w:after="50" w:line="360" w:lineRule="auto"/>
        <w:jc w:val="left"/>
        <w:rPr>
          <w:rFonts w:hint="eastAsia" w:ascii="仿宋" w:hAnsi="仿宋" w:eastAsia="仿宋"/>
          <w:sz w:val="24"/>
          <w:szCs w:val="20"/>
          <w:highlight w:val="none"/>
        </w:rPr>
      </w:pPr>
      <w:r>
        <w:rPr>
          <w:rFonts w:ascii="仿宋" w:hAnsi="仿宋" w:eastAsia="仿宋"/>
          <w:b/>
          <w:sz w:val="24"/>
          <w:highlight w:val="none"/>
        </w:rPr>
        <w:br w:type="page"/>
      </w:r>
      <w:r>
        <w:rPr>
          <w:rFonts w:hint="eastAsia" w:ascii="仿宋" w:hAnsi="仿宋" w:eastAsia="仿宋"/>
          <w:b/>
          <w:sz w:val="24"/>
          <w:highlight w:val="none"/>
        </w:rPr>
        <w:t>2.</w:t>
      </w:r>
      <w:r>
        <w:rPr>
          <w:rFonts w:hint="eastAsia" w:ascii="仿宋" w:hAnsi="仿宋" w:eastAsia="仿宋"/>
          <w:b/>
          <w:bCs/>
          <w:sz w:val="24"/>
          <w:highlight w:val="none"/>
        </w:rPr>
        <w:t>报价文件目录</w:t>
      </w:r>
    </w:p>
    <w:p w14:paraId="1AB0FC20">
      <w:pPr>
        <w:snapToGrid w:val="0"/>
        <w:spacing w:before="50" w:after="120" w:afterLines="50" w:line="360" w:lineRule="auto"/>
        <w:jc w:val="left"/>
        <w:rPr>
          <w:rFonts w:hint="eastAsia" w:ascii="仿宋" w:hAnsi="仿宋" w:eastAsia="仿宋"/>
          <w:b/>
          <w:sz w:val="24"/>
          <w:highlight w:val="none"/>
        </w:rPr>
      </w:pPr>
      <w:r>
        <w:rPr>
          <w:rFonts w:hint="eastAsia" w:ascii="仿宋" w:hAnsi="仿宋" w:eastAsia="仿宋"/>
          <w:szCs w:val="21"/>
          <w:highlight w:val="none"/>
        </w:rPr>
        <w:t>根据招标文件规定及投标人提供的材料自行编写目录。</w:t>
      </w:r>
    </w:p>
    <w:p w14:paraId="25B34C9C">
      <w:pPr>
        <w:snapToGrid w:val="0"/>
        <w:spacing w:before="120" w:beforeLines="50" w:after="50"/>
        <w:rPr>
          <w:rFonts w:hint="eastAsia" w:ascii="仿宋" w:hAnsi="仿宋" w:eastAsia="仿宋"/>
          <w:b/>
          <w:sz w:val="24"/>
          <w:highlight w:val="none"/>
        </w:rPr>
      </w:pPr>
    </w:p>
    <w:p w14:paraId="5CD6A5EC">
      <w:pPr>
        <w:snapToGrid w:val="0"/>
        <w:spacing w:before="120" w:beforeLines="50" w:after="50"/>
        <w:rPr>
          <w:rFonts w:hint="eastAsia" w:ascii="仿宋" w:hAnsi="仿宋" w:eastAsia="仿宋"/>
          <w:b/>
          <w:sz w:val="24"/>
          <w:highlight w:val="none"/>
        </w:rPr>
      </w:pPr>
    </w:p>
    <w:p w14:paraId="7909DA50">
      <w:pPr>
        <w:snapToGrid w:val="0"/>
        <w:spacing w:before="120" w:beforeLines="50" w:after="50"/>
        <w:rPr>
          <w:rFonts w:hint="eastAsia" w:ascii="仿宋" w:hAnsi="仿宋" w:eastAsia="仿宋"/>
          <w:b/>
          <w:sz w:val="24"/>
          <w:highlight w:val="none"/>
        </w:rPr>
      </w:pPr>
    </w:p>
    <w:p w14:paraId="229DC4C9">
      <w:pPr>
        <w:snapToGrid w:val="0"/>
        <w:spacing w:before="120" w:beforeLines="50" w:after="50"/>
        <w:ind w:left="142"/>
        <w:jc w:val="left"/>
        <w:rPr>
          <w:rFonts w:hint="eastAsia" w:ascii="仿宋" w:hAnsi="仿宋" w:eastAsia="仿宋"/>
          <w:b/>
          <w:sz w:val="24"/>
          <w:highlight w:val="none"/>
        </w:rPr>
      </w:pPr>
    </w:p>
    <w:p w14:paraId="2D91CCF5">
      <w:pPr>
        <w:snapToGrid w:val="0"/>
        <w:spacing w:before="120" w:beforeLines="50" w:after="50"/>
        <w:ind w:left="142"/>
        <w:jc w:val="left"/>
        <w:rPr>
          <w:rFonts w:hint="eastAsia" w:ascii="仿宋" w:hAnsi="仿宋" w:eastAsia="仿宋"/>
          <w:b/>
          <w:sz w:val="24"/>
          <w:highlight w:val="none"/>
        </w:rPr>
      </w:pPr>
    </w:p>
    <w:p w14:paraId="7F33989C">
      <w:pPr>
        <w:snapToGrid w:val="0"/>
        <w:spacing w:before="120" w:beforeLines="50" w:after="50"/>
        <w:ind w:left="142"/>
        <w:jc w:val="left"/>
        <w:rPr>
          <w:rFonts w:hint="eastAsia" w:ascii="仿宋" w:hAnsi="仿宋" w:eastAsia="仿宋"/>
          <w:b/>
          <w:sz w:val="24"/>
          <w:highlight w:val="none"/>
        </w:rPr>
      </w:pPr>
    </w:p>
    <w:p w14:paraId="495C93EE">
      <w:pPr>
        <w:snapToGrid w:val="0"/>
        <w:spacing w:before="120" w:beforeLines="50" w:after="50"/>
        <w:ind w:left="142"/>
        <w:jc w:val="left"/>
        <w:rPr>
          <w:rFonts w:hint="eastAsia" w:ascii="仿宋" w:hAnsi="仿宋" w:eastAsia="仿宋"/>
          <w:b/>
          <w:sz w:val="24"/>
          <w:highlight w:val="none"/>
        </w:rPr>
      </w:pPr>
    </w:p>
    <w:p w14:paraId="7A85A219">
      <w:pPr>
        <w:snapToGrid w:val="0"/>
        <w:spacing w:before="120" w:beforeLines="50" w:after="50"/>
        <w:ind w:left="142"/>
        <w:jc w:val="left"/>
        <w:rPr>
          <w:rFonts w:hint="eastAsia" w:ascii="仿宋" w:hAnsi="仿宋" w:eastAsia="仿宋"/>
          <w:b/>
          <w:sz w:val="24"/>
          <w:highlight w:val="none"/>
        </w:rPr>
      </w:pPr>
    </w:p>
    <w:p w14:paraId="404EAB29">
      <w:pPr>
        <w:snapToGrid w:val="0"/>
        <w:spacing w:before="120" w:beforeLines="50" w:after="50"/>
        <w:ind w:left="142"/>
        <w:jc w:val="left"/>
        <w:rPr>
          <w:rFonts w:hint="eastAsia" w:ascii="仿宋" w:hAnsi="仿宋" w:eastAsia="仿宋"/>
          <w:b/>
          <w:sz w:val="24"/>
          <w:highlight w:val="none"/>
        </w:rPr>
      </w:pPr>
    </w:p>
    <w:p w14:paraId="2B0D4E2D">
      <w:pPr>
        <w:snapToGrid w:val="0"/>
        <w:spacing w:before="120" w:beforeLines="50" w:after="50"/>
        <w:ind w:left="142"/>
        <w:jc w:val="left"/>
        <w:rPr>
          <w:rFonts w:hint="eastAsia" w:ascii="仿宋" w:hAnsi="仿宋" w:eastAsia="仿宋"/>
          <w:b/>
          <w:sz w:val="24"/>
          <w:highlight w:val="none"/>
        </w:rPr>
      </w:pPr>
    </w:p>
    <w:p w14:paraId="0EFB2545">
      <w:pPr>
        <w:snapToGrid w:val="0"/>
        <w:spacing w:before="120" w:beforeLines="50" w:after="50"/>
        <w:ind w:left="142"/>
        <w:jc w:val="left"/>
        <w:rPr>
          <w:rFonts w:hint="eastAsia" w:ascii="仿宋" w:hAnsi="仿宋" w:eastAsia="仿宋"/>
          <w:b/>
          <w:sz w:val="24"/>
          <w:highlight w:val="none"/>
        </w:rPr>
      </w:pPr>
    </w:p>
    <w:p w14:paraId="0B3A2031">
      <w:pPr>
        <w:snapToGrid w:val="0"/>
        <w:spacing w:before="120" w:beforeLines="50" w:after="50"/>
        <w:ind w:left="142"/>
        <w:jc w:val="left"/>
        <w:rPr>
          <w:rFonts w:hint="eastAsia" w:ascii="仿宋" w:hAnsi="仿宋" w:eastAsia="仿宋"/>
          <w:b/>
          <w:sz w:val="24"/>
          <w:highlight w:val="none"/>
        </w:rPr>
      </w:pPr>
    </w:p>
    <w:p w14:paraId="20E35A7A">
      <w:pPr>
        <w:snapToGrid w:val="0"/>
        <w:spacing w:before="120" w:beforeLines="50" w:after="50"/>
        <w:ind w:left="142"/>
        <w:jc w:val="left"/>
        <w:rPr>
          <w:rFonts w:hint="eastAsia" w:ascii="仿宋" w:hAnsi="仿宋" w:eastAsia="仿宋"/>
          <w:b/>
          <w:sz w:val="24"/>
          <w:highlight w:val="none"/>
        </w:rPr>
      </w:pPr>
    </w:p>
    <w:p w14:paraId="5E51DC67">
      <w:pPr>
        <w:snapToGrid w:val="0"/>
        <w:spacing w:before="120" w:beforeLines="50" w:after="50"/>
        <w:ind w:left="142"/>
        <w:jc w:val="left"/>
        <w:rPr>
          <w:rFonts w:hint="eastAsia" w:ascii="仿宋" w:hAnsi="仿宋" w:eastAsia="仿宋"/>
          <w:b/>
          <w:sz w:val="24"/>
          <w:highlight w:val="none"/>
        </w:rPr>
      </w:pPr>
    </w:p>
    <w:p w14:paraId="7A9DC55B">
      <w:pPr>
        <w:snapToGrid w:val="0"/>
        <w:spacing w:before="120" w:beforeLines="50" w:after="50"/>
        <w:ind w:left="142"/>
        <w:jc w:val="left"/>
        <w:rPr>
          <w:rFonts w:hint="eastAsia" w:ascii="仿宋" w:hAnsi="仿宋" w:eastAsia="仿宋"/>
          <w:b/>
          <w:sz w:val="24"/>
          <w:highlight w:val="none"/>
        </w:rPr>
      </w:pPr>
    </w:p>
    <w:p w14:paraId="41DADE95">
      <w:pPr>
        <w:snapToGrid w:val="0"/>
        <w:spacing w:before="120" w:beforeLines="50" w:after="50"/>
        <w:ind w:left="142"/>
        <w:jc w:val="left"/>
        <w:rPr>
          <w:rFonts w:hint="eastAsia" w:ascii="仿宋" w:hAnsi="仿宋" w:eastAsia="仿宋"/>
          <w:b/>
          <w:sz w:val="24"/>
          <w:highlight w:val="none"/>
        </w:rPr>
      </w:pPr>
    </w:p>
    <w:p w14:paraId="77E176C4">
      <w:pPr>
        <w:snapToGrid w:val="0"/>
        <w:spacing w:before="120" w:beforeLines="50" w:after="50"/>
        <w:ind w:left="142"/>
        <w:jc w:val="left"/>
        <w:rPr>
          <w:rFonts w:hint="eastAsia" w:ascii="仿宋" w:hAnsi="仿宋" w:eastAsia="仿宋"/>
          <w:b/>
          <w:sz w:val="24"/>
          <w:highlight w:val="none"/>
        </w:rPr>
      </w:pPr>
    </w:p>
    <w:p w14:paraId="58812D2B">
      <w:pPr>
        <w:snapToGrid w:val="0"/>
        <w:spacing w:before="120" w:beforeLines="50" w:after="50"/>
        <w:ind w:left="142"/>
        <w:jc w:val="left"/>
        <w:rPr>
          <w:rFonts w:hint="eastAsia" w:ascii="仿宋" w:hAnsi="仿宋" w:eastAsia="仿宋"/>
          <w:b/>
          <w:sz w:val="24"/>
          <w:highlight w:val="none"/>
        </w:rPr>
      </w:pPr>
    </w:p>
    <w:p w14:paraId="7796E51E">
      <w:pPr>
        <w:snapToGrid w:val="0"/>
        <w:spacing w:before="120" w:beforeLines="50" w:after="50"/>
        <w:ind w:left="142"/>
        <w:jc w:val="left"/>
        <w:rPr>
          <w:rFonts w:hint="eastAsia" w:ascii="仿宋" w:hAnsi="仿宋" w:eastAsia="仿宋"/>
          <w:b/>
          <w:sz w:val="24"/>
          <w:highlight w:val="none"/>
        </w:rPr>
      </w:pPr>
    </w:p>
    <w:p w14:paraId="1960DBAB">
      <w:pPr>
        <w:snapToGrid w:val="0"/>
        <w:spacing w:before="120" w:beforeLines="50" w:after="50"/>
        <w:ind w:left="142"/>
        <w:jc w:val="left"/>
        <w:rPr>
          <w:rFonts w:hint="eastAsia" w:ascii="仿宋" w:hAnsi="仿宋" w:eastAsia="仿宋"/>
          <w:b/>
          <w:sz w:val="24"/>
          <w:highlight w:val="none"/>
        </w:rPr>
      </w:pPr>
    </w:p>
    <w:p w14:paraId="0F4A6476">
      <w:pPr>
        <w:snapToGrid w:val="0"/>
        <w:spacing w:before="120" w:beforeLines="50" w:after="50"/>
        <w:ind w:left="142"/>
        <w:jc w:val="left"/>
        <w:rPr>
          <w:rFonts w:hint="eastAsia" w:ascii="仿宋" w:hAnsi="仿宋" w:eastAsia="仿宋"/>
          <w:b/>
          <w:sz w:val="24"/>
          <w:highlight w:val="none"/>
        </w:rPr>
      </w:pPr>
    </w:p>
    <w:p w14:paraId="375E2FEF">
      <w:pPr>
        <w:snapToGrid w:val="0"/>
        <w:spacing w:before="120" w:beforeLines="50" w:after="50"/>
        <w:ind w:left="142"/>
        <w:jc w:val="left"/>
        <w:rPr>
          <w:rFonts w:hint="eastAsia" w:ascii="仿宋" w:hAnsi="仿宋" w:eastAsia="仿宋"/>
          <w:b/>
          <w:sz w:val="24"/>
          <w:highlight w:val="none"/>
        </w:rPr>
      </w:pPr>
    </w:p>
    <w:p w14:paraId="7985AE50">
      <w:pPr>
        <w:snapToGrid w:val="0"/>
        <w:spacing w:before="120" w:beforeLines="50" w:after="50"/>
        <w:ind w:left="142"/>
        <w:jc w:val="left"/>
        <w:rPr>
          <w:rFonts w:hint="eastAsia" w:ascii="仿宋" w:hAnsi="仿宋" w:eastAsia="仿宋"/>
          <w:b/>
          <w:sz w:val="24"/>
          <w:highlight w:val="none"/>
        </w:rPr>
      </w:pPr>
    </w:p>
    <w:p w14:paraId="16B1A5F2">
      <w:pPr>
        <w:snapToGrid w:val="0"/>
        <w:spacing w:before="120" w:beforeLines="50" w:after="50"/>
        <w:ind w:left="142"/>
        <w:jc w:val="left"/>
        <w:rPr>
          <w:rFonts w:hint="eastAsia" w:ascii="仿宋" w:hAnsi="仿宋" w:eastAsia="仿宋"/>
          <w:b/>
          <w:sz w:val="24"/>
          <w:highlight w:val="none"/>
        </w:rPr>
      </w:pPr>
    </w:p>
    <w:p w14:paraId="4F5D12C7">
      <w:pPr>
        <w:snapToGrid w:val="0"/>
        <w:spacing w:before="120" w:beforeLines="50" w:after="50"/>
        <w:ind w:left="142"/>
        <w:jc w:val="left"/>
        <w:rPr>
          <w:rFonts w:hint="eastAsia" w:ascii="仿宋" w:hAnsi="仿宋" w:eastAsia="仿宋"/>
          <w:b/>
          <w:sz w:val="24"/>
          <w:highlight w:val="none"/>
        </w:rPr>
      </w:pPr>
    </w:p>
    <w:p w14:paraId="34E6F703">
      <w:pPr>
        <w:snapToGrid w:val="0"/>
        <w:spacing w:before="120" w:beforeLines="50" w:after="50"/>
        <w:ind w:left="142"/>
        <w:jc w:val="left"/>
        <w:rPr>
          <w:rFonts w:hint="eastAsia" w:ascii="仿宋" w:hAnsi="仿宋" w:eastAsia="仿宋"/>
          <w:b/>
          <w:sz w:val="24"/>
          <w:highlight w:val="none"/>
        </w:rPr>
      </w:pPr>
    </w:p>
    <w:p w14:paraId="2FAAFEA9">
      <w:pPr>
        <w:snapToGrid w:val="0"/>
        <w:spacing w:before="120" w:beforeLines="50" w:after="50"/>
        <w:ind w:left="142"/>
        <w:jc w:val="left"/>
        <w:rPr>
          <w:rFonts w:hint="eastAsia" w:ascii="仿宋" w:hAnsi="仿宋" w:eastAsia="仿宋"/>
          <w:b/>
          <w:sz w:val="24"/>
          <w:highlight w:val="none"/>
        </w:rPr>
      </w:pPr>
    </w:p>
    <w:p w14:paraId="22B2256D">
      <w:pPr>
        <w:keepNext w:val="0"/>
        <w:keepLines w:val="0"/>
        <w:pageBreakBefore w:val="0"/>
        <w:widowControl w:val="0"/>
        <w:kinsoku/>
        <w:wordWrap/>
        <w:overflowPunct/>
        <w:topLinePunct w:val="0"/>
        <w:autoSpaceDE/>
        <w:autoSpaceDN/>
        <w:bidi w:val="0"/>
        <w:adjustRightInd/>
        <w:snapToGrid w:val="0"/>
        <w:spacing w:before="120" w:beforeLines="50" w:after="50" w:line="240" w:lineRule="auto"/>
        <w:ind w:left="142"/>
        <w:jc w:val="left"/>
        <w:textAlignment w:val="auto"/>
        <w:rPr>
          <w:rFonts w:hint="eastAsia" w:ascii="仿宋" w:hAnsi="仿宋" w:eastAsia="仿宋"/>
          <w:b/>
          <w:sz w:val="24"/>
          <w:highlight w:val="none"/>
        </w:rPr>
      </w:pPr>
    </w:p>
    <w:p w14:paraId="7D2760D4">
      <w:pPr>
        <w:keepNext w:val="0"/>
        <w:keepLines w:val="0"/>
        <w:pageBreakBefore w:val="0"/>
        <w:widowControl w:val="0"/>
        <w:kinsoku/>
        <w:wordWrap/>
        <w:overflowPunct/>
        <w:topLinePunct w:val="0"/>
        <w:autoSpaceDE/>
        <w:autoSpaceDN/>
        <w:bidi w:val="0"/>
        <w:adjustRightInd/>
        <w:snapToGrid w:val="0"/>
        <w:spacing w:before="120" w:beforeLines="50" w:after="50" w:line="240" w:lineRule="auto"/>
        <w:ind w:left="142"/>
        <w:jc w:val="left"/>
        <w:textAlignment w:val="auto"/>
        <w:rPr>
          <w:rFonts w:hint="eastAsia" w:ascii="仿宋" w:hAnsi="仿宋" w:eastAsia="仿宋"/>
          <w:b/>
          <w:sz w:val="24"/>
          <w:highlight w:val="none"/>
        </w:rPr>
      </w:pPr>
      <w:r>
        <w:rPr>
          <w:rFonts w:hint="eastAsia" w:ascii="仿宋" w:hAnsi="仿宋" w:eastAsia="仿宋"/>
          <w:b/>
          <w:sz w:val="24"/>
          <w:highlight w:val="none"/>
        </w:rPr>
        <w:t>3. 投标函格式：</w:t>
      </w:r>
    </w:p>
    <w:p w14:paraId="7A7FFA1E">
      <w:pPr>
        <w:keepNext w:val="0"/>
        <w:keepLines w:val="0"/>
        <w:pageBreakBefore w:val="0"/>
        <w:widowControl w:val="0"/>
        <w:kinsoku/>
        <w:wordWrap/>
        <w:overflowPunct/>
        <w:topLinePunct w:val="0"/>
        <w:autoSpaceDE/>
        <w:autoSpaceDN/>
        <w:bidi w:val="0"/>
        <w:adjustRightInd/>
        <w:snapToGrid w:val="0"/>
        <w:spacing w:before="120" w:beforeLines="50" w:after="50" w:line="240" w:lineRule="auto"/>
        <w:jc w:val="center"/>
        <w:textAlignment w:val="auto"/>
        <w:rPr>
          <w:rFonts w:hint="eastAsia" w:ascii="仿宋" w:hAnsi="仿宋" w:eastAsia="仿宋" w:cs="方正小标宋简体"/>
          <w:bCs/>
          <w:sz w:val="44"/>
          <w:szCs w:val="44"/>
          <w:highlight w:val="none"/>
        </w:rPr>
      </w:pPr>
      <w:r>
        <w:rPr>
          <w:rFonts w:hint="eastAsia" w:ascii="仿宋" w:hAnsi="仿宋" w:eastAsia="仿宋" w:cs="方正小标宋简体"/>
          <w:bCs/>
          <w:sz w:val="44"/>
          <w:szCs w:val="44"/>
          <w:highlight w:val="none"/>
        </w:rPr>
        <w:t>投 标 函</w:t>
      </w:r>
    </w:p>
    <w:p w14:paraId="3A80A4EF">
      <w:pPr>
        <w:spacing w:line="440" w:lineRule="exact"/>
        <w:contextualSpacing/>
        <w:rPr>
          <w:rFonts w:hint="eastAsia" w:ascii="仿宋" w:hAnsi="仿宋" w:eastAsia="仿宋"/>
          <w:sz w:val="24"/>
          <w:highlight w:val="none"/>
        </w:rPr>
      </w:pPr>
      <w:r>
        <w:rPr>
          <w:rFonts w:hint="eastAsia" w:ascii="仿宋" w:hAnsi="仿宋" w:eastAsia="仿宋"/>
          <w:sz w:val="24"/>
          <w:highlight w:val="none"/>
        </w:rPr>
        <w:t>致：</w:t>
      </w:r>
      <w:r>
        <w:rPr>
          <w:rFonts w:hint="eastAsia" w:ascii="仿宋" w:hAnsi="仿宋" w:eastAsia="仿宋"/>
          <w:sz w:val="24"/>
          <w:highlight w:val="none"/>
          <w:u w:val="single"/>
        </w:rPr>
        <w:t xml:space="preserve">采购人名称 </w:t>
      </w:r>
    </w:p>
    <w:p w14:paraId="6D50A63C">
      <w:pPr>
        <w:spacing w:line="440" w:lineRule="exact"/>
        <w:ind w:firstLine="480"/>
        <w:contextualSpacing/>
        <w:rPr>
          <w:rFonts w:hint="eastAsia" w:ascii="仿宋" w:hAnsi="仿宋" w:eastAsia="仿宋"/>
          <w:sz w:val="24"/>
          <w:highlight w:val="none"/>
        </w:rPr>
      </w:pPr>
      <w:r>
        <w:rPr>
          <w:rFonts w:hint="eastAsia" w:ascii="仿宋" w:hAnsi="仿宋" w:eastAsia="仿宋"/>
          <w:sz w:val="24"/>
          <w:highlight w:val="none"/>
        </w:rPr>
        <w:t>根据贵方</w:t>
      </w:r>
      <w:r>
        <w:rPr>
          <w:rFonts w:hint="eastAsia" w:ascii="仿宋" w:hAnsi="仿宋" w:eastAsia="仿宋"/>
          <w:sz w:val="24"/>
          <w:highlight w:val="none"/>
          <w:u w:val="single"/>
        </w:rPr>
        <w:t xml:space="preserve"> （项目名称） </w:t>
      </w:r>
      <w:r>
        <w:rPr>
          <w:rFonts w:hint="eastAsia" w:ascii="仿宋" w:hAnsi="仿宋" w:eastAsia="仿宋"/>
          <w:sz w:val="24"/>
          <w:highlight w:val="none"/>
        </w:rPr>
        <w:t>（项目编号：</w:t>
      </w:r>
      <w:r>
        <w:rPr>
          <w:rFonts w:hint="eastAsia" w:ascii="仿宋" w:hAnsi="仿宋" w:eastAsia="仿宋"/>
          <w:sz w:val="24"/>
          <w:highlight w:val="none"/>
          <w:u w:val="single"/>
        </w:rPr>
        <w:t xml:space="preserve">        </w:t>
      </w:r>
      <w:r>
        <w:rPr>
          <w:rFonts w:hint="eastAsia" w:ascii="仿宋" w:hAnsi="仿宋" w:eastAsia="仿宋"/>
          <w:sz w:val="24"/>
          <w:highlight w:val="none"/>
        </w:rPr>
        <w:t>）的招标公告，签字代表______</w:t>
      </w:r>
      <w:r>
        <w:rPr>
          <w:rFonts w:hint="eastAsia" w:ascii="仿宋" w:hAnsi="仿宋" w:eastAsia="仿宋"/>
          <w:sz w:val="24"/>
          <w:highlight w:val="none"/>
          <w:u w:val="single"/>
        </w:rPr>
        <w:t xml:space="preserve">     </w:t>
      </w:r>
      <w:r>
        <w:rPr>
          <w:rFonts w:hint="eastAsia" w:ascii="仿宋" w:hAnsi="仿宋" w:eastAsia="仿宋"/>
          <w:sz w:val="24"/>
          <w:highlight w:val="none"/>
        </w:rPr>
        <w:t>（姓名）经正式授权并代表投标人</w:t>
      </w:r>
      <w:r>
        <w:rPr>
          <w:rFonts w:hint="eastAsia" w:ascii="仿宋" w:hAnsi="仿宋" w:eastAsia="仿宋"/>
          <w:sz w:val="24"/>
          <w:highlight w:val="none"/>
          <w:u w:val="single"/>
        </w:rPr>
        <w:t xml:space="preserve">                 </w:t>
      </w:r>
      <w:r>
        <w:rPr>
          <w:rFonts w:hint="eastAsia" w:ascii="仿宋" w:hAnsi="仿宋" w:eastAsia="仿宋"/>
          <w:sz w:val="24"/>
          <w:highlight w:val="none"/>
        </w:rPr>
        <w:t>（投标人名称）提交投标文件。</w:t>
      </w:r>
    </w:p>
    <w:p w14:paraId="4C3FF8CC">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据此函，我方宣布同意如下：</w:t>
      </w:r>
    </w:p>
    <w:p w14:paraId="38F51D0A">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11F5E59E">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2.我方在投标之前已经完全理解并接受招标文件的各项规定和要求，对招标文件的合理性、合法性不再有异议。</w:t>
      </w:r>
    </w:p>
    <w:p w14:paraId="0D1EA5D9">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3.本投标有效期自投标截止之日起</w:t>
      </w:r>
      <w:r>
        <w:rPr>
          <w:rFonts w:ascii="仿宋" w:hAnsi="仿宋" w:eastAsia="仿宋"/>
          <w:sz w:val="24"/>
          <w:highlight w:val="none"/>
          <w:u w:val="single"/>
        </w:rPr>
        <w:t xml:space="preserve">    </w:t>
      </w:r>
      <w:r>
        <w:rPr>
          <w:rFonts w:hint="eastAsia" w:ascii="仿宋" w:hAnsi="仿宋" w:eastAsia="仿宋"/>
          <w:sz w:val="24"/>
          <w:highlight w:val="none"/>
        </w:rPr>
        <w:t>日。</w:t>
      </w:r>
    </w:p>
    <w:p w14:paraId="60B2ED38">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4.如中标，本投标文件至本项目合同履行完毕止均保持有效，我方将按“招标文件”及政府采购法律、法规的规定履行合同责任和义务。</w:t>
      </w:r>
    </w:p>
    <w:p w14:paraId="3513D78F">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5.我方同意按照贵方要求提供与投标有关的一切数据或者资料。</w:t>
      </w:r>
    </w:p>
    <w:p w14:paraId="41179290">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6.我方向贵方提交的所有投标文件、资料都是准确的和真实的。</w:t>
      </w:r>
    </w:p>
    <w:p w14:paraId="69C9BB44">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7.以上事项如有虚假或者隐瞒，我方愿意承担一切后果，并不再寻求任何旨在减轻或者免除法律责任的辩解。</w:t>
      </w:r>
    </w:p>
    <w:p w14:paraId="521BF443">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8.根据</w:t>
      </w:r>
      <w:r>
        <w:rPr>
          <w:rFonts w:ascii="仿宋" w:hAnsi="仿宋" w:eastAsia="仿宋"/>
          <w:sz w:val="24"/>
          <w:highlight w:val="none"/>
        </w:rPr>
        <w:t>《中华人民共和国政府采购法实施条例》第五十条要求对政府采购合同进行公告</w:t>
      </w:r>
      <w:r>
        <w:rPr>
          <w:rFonts w:hint="eastAsia" w:ascii="仿宋" w:hAnsi="仿宋" w:eastAsia="仿宋"/>
          <w:sz w:val="24"/>
          <w:highlight w:val="none"/>
        </w:rPr>
        <w:t>，</w:t>
      </w:r>
      <w:r>
        <w:rPr>
          <w:rFonts w:ascii="仿宋" w:hAnsi="仿宋" w:eastAsia="仿宋"/>
          <w:sz w:val="24"/>
          <w:highlight w:val="none"/>
        </w:rPr>
        <w:t>但政府采购合同中涉及国家秘密、商业秘密的内容除外。</w:t>
      </w:r>
      <w:r>
        <w:rPr>
          <w:rFonts w:hint="eastAsia" w:ascii="仿宋" w:hAnsi="仿宋" w:eastAsia="仿宋"/>
          <w:sz w:val="24"/>
          <w:highlight w:val="none"/>
        </w:rPr>
        <w:t>我方就对本次投标文件进行注明如下：（两项内容中必须选择一项）</w:t>
      </w:r>
    </w:p>
    <w:p w14:paraId="2C549E49">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□我方本次投标文件</w:t>
      </w:r>
      <w:r>
        <w:rPr>
          <w:rFonts w:ascii="仿宋" w:hAnsi="仿宋" w:eastAsia="仿宋" w:cs="宋体"/>
          <w:kern w:val="0"/>
          <w:sz w:val="24"/>
          <w:highlight w:val="none"/>
        </w:rPr>
        <w:t>内容中</w:t>
      </w:r>
      <w:r>
        <w:rPr>
          <w:rFonts w:hint="eastAsia" w:ascii="仿宋" w:hAnsi="仿宋" w:eastAsia="仿宋"/>
          <w:sz w:val="24"/>
          <w:highlight w:val="none"/>
        </w:rPr>
        <w:t>未</w:t>
      </w:r>
      <w:r>
        <w:rPr>
          <w:rFonts w:ascii="仿宋" w:hAnsi="仿宋" w:eastAsia="仿宋" w:cs="宋体"/>
          <w:kern w:val="0"/>
          <w:sz w:val="24"/>
          <w:highlight w:val="none"/>
        </w:rPr>
        <w:t>涉及商业秘密</w:t>
      </w:r>
      <w:r>
        <w:rPr>
          <w:rFonts w:hint="eastAsia" w:ascii="仿宋" w:hAnsi="仿宋" w:eastAsia="仿宋" w:cs="宋体"/>
          <w:kern w:val="0"/>
          <w:sz w:val="24"/>
          <w:highlight w:val="none"/>
        </w:rPr>
        <w:t>；</w:t>
      </w:r>
    </w:p>
    <w:p w14:paraId="542D4FC6">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□我方本次投标文件</w:t>
      </w:r>
      <w:r>
        <w:rPr>
          <w:rFonts w:ascii="仿宋" w:hAnsi="仿宋" w:eastAsia="仿宋" w:cs="宋体"/>
          <w:kern w:val="0"/>
          <w:sz w:val="24"/>
          <w:highlight w:val="none"/>
        </w:rPr>
        <w:t>涉及商业秘密</w:t>
      </w:r>
      <w:r>
        <w:rPr>
          <w:rFonts w:hint="eastAsia" w:ascii="仿宋" w:hAnsi="仿宋" w:eastAsia="仿宋" w:cs="宋体"/>
          <w:kern w:val="0"/>
          <w:sz w:val="24"/>
          <w:highlight w:val="none"/>
        </w:rPr>
        <w:t>的</w:t>
      </w:r>
      <w:r>
        <w:rPr>
          <w:rFonts w:ascii="仿宋" w:hAnsi="仿宋" w:eastAsia="仿宋" w:cs="宋体"/>
          <w:kern w:val="0"/>
          <w:sz w:val="24"/>
          <w:highlight w:val="none"/>
        </w:rPr>
        <w:t>内容</w:t>
      </w:r>
      <w:r>
        <w:rPr>
          <w:rFonts w:hint="eastAsia" w:ascii="仿宋" w:hAnsi="仿宋" w:eastAsia="仿宋" w:cs="宋体"/>
          <w:kern w:val="0"/>
          <w:sz w:val="24"/>
          <w:highlight w:val="none"/>
        </w:rPr>
        <w:t>有：</w:t>
      </w:r>
      <w:r>
        <w:rPr>
          <w:rFonts w:hint="eastAsia" w:ascii="仿宋" w:hAnsi="仿宋" w:eastAsia="仿宋" w:cs="宋体"/>
          <w:kern w:val="0"/>
          <w:sz w:val="24"/>
          <w:highlight w:val="none"/>
          <w:u w:val="single"/>
        </w:rPr>
        <w:t xml:space="preserve">                         </w:t>
      </w:r>
      <w:r>
        <w:rPr>
          <w:rFonts w:hint="eastAsia" w:ascii="仿宋" w:hAnsi="仿宋" w:eastAsia="仿宋" w:cs="宋体"/>
          <w:kern w:val="0"/>
          <w:sz w:val="24"/>
          <w:highlight w:val="none"/>
        </w:rPr>
        <w:t>；</w:t>
      </w:r>
    </w:p>
    <w:p w14:paraId="590641DA">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9.与本投标有关的一切正式往来信函请寄：</w:t>
      </w:r>
    </w:p>
    <w:p w14:paraId="2A6CA672">
      <w:pPr>
        <w:spacing w:line="440" w:lineRule="exact"/>
        <w:ind w:firstLine="480" w:firstLineChars="200"/>
        <w:contextualSpacing/>
        <w:rPr>
          <w:rFonts w:hint="eastAsia" w:ascii="仿宋" w:hAnsi="仿宋" w:eastAsia="仿宋"/>
          <w:sz w:val="24"/>
          <w:highlight w:val="none"/>
          <w:u w:val="single"/>
        </w:rPr>
      </w:pPr>
      <w:r>
        <w:rPr>
          <w:rFonts w:hint="eastAsia" w:ascii="仿宋" w:hAnsi="仿宋" w:eastAsia="仿宋"/>
          <w:sz w:val="24"/>
          <w:highlight w:val="none"/>
        </w:rPr>
        <w:t>地址：</w:t>
      </w:r>
      <w:r>
        <w:rPr>
          <w:rFonts w:hint="eastAsia" w:ascii="仿宋" w:hAnsi="仿宋" w:eastAsia="仿宋"/>
          <w:sz w:val="24"/>
          <w:highlight w:val="none"/>
          <w:u w:val="single"/>
        </w:rPr>
        <w:t xml:space="preserve">          </w:t>
      </w:r>
      <w:r>
        <w:rPr>
          <w:rFonts w:hint="eastAsia" w:ascii="仿宋" w:hAnsi="仿宋" w:eastAsia="仿宋"/>
          <w:sz w:val="24"/>
          <w:highlight w:val="none"/>
        </w:rPr>
        <w:t>邮编：</w:t>
      </w:r>
      <w:r>
        <w:rPr>
          <w:rFonts w:hint="eastAsia" w:ascii="仿宋" w:hAnsi="仿宋" w:eastAsia="仿宋"/>
          <w:sz w:val="24"/>
          <w:highlight w:val="none"/>
          <w:u w:val="single"/>
        </w:rPr>
        <w:t xml:space="preserve">            </w:t>
      </w:r>
    </w:p>
    <w:p w14:paraId="095C76FA">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电话：</w:t>
      </w:r>
      <w:r>
        <w:rPr>
          <w:rFonts w:hint="eastAsia" w:ascii="仿宋" w:hAnsi="仿宋" w:eastAsia="仿宋"/>
          <w:sz w:val="24"/>
          <w:highlight w:val="none"/>
          <w:u w:val="single"/>
        </w:rPr>
        <w:t xml:space="preserve">        </w:t>
      </w:r>
      <w:r>
        <w:rPr>
          <w:rFonts w:hint="eastAsia" w:ascii="仿宋" w:hAnsi="仿宋" w:eastAsia="仿宋"/>
          <w:sz w:val="24"/>
          <w:highlight w:val="none"/>
        </w:rPr>
        <w:t>传真：</w:t>
      </w:r>
      <w:r>
        <w:rPr>
          <w:rFonts w:hint="eastAsia" w:ascii="仿宋" w:hAnsi="仿宋" w:eastAsia="仿宋"/>
          <w:sz w:val="24"/>
          <w:highlight w:val="none"/>
          <w:u w:val="single"/>
        </w:rPr>
        <w:t xml:space="preserve">          </w:t>
      </w:r>
    </w:p>
    <w:p w14:paraId="16D19CB6">
      <w:pPr>
        <w:spacing w:line="440" w:lineRule="exact"/>
        <w:ind w:firstLine="480" w:firstLineChars="200"/>
        <w:contextualSpacing/>
        <w:rPr>
          <w:rFonts w:hint="eastAsia" w:ascii="仿宋" w:hAnsi="仿宋" w:eastAsia="仿宋"/>
          <w:sz w:val="24"/>
          <w:highlight w:val="none"/>
        </w:rPr>
      </w:pPr>
      <w:r>
        <w:rPr>
          <w:rFonts w:hint="eastAsia" w:ascii="仿宋" w:hAnsi="仿宋" w:eastAsia="仿宋"/>
          <w:sz w:val="24"/>
          <w:highlight w:val="none"/>
        </w:rPr>
        <w:t>投标人名称:</w:t>
      </w:r>
      <w:r>
        <w:rPr>
          <w:rFonts w:hint="eastAsia" w:ascii="仿宋" w:hAnsi="仿宋" w:eastAsia="仿宋"/>
          <w:sz w:val="24"/>
          <w:highlight w:val="none"/>
          <w:u w:val="single"/>
        </w:rPr>
        <w:t xml:space="preserve">                </w:t>
      </w:r>
    </w:p>
    <w:p w14:paraId="709BBAF7">
      <w:pPr>
        <w:spacing w:line="44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开户银行：</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p>
    <w:p w14:paraId="7ABA4557">
      <w:pPr>
        <w:spacing w:line="44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银行账号：</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p>
    <w:p w14:paraId="35187EF9">
      <w:pPr>
        <w:spacing w:line="44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 xml:space="preserve">法定代表人或者委托代理人签字:___________ </w:t>
      </w:r>
    </w:p>
    <w:p w14:paraId="664CB691">
      <w:pPr>
        <w:pStyle w:val="25"/>
        <w:rPr>
          <w:rFonts w:hint="eastAsia"/>
          <w:b w:val="0"/>
          <w:highlight w:val="none"/>
          <w:u w:val="single"/>
        </w:rPr>
      </w:pPr>
      <w:r>
        <w:rPr>
          <w:rFonts w:hint="eastAsia"/>
          <w:highlight w:val="none"/>
        </w:rPr>
        <w:t xml:space="preserve"> </w:t>
      </w:r>
      <w:r>
        <w:rPr>
          <w:highlight w:val="none"/>
        </w:rPr>
        <w:t xml:space="preserve">                                 </w:t>
      </w:r>
      <w:r>
        <w:rPr>
          <w:b w:val="0"/>
          <w:highlight w:val="none"/>
        </w:rPr>
        <w:t xml:space="preserve">  </w:t>
      </w:r>
      <w:r>
        <w:rPr>
          <w:rFonts w:hint="eastAsia"/>
          <w:b w:val="0"/>
          <w:highlight w:val="none"/>
        </w:rPr>
        <w:t>投标人（</w:t>
      </w:r>
      <w:r>
        <w:rPr>
          <w:rFonts w:hint="eastAsia"/>
          <w:b w:val="0"/>
          <w:highlight w:val="none"/>
          <w:lang w:eastAsia="zh-CN"/>
        </w:rPr>
        <w:t>盖CA公章</w:t>
      </w:r>
      <w:r>
        <w:rPr>
          <w:rFonts w:hint="eastAsia"/>
          <w:b w:val="0"/>
          <w:highlight w:val="none"/>
        </w:rPr>
        <w:t>）：</w:t>
      </w:r>
      <w:r>
        <w:rPr>
          <w:rFonts w:hint="eastAsia"/>
          <w:b w:val="0"/>
          <w:highlight w:val="none"/>
          <w:u w:val="single"/>
        </w:rPr>
        <w:t xml:space="preserve">                      </w:t>
      </w:r>
    </w:p>
    <w:p w14:paraId="74AA9051">
      <w:pPr>
        <w:pStyle w:val="25"/>
        <w:ind w:firstLine="480"/>
        <w:rPr>
          <w:rFonts w:hint="eastAsia"/>
          <w:b w:val="0"/>
          <w:highlight w:val="none"/>
        </w:rPr>
      </w:pPr>
      <w:r>
        <w:rPr>
          <w:rFonts w:hint="eastAsia"/>
          <w:b w:val="0"/>
          <w:highlight w:val="none"/>
        </w:rPr>
        <w:t xml:space="preserve">                                               </w:t>
      </w:r>
      <w:r>
        <w:rPr>
          <w:b w:val="0"/>
          <w:highlight w:val="none"/>
        </w:rPr>
        <w:t xml:space="preserve">    </w:t>
      </w:r>
      <w:r>
        <w:rPr>
          <w:rFonts w:hint="eastAsia"/>
          <w:b w:val="0"/>
          <w:highlight w:val="none"/>
        </w:rPr>
        <w:t xml:space="preserve"> </w:t>
      </w:r>
      <w:r>
        <w:rPr>
          <w:rFonts w:hint="eastAsia"/>
          <w:b w:val="0"/>
          <w:highlight w:val="none"/>
          <w:u w:val="single"/>
        </w:rPr>
        <w:t xml:space="preserve">      </w:t>
      </w:r>
      <w:r>
        <w:rPr>
          <w:rFonts w:hint="eastAsia"/>
          <w:b w:val="0"/>
          <w:highlight w:val="none"/>
        </w:rPr>
        <w:t>年</w:t>
      </w:r>
      <w:r>
        <w:rPr>
          <w:rFonts w:hint="eastAsia"/>
          <w:b w:val="0"/>
          <w:highlight w:val="none"/>
          <w:u w:val="single"/>
        </w:rPr>
        <w:t xml:space="preserve">    </w:t>
      </w:r>
      <w:r>
        <w:rPr>
          <w:rFonts w:hint="eastAsia"/>
          <w:b w:val="0"/>
          <w:highlight w:val="none"/>
        </w:rPr>
        <w:t>月</w:t>
      </w:r>
      <w:r>
        <w:rPr>
          <w:rFonts w:hint="eastAsia"/>
          <w:b w:val="0"/>
          <w:highlight w:val="none"/>
          <w:u w:val="single"/>
        </w:rPr>
        <w:t xml:space="preserve">     </w:t>
      </w:r>
      <w:r>
        <w:rPr>
          <w:rFonts w:hint="eastAsia"/>
          <w:b w:val="0"/>
          <w:highlight w:val="none"/>
        </w:rPr>
        <w:t>日</w:t>
      </w:r>
    </w:p>
    <w:p w14:paraId="0AE9E192">
      <w:pPr>
        <w:snapToGrid w:val="0"/>
        <w:spacing w:before="120" w:beforeLines="50" w:after="50" w:line="440" w:lineRule="exact"/>
        <w:jc w:val="left"/>
        <w:rPr>
          <w:rFonts w:hint="eastAsia" w:ascii="仿宋" w:hAnsi="仿宋" w:eastAsia="仿宋"/>
          <w:b/>
          <w:sz w:val="24"/>
          <w:szCs w:val="20"/>
          <w:highlight w:val="none"/>
        </w:rPr>
      </w:pPr>
      <w:r>
        <w:rPr>
          <w:rFonts w:hint="eastAsia" w:ascii="仿宋" w:hAnsi="仿宋" w:eastAsia="仿宋"/>
          <w:b/>
          <w:sz w:val="24"/>
          <w:highlight w:val="none"/>
        </w:rPr>
        <w:t>4. 开标一览表（货物类格式）</w:t>
      </w:r>
    </w:p>
    <w:p w14:paraId="0BA2A366">
      <w:pPr>
        <w:snapToGrid w:val="0"/>
        <w:spacing w:before="50" w:after="50"/>
        <w:jc w:val="center"/>
        <w:rPr>
          <w:rFonts w:hint="eastAsia" w:ascii="仿宋" w:hAnsi="仿宋" w:eastAsia="仿宋"/>
          <w:b/>
          <w:sz w:val="30"/>
          <w:highlight w:val="none"/>
        </w:rPr>
      </w:pPr>
      <w:r>
        <w:rPr>
          <w:rFonts w:hint="eastAsia" w:ascii="仿宋" w:hAnsi="仿宋" w:eastAsia="仿宋"/>
          <w:b/>
          <w:sz w:val="30"/>
          <w:highlight w:val="none"/>
          <w:u w:val="single"/>
          <w:lang w:val="en-US" w:eastAsia="zh-CN"/>
        </w:rPr>
        <w:t xml:space="preserve">   </w:t>
      </w:r>
      <w:r>
        <w:rPr>
          <w:rFonts w:hint="eastAsia" w:ascii="仿宋" w:hAnsi="仿宋" w:eastAsia="仿宋"/>
          <w:b/>
          <w:bCs w:val="0"/>
          <w:sz w:val="30"/>
          <w:highlight w:val="none"/>
          <w:u w:val="none"/>
          <w:lang w:val="en-US" w:eastAsia="zh-CN"/>
        </w:rPr>
        <w:t>分标</w:t>
      </w:r>
      <w:r>
        <w:rPr>
          <w:rFonts w:hint="eastAsia" w:ascii="仿宋" w:hAnsi="仿宋" w:eastAsia="仿宋"/>
          <w:b/>
          <w:sz w:val="30"/>
          <w:highlight w:val="none"/>
        </w:rPr>
        <w:t>开标一览表</w:t>
      </w:r>
    </w:p>
    <w:p w14:paraId="15700401">
      <w:pPr>
        <w:snapToGrid w:val="0"/>
        <w:spacing w:before="50" w:after="50"/>
        <w:jc w:val="center"/>
        <w:rPr>
          <w:rFonts w:hint="eastAsia" w:ascii="仿宋" w:hAnsi="仿宋" w:eastAsia="仿宋"/>
          <w:b/>
          <w:sz w:val="30"/>
          <w:szCs w:val="20"/>
          <w:highlight w:val="none"/>
        </w:rPr>
      </w:pPr>
    </w:p>
    <w:p w14:paraId="19AD525F">
      <w:pPr>
        <w:snapToGrid w:val="0"/>
        <w:spacing w:before="50" w:after="50" w:line="360" w:lineRule="auto"/>
        <w:rPr>
          <w:rFonts w:hint="eastAsia" w:ascii="仿宋" w:hAnsi="仿宋" w:eastAsia="仿宋"/>
          <w:sz w:val="24"/>
          <w:highlight w:val="none"/>
          <w:u w:val="single"/>
        </w:rPr>
      </w:pPr>
      <w:r>
        <w:rPr>
          <w:rFonts w:hint="eastAsia" w:ascii="仿宋" w:hAnsi="仿宋" w:eastAsia="仿宋"/>
          <w:sz w:val="24"/>
          <w:highlight w:val="none"/>
        </w:rPr>
        <w:t>项目名称：</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ascii="仿宋" w:hAnsi="仿宋" w:eastAsia="仿宋"/>
          <w:sz w:val="24"/>
          <w:highlight w:val="none"/>
        </w:rPr>
        <w:t xml:space="preserve">         </w:t>
      </w:r>
      <w:r>
        <w:rPr>
          <w:rFonts w:hint="eastAsia" w:ascii="仿宋" w:hAnsi="仿宋" w:eastAsia="仿宋"/>
          <w:sz w:val="24"/>
          <w:highlight w:val="none"/>
        </w:rPr>
        <w:t>项目编号：</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p>
    <w:p w14:paraId="04E649AB">
      <w:pPr>
        <w:snapToGrid w:val="0"/>
        <w:spacing w:before="50" w:after="50" w:line="360" w:lineRule="auto"/>
        <w:rPr>
          <w:rFonts w:hint="eastAsia" w:ascii="仿宋" w:hAnsi="仿宋" w:eastAsia="仿宋"/>
          <w:sz w:val="24"/>
          <w:highlight w:val="none"/>
        </w:rPr>
      </w:pPr>
      <w:r>
        <w:rPr>
          <w:rFonts w:hint="eastAsia" w:ascii="仿宋" w:hAnsi="仿宋" w:eastAsia="仿宋"/>
          <w:sz w:val="24"/>
          <w:highlight w:val="none"/>
        </w:rPr>
        <w:t>投标人名称：</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r>
        <w:rPr>
          <w:rFonts w:ascii="仿宋" w:hAnsi="仿宋" w:eastAsia="仿宋"/>
          <w:sz w:val="24"/>
          <w:highlight w:val="none"/>
        </w:rPr>
        <w:t xml:space="preserve">     </w:t>
      </w:r>
      <w:r>
        <w:rPr>
          <w:rFonts w:hint="eastAsia" w:ascii="仿宋" w:hAnsi="仿宋" w:eastAsia="仿宋"/>
          <w:sz w:val="24"/>
          <w:highlight w:val="none"/>
        </w:rPr>
        <w:t>单位：元</w:t>
      </w:r>
    </w:p>
    <w:tbl>
      <w:tblPr>
        <w:tblStyle w:val="49"/>
        <w:tblW w:w="985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5"/>
        <w:gridCol w:w="1870"/>
        <w:gridCol w:w="1418"/>
        <w:gridCol w:w="850"/>
        <w:gridCol w:w="1418"/>
        <w:gridCol w:w="992"/>
        <w:gridCol w:w="1134"/>
        <w:gridCol w:w="1637"/>
      </w:tblGrid>
      <w:tr w14:paraId="65428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535" w:type="dxa"/>
            <w:tcBorders>
              <w:top w:val="single" w:color="auto" w:sz="4" w:space="0"/>
              <w:left w:val="single" w:color="auto" w:sz="4" w:space="0"/>
              <w:bottom w:val="single" w:color="auto" w:sz="4" w:space="0"/>
              <w:right w:val="single" w:color="auto" w:sz="4" w:space="0"/>
            </w:tcBorders>
            <w:vAlign w:val="center"/>
          </w:tcPr>
          <w:p w14:paraId="5DB1EF0C">
            <w:pPr>
              <w:snapToGrid w:val="0"/>
              <w:spacing w:line="400" w:lineRule="exact"/>
              <w:jc w:val="center"/>
              <w:rPr>
                <w:rFonts w:hint="eastAsia" w:ascii="仿宋" w:hAnsi="仿宋" w:eastAsia="仿宋"/>
                <w:b/>
                <w:sz w:val="24"/>
                <w:highlight w:val="none"/>
              </w:rPr>
            </w:pPr>
            <w:r>
              <w:rPr>
                <w:rFonts w:hint="eastAsia" w:ascii="仿宋" w:hAnsi="仿宋" w:eastAsia="仿宋"/>
                <w:b/>
                <w:sz w:val="24"/>
                <w:highlight w:val="none"/>
              </w:rPr>
              <w:t>序号</w:t>
            </w:r>
          </w:p>
        </w:tc>
        <w:tc>
          <w:tcPr>
            <w:tcW w:w="1870" w:type="dxa"/>
            <w:tcBorders>
              <w:top w:val="single" w:color="auto" w:sz="4" w:space="0"/>
              <w:left w:val="single" w:color="auto" w:sz="4" w:space="0"/>
              <w:bottom w:val="single" w:color="auto" w:sz="4" w:space="0"/>
              <w:right w:val="single" w:color="auto" w:sz="4" w:space="0"/>
            </w:tcBorders>
            <w:vAlign w:val="center"/>
          </w:tcPr>
          <w:p w14:paraId="6681BCF8">
            <w:pPr>
              <w:snapToGrid w:val="0"/>
              <w:spacing w:line="400" w:lineRule="exact"/>
              <w:jc w:val="center"/>
              <w:rPr>
                <w:rFonts w:hint="eastAsia" w:ascii="仿宋" w:hAnsi="仿宋" w:eastAsia="仿宋"/>
                <w:b/>
                <w:sz w:val="24"/>
                <w:highlight w:val="none"/>
              </w:rPr>
            </w:pPr>
            <w:r>
              <w:rPr>
                <w:rFonts w:hint="eastAsia" w:ascii="仿宋" w:hAnsi="仿宋" w:eastAsia="仿宋"/>
                <w:b/>
                <w:sz w:val="24"/>
                <w:highlight w:val="none"/>
              </w:rPr>
              <w:t>标的名称</w:t>
            </w:r>
          </w:p>
        </w:tc>
        <w:tc>
          <w:tcPr>
            <w:tcW w:w="1418" w:type="dxa"/>
            <w:tcBorders>
              <w:top w:val="single" w:color="auto" w:sz="4" w:space="0"/>
              <w:left w:val="single" w:color="auto" w:sz="4" w:space="0"/>
              <w:bottom w:val="single" w:color="auto" w:sz="4" w:space="0"/>
              <w:right w:val="single" w:color="auto" w:sz="4" w:space="0"/>
            </w:tcBorders>
            <w:vAlign w:val="center"/>
          </w:tcPr>
          <w:p w14:paraId="761CB844">
            <w:pPr>
              <w:snapToGrid w:val="0"/>
              <w:spacing w:line="400" w:lineRule="exact"/>
              <w:jc w:val="center"/>
              <w:rPr>
                <w:rFonts w:hint="eastAsia" w:ascii="仿宋" w:hAnsi="仿宋" w:eastAsia="仿宋"/>
                <w:b/>
                <w:sz w:val="24"/>
                <w:highlight w:val="none"/>
              </w:rPr>
            </w:pPr>
            <w:r>
              <w:rPr>
                <w:rFonts w:hint="eastAsia" w:ascii="仿宋" w:hAnsi="仿宋" w:eastAsia="仿宋"/>
                <w:b/>
                <w:sz w:val="24"/>
                <w:highlight w:val="none"/>
              </w:rPr>
              <w:t>品牌、生产厂家</w:t>
            </w:r>
          </w:p>
        </w:tc>
        <w:tc>
          <w:tcPr>
            <w:tcW w:w="850" w:type="dxa"/>
            <w:tcBorders>
              <w:top w:val="single" w:color="auto" w:sz="4" w:space="0"/>
              <w:left w:val="single" w:color="auto" w:sz="4" w:space="0"/>
              <w:bottom w:val="single" w:color="auto" w:sz="4" w:space="0"/>
              <w:right w:val="single" w:color="auto" w:sz="4" w:space="0"/>
            </w:tcBorders>
            <w:vAlign w:val="center"/>
          </w:tcPr>
          <w:p w14:paraId="7507D2AA">
            <w:pPr>
              <w:snapToGrid w:val="0"/>
              <w:spacing w:line="400" w:lineRule="exact"/>
              <w:jc w:val="center"/>
              <w:rPr>
                <w:rFonts w:hint="eastAsia" w:ascii="仿宋" w:hAnsi="仿宋" w:eastAsia="仿宋"/>
                <w:b/>
                <w:sz w:val="24"/>
                <w:highlight w:val="none"/>
              </w:rPr>
            </w:pPr>
            <w:r>
              <w:rPr>
                <w:rFonts w:ascii="仿宋" w:hAnsi="仿宋" w:eastAsia="仿宋"/>
                <w:b/>
                <w:sz w:val="24"/>
                <w:highlight w:val="none"/>
              </w:rPr>
              <w:t>产地</w:t>
            </w:r>
          </w:p>
        </w:tc>
        <w:tc>
          <w:tcPr>
            <w:tcW w:w="1418" w:type="dxa"/>
            <w:tcBorders>
              <w:top w:val="single" w:color="auto" w:sz="4" w:space="0"/>
              <w:left w:val="single" w:color="auto" w:sz="4" w:space="0"/>
              <w:bottom w:val="single" w:color="auto" w:sz="4" w:space="0"/>
              <w:right w:val="single" w:color="auto" w:sz="4" w:space="0"/>
            </w:tcBorders>
            <w:vAlign w:val="center"/>
          </w:tcPr>
          <w:p w14:paraId="0E0CB262">
            <w:pPr>
              <w:snapToGrid w:val="0"/>
              <w:spacing w:line="400" w:lineRule="exact"/>
              <w:jc w:val="center"/>
              <w:rPr>
                <w:rFonts w:hint="eastAsia" w:ascii="仿宋" w:hAnsi="仿宋" w:eastAsia="仿宋"/>
                <w:b/>
                <w:sz w:val="24"/>
                <w:highlight w:val="none"/>
              </w:rPr>
            </w:pPr>
            <w:r>
              <w:rPr>
                <w:rFonts w:hint="eastAsia" w:ascii="仿宋" w:hAnsi="仿宋" w:eastAsia="仿宋"/>
                <w:b/>
                <w:sz w:val="24"/>
                <w:highlight w:val="none"/>
              </w:rPr>
              <w:t>规格、型号</w:t>
            </w:r>
          </w:p>
        </w:tc>
        <w:tc>
          <w:tcPr>
            <w:tcW w:w="992" w:type="dxa"/>
            <w:tcBorders>
              <w:top w:val="single" w:color="auto" w:sz="4" w:space="0"/>
              <w:left w:val="single" w:color="auto" w:sz="4" w:space="0"/>
              <w:bottom w:val="single" w:color="auto" w:sz="4" w:space="0"/>
              <w:right w:val="single" w:color="auto" w:sz="4" w:space="0"/>
            </w:tcBorders>
            <w:vAlign w:val="center"/>
          </w:tcPr>
          <w:p w14:paraId="7C064FB7">
            <w:pPr>
              <w:snapToGrid w:val="0"/>
              <w:spacing w:line="400" w:lineRule="exact"/>
              <w:jc w:val="center"/>
              <w:rPr>
                <w:rFonts w:hint="eastAsia" w:ascii="仿宋" w:hAnsi="仿宋" w:eastAsia="仿宋"/>
                <w:b/>
                <w:sz w:val="24"/>
                <w:highlight w:val="none"/>
              </w:rPr>
            </w:pPr>
            <w:r>
              <w:rPr>
                <w:rFonts w:hint="eastAsia" w:ascii="仿宋" w:hAnsi="仿宋" w:eastAsia="仿宋"/>
                <w:b/>
                <w:sz w:val="24"/>
                <w:highlight w:val="none"/>
              </w:rPr>
              <w:t>数量及单位①</w:t>
            </w:r>
          </w:p>
        </w:tc>
        <w:tc>
          <w:tcPr>
            <w:tcW w:w="1134" w:type="dxa"/>
            <w:tcBorders>
              <w:top w:val="single" w:color="auto" w:sz="4" w:space="0"/>
              <w:left w:val="single" w:color="auto" w:sz="4" w:space="0"/>
              <w:bottom w:val="single" w:color="auto" w:sz="4" w:space="0"/>
              <w:right w:val="single" w:color="auto" w:sz="4" w:space="0"/>
            </w:tcBorders>
            <w:vAlign w:val="center"/>
          </w:tcPr>
          <w:p w14:paraId="191142F8">
            <w:pPr>
              <w:snapToGrid w:val="0"/>
              <w:spacing w:line="400" w:lineRule="exact"/>
              <w:jc w:val="center"/>
              <w:rPr>
                <w:rFonts w:hint="eastAsia" w:ascii="仿宋" w:hAnsi="仿宋" w:eastAsia="仿宋"/>
                <w:b/>
                <w:sz w:val="24"/>
                <w:highlight w:val="none"/>
              </w:rPr>
            </w:pPr>
            <w:r>
              <w:rPr>
                <w:rFonts w:hint="eastAsia" w:ascii="仿宋" w:hAnsi="仿宋" w:eastAsia="仿宋"/>
                <w:b/>
                <w:sz w:val="24"/>
                <w:highlight w:val="none"/>
              </w:rPr>
              <w:t>单价</w:t>
            </w:r>
          </w:p>
          <w:p w14:paraId="3848F799">
            <w:pPr>
              <w:snapToGrid w:val="0"/>
              <w:spacing w:line="400" w:lineRule="exact"/>
              <w:jc w:val="center"/>
              <w:rPr>
                <w:rFonts w:hint="eastAsia" w:ascii="仿宋" w:hAnsi="仿宋" w:eastAsia="仿宋"/>
                <w:b/>
                <w:sz w:val="24"/>
                <w:highlight w:val="none"/>
              </w:rPr>
            </w:pPr>
            <w:r>
              <w:rPr>
                <w:rFonts w:hint="eastAsia" w:ascii="仿宋" w:hAnsi="仿宋" w:eastAsia="仿宋"/>
                <w:b/>
                <w:sz w:val="24"/>
                <w:highlight w:val="none"/>
              </w:rPr>
              <w:t>②</w:t>
            </w:r>
          </w:p>
        </w:tc>
        <w:tc>
          <w:tcPr>
            <w:tcW w:w="1637" w:type="dxa"/>
            <w:tcBorders>
              <w:top w:val="single" w:color="auto" w:sz="4" w:space="0"/>
              <w:left w:val="single" w:color="auto" w:sz="4" w:space="0"/>
              <w:bottom w:val="single" w:color="auto" w:sz="4" w:space="0"/>
              <w:right w:val="single" w:color="auto" w:sz="4" w:space="0"/>
            </w:tcBorders>
            <w:vAlign w:val="center"/>
          </w:tcPr>
          <w:p w14:paraId="1AD1C678">
            <w:pPr>
              <w:snapToGrid w:val="0"/>
              <w:spacing w:line="400" w:lineRule="exact"/>
              <w:jc w:val="center"/>
              <w:rPr>
                <w:rFonts w:hint="eastAsia" w:ascii="仿宋" w:hAnsi="仿宋" w:eastAsia="仿宋"/>
                <w:b/>
                <w:sz w:val="24"/>
                <w:highlight w:val="none"/>
              </w:rPr>
            </w:pPr>
            <w:r>
              <w:rPr>
                <w:rFonts w:hint="eastAsia" w:ascii="仿宋" w:hAnsi="仿宋" w:eastAsia="仿宋"/>
                <w:b/>
                <w:sz w:val="24"/>
                <w:highlight w:val="none"/>
              </w:rPr>
              <w:t>投标报价</w:t>
            </w:r>
          </w:p>
          <w:p w14:paraId="1427F6F9">
            <w:pPr>
              <w:snapToGrid w:val="0"/>
              <w:spacing w:line="400" w:lineRule="exact"/>
              <w:jc w:val="center"/>
              <w:rPr>
                <w:rFonts w:hint="eastAsia" w:ascii="仿宋" w:hAnsi="仿宋" w:eastAsia="仿宋"/>
                <w:b/>
                <w:sz w:val="24"/>
                <w:highlight w:val="none"/>
              </w:rPr>
            </w:pPr>
            <w:r>
              <w:rPr>
                <w:rFonts w:ascii="仿宋" w:hAnsi="仿宋" w:eastAsia="仿宋"/>
                <w:b/>
                <w:sz w:val="24"/>
                <w:highlight w:val="none"/>
              </w:rPr>
              <w:t>③</w:t>
            </w:r>
            <w:r>
              <w:rPr>
                <w:rFonts w:hint="eastAsia" w:ascii="仿宋" w:hAnsi="仿宋" w:eastAsia="仿宋"/>
                <w:b/>
                <w:sz w:val="24"/>
                <w:highlight w:val="none"/>
              </w:rPr>
              <w:t>=①×②</w:t>
            </w:r>
          </w:p>
        </w:tc>
      </w:tr>
      <w:tr w14:paraId="495A6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tcBorders>
              <w:top w:val="single" w:color="auto" w:sz="4" w:space="0"/>
              <w:left w:val="single" w:color="auto" w:sz="4" w:space="0"/>
              <w:bottom w:val="single" w:color="auto" w:sz="4" w:space="0"/>
              <w:right w:val="single" w:color="auto" w:sz="4" w:space="0"/>
            </w:tcBorders>
            <w:vAlign w:val="center"/>
          </w:tcPr>
          <w:p w14:paraId="7115D526">
            <w:pPr>
              <w:snapToGrid w:val="0"/>
              <w:spacing w:line="400" w:lineRule="exact"/>
              <w:jc w:val="center"/>
              <w:rPr>
                <w:rFonts w:hint="eastAsia" w:ascii="仿宋" w:hAnsi="仿宋" w:eastAsia="仿宋"/>
                <w:sz w:val="24"/>
                <w:highlight w:val="none"/>
              </w:rPr>
            </w:pPr>
            <w:r>
              <w:rPr>
                <w:rFonts w:hint="eastAsia" w:ascii="仿宋" w:hAnsi="仿宋" w:eastAsia="仿宋"/>
                <w:sz w:val="24"/>
                <w:highlight w:val="none"/>
              </w:rPr>
              <w:t>1</w:t>
            </w:r>
          </w:p>
        </w:tc>
        <w:tc>
          <w:tcPr>
            <w:tcW w:w="1870" w:type="dxa"/>
            <w:tcBorders>
              <w:top w:val="single" w:color="auto" w:sz="4" w:space="0"/>
              <w:left w:val="single" w:color="auto" w:sz="4" w:space="0"/>
              <w:bottom w:val="single" w:color="auto" w:sz="4" w:space="0"/>
              <w:right w:val="single" w:color="auto" w:sz="4" w:space="0"/>
            </w:tcBorders>
            <w:vAlign w:val="center"/>
          </w:tcPr>
          <w:p w14:paraId="6BE55DE6">
            <w:pPr>
              <w:snapToGrid w:val="0"/>
              <w:spacing w:line="400" w:lineRule="exact"/>
              <w:jc w:val="center"/>
              <w:rPr>
                <w:rFonts w:hint="eastAsia" w:ascii="仿宋" w:hAnsi="仿宋" w:eastAsia="仿宋"/>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58B81059">
            <w:pPr>
              <w:snapToGrid w:val="0"/>
              <w:spacing w:line="400" w:lineRule="exact"/>
              <w:jc w:val="center"/>
              <w:rPr>
                <w:rFonts w:hint="eastAsia" w:ascii="仿宋" w:hAnsi="仿宋" w:eastAsia="仿宋"/>
                <w:b/>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13C1EBEE">
            <w:pPr>
              <w:snapToGrid w:val="0"/>
              <w:spacing w:line="400" w:lineRule="exact"/>
              <w:jc w:val="center"/>
              <w:rPr>
                <w:rFonts w:hint="eastAsia" w:ascii="仿宋" w:hAnsi="仿宋" w:eastAsia="仿宋"/>
                <w:b/>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17934DC5">
            <w:pPr>
              <w:snapToGrid w:val="0"/>
              <w:spacing w:line="400" w:lineRule="exact"/>
              <w:rPr>
                <w:rFonts w:hint="eastAsia" w:ascii="仿宋" w:hAnsi="仿宋" w:eastAsia="仿宋"/>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2352C66F">
            <w:pPr>
              <w:snapToGrid w:val="0"/>
              <w:spacing w:line="400" w:lineRule="exact"/>
              <w:rPr>
                <w:rFonts w:hint="eastAsia" w:ascii="仿宋" w:hAnsi="仿宋" w:eastAsia="仿宋"/>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96B35EF">
            <w:pPr>
              <w:snapToGrid w:val="0"/>
              <w:spacing w:line="400" w:lineRule="exact"/>
              <w:rPr>
                <w:rFonts w:hint="eastAsia" w:ascii="仿宋" w:hAnsi="仿宋" w:eastAsia="仿宋"/>
                <w:sz w:val="24"/>
                <w:highlight w:val="none"/>
              </w:rPr>
            </w:pPr>
          </w:p>
        </w:tc>
        <w:tc>
          <w:tcPr>
            <w:tcW w:w="1637" w:type="dxa"/>
            <w:tcBorders>
              <w:top w:val="single" w:color="auto" w:sz="4" w:space="0"/>
              <w:left w:val="single" w:color="auto" w:sz="4" w:space="0"/>
              <w:bottom w:val="single" w:color="auto" w:sz="4" w:space="0"/>
              <w:right w:val="single" w:color="auto" w:sz="4" w:space="0"/>
            </w:tcBorders>
            <w:vAlign w:val="center"/>
          </w:tcPr>
          <w:p w14:paraId="33B93D9C">
            <w:pPr>
              <w:snapToGrid w:val="0"/>
              <w:spacing w:line="400" w:lineRule="exact"/>
              <w:rPr>
                <w:rFonts w:hint="eastAsia" w:ascii="仿宋" w:hAnsi="仿宋" w:eastAsia="仿宋"/>
                <w:sz w:val="24"/>
                <w:highlight w:val="none"/>
              </w:rPr>
            </w:pPr>
          </w:p>
        </w:tc>
      </w:tr>
      <w:tr w14:paraId="16BFA6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535" w:type="dxa"/>
            <w:tcBorders>
              <w:top w:val="single" w:color="auto" w:sz="4" w:space="0"/>
              <w:left w:val="single" w:color="auto" w:sz="4" w:space="0"/>
              <w:bottom w:val="single" w:color="auto" w:sz="4" w:space="0"/>
              <w:right w:val="single" w:color="auto" w:sz="4" w:space="0"/>
            </w:tcBorders>
            <w:vAlign w:val="center"/>
          </w:tcPr>
          <w:p w14:paraId="083537E3">
            <w:pPr>
              <w:snapToGrid w:val="0"/>
              <w:spacing w:line="400" w:lineRule="exact"/>
              <w:jc w:val="center"/>
              <w:rPr>
                <w:rFonts w:hint="eastAsia" w:ascii="仿宋" w:hAnsi="仿宋" w:eastAsia="仿宋"/>
                <w:sz w:val="24"/>
                <w:highlight w:val="none"/>
              </w:rPr>
            </w:pPr>
            <w:r>
              <w:rPr>
                <w:rFonts w:hint="eastAsia" w:ascii="仿宋" w:hAnsi="仿宋" w:eastAsia="仿宋"/>
                <w:sz w:val="24"/>
                <w:highlight w:val="none"/>
              </w:rPr>
              <w:t>2</w:t>
            </w:r>
          </w:p>
        </w:tc>
        <w:tc>
          <w:tcPr>
            <w:tcW w:w="1870" w:type="dxa"/>
            <w:tcBorders>
              <w:top w:val="single" w:color="auto" w:sz="4" w:space="0"/>
              <w:left w:val="single" w:color="auto" w:sz="4" w:space="0"/>
              <w:bottom w:val="single" w:color="auto" w:sz="4" w:space="0"/>
              <w:right w:val="single" w:color="auto" w:sz="4" w:space="0"/>
            </w:tcBorders>
            <w:vAlign w:val="center"/>
          </w:tcPr>
          <w:p w14:paraId="0029B072">
            <w:pPr>
              <w:snapToGrid w:val="0"/>
              <w:spacing w:line="400" w:lineRule="exact"/>
              <w:jc w:val="center"/>
              <w:rPr>
                <w:rFonts w:hint="eastAsia" w:ascii="仿宋" w:hAnsi="仿宋" w:eastAsia="仿宋"/>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7EDED825">
            <w:pPr>
              <w:snapToGrid w:val="0"/>
              <w:spacing w:line="400" w:lineRule="exact"/>
              <w:jc w:val="center"/>
              <w:rPr>
                <w:rFonts w:hint="eastAsia" w:ascii="仿宋" w:hAnsi="仿宋" w:eastAsia="仿宋"/>
                <w:b/>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0EE9E71A">
            <w:pPr>
              <w:snapToGrid w:val="0"/>
              <w:spacing w:line="400" w:lineRule="exact"/>
              <w:jc w:val="center"/>
              <w:rPr>
                <w:rFonts w:hint="eastAsia" w:ascii="仿宋" w:hAnsi="仿宋" w:eastAsia="仿宋"/>
                <w:b/>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216346B6">
            <w:pPr>
              <w:snapToGrid w:val="0"/>
              <w:spacing w:line="400" w:lineRule="exact"/>
              <w:rPr>
                <w:rFonts w:hint="eastAsia" w:ascii="仿宋" w:hAnsi="仿宋" w:eastAsia="仿宋"/>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1BB13597">
            <w:pPr>
              <w:snapToGrid w:val="0"/>
              <w:spacing w:line="400" w:lineRule="exact"/>
              <w:rPr>
                <w:rFonts w:hint="eastAsia" w:ascii="仿宋" w:hAnsi="仿宋" w:eastAsia="仿宋"/>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35FB5F1">
            <w:pPr>
              <w:snapToGrid w:val="0"/>
              <w:spacing w:line="400" w:lineRule="exact"/>
              <w:rPr>
                <w:rFonts w:hint="eastAsia" w:ascii="仿宋" w:hAnsi="仿宋" w:eastAsia="仿宋"/>
                <w:sz w:val="24"/>
                <w:highlight w:val="none"/>
              </w:rPr>
            </w:pPr>
          </w:p>
        </w:tc>
        <w:tc>
          <w:tcPr>
            <w:tcW w:w="1637" w:type="dxa"/>
            <w:tcBorders>
              <w:top w:val="single" w:color="auto" w:sz="4" w:space="0"/>
              <w:left w:val="single" w:color="auto" w:sz="4" w:space="0"/>
              <w:bottom w:val="single" w:color="auto" w:sz="4" w:space="0"/>
              <w:right w:val="single" w:color="auto" w:sz="4" w:space="0"/>
            </w:tcBorders>
            <w:vAlign w:val="center"/>
          </w:tcPr>
          <w:p w14:paraId="52CD5787">
            <w:pPr>
              <w:snapToGrid w:val="0"/>
              <w:spacing w:line="400" w:lineRule="exact"/>
              <w:rPr>
                <w:rFonts w:hint="eastAsia" w:ascii="仿宋" w:hAnsi="仿宋" w:eastAsia="仿宋"/>
                <w:sz w:val="24"/>
                <w:highlight w:val="none"/>
              </w:rPr>
            </w:pPr>
          </w:p>
        </w:tc>
      </w:tr>
      <w:tr w14:paraId="2D3D2E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535" w:type="dxa"/>
            <w:tcBorders>
              <w:top w:val="single" w:color="auto" w:sz="4" w:space="0"/>
              <w:left w:val="single" w:color="auto" w:sz="4" w:space="0"/>
              <w:bottom w:val="single" w:color="auto" w:sz="4" w:space="0"/>
              <w:right w:val="single" w:color="auto" w:sz="4" w:space="0"/>
            </w:tcBorders>
            <w:vAlign w:val="center"/>
          </w:tcPr>
          <w:p w14:paraId="2613A37F">
            <w:pPr>
              <w:snapToGrid w:val="0"/>
              <w:spacing w:line="400" w:lineRule="exact"/>
              <w:jc w:val="center"/>
              <w:rPr>
                <w:rFonts w:hint="eastAsia" w:ascii="仿宋" w:hAnsi="仿宋" w:eastAsia="仿宋"/>
                <w:b/>
                <w:sz w:val="24"/>
                <w:highlight w:val="none"/>
              </w:rPr>
            </w:pPr>
            <w:r>
              <w:rPr>
                <w:rFonts w:ascii="仿宋" w:hAnsi="仿宋" w:eastAsia="仿宋"/>
                <w:b/>
                <w:sz w:val="24"/>
                <w:highlight w:val="none"/>
              </w:rPr>
              <w:t>…</w:t>
            </w:r>
          </w:p>
        </w:tc>
        <w:tc>
          <w:tcPr>
            <w:tcW w:w="1870" w:type="dxa"/>
            <w:tcBorders>
              <w:top w:val="single" w:color="auto" w:sz="4" w:space="0"/>
              <w:left w:val="single" w:color="auto" w:sz="4" w:space="0"/>
              <w:bottom w:val="single" w:color="auto" w:sz="4" w:space="0"/>
              <w:right w:val="single" w:color="auto" w:sz="4" w:space="0"/>
            </w:tcBorders>
            <w:vAlign w:val="center"/>
          </w:tcPr>
          <w:p w14:paraId="7ADF9B24">
            <w:pPr>
              <w:snapToGrid w:val="0"/>
              <w:spacing w:line="400" w:lineRule="exact"/>
              <w:jc w:val="center"/>
              <w:rPr>
                <w:rFonts w:hint="eastAsia" w:ascii="仿宋" w:hAnsi="仿宋" w:eastAsia="仿宋"/>
                <w:b/>
                <w:sz w:val="24"/>
                <w:highlight w:val="none"/>
              </w:rPr>
            </w:pPr>
            <w:r>
              <w:rPr>
                <w:rFonts w:hint="eastAsia" w:ascii="仿宋" w:hAnsi="仿宋" w:eastAsia="仿宋"/>
                <w:b/>
                <w:sz w:val="24"/>
                <w:highlight w:val="none"/>
              </w:rPr>
              <w:t>……</w:t>
            </w:r>
          </w:p>
        </w:tc>
        <w:tc>
          <w:tcPr>
            <w:tcW w:w="1418" w:type="dxa"/>
            <w:tcBorders>
              <w:top w:val="single" w:color="auto" w:sz="4" w:space="0"/>
              <w:left w:val="single" w:color="auto" w:sz="4" w:space="0"/>
              <w:bottom w:val="single" w:color="auto" w:sz="4" w:space="0"/>
              <w:right w:val="single" w:color="auto" w:sz="4" w:space="0"/>
            </w:tcBorders>
            <w:vAlign w:val="center"/>
          </w:tcPr>
          <w:p w14:paraId="68B1C1A7">
            <w:pPr>
              <w:snapToGrid w:val="0"/>
              <w:spacing w:line="400" w:lineRule="exact"/>
              <w:jc w:val="center"/>
              <w:rPr>
                <w:rFonts w:hint="eastAsia" w:ascii="仿宋" w:hAnsi="仿宋" w:eastAsia="仿宋"/>
                <w:b/>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498188A6">
            <w:pPr>
              <w:snapToGrid w:val="0"/>
              <w:spacing w:line="400" w:lineRule="exact"/>
              <w:jc w:val="center"/>
              <w:rPr>
                <w:rFonts w:hint="eastAsia" w:ascii="仿宋" w:hAnsi="仿宋" w:eastAsia="仿宋"/>
                <w:b/>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14:paraId="31E60E8E">
            <w:pPr>
              <w:snapToGrid w:val="0"/>
              <w:spacing w:line="400" w:lineRule="exact"/>
              <w:rPr>
                <w:rFonts w:hint="eastAsia" w:ascii="仿宋" w:hAnsi="仿宋" w:eastAsia="仿宋"/>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02563D7E">
            <w:pPr>
              <w:snapToGrid w:val="0"/>
              <w:spacing w:line="400" w:lineRule="exact"/>
              <w:rPr>
                <w:rFonts w:hint="eastAsia" w:ascii="仿宋" w:hAnsi="仿宋" w:eastAsia="仿宋"/>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C421FFB">
            <w:pPr>
              <w:snapToGrid w:val="0"/>
              <w:spacing w:line="400" w:lineRule="exact"/>
              <w:rPr>
                <w:rFonts w:hint="eastAsia" w:ascii="仿宋" w:hAnsi="仿宋" w:eastAsia="仿宋"/>
                <w:sz w:val="24"/>
                <w:highlight w:val="none"/>
              </w:rPr>
            </w:pPr>
          </w:p>
        </w:tc>
        <w:tc>
          <w:tcPr>
            <w:tcW w:w="1637" w:type="dxa"/>
            <w:tcBorders>
              <w:top w:val="single" w:color="auto" w:sz="4" w:space="0"/>
              <w:left w:val="single" w:color="auto" w:sz="4" w:space="0"/>
              <w:bottom w:val="single" w:color="auto" w:sz="4" w:space="0"/>
              <w:right w:val="single" w:color="auto" w:sz="4" w:space="0"/>
            </w:tcBorders>
            <w:vAlign w:val="center"/>
          </w:tcPr>
          <w:p w14:paraId="1289B994">
            <w:pPr>
              <w:snapToGrid w:val="0"/>
              <w:spacing w:line="400" w:lineRule="exact"/>
              <w:rPr>
                <w:rFonts w:hint="eastAsia" w:ascii="仿宋" w:hAnsi="仿宋" w:eastAsia="仿宋"/>
                <w:sz w:val="24"/>
                <w:highlight w:val="none"/>
              </w:rPr>
            </w:pPr>
          </w:p>
        </w:tc>
      </w:tr>
      <w:tr w14:paraId="380B4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9854" w:type="dxa"/>
            <w:gridSpan w:val="8"/>
            <w:tcBorders>
              <w:top w:val="single" w:color="auto" w:sz="4" w:space="0"/>
              <w:left w:val="single" w:color="auto" w:sz="4" w:space="0"/>
              <w:bottom w:val="single" w:color="auto" w:sz="4" w:space="0"/>
              <w:right w:val="single" w:color="auto" w:sz="4" w:space="0"/>
            </w:tcBorders>
            <w:vAlign w:val="center"/>
          </w:tcPr>
          <w:p w14:paraId="25678F2C">
            <w:pPr>
              <w:snapToGrid w:val="0"/>
              <w:spacing w:line="400" w:lineRule="exact"/>
              <w:rPr>
                <w:rFonts w:hint="eastAsia" w:ascii="仿宋" w:hAnsi="仿宋" w:eastAsia="仿宋"/>
                <w:sz w:val="24"/>
                <w:highlight w:val="none"/>
              </w:rPr>
            </w:pPr>
            <w:r>
              <w:rPr>
                <w:rFonts w:hint="eastAsia" w:ascii="仿宋" w:hAnsi="仿宋" w:eastAsia="仿宋" w:cs="仿宋_GB2312"/>
                <w:sz w:val="24"/>
                <w:highlight w:val="none"/>
              </w:rPr>
              <w:t>合计金额大写：人民币</w:t>
            </w:r>
            <w:r>
              <w:rPr>
                <w:rFonts w:hint="eastAsia" w:ascii="仿宋" w:hAnsi="仿宋" w:eastAsia="仿宋" w:cs="仿宋_GB2312"/>
                <w:sz w:val="24"/>
                <w:highlight w:val="none"/>
                <w:u w:val="single"/>
              </w:rPr>
              <w:t xml:space="preserve">        </w:t>
            </w:r>
            <w:r>
              <w:rPr>
                <w:rFonts w:ascii="仿宋" w:hAnsi="仿宋" w:eastAsia="仿宋" w:cs="仿宋_GB2312"/>
                <w:sz w:val="24"/>
                <w:highlight w:val="none"/>
                <w:u w:val="single"/>
              </w:rPr>
              <w:t xml:space="preserve">   </w:t>
            </w:r>
            <w:r>
              <w:rPr>
                <w:rFonts w:hint="eastAsia" w:ascii="仿宋" w:hAnsi="仿宋" w:eastAsia="仿宋" w:cs="仿宋_GB2312"/>
                <w:sz w:val="24"/>
                <w:highlight w:val="none"/>
                <w:u w:val="single"/>
              </w:rPr>
              <w:t xml:space="preserve">   </w:t>
            </w:r>
            <w:r>
              <w:rPr>
                <w:rFonts w:hint="eastAsia" w:ascii="仿宋" w:hAnsi="仿宋" w:eastAsia="仿宋" w:cs="仿宋_GB2312"/>
                <w:sz w:val="24"/>
                <w:highlight w:val="none"/>
              </w:rPr>
              <w:t>（</w:t>
            </w:r>
            <w:r>
              <w:rPr>
                <w:rFonts w:ascii="Calibri" w:hAnsi="Calibri" w:eastAsia="仿宋" w:cs="仿宋_GB2312"/>
                <w:sz w:val="24"/>
                <w:highlight w:val="none"/>
              </w:rPr>
              <w:t>¥</w:t>
            </w:r>
            <w:r>
              <w:rPr>
                <w:rFonts w:hint="eastAsia" w:ascii="仿宋" w:hAnsi="仿宋" w:eastAsia="仿宋" w:cs="仿宋_GB2312"/>
                <w:sz w:val="24"/>
                <w:highlight w:val="none"/>
                <w:u w:val="single"/>
              </w:rPr>
              <w:t xml:space="preserve">     </w:t>
            </w:r>
            <w:r>
              <w:rPr>
                <w:rFonts w:ascii="仿宋" w:hAnsi="仿宋" w:eastAsia="仿宋" w:cs="仿宋_GB2312"/>
                <w:sz w:val="24"/>
                <w:highlight w:val="none"/>
                <w:u w:val="single"/>
              </w:rPr>
              <w:t xml:space="preserve"> </w:t>
            </w:r>
            <w:r>
              <w:rPr>
                <w:rFonts w:hint="eastAsia" w:ascii="仿宋" w:hAnsi="仿宋" w:eastAsia="仿宋" w:cs="仿宋_GB2312"/>
                <w:sz w:val="24"/>
                <w:highlight w:val="none"/>
                <w:u w:val="single"/>
              </w:rPr>
              <w:t xml:space="preserve">      </w:t>
            </w:r>
            <w:r>
              <w:rPr>
                <w:rFonts w:hint="eastAsia" w:ascii="仿宋" w:hAnsi="仿宋" w:eastAsia="仿宋" w:cs="仿宋_GB2312"/>
                <w:sz w:val="24"/>
                <w:highlight w:val="none"/>
              </w:rPr>
              <w:t>）</w:t>
            </w:r>
          </w:p>
        </w:tc>
      </w:tr>
    </w:tbl>
    <w:p w14:paraId="18238632">
      <w:pPr>
        <w:snapToGrid w:val="0"/>
        <w:spacing w:before="50" w:after="50" w:line="360" w:lineRule="auto"/>
        <w:jc w:val="left"/>
        <w:rPr>
          <w:rFonts w:hint="eastAsia" w:ascii="仿宋" w:hAnsi="仿宋" w:eastAsia="仿宋"/>
          <w:sz w:val="24"/>
          <w:highlight w:val="none"/>
        </w:rPr>
      </w:pPr>
      <w:r>
        <w:rPr>
          <w:rFonts w:hint="eastAsia" w:ascii="仿宋" w:hAnsi="仿宋" w:eastAsia="仿宋"/>
          <w:sz w:val="24"/>
          <w:highlight w:val="none"/>
        </w:rPr>
        <w:t xml:space="preserve">注: </w:t>
      </w:r>
    </w:p>
    <w:p w14:paraId="58F55DBB">
      <w:pPr>
        <w:snapToGrid w:val="0"/>
        <w:spacing w:before="50" w:after="50"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1.投标人的开标一览表必须加盖投标人公章并由</w:t>
      </w:r>
      <w:r>
        <w:rPr>
          <w:rFonts w:ascii="仿宋" w:hAnsi="仿宋" w:eastAsia="仿宋"/>
          <w:sz w:val="24"/>
          <w:highlight w:val="none"/>
        </w:rPr>
        <w:t>法定代表人或者委托代理人</w:t>
      </w:r>
      <w:r>
        <w:rPr>
          <w:rFonts w:hint="eastAsia" w:ascii="仿宋" w:hAnsi="仿宋" w:eastAsia="仿宋"/>
          <w:sz w:val="24"/>
          <w:highlight w:val="none"/>
        </w:rPr>
        <w:t>签字，</w:t>
      </w:r>
      <w:r>
        <w:rPr>
          <w:rFonts w:hint="eastAsia" w:ascii="仿宋" w:hAnsi="仿宋" w:eastAsia="仿宋"/>
          <w:b/>
          <w:sz w:val="24"/>
          <w:highlight w:val="none"/>
        </w:rPr>
        <w:t>否则其投标作无效标处理</w:t>
      </w:r>
      <w:r>
        <w:rPr>
          <w:rFonts w:hint="eastAsia" w:ascii="仿宋" w:hAnsi="仿宋" w:eastAsia="仿宋"/>
          <w:sz w:val="24"/>
          <w:highlight w:val="none"/>
        </w:rPr>
        <w:t>。</w:t>
      </w:r>
    </w:p>
    <w:p w14:paraId="7CA6AF63">
      <w:pPr>
        <w:snapToGrid w:val="0"/>
        <w:spacing w:before="50" w:after="50" w:line="360" w:lineRule="auto"/>
        <w:ind w:firstLine="480" w:firstLineChars="200"/>
        <w:jc w:val="left"/>
        <w:rPr>
          <w:rFonts w:hint="eastAsia" w:ascii="仿宋" w:hAnsi="仿宋" w:eastAsia="仿宋"/>
          <w:b/>
          <w:sz w:val="24"/>
          <w:highlight w:val="none"/>
        </w:rPr>
      </w:pPr>
      <w:r>
        <w:rPr>
          <w:rFonts w:hint="eastAsia" w:ascii="仿宋" w:hAnsi="仿宋" w:eastAsia="仿宋"/>
          <w:bCs/>
          <w:sz w:val="24"/>
          <w:highlight w:val="none"/>
        </w:rPr>
        <w:t>2.</w:t>
      </w:r>
      <w:r>
        <w:rPr>
          <w:rFonts w:hint="eastAsia" w:ascii="仿宋" w:hAnsi="仿宋" w:eastAsia="仿宋"/>
          <w:sz w:val="24"/>
          <w:highlight w:val="none"/>
        </w:rPr>
        <w:t>报价一经涂改，应在涂改处加盖投标人公章或者由法定代表人或者委托代理人</w:t>
      </w:r>
      <w:r>
        <w:rPr>
          <w:rFonts w:hint="eastAsia" w:ascii="仿宋" w:hAnsi="仿宋" w:eastAsia="仿宋"/>
          <w:sz w:val="24"/>
          <w:highlight w:val="none"/>
          <w:lang w:eastAsia="zh-CN"/>
        </w:rPr>
        <w:t>签字或者盖CA章</w:t>
      </w:r>
      <w:r>
        <w:rPr>
          <w:rFonts w:hint="eastAsia" w:ascii="仿宋" w:hAnsi="仿宋" w:eastAsia="仿宋"/>
          <w:b/>
          <w:sz w:val="24"/>
          <w:highlight w:val="none"/>
        </w:rPr>
        <w:t>，否则其投标作无效标处理。</w:t>
      </w:r>
    </w:p>
    <w:p w14:paraId="31C4994E">
      <w:pPr>
        <w:snapToGrid w:val="0"/>
        <w:spacing w:before="50" w:after="50"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3.招标文件中列明采购专用耗材的，应按招标文件规定的耗材量或者按耗材的常规试用量提供报价。</w:t>
      </w:r>
    </w:p>
    <w:p w14:paraId="217FE0F8">
      <w:pPr>
        <w:snapToGrid w:val="0"/>
        <w:spacing w:before="50" w:after="50" w:line="360" w:lineRule="auto"/>
        <w:ind w:firstLine="480" w:firstLineChars="200"/>
        <w:rPr>
          <w:rFonts w:hint="eastAsia" w:ascii="仿宋" w:hAnsi="仿宋" w:eastAsia="仿宋"/>
          <w:b/>
          <w:sz w:val="24"/>
          <w:highlight w:val="none"/>
        </w:rPr>
      </w:pPr>
      <w:r>
        <w:rPr>
          <w:rFonts w:hint="eastAsia" w:ascii="仿宋" w:hAnsi="仿宋" w:eastAsia="仿宋"/>
          <w:sz w:val="24"/>
          <w:highlight w:val="none"/>
          <w:lang w:val="en-US" w:eastAsia="zh-CN"/>
        </w:rPr>
        <w:t>4</w:t>
      </w:r>
      <w:r>
        <w:rPr>
          <w:rFonts w:hint="eastAsia" w:ascii="仿宋" w:hAnsi="仿宋" w:eastAsia="仿宋"/>
          <w:sz w:val="24"/>
          <w:highlight w:val="none"/>
        </w:rPr>
        <w:t>.如有多</w:t>
      </w:r>
      <w:r>
        <w:rPr>
          <w:rFonts w:hint="eastAsia" w:ascii="仿宋" w:hAnsi="仿宋" w:eastAsia="仿宋" w:cs="宋体"/>
          <w:sz w:val="24"/>
          <w:highlight w:val="none"/>
        </w:rPr>
        <w:t>标项</w:t>
      </w:r>
      <w:r>
        <w:rPr>
          <w:rFonts w:hint="eastAsia" w:ascii="仿宋" w:hAnsi="仿宋" w:eastAsia="仿宋"/>
          <w:sz w:val="24"/>
          <w:highlight w:val="none"/>
        </w:rPr>
        <w:t>，按</w:t>
      </w:r>
      <w:r>
        <w:rPr>
          <w:rFonts w:hint="eastAsia" w:ascii="仿宋" w:hAnsi="仿宋" w:eastAsia="仿宋" w:cs="宋体"/>
          <w:sz w:val="24"/>
          <w:highlight w:val="none"/>
        </w:rPr>
        <w:t>标项</w:t>
      </w:r>
      <w:r>
        <w:rPr>
          <w:rFonts w:hint="eastAsia" w:ascii="仿宋" w:hAnsi="仿宋" w:eastAsia="仿宋"/>
          <w:sz w:val="24"/>
          <w:highlight w:val="none"/>
        </w:rPr>
        <w:t>分别提供开标一览表，</w:t>
      </w:r>
      <w:r>
        <w:rPr>
          <w:rFonts w:hint="eastAsia" w:ascii="仿宋" w:hAnsi="仿宋" w:eastAsia="仿宋"/>
          <w:b/>
          <w:sz w:val="24"/>
          <w:highlight w:val="none"/>
        </w:rPr>
        <w:t>否则投标无效。</w:t>
      </w:r>
    </w:p>
    <w:p w14:paraId="5C390B6C">
      <w:pPr>
        <w:snapToGrid w:val="0"/>
        <w:spacing w:before="50" w:after="50" w:line="360" w:lineRule="auto"/>
        <w:ind w:firstLine="482" w:firstLineChars="200"/>
        <w:rPr>
          <w:rFonts w:hint="eastAsia" w:ascii="仿宋" w:hAnsi="仿宋" w:eastAsia="仿宋"/>
          <w:b/>
          <w:sz w:val="24"/>
          <w:highlight w:val="none"/>
        </w:rPr>
      </w:pPr>
    </w:p>
    <w:p w14:paraId="6DB78023">
      <w:pPr>
        <w:snapToGrid w:val="0"/>
        <w:spacing w:before="50" w:after="50" w:line="360" w:lineRule="auto"/>
        <w:ind w:left="-2" w:leftChars="-1" w:right="-817" w:rightChars="-389"/>
        <w:rPr>
          <w:rFonts w:hint="eastAsia" w:ascii="仿宋" w:hAnsi="仿宋" w:eastAsia="仿宋"/>
          <w:sz w:val="24"/>
          <w:highlight w:val="none"/>
        </w:rPr>
      </w:pPr>
      <w:r>
        <w:rPr>
          <w:rFonts w:hint="eastAsia" w:ascii="仿宋" w:hAnsi="仿宋" w:eastAsia="仿宋"/>
          <w:sz w:val="24"/>
          <w:highlight w:val="none"/>
        </w:rPr>
        <w:t>法定代表人或者委托代理人</w:t>
      </w:r>
      <w:r>
        <w:rPr>
          <w:rFonts w:hint="eastAsia" w:ascii="仿宋" w:hAnsi="仿宋" w:eastAsia="仿宋"/>
          <w:spacing w:val="20"/>
          <w:sz w:val="24"/>
          <w:highlight w:val="none"/>
        </w:rPr>
        <w:t>（签字</w:t>
      </w:r>
      <w:r>
        <w:rPr>
          <w:rFonts w:hint="eastAsia" w:ascii="仿宋" w:hAnsi="仿宋" w:eastAsia="仿宋"/>
          <w:spacing w:val="20"/>
          <w:sz w:val="24"/>
          <w:highlight w:val="none"/>
          <w:lang w:val="en-US" w:eastAsia="zh-CN"/>
        </w:rPr>
        <w:t>或盖法定代表人CA章</w:t>
      </w:r>
      <w:r>
        <w:rPr>
          <w:rFonts w:hint="eastAsia" w:ascii="仿宋" w:hAnsi="仿宋" w:eastAsia="仿宋"/>
          <w:spacing w:val="20"/>
          <w:sz w:val="24"/>
          <w:highlight w:val="none"/>
        </w:rPr>
        <w:t>）</w:t>
      </w:r>
      <w:r>
        <w:rPr>
          <w:rFonts w:hint="eastAsia" w:ascii="仿宋" w:hAnsi="仿宋" w:eastAsia="仿宋"/>
          <w:sz w:val="24"/>
          <w:highlight w:val="none"/>
        </w:rPr>
        <w:t>：</w:t>
      </w:r>
      <w:r>
        <w:rPr>
          <w:rFonts w:hint="eastAsia" w:ascii="仿宋" w:hAnsi="仿宋" w:eastAsia="仿宋"/>
          <w:sz w:val="24"/>
          <w:highlight w:val="none"/>
          <w:u w:val="single"/>
        </w:rPr>
        <w:t xml:space="preserve">                    </w:t>
      </w:r>
    </w:p>
    <w:p w14:paraId="22C743D6">
      <w:pPr>
        <w:snapToGrid w:val="0"/>
        <w:spacing w:before="50" w:after="50" w:line="360" w:lineRule="auto"/>
        <w:ind w:left="-3" w:leftChars="-15" w:right="-817" w:rightChars="-389" w:hanging="28" w:hangingChars="12"/>
        <w:rPr>
          <w:rFonts w:hint="eastAsia" w:ascii="仿宋" w:hAnsi="仿宋" w:eastAsia="仿宋"/>
          <w:sz w:val="24"/>
          <w:highlight w:val="none"/>
        </w:rPr>
      </w:pPr>
      <w:r>
        <w:rPr>
          <w:rFonts w:hint="eastAsia" w:ascii="仿宋" w:hAnsi="仿宋" w:eastAsia="仿宋"/>
          <w:sz w:val="24"/>
          <w:highlight w:val="none"/>
        </w:rPr>
        <w:t>投标人（</w:t>
      </w:r>
      <w:r>
        <w:rPr>
          <w:rFonts w:hint="eastAsia" w:ascii="仿宋" w:hAnsi="仿宋" w:eastAsia="仿宋"/>
          <w:sz w:val="24"/>
          <w:highlight w:val="none"/>
          <w:lang w:eastAsia="zh-CN"/>
        </w:rPr>
        <w:t>盖CA公章</w:t>
      </w:r>
      <w:r>
        <w:rPr>
          <w:rFonts w:hint="eastAsia" w:ascii="仿宋" w:hAnsi="仿宋" w:eastAsia="仿宋"/>
          <w:sz w:val="24"/>
          <w:highlight w:val="none"/>
        </w:rPr>
        <w:t>）：</w:t>
      </w:r>
      <w:r>
        <w:rPr>
          <w:rFonts w:hint="eastAsia" w:ascii="仿宋" w:hAnsi="仿宋" w:eastAsia="仿宋"/>
          <w:sz w:val="24"/>
          <w:highlight w:val="none"/>
          <w:u w:val="single"/>
        </w:rPr>
        <w:t xml:space="preserve">                                 </w:t>
      </w:r>
    </w:p>
    <w:p w14:paraId="04C28E10">
      <w:pPr>
        <w:snapToGrid w:val="0"/>
        <w:spacing w:before="50" w:after="50" w:line="360" w:lineRule="auto"/>
        <w:ind w:left="-3" w:leftChars="-15" w:right="-817" w:rightChars="-389" w:hanging="28" w:hangingChars="12"/>
        <w:rPr>
          <w:rFonts w:hint="eastAsia" w:ascii="仿宋" w:hAnsi="仿宋" w:eastAsia="仿宋"/>
          <w:szCs w:val="21"/>
          <w:highlight w:val="none"/>
        </w:rPr>
      </w:pPr>
      <w:r>
        <w:rPr>
          <w:rFonts w:hint="eastAsia" w:ascii="仿宋" w:hAnsi="仿宋" w:eastAsia="仿宋"/>
          <w:sz w:val="24"/>
          <w:highlight w:val="none"/>
        </w:rPr>
        <w:t>日期：    年   月   日</w:t>
      </w:r>
    </w:p>
    <w:p w14:paraId="78D571F5">
      <w:pPr>
        <w:rPr>
          <w:rFonts w:hint="eastAsia" w:ascii="仿宋" w:hAnsi="仿宋" w:eastAsia="仿宋"/>
          <w:b/>
          <w:sz w:val="28"/>
          <w:szCs w:val="28"/>
          <w:highlight w:val="none"/>
        </w:rPr>
      </w:pPr>
      <w:r>
        <w:rPr>
          <w:rFonts w:ascii="仿宋" w:hAnsi="仿宋" w:eastAsia="仿宋"/>
          <w:b/>
          <w:bCs/>
          <w:sz w:val="24"/>
          <w:highlight w:val="none"/>
        </w:rPr>
        <w:br w:type="page"/>
      </w:r>
      <w:bookmarkStart w:id="169" w:name="_Toc19686837"/>
      <w:r>
        <w:rPr>
          <w:rFonts w:hint="eastAsia" w:ascii="仿宋" w:hAnsi="仿宋" w:eastAsia="仿宋"/>
          <w:b/>
          <w:sz w:val="28"/>
          <w:szCs w:val="28"/>
          <w:highlight w:val="none"/>
        </w:rPr>
        <w:t>二、资格证明文件格式</w:t>
      </w:r>
      <w:bookmarkEnd w:id="167"/>
      <w:bookmarkEnd w:id="168"/>
      <w:bookmarkEnd w:id="169"/>
    </w:p>
    <w:p w14:paraId="4003D72C">
      <w:pPr>
        <w:tabs>
          <w:tab w:val="left" w:pos="1815"/>
        </w:tabs>
        <w:snapToGrid w:val="0"/>
        <w:spacing w:before="120" w:beforeLines="50" w:after="50" w:line="360" w:lineRule="auto"/>
        <w:jc w:val="left"/>
        <w:rPr>
          <w:rFonts w:hint="eastAsia" w:ascii="仿宋" w:hAnsi="仿宋" w:eastAsia="仿宋"/>
          <w:b/>
          <w:sz w:val="24"/>
          <w:highlight w:val="none"/>
        </w:rPr>
      </w:pPr>
      <w:r>
        <w:rPr>
          <w:rFonts w:hint="eastAsia" w:ascii="仿宋" w:hAnsi="仿宋" w:eastAsia="仿宋"/>
          <w:b/>
          <w:sz w:val="24"/>
          <w:highlight w:val="none"/>
        </w:rPr>
        <w:t>1</w:t>
      </w:r>
      <w:r>
        <w:rPr>
          <w:rFonts w:ascii="仿宋" w:hAnsi="仿宋" w:eastAsia="仿宋"/>
          <w:b/>
          <w:sz w:val="24"/>
          <w:highlight w:val="none"/>
        </w:rPr>
        <w:t>.</w:t>
      </w:r>
      <w:r>
        <w:rPr>
          <w:rFonts w:hint="eastAsia" w:ascii="仿宋" w:hAnsi="仿宋" w:eastAsia="仿宋"/>
          <w:b/>
          <w:sz w:val="24"/>
          <w:highlight w:val="none"/>
        </w:rPr>
        <w:t xml:space="preserve">资格证明文件封面格式： </w:t>
      </w:r>
    </w:p>
    <w:p w14:paraId="3075C900">
      <w:pPr>
        <w:snapToGrid w:val="0"/>
        <w:spacing w:before="120" w:beforeLines="50" w:after="50"/>
        <w:rPr>
          <w:rFonts w:hint="eastAsia" w:ascii="仿宋" w:hAnsi="仿宋" w:eastAsia="仿宋"/>
          <w:bCs/>
          <w:sz w:val="32"/>
          <w:szCs w:val="20"/>
          <w:highlight w:val="none"/>
        </w:rPr>
      </w:pPr>
      <w:r>
        <w:rPr>
          <w:rFonts w:hint="eastAsia" w:ascii="仿宋" w:hAnsi="仿宋" w:eastAsia="仿宋"/>
          <w:sz w:val="24"/>
          <w:highlight w:val="none"/>
        </w:rPr>
        <w:t xml:space="preserve">                                                   </w:t>
      </w:r>
    </w:p>
    <w:p w14:paraId="1C8CFA01">
      <w:pPr>
        <w:snapToGrid w:val="0"/>
        <w:spacing w:before="120" w:beforeLines="50" w:after="50"/>
        <w:rPr>
          <w:rFonts w:hint="eastAsia" w:ascii="仿宋" w:hAnsi="仿宋" w:eastAsia="仿宋"/>
          <w:sz w:val="24"/>
          <w:szCs w:val="20"/>
          <w:highlight w:val="none"/>
        </w:rPr>
      </w:pPr>
    </w:p>
    <w:p w14:paraId="587CFBCB">
      <w:pPr>
        <w:snapToGrid w:val="0"/>
        <w:spacing w:before="120" w:beforeLines="50" w:after="50"/>
        <w:rPr>
          <w:rFonts w:hint="eastAsia" w:ascii="仿宋" w:hAnsi="仿宋" w:eastAsia="仿宋"/>
          <w:sz w:val="24"/>
          <w:szCs w:val="20"/>
          <w:highlight w:val="none"/>
        </w:rPr>
      </w:pPr>
    </w:p>
    <w:p w14:paraId="766A04E3">
      <w:pPr>
        <w:snapToGrid w:val="0"/>
        <w:spacing w:before="120" w:beforeLines="50" w:after="50"/>
        <w:jc w:val="center"/>
        <w:rPr>
          <w:rFonts w:hint="eastAsia" w:ascii="仿宋" w:hAnsi="仿宋" w:eastAsia="仿宋" w:cs="方正小标宋简体"/>
          <w:sz w:val="84"/>
          <w:szCs w:val="84"/>
          <w:highlight w:val="none"/>
        </w:rPr>
      </w:pPr>
      <w:r>
        <w:rPr>
          <w:rFonts w:hint="eastAsia" w:ascii="仿宋" w:hAnsi="仿宋" w:eastAsia="仿宋" w:cs="方正小标宋简体"/>
          <w:sz w:val="84"/>
          <w:szCs w:val="84"/>
          <w:highlight w:val="none"/>
        </w:rPr>
        <w:t>投  标  文  件</w:t>
      </w:r>
    </w:p>
    <w:p w14:paraId="175F2CF4">
      <w:pPr>
        <w:snapToGrid w:val="0"/>
        <w:spacing w:before="120" w:beforeLines="50" w:after="50"/>
        <w:rPr>
          <w:rFonts w:hint="eastAsia" w:ascii="仿宋" w:hAnsi="仿宋" w:eastAsia="仿宋"/>
          <w:sz w:val="24"/>
          <w:szCs w:val="20"/>
          <w:highlight w:val="none"/>
        </w:rPr>
      </w:pPr>
    </w:p>
    <w:p w14:paraId="22D7B20B">
      <w:pPr>
        <w:snapToGrid w:val="0"/>
        <w:spacing w:before="120" w:beforeLines="50" w:after="50"/>
        <w:rPr>
          <w:rFonts w:hint="eastAsia" w:ascii="仿宋" w:hAnsi="仿宋" w:eastAsia="仿宋"/>
          <w:sz w:val="24"/>
          <w:szCs w:val="20"/>
          <w:highlight w:val="none"/>
        </w:rPr>
      </w:pPr>
    </w:p>
    <w:p w14:paraId="642052EA">
      <w:pPr>
        <w:snapToGrid w:val="0"/>
        <w:spacing w:before="120" w:beforeLines="50" w:after="50"/>
        <w:jc w:val="center"/>
        <w:rPr>
          <w:rFonts w:hint="eastAsia" w:ascii="仿宋" w:hAnsi="仿宋" w:eastAsia="仿宋"/>
          <w:b/>
          <w:sz w:val="24"/>
          <w:szCs w:val="20"/>
          <w:highlight w:val="none"/>
        </w:rPr>
      </w:pPr>
      <w:r>
        <w:rPr>
          <w:rFonts w:hint="eastAsia" w:ascii="仿宋" w:hAnsi="仿宋" w:eastAsia="仿宋"/>
          <w:b/>
          <w:sz w:val="32"/>
          <w:szCs w:val="32"/>
          <w:highlight w:val="none"/>
        </w:rPr>
        <w:t>资 格 证 明 文 件</w:t>
      </w:r>
    </w:p>
    <w:p w14:paraId="1324BD1C">
      <w:pPr>
        <w:snapToGrid w:val="0"/>
        <w:spacing w:before="120" w:beforeLines="50" w:after="50"/>
        <w:rPr>
          <w:rFonts w:hint="eastAsia" w:ascii="仿宋" w:hAnsi="仿宋" w:eastAsia="仿宋"/>
          <w:bCs/>
          <w:sz w:val="24"/>
          <w:szCs w:val="20"/>
          <w:highlight w:val="none"/>
        </w:rPr>
      </w:pPr>
    </w:p>
    <w:p w14:paraId="218DDB8A">
      <w:pPr>
        <w:snapToGrid w:val="0"/>
        <w:spacing w:before="120" w:beforeLines="50" w:after="50"/>
        <w:rPr>
          <w:rFonts w:hint="eastAsia" w:ascii="仿宋" w:hAnsi="仿宋" w:eastAsia="仿宋"/>
          <w:bCs/>
          <w:sz w:val="24"/>
          <w:szCs w:val="20"/>
          <w:highlight w:val="none"/>
        </w:rPr>
      </w:pPr>
    </w:p>
    <w:p w14:paraId="6273599B">
      <w:pPr>
        <w:snapToGrid w:val="0"/>
        <w:spacing w:before="120" w:beforeLines="50" w:after="50"/>
        <w:rPr>
          <w:rFonts w:hint="eastAsia" w:ascii="仿宋" w:hAnsi="仿宋" w:eastAsia="仿宋"/>
          <w:bCs/>
          <w:sz w:val="24"/>
          <w:szCs w:val="20"/>
          <w:highlight w:val="none"/>
        </w:rPr>
      </w:pPr>
    </w:p>
    <w:p w14:paraId="0A05B891">
      <w:pPr>
        <w:snapToGrid w:val="0"/>
        <w:spacing w:before="120" w:beforeLines="50" w:after="50"/>
        <w:rPr>
          <w:rFonts w:hint="eastAsia" w:ascii="仿宋" w:hAnsi="仿宋" w:eastAsia="仿宋"/>
          <w:bCs/>
          <w:sz w:val="24"/>
          <w:szCs w:val="20"/>
          <w:highlight w:val="none"/>
        </w:rPr>
      </w:pPr>
    </w:p>
    <w:p w14:paraId="1356DFBE">
      <w:pPr>
        <w:snapToGrid w:val="0"/>
        <w:spacing w:before="120" w:beforeLines="50" w:after="50"/>
        <w:rPr>
          <w:rFonts w:hint="eastAsia" w:ascii="仿宋" w:hAnsi="仿宋" w:eastAsia="仿宋"/>
          <w:bCs/>
          <w:sz w:val="24"/>
          <w:szCs w:val="20"/>
          <w:highlight w:val="none"/>
        </w:rPr>
      </w:pPr>
    </w:p>
    <w:p w14:paraId="04EBF64D">
      <w:pPr>
        <w:snapToGrid w:val="0"/>
        <w:spacing w:before="120" w:beforeLines="50" w:after="50"/>
        <w:ind w:firstLine="540" w:firstLineChars="225"/>
        <w:rPr>
          <w:rFonts w:hint="eastAsia" w:ascii="仿宋" w:hAnsi="仿宋" w:eastAsia="仿宋"/>
          <w:bCs/>
          <w:sz w:val="24"/>
          <w:highlight w:val="none"/>
        </w:rPr>
      </w:pPr>
      <w:r>
        <w:rPr>
          <w:rFonts w:hint="eastAsia" w:ascii="仿宋" w:hAnsi="仿宋" w:eastAsia="仿宋"/>
          <w:bCs/>
          <w:sz w:val="24"/>
          <w:highlight w:val="none"/>
        </w:rPr>
        <w:t>项目名称：</w:t>
      </w:r>
    </w:p>
    <w:p w14:paraId="137C13F3">
      <w:pPr>
        <w:snapToGrid w:val="0"/>
        <w:spacing w:before="120" w:beforeLines="50" w:after="50"/>
        <w:ind w:firstLine="540" w:firstLineChars="225"/>
        <w:rPr>
          <w:rFonts w:hint="eastAsia" w:ascii="仿宋" w:hAnsi="仿宋" w:eastAsia="仿宋"/>
          <w:bCs/>
          <w:sz w:val="24"/>
          <w:szCs w:val="20"/>
          <w:highlight w:val="none"/>
        </w:rPr>
      </w:pPr>
    </w:p>
    <w:p w14:paraId="7B7773DD">
      <w:pPr>
        <w:snapToGrid w:val="0"/>
        <w:spacing w:before="120" w:beforeLines="50" w:after="50"/>
        <w:ind w:firstLine="540" w:firstLineChars="225"/>
        <w:rPr>
          <w:rFonts w:hint="eastAsia" w:ascii="仿宋" w:hAnsi="仿宋" w:eastAsia="仿宋"/>
          <w:bCs/>
          <w:sz w:val="24"/>
          <w:highlight w:val="none"/>
        </w:rPr>
      </w:pPr>
      <w:r>
        <w:rPr>
          <w:rFonts w:hint="eastAsia" w:ascii="仿宋" w:hAnsi="仿宋" w:eastAsia="仿宋"/>
          <w:bCs/>
          <w:sz w:val="24"/>
          <w:highlight w:val="none"/>
        </w:rPr>
        <w:t>项目编号：</w:t>
      </w:r>
    </w:p>
    <w:p w14:paraId="3E9BF0B2">
      <w:pPr>
        <w:snapToGrid w:val="0"/>
        <w:spacing w:before="120" w:beforeLines="50" w:after="50"/>
        <w:ind w:firstLine="540" w:firstLineChars="225"/>
        <w:rPr>
          <w:rFonts w:hint="eastAsia" w:ascii="仿宋" w:hAnsi="仿宋" w:eastAsia="仿宋"/>
          <w:bCs/>
          <w:sz w:val="24"/>
          <w:szCs w:val="20"/>
          <w:highlight w:val="none"/>
        </w:rPr>
      </w:pPr>
      <w:r>
        <w:rPr>
          <w:rFonts w:hint="eastAsia" w:ascii="仿宋" w:hAnsi="仿宋" w:eastAsia="仿宋"/>
          <w:bCs/>
          <w:sz w:val="24"/>
          <w:highlight w:val="none"/>
        </w:rPr>
        <w:t xml:space="preserve"> </w:t>
      </w:r>
    </w:p>
    <w:p w14:paraId="5D06706F">
      <w:pPr>
        <w:snapToGrid w:val="0"/>
        <w:spacing w:before="120" w:beforeLines="50" w:after="50"/>
        <w:ind w:firstLine="540" w:firstLineChars="225"/>
        <w:rPr>
          <w:rFonts w:hint="eastAsia" w:ascii="仿宋" w:hAnsi="仿宋" w:eastAsia="仿宋" w:cs="宋体"/>
          <w:sz w:val="24"/>
          <w:highlight w:val="none"/>
        </w:rPr>
      </w:pPr>
      <w:r>
        <w:rPr>
          <w:rFonts w:hint="eastAsia" w:ascii="仿宋" w:hAnsi="仿宋" w:eastAsia="仿宋" w:cs="宋体"/>
          <w:sz w:val="24"/>
          <w:highlight w:val="none"/>
        </w:rPr>
        <w:t>投标人名称：</w:t>
      </w:r>
    </w:p>
    <w:p w14:paraId="7067BEAB">
      <w:pPr>
        <w:pStyle w:val="7"/>
        <w:rPr>
          <w:highlight w:val="none"/>
        </w:rPr>
      </w:pPr>
    </w:p>
    <w:p w14:paraId="5C84D311">
      <w:pPr>
        <w:pStyle w:val="7"/>
        <w:rPr>
          <w:highlight w:val="none"/>
        </w:rPr>
      </w:pPr>
    </w:p>
    <w:p w14:paraId="52B02794">
      <w:pPr>
        <w:snapToGrid w:val="0"/>
        <w:spacing w:before="120" w:beforeLines="50" w:after="50"/>
        <w:ind w:firstLine="645"/>
        <w:jc w:val="center"/>
        <w:rPr>
          <w:rFonts w:hint="eastAsia" w:ascii="仿宋" w:hAnsi="仿宋" w:eastAsia="仿宋"/>
          <w:sz w:val="24"/>
          <w:highlight w:val="none"/>
        </w:rPr>
      </w:pPr>
      <w:r>
        <w:rPr>
          <w:rFonts w:hint="eastAsia" w:ascii="仿宋" w:hAnsi="仿宋" w:eastAsia="仿宋"/>
          <w:sz w:val="24"/>
          <w:highlight w:val="none"/>
        </w:rPr>
        <w:t xml:space="preserve">年   </w:t>
      </w:r>
      <w:r>
        <w:rPr>
          <w:rFonts w:ascii="仿宋" w:hAnsi="仿宋" w:eastAsia="仿宋"/>
          <w:sz w:val="24"/>
          <w:highlight w:val="none"/>
        </w:rPr>
        <w:t xml:space="preserve"> </w:t>
      </w:r>
      <w:r>
        <w:rPr>
          <w:rFonts w:hint="eastAsia" w:ascii="仿宋" w:hAnsi="仿宋" w:eastAsia="仿宋"/>
          <w:sz w:val="24"/>
          <w:highlight w:val="none"/>
        </w:rPr>
        <w:t xml:space="preserve">月 </w:t>
      </w:r>
      <w:r>
        <w:rPr>
          <w:rFonts w:ascii="仿宋" w:hAnsi="仿宋" w:eastAsia="仿宋"/>
          <w:sz w:val="24"/>
          <w:highlight w:val="none"/>
        </w:rPr>
        <w:t xml:space="preserve"> </w:t>
      </w:r>
      <w:r>
        <w:rPr>
          <w:rFonts w:hint="eastAsia" w:ascii="仿宋" w:hAnsi="仿宋" w:eastAsia="仿宋"/>
          <w:sz w:val="24"/>
          <w:highlight w:val="none"/>
        </w:rPr>
        <w:t xml:space="preserve"> 日</w:t>
      </w:r>
    </w:p>
    <w:p w14:paraId="232AB452">
      <w:pPr>
        <w:snapToGrid w:val="0"/>
        <w:spacing w:before="120" w:beforeLines="50" w:after="50"/>
        <w:rPr>
          <w:rFonts w:hint="eastAsia" w:ascii="仿宋" w:hAnsi="仿宋" w:eastAsia="仿宋"/>
          <w:sz w:val="24"/>
          <w:szCs w:val="20"/>
          <w:highlight w:val="none"/>
        </w:rPr>
      </w:pPr>
      <w:r>
        <w:rPr>
          <w:rFonts w:ascii="仿宋" w:hAnsi="仿宋" w:eastAsia="仿宋"/>
          <w:sz w:val="24"/>
          <w:szCs w:val="20"/>
          <w:highlight w:val="none"/>
        </w:rPr>
        <w:t xml:space="preserve"> </w:t>
      </w:r>
    </w:p>
    <w:p w14:paraId="1616B762">
      <w:pPr>
        <w:snapToGrid w:val="0"/>
        <w:spacing w:before="120" w:beforeLines="50" w:after="50"/>
        <w:rPr>
          <w:rFonts w:hint="eastAsia" w:ascii="仿宋" w:hAnsi="仿宋" w:eastAsia="仿宋"/>
          <w:sz w:val="24"/>
          <w:szCs w:val="20"/>
          <w:highlight w:val="none"/>
        </w:rPr>
      </w:pPr>
    </w:p>
    <w:p w14:paraId="75BA98B7">
      <w:pPr>
        <w:numPr>
          <w:ilvl w:val="2"/>
          <w:numId w:val="7"/>
        </w:numPr>
        <w:snapToGrid w:val="0"/>
        <w:spacing w:before="120" w:beforeLines="50" w:after="50" w:line="360" w:lineRule="auto"/>
        <w:ind w:left="0" w:firstLine="0"/>
        <w:jc w:val="left"/>
        <w:rPr>
          <w:rFonts w:hint="eastAsia" w:ascii="仿宋" w:hAnsi="仿宋" w:eastAsia="仿宋"/>
          <w:sz w:val="24"/>
          <w:szCs w:val="20"/>
          <w:highlight w:val="none"/>
        </w:rPr>
      </w:pPr>
      <w:r>
        <w:rPr>
          <w:rFonts w:ascii="仿宋" w:hAnsi="仿宋" w:eastAsia="仿宋"/>
          <w:b/>
          <w:bCs/>
          <w:sz w:val="24"/>
          <w:highlight w:val="none"/>
        </w:rPr>
        <w:br w:type="page"/>
      </w:r>
      <w:r>
        <w:rPr>
          <w:rFonts w:hint="eastAsia" w:ascii="仿宋" w:hAnsi="仿宋" w:eastAsia="仿宋"/>
          <w:b/>
          <w:bCs/>
          <w:sz w:val="24"/>
          <w:highlight w:val="none"/>
        </w:rPr>
        <w:t>资格证明文件目录</w:t>
      </w:r>
    </w:p>
    <w:p w14:paraId="01C22924">
      <w:pPr>
        <w:snapToGrid w:val="0"/>
        <w:spacing w:line="360" w:lineRule="auto"/>
        <w:ind w:firstLine="420" w:firstLineChars="200"/>
        <w:jc w:val="left"/>
        <w:rPr>
          <w:rFonts w:hint="eastAsia" w:ascii="仿宋" w:hAnsi="仿宋" w:eastAsia="仿宋"/>
          <w:szCs w:val="21"/>
          <w:highlight w:val="none"/>
        </w:rPr>
      </w:pPr>
      <w:r>
        <w:rPr>
          <w:rFonts w:hint="eastAsia" w:ascii="仿宋" w:hAnsi="仿宋" w:eastAsia="仿宋"/>
          <w:szCs w:val="21"/>
          <w:highlight w:val="none"/>
        </w:rPr>
        <w:t>根据招标文件规定及投标人提供的材料自行编写目录。</w:t>
      </w:r>
    </w:p>
    <w:p w14:paraId="0AB60416">
      <w:pPr>
        <w:snapToGrid w:val="0"/>
        <w:spacing w:before="50" w:after="120" w:afterLines="50"/>
        <w:jc w:val="left"/>
        <w:rPr>
          <w:rFonts w:hint="eastAsia" w:ascii="仿宋" w:hAnsi="仿宋" w:eastAsia="仿宋"/>
          <w:sz w:val="24"/>
          <w:highlight w:val="none"/>
        </w:rPr>
      </w:pPr>
    </w:p>
    <w:p w14:paraId="78577337">
      <w:pPr>
        <w:snapToGrid w:val="0"/>
        <w:spacing w:before="50" w:after="120" w:afterLines="50"/>
        <w:jc w:val="left"/>
        <w:rPr>
          <w:rFonts w:hint="eastAsia" w:ascii="仿宋" w:hAnsi="仿宋" w:eastAsia="仿宋"/>
          <w:sz w:val="24"/>
          <w:highlight w:val="none"/>
        </w:rPr>
      </w:pPr>
    </w:p>
    <w:p w14:paraId="2AAC5539">
      <w:pPr>
        <w:numPr>
          <w:ilvl w:val="2"/>
          <w:numId w:val="7"/>
        </w:numPr>
        <w:snapToGrid w:val="0"/>
        <w:spacing w:before="120" w:beforeLines="50" w:after="50"/>
        <w:ind w:left="0" w:firstLine="0"/>
        <w:jc w:val="left"/>
        <w:rPr>
          <w:rFonts w:hint="eastAsia" w:ascii="仿宋" w:hAnsi="仿宋" w:eastAsia="仿宋"/>
          <w:b/>
          <w:sz w:val="24"/>
          <w:highlight w:val="none"/>
        </w:rPr>
      </w:pPr>
      <w:r>
        <w:rPr>
          <w:rFonts w:ascii="仿宋" w:hAnsi="仿宋" w:eastAsia="仿宋"/>
          <w:b/>
          <w:sz w:val="24"/>
          <w:highlight w:val="none"/>
        </w:rPr>
        <w:br w:type="page"/>
      </w:r>
      <w:r>
        <w:rPr>
          <w:rFonts w:hint="eastAsia" w:ascii="仿宋" w:hAnsi="仿宋" w:eastAsia="仿宋"/>
          <w:b/>
          <w:sz w:val="24"/>
          <w:highlight w:val="none"/>
        </w:rPr>
        <w:t>投标人直接控股、管理关系信息表</w:t>
      </w:r>
    </w:p>
    <w:p w14:paraId="1E1541ED">
      <w:pPr>
        <w:snapToGrid w:val="0"/>
        <w:spacing w:before="50" w:after="120" w:afterLines="50"/>
        <w:jc w:val="center"/>
        <w:rPr>
          <w:rFonts w:hint="eastAsia" w:ascii="仿宋" w:hAnsi="仿宋" w:eastAsia="仿宋"/>
          <w:b/>
          <w:sz w:val="28"/>
          <w:szCs w:val="28"/>
          <w:highlight w:val="none"/>
        </w:rPr>
      </w:pPr>
    </w:p>
    <w:p w14:paraId="56ABEDCC">
      <w:pPr>
        <w:snapToGrid w:val="0"/>
        <w:spacing w:before="50" w:after="120" w:afterLines="50" w:line="360" w:lineRule="auto"/>
        <w:jc w:val="center"/>
        <w:rPr>
          <w:rFonts w:hint="eastAsia" w:ascii="仿宋" w:hAnsi="仿宋" w:eastAsia="仿宋"/>
          <w:b/>
          <w:sz w:val="32"/>
          <w:szCs w:val="32"/>
          <w:highlight w:val="none"/>
        </w:rPr>
      </w:pPr>
      <w:r>
        <w:rPr>
          <w:rFonts w:hint="eastAsia" w:ascii="仿宋" w:hAnsi="仿宋" w:eastAsia="仿宋"/>
          <w:b/>
          <w:sz w:val="32"/>
          <w:szCs w:val="32"/>
          <w:highlight w:val="none"/>
        </w:rPr>
        <w:t>投标人直接控股股东信息表</w:t>
      </w:r>
    </w:p>
    <w:tbl>
      <w:tblPr>
        <w:tblStyle w:val="49"/>
        <w:tblW w:w="9476" w:type="dxa"/>
        <w:jc w:val="center"/>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32B6B46">
        <w:tblPrEx>
          <w:shd w:val="clear" w:color="auto" w:fill="FBFBFB"/>
          <w:tblCellMar>
            <w:top w:w="0" w:type="dxa"/>
            <w:left w:w="0" w:type="dxa"/>
            <w:bottom w:w="0" w:type="dxa"/>
            <w:right w:w="0" w:type="dxa"/>
          </w:tblCellMar>
        </w:tblPrEx>
        <w:trPr>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7617FEB">
            <w:pPr>
              <w:spacing w:line="360" w:lineRule="auto"/>
              <w:jc w:val="center"/>
              <w:rPr>
                <w:rFonts w:hint="eastAsia" w:ascii="仿宋" w:hAnsi="仿宋" w:eastAsia="仿宋" w:cs="宋体"/>
                <w:b/>
                <w:bCs/>
                <w:kern w:val="0"/>
                <w:sz w:val="24"/>
                <w:highlight w:val="none"/>
              </w:rPr>
            </w:pPr>
            <w:r>
              <w:rPr>
                <w:rFonts w:hint="eastAsia" w:ascii="仿宋" w:hAnsi="仿宋" w:eastAsia="仿宋" w:cs="宋体"/>
                <w:b/>
                <w:bCs/>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2B3A9F">
            <w:pPr>
              <w:spacing w:line="360" w:lineRule="auto"/>
              <w:jc w:val="center"/>
              <w:rPr>
                <w:rFonts w:hint="eastAsia" w:ascii="仿宋" w:hAnsi="仿宋" w:eastAsia="仿宋" w:cs="宋体"/>
                <w:b/>
                <w:bCs/>
                <w:kern w:val="0"/>
                <w:sz w:val="24"/>
                <w:highlight w:val="none"/>
              </w:rPr>
            </w:pPr>
            <w:r>
              <w:rPr>
                <w:rFonts w:hint="eastAsia" w:ascii="仿宋" w:hAnsi="仿宋" w:eastAsia="仿宋" w:cs="宋体"/>
                <w:b/>
                <w:bCs/>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C2B3B91">
            <w:pPr>
              <w:spacing w:line="360" w:lineRule="auto"/>
              <w:jc w:val="center"/>
              <w:rPr>
                <w:rFonts w:hint="eastAsia" w:ascii="仿宋" w:hAnsi="仿宋" w:eastAsia="仿宋" w:cs="宋体"/>
                <w:b/>
                <w:bCs/>
                <w:kern w:val="0"/>
                <w:sz w:val="24"/>
                <w:highlight w:val="none"/>
              </w:rPr>
            </w:pPr>
            <w:r>
              <w:rPr>
                <w:rFonts w:hint="eastAsia" w:ascii="仿宋" w:hAnsi="仿宋" w:eastAsia="仿宋" w:cs="宋体"/>
                <w:b/>
                <w:bCs/>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90C36D">
            <w:pPr>
              <w:spacing w:line="360" w:lineRule="auto"/>
              <w:jc w:val="center"/>
              <w:rPr>
                <w:rFonts w:hint="eastAsia" w:ascii="仿宋" w:hAnsi="仿宋" w:eastAsia="仿宋" w:cs="宋体"/>
                <w:b/>
                <w:bCs/>
                <w:kern w:val="0"/>
                <w:sz w:val="24"/>
                <w:highlight w:val="none"/>
              </w:rPr>
            </w:pPr>
            <w:r>
              <w:rPr>
                <w:rFonts w:hint="eastAsia" w:ascii="仿宋" w:hAnsi="仿宋" w:eastAsia="仿宋" w:cs="宋体"/>
                <w:b/>
                <w:bCs/>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61BD790">
            <w:pPr>
              <w:spacing w:line="360" w:lineRule="auto"/>
              <w:jc w:val="center"/>
              <w:rPr>
                <w:rFonts w:hint="eastAsia" w:ascii="仿宋" w:hAnsi="仿宋" w:eastAsia="仿宋" w:cs="宋体"/>
                <w:b/>
                <w:bCs/>
                <w:kern w:val="0"/>
                <w:sz w:val="24"/>
                <w:highlight w:val="none"/>
              </w:rPr>
            </w:pPr>
            <w:r>
              <w:rPr>
                <w:rFonts w:hint="eastAsia" w:ascii="仿宋" w:hAnsi="仿宋" w:eastAsia="仿宋" w:cs="宋体"/>
                <w:b/>
                <w:bCs/>
                <w:kern w:val="0"/>
                <w:sz w:val="24"/>
                <w:highlight w:val="none"/>
              </w:rPr>
              <w:t>备注</w:t>
            </w:r>
          </w:p>
        </w:tc>
      </w:tr>
      <w:tr w14:paraId="22552CD8">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20166A">
            <w:pPr>
              <w:spacing w:line="360" w:lineRule="auto"/>
              <w:jc w:val="center"/>
              <w:rPr>
                <w:rFonts w:hint="eastAsia" w:ascii="仿宋" w:hAnsi="仿宋" w:eastAsia="仿宋" w:cs="宋体"/>
                <w:kern w:val="0"/>
                <w:sz w:val="24"/>
                <w:highlight w:val="none"/>
              </w:rPr>
            </w:pPr>
            <w:r>
              <w:rPr>
                <w:rFonts w:hint="eastAsia" w:ascii="仿宋" w:hAnsi="仿宋" w:eastAsia="仿宋" w:cs="宋体"/>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3B5347">
            <w:pPr>
              <w:spacing w:line="360" w:lineRule="auto"/>
              <w:jc w:val="center"/>
              <w:rPr>
                <w:rFonts w:hint="eastAsia" w:ascii="仿宋" w:hAnsi="仿宋" w:eastAsia="仿宋"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CD7FC6">
            <w:pPr>
              <w:spacing w:line="360" w:lineRule="auto"/>
              <w:jc w:val="center"/>
              <w:rPr>
                <w:rFonts w:hint="eastAsia" w:ascii="仿宋" w:hAnsi="仿宋" w:eastAsia="仿宋"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21F531">
            <w:pPr>
              <w:spacing w:line="360" w:lineRule="auto"/>
              <w:jc w:val="center"/>
              <w:rPr>
                <w:rFonts w:hint="eastAsia" w:ascii="仿宋" w:hAnsi="仿宋" w:eastAsia="仿宋"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821482">
            <w:pPr>
              <w:spacing w:line="360" w:lineRule="auto"/>
              <w:jc w:val="center"/>
              <w:rPr>
                <w:rFonts w:hint="eastAsia" w:ascii="仿宋" w:hAnsi="仿宋" w:eastAsia="仿宋" w:cs="宋体"/>
                <w:kern w:val="0"/>
                <w:sz w:val="24"/>
                <w:highlight w:val="none"/>
              </w:rPr>
            </w:pPr>
          </w:p>
        </w:tc>
      </w:tr>
      <w:tr w14:paraId="1DDCCB5D">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976FDA">
            <w:pPr>
              <w:spacing w:line="360" w:lineRule="auto"/>
              <w:jc w:val="center"/>
              <w:rPr>
                <w:rFonts w:hint="eastAsia" w:ascii="仿宋" w:hAnsi="仿宋" w:eastAsia="仿宋" w:cs="宋体"/>
                <w:kern w:val="0"/>
                <w:sz w:val="24"/>
                <w:highlight w:val="none"/>
              </w:rPr>
            </w:pPr>
            <w:r>
              <w:rPr>
                <w:rFonts w:hint="eastAsia" w:ascii="仿宋" w:hAnsi="仿宋" w:eastAsia="仿宋" w:cs="宋体"/>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4ED975">
            <w:pPr>
              <w:spacing w:line="360" w:lineRule="auto"/>
              <w:jc w:val="center"/>
              <w:rPr>
                <w:rFonts w:hint="eastAsia" w:ascii="仿宋" w:hAnsi="仿宋" w:eastAsia="仿宋"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F56286">
            <w:pPr>
              <w:spacing w:line="360" w:lineRule="auto"/>
              <w:jc w:val="center"/>
              <w:rPr>
                <w:rFonts w:hint="eastAsia" w:ascii="仿宋" w:hAnsi="仿宋" w:eastAsia="仿宋"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6D831D">
            <w:pPr>
              <w:spacing w:line="360" w:lineRule="auto"/>
              <w:jc w:val="center"/>
              <w:rPr>
                <w:rFonts w:hint="eastAsia" w:ascii="仿宋" w:hAnsi="仿宋" w:eastAsia="仿宋"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DB3663">
            <w:pPr>
              <w:spacing w:line="360" w:lineRule="auto"/>
              <w:jc w:val="center"/>
              <w:rPr>
                <w:rFonts w:hint="eastAsia" w:ascii="仿宋" w:hAnsi="仿宋" w:eastAsia="仿宋" w:cs="宋体"/>
                <w:kern w:val="0"/>
                <w:sz w:val="24"/>
                <w:highlight w:val="none"/>
              </w:rPr>
            </w:pPr>
          </w:p>
        </w:tc>
      </w:tr>
      <w:tr w14:paraId="394B12CB">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AE4D3D">
            <w:pPr>
              <w:spacing w:line="360" w:lineRule="auto"/>
              <w:jc w:val="center"/>
              <w:rPr>
                <w:rFonts w:hint="eastAsia" w:ascii="仿宋" w:hAnsi="仿宋" w:eastAsia="仿宋" w:cs="宋体"/>
                <w:kern w:val="0"/>
                <w:sz w:val="24"/>
                <w:highlight w:val="none"/>
              </w:rPr>
            </w:pPr>
            <w:r>
              <w:rPr>
                <w:rFonts w:hint="eastAsia" w:ascii="仿宋" w:hAnsi="仿宋" w:eastAsia="仿宋" w:cs="宋体"/>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6F0C99">
            <w:pPr>
              <w:spacing w:line="360" w:lineRule="auto"/>
              <w:jc w:val="center"/>
              <w:rPr>
                <w:rFonts w:hint="eastAsia" w:ascii="仿宋" w:hAnsi="仿宋" w:eastAsia="仿宋"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AE7776">
            <w:pPr>
              <w:spacing w:line="360" w:lineRule="auto"/>
              <w:jc w:val="center"/>
              <w:rPr>
                <w:rFonts w:hint="eastAsia" w:ascii="仿宋" w:hAnsi="仿宋" w:eastAsia="仿宋"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D18EC3">
            <w:pPr>
              <w:spacing w:line="360" w:lineRule="auto"/>
              <w:jc w:val="center"/>
              <w:rPr>
                <w:rFonts w:hint="eastAsia" w:ascii="仿宋" w:hAnsi="仿宋" w:eastAsia="仿宋"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60CCB4">
            <w:pPr>
              <w:spacing w:line="360" w:lineRule="auto"/>
              <w:jc w:val="center"/>
              <w:rPr>
                <w:rFonts w:hint="eastAsia" w:ascii="仿宋" w:hAnsi="仿宋" w:eastAsia="仿宋" w:cs="宋体"/>
                <w:kern w:val="0"/>
                <w:sz w:val="24"/>
                <w:highlight w:val="none"/>
              </w:rPr>
            </w:pPr>
          </w:p>
        </w:tc>
      </w:tr>
      <w:tr w14:paraId="3D507577">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ED6CE7">
            <w:pPr>
              <w:spacing w:line="360" w:lineRule="auto"/>
              <w:jc w:val="center"/>
              <w:rPr>
                <w:rFonts w:hint="eastAsia" w:ascii="仿宋" w:hAnsi="仿宋" w:eastAsia="仿宋" w:cs="宋体"/>
                <w:kern w:val="0"/>
                <w:sz w:val="24"/>
                <w:highlight w:val="none"/>
              </w:rPr>
            </w:pPr>
            <w:r>
              <w:rPr>
                <w:rFonts w:hint="eastAsia" w:ascii="仿宋" w:hAnsi="仿宋" w:eastAsia="仿宋" w:cs="宋体"/>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E95906">
            <w:pPr>
              <w:spacing w:line="360" w:lineRule="auto"/>
              <w:jc w:val="center"/>
              <w:rPr>
                <w:rFonts w:hint="eastAsia" w:ascii="仿宋" w:hAnsi="仿宋" w:eastAsia="仿宋"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BF8962">
            <w:pPr>
              <w:spacing w:line="360" w:lineRule="auto"/>
              <w:jc w:val="center"/>
              <w:rPr>
                <w:rFonts w:hint="eastAsia" w:ascii="仿宋" w:hAnsi="仿宋" w:eastAsia="仿宋"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55F120">
            <w:pPr>
              <w:spacing w:line="360" w:lineRule="auto"/>
              <w:jc w:val="center"/>
              <w:rPr>
                <w:rFonts w:hint="eastAsia" w:ascii="仿宋" w:hAnsi="仿宋" w:eastAsia="仿宋"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9BBAC9">
            <w:pPr>
              <w:spacing w:line="360" w:lineRule="auto"/>
              <w:jc w:val="center"/>
              <w:rPr>
                <w:rFonts w:hint="eastAsia" w:ascii="仿宋" w:hAnsi="仿宋" w:eastAsia="仿宋" w:cs="宋体"/>
                <w:kern w:val="0"/>
                <w:sz w:val="24"/>
                <w:highlight w:val="none"/>
              </w:rPr>
            </w:pPr>
          </w:p>
        </w:tc>
      </w:tr>
    </w:tbl>
    <w:p w14:paraId="5E770359">
      <w:pPr>
        <w:snapToGrid w:val="0"/>
        <w:spacing w:before="120" w:beforeLines="50" w:line="360" w:lineRule="auto"/>
        <w:jc w:val="left"/>
        <w:rPr>
          <w:rFonts w:hint="eastAsia" w:ascii="仿宋" w:hAnsi="仿宋" w:eastAsia="仿宋"/>
          <w:sz w:val="24"/>
          <w:highlight w:val="none"/>
        </w:rPr>
      </w:pPr>
      <w:r>
        <w:rPr>
          <w:rFonts w:hint="eastAsia" w:ascii="仿宋" w:hAnsi="仿宋" w:eastAsia="仿宋"/>
          <w:sz w:val="24"/>
          <w:highlight w:val="none"/>
        </w:rPr>
        <w:t>注：</w:t>
      </w:r>
    </w:p>
    <w:p w14:paraId="7C689D67">
      <w:pPr>
        <w:snapToGrid w:val="0"/>
        <w:spacing w:line="360" w:lineRule="auto"/>
        <w:jc w:val="left"/>
        <w:rPr>
          <w:rFonts w:hint="eastAsia" w:ascii="仿宋" w:hAnsi="仿宋" w:eastAsia="仿宋"/>
          <w:sz w:val="24"/>
          <w:highlight w:val="none"/>
        </w:rPr>
      </w:pPr>
      <w:r>
        <w:rPr>
          <w:rFonts w:hint="eastAsia" w:ascii="仿宋" w:hAnsi="仿宋" w:eastAsia="仿宋"/>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3CDD063">
      <w:pPr>
        <w:snapToGrid w:val="0"/>
        <w:spacing w:line="360" w:lineRule="auto"/>
        <w:jc w:val="left"/>
        <w:rPr>
          <w:rFonts w:hint="eastAsia" w:ascii="仿宋" w:hAnsi="仿宋" w:eastAsia="仿宋"/>
          <w:sz w:val="24"/>
          <w:highlight w:val="none"/>
        </w:rPr>
      </w:pPr>
      <w:r>
        <w:rPr>
          <w:rFonts w:hint="eastAsia" w:ascii="仿宋" w:hAnsi="仿宋" w:eastAsia="仿宋"/>
          <w:sz w:val="24"/>
          <w:highlight w:val="none"/>
        </w:rPr>
        <w:t>2.本表所指的控股关系仅限于直接控股关系，不包括间接的控股关系。公司实际控制人与公司之间的关系不属于本表所指的直接控股关系。</w:t>
      </w:r>
    </w:p>
    <w:p w14:paraId="1B0FA09F">
      <w:pPr>
        <w:snapToGrid w:val="0"/>
        <w:spacing w:line="360" w:lineRule="auto"/>
        <w:jc w:val="left"/>
        <w:rPr>
          <w:rFonts w:hint="eastAsia" w:ascii="仿宋" w:hAnsi="仿宋" w:eastAsia="仿宋"/>
          <w:sz w:val="24"/>
          <w:highlight w:val="none"/>
        </w:rPr>
      </w:pPr>
      <w:r>
        <w:rPr>
          <w:rFonts w:hint="eastAsia" w:ascii="仿宋" w:hAnsi="仿宋" w:eastAsia="仿宋"/>
          <w:sz w:val="24"/>
          <w:highlight w:val="none"/>
        </w:rPr>
        <w:t>3.供应商不存在直接控股股东的，则填“无”。</w:t>
      </w:r>
    </w:p>
    <w:p w14:paraId="2A8637E8">
      <w:pPr>
        <w:snapToGrid w:val="0"/>
        <w:spacing w:line="360" w:lineRule="auto"/>
        <w:jc w:val="left"/>
        <w:rPr>
          <w:rFonts w:hint="eastAsia" w:ascii="仿宋" w:hAnsi="仿宋" w:eastAsia="仿宋"/>
          <w:sz w:val="24"/>
          <w:highlight w:val="none"/>
        </w:rPr>
      </w:pPr>
    </w:p>
    <w:p w14:paraId="3234C1F6">
      <w:pPr>
        <w:snapToGrid w:val="0"/>
        <w:spacing w:line="360" w:lineRule="auto"/>
        <w:jc w:val="left"/>
        <w:rPr>
          <w:rFonts w:hint="eastAsia" w:ascii="仿宋" w:hAnsi="仿宋" w:eastAsia="仿宋"/>
          <w:sz w:val="24"/>
          <w:highlight w:val="none"/>
        </w:rPr>
      </w:pPr>
    </w:p>
    <w:p w14:paraId="6DFA250E">
      <w:pPr>
        <w:snapToGrid w:val="0"/>
        <w:spacing w:before="120" w:beforeLines="50" w:line="360" w:lineRule="auto"/>
        <w:ind w:right="480"/>
        <w:rPr>
          <w:rFonts w:hint="eastAsia" w:ascii="仿宋" w:hAnsi="仿宋" w:eastAsia="仿宋"/>
          <w:sz w:val="24"/>
          <w:highlight w:val="none"/>
          <w:u w:val="single"/>
        </w:rPr>
      </w:pPr>
      <w:r>
        <w:rPr>
          <w:rFonts w:hint="eastAsia" w:ascii="仿宋" w:hAnsi="仿宋" w:eastAsia="仿宋"/>
          <w:sz w:val="24"/>
          <w:highlight w:val="none"/>
        </w:rPr>
        <w:t>法定代表人或者委托代理人</w:t>
      </w:r>
      <w:r>
        <w:rPr>
          <w:rFonts w:hint="eastAsia" w:ascii="仿宋" w:hAnsi="仿宋" w:eastAsia="仿宋"/>
          <w:spacing w:val="20"/>
          <w:sz w:val="24"/>
          <w:highlight w:val="none"/>
        </w:rPr>
        <w:t>（签字</w:t>
      </w:r>
      <w:r>
        <w:rPr>
          <w:rFonts w:hint="eastAsia" w:ascii="仿宋" w:hAnsi="仿宋" w:eastAsia="仿宋"/>
          <w:spacing w:val="20"/>
          <w:sz w:val="24"/>
          <w:highlight w:val="none"/>
          <w:lang w:val="en-US" w:eastAsia="zh-CN"/>
        </w:rPr>
        <w:t>或盖法定代表人CA章</w:t>
      </w:r>
      <w:r>
        <w:rPr>
          <w:rFonts w:hint="eastAsia" w:ascii="仿宋" w:hAnsi="仿宋" w:eastAsia="仿宋"/>
          <w:spacing w:val="20"/>
          <w:sz w:val="24"/>
          <w:highlight w:val="none"/>
        </w:rPr>
        <w:t>）</w:t>
      </w:r>
      <w:r>
        <w:rPr>
          <w:rFonts w:hint="eastAsia" w:ascii="仿宋" w:hAnsi="仿宋" w:eastAsia="仿宋"/>
          <w:sz w:val="24"/>
          <w:highlight w:val="none"/>
        </w:rPr>
        <w:t>：</w:t>
      </w:r>
      <w:r>
        <w:rPr>
          <w:rFonts w:hint="eastAsia" w:ascii="仿宋" w:hAnsi="仿宋" w:eastAsia="仿宋"/>
          <w:sz w:val="24"/>
          <w:highlight w:val="none"/>
          <w:u w:val="single"/>
        </w:rPr>
        <w:t xml:space="preserve">             </w:t>
      </w:r>
    </w:p>
    <w:p w14:paraId="2F2E9FA7">
      <w:pPr>
        <w:snapToGrid w:val="0"/>
        <w:spacing w:before="120" w:beforeLines="50" w:after="50" w:line="360" w:lineRule="auto"/>
        <w:ind w:right="480"/>
        <w:rPr>
          <w:rFonts w:hint="eastAsia" w:ascii="仿宋" w:hAnsi="仿宋" w:eastAsia="仿宋"/>
          <w:sz w:val="24"/>
          <w:highlight w:val="none"/>
          <w:u w:val="single"/>
        </w:rPr>
      </w:pPr>
      <w:r>
        <w:rPr>
          <w:rFonts w:hint="eastAsia" w:ascii="仿宋" w:hAnsi="仿宋" w:eastAsia="仿宋"/>
          <w:sz w:val="24"/>
          <w:highlight w:val="none"/>
        </w:rPr>
        <w:t>投标人（</w:t>
      </w:r>
      <w:r>
        <w:rPr>
          <w:rFonts w:hint="eastAsia" w:ascii="仿宋" w:hAnsi="仿宋" w:eastAsia="仿宋"/>
          <w:sz w:val="24"/>
          <w:highlight w:val="none"/>
          <w:lang w:eastAsia="zh-CN"/>
        </w:rPr>
        <w:t>盖CA公章</w:t>
      </w:r>
      <w:r>
        <w:rPr>
          <w:rFonts w:hint="eastAsia" w:ascii="仿宋" w:hAnsi="仿宋" w:eastAsia="仿宋"/>
          <w:sz w:val="24"/>
          <w:highlight w:val="none"/>
        </w:rPr>
        <w:t>）：</w:t>
      </w:r>
      <w:r>
        <w:rPr>
          <w:rFonts w:hint="eastAsia" w:ascii="仿宋" w:hAnsi="仿宋" w:eastAsia="仿宋"/>
          <w:sz w:val="24"/>
          <w:highlight w:val="none"/>
          <w:u w:val="single"/>
        </w:rPr>
        <w:t xml:space="preserve">                 </w:t>
      </w:r>
    </w:p>
    <w:p w14:paraId="76225ED4">
      <w:pPr>
        <w:snapToGrid w:val="0"/>
        <w:spacing w:before="120" w:beforeLines="50" w:after="50" w:line="360" w:lineRule="auto"/>
        <w:ind w:right="480" w:firstLine="480" w:firstLineChars="200"/>
        <w:rPr>
          <w:rFonts w:hint="eastAsia" w:ascii="仿宋" w:hAnsi="仿宋" w:eastAsia="仿宋"/>
          <w:szCs w:val="21"/>
          <w:highlight w:val="none"/>
        </w:rPr>
      </w:pPr>
      <w:r>
        <w:rPr>
          <w:rFonts w:hint="eastAsia" w:ascii="仿宋" w:hAnsi="仿宋" w:eastAsia="仿宋"/>
          <w:sz w:val="24"/>
          <w:highlight w:val="none"/>
        </w:rPr>
        <w:t>年    月    日</w:t>
      </w:r>
    </w:p>
    <w:p w14:paraId="13C9B771">
      <w:pPr>
        <w:snapToGrid w:val="0"/>
        <w:spacing w:line="360" w:lineRule="auto"/>
        <w:jc w:val="center"/>
        <w:rPr>
          <w:rFonts w:hint="eastAsia" w:ascii="仿宋" w:hAnsi="仿宋" w:eastAsia="仿宋"/>
          <w:sz w:val="32"/>
          <w:szCs w:val="32"/>
          <w:highlight w:val="none"/>
        </w:rPr>
      </w:pPr>
      <w:r>
        <w:rPr>
          <w:rFonts w:ascii="仿宋" w:hAnsi="仿宋" w:eastAsia="仿宋"/>
          <w:b/>
          <w:sz w:val="32"/>
          <w:szCs w:val="32"/>
          <w:highlight w:val="none"/>
        </w:rPr>
        <w:br w:type="page"/>
      </w:r>
      <w:r>
        <w:rPr>
          <w:rFonts w:hint="eastAsia" w:ascii="仿宋" w:hAnsi="仿宋" w:eastAsia="仿宋"/>
          <w:b/>
          <w:sz w:val="32"/>
          <w:szCs w:val="32"/>
          <w:highlight w:val="none"/>
        </w:rPr>
        <w:t>投标人直接管理关系信息表</w:t>
      </w:r>
    </w:p>
    <w:tbl>
      <w:tblPr>
        <w:tblStyle w:val="49"/>
        <w:tblW w:w="9652" w:type="dxa"/>
        <w:jc w:val="center"/>
        <w:tblLayout w:type="fixed"/>
        <w:tblCellMar>
          <w:top w:w="0" w:type="dxa"/>
          <w:left w:w="0" w:type="dxa"/>
          <w:bottom w:w="0" w:type="dxa"/>
          <w:right w:w="0" w:type="dxa"/>
        </w:tblCellMar>
      </w:tblPr>
      <w:tblGrid>
        <w:gridCol w:w="1005"/>
        <w:gridCol w:w="2659"/>
        <w:gridCol w:w="3924"/>
        <w:gridCol w:w="2064"/>
      </w:tblGrid>
      <w:tr w14:paraId="43EA75A0">
        <w:trPr>
          <w:tblHeade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B8376F">
            <w:pPr>
              <w:spacing w:line="360" w:lineRule="auto"/>
              <w:jc w:val="center"/>
              <w:rPr>
                <w:rFonts w:hint="eastAsia" w:ascii="仿宋" w:hAnsi="仿宋" w:eastAsia="仿宋" w:cs="宋体"/>
                <w:b/>
                <w:bCs/>
                <w:kern w:val="0"/>
                <w:sz w:val="24"/>
                <w:highlight w:val="none"/>
              </w:rPr>
            </w:pPr>
            <w:r>
              <w:rPr>
                <w:rFonts w:hint="eastAsia" w:ascii="仿宋" w:hAnsi="仿宋" w:eastAsia="仿宋" w:cs="宋体"/>
                <w:b/>
                <w:bCs/>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5303186">
            <w:pPr>
              <w:spacing w:line="360" w:lineRule="auto"/>
              <w:jc w:val="center"/>
              <w:rPr>
                <w:rFonts w:hint="eastAsia" w:ascii="仿宋" w:hAnsi="仿宋" w:eastAsia="仿宋" w:cs="宋体"/>
                <w:b/>
                <w:bCs/>
                <w:kern w:val="0"/>
                <w:sz w:val="24"/>
                <w:highlight w:val="none"/>
              </w:rPr>
            </w:pPr>
            <w:r>
              <w:rPr>
                <w:rFonts w:hint="eastAsia" w:ascii="仿宋" w:hAnsi="仿宋" w:eastAsia="仿宋" w:cs="宋体"/>
                <w:b/>
                <w:bCs/>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4C722D">
            <w:pPr>
              <w:spacing w:line="360" w:lineRule="auto"/>
              <w:jc w:val="center"/>
              <w:rPr>
                <w:rFonts w:hint="eastAsia" w:ascii="仿宋" w:hAnsi="仿宋" w:eastAsia="仿宋" w:cs="宋体"/>
                <w:b/>
                <w:bCs/>
                <w:kern w:val="0"/>
                <w:sz w:val="24"/>
                <w:highlight w:val="none"/>
              </w:rPr>
            </w:pPr>
            <w:r>
              <w:rPr>
                <w:rFonts w:hint="eastAsia" w:ascii="仿宋" w:hAnsi="仿宋" w:eastAsia="仿宋" w:cs="宋体"/>
                <w:b/>
                <w:bCs/>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036957C">
            <w:pPr>
              <w:spacing w:line="360" w:lineRule="auto"/>
              <w:jc w:val="center"/>
              <w:rPr>
                <w:rFonts w:hint="eastAsia" w:ascii="仿宋" w:hAnsi="仿宋" w:eastAsia="仿宋" w:cs="宋体"/>
                <w:b/>
                <w:bCs/>
                <w:kern w:val="0"/>
                <w:sz w:val="24"/>
                <w:highlight w:val="none"/>
              </w:rPr>
            </w:pPr>
            <w:r>
              <w:rPr>
                <w:rFonts w:hint="eastAsia" w:ascii="仿宋" w:hAnsi="仿宋" w:eastAsia="仿宋" w:cs="宋体"/>
                <w:b/>
                <w:bCs/>
                <w:kern w:val="0"/>
                <w:sz w:val="24"/>
                <w:highlight w:val="none"/>
              </w:rPr>
              <w:t>备注</w:t>
            </w:r>
          </w:p>
        </w:tc>
      </w:tr>
      <w:tr w14:paraId="6C29E3CF">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B513DA0">
            <w:pPr>
              <w:spacing w:line="360" w:lineRule="auto"/>
              <w:jc w:val="center"/>
              <w:rPr>
                <w:rFonts w:hint="eastAsia" w:ascii="仿宋" w:hAnsi="仿宋" w:eastAsia="仿宋" w:cs="宋体"/>
                <w:kern w:val="0"/>
                <w:sz w:val="24"/>
                <w:highlight w:val="none"/>
              </w:rPr>
            </w:pPr>
            <w:r>
              <w:rPr>
                <w:rFonts w:hint="eastAsia" w:ascii="仿宋" w:hAnsi="仿宋" w:eastAsia="仿宋" w:cs="宋体"/>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7B464DD">
            <w:pPr>
              <w:spacing w:line="360" w:lineRule="auto"/>
              <w:jc w:val="center"/>
              <w:rPr>
                <w:rFonts w:hint="eastAsia" w:ascii="仿宋" w:hAnsi="仿宋" w:eastAsia="仿宋"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07F027B">
            <w:pPr>
              <w:spacing w:line="360" w:lineRule="auto"/>
              <w:jc w:val="center"/>
              <w:rPr>
                <w:rFonts w:hint="eastAsia" w:ascii="仿宋" w:hAnsi="仿宋" w:eastAsia="仿宋"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AA18394">
            <w:pPr>
              <w:spacing w:line="360" w:lineRule="auto"/>
              <w:jc w:val="center"/>
              <w:rPr>
                <w:rFonts w:hint="eastAsia" w:ascii="仿宋" w:hAnsi="仿宋" w:eastAsia="仿宋" w:cs="宋体"/>
                <w:kern w:val="0"/>
                <w:sz w:val="24"/>
                <w:highlight w:val="none"/>
              </w:rPr>
            </w:pPr>
          </w:p>
        </w:tc>
      </w:tr>
      <w:tr w14:paraId="3EAA3709">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7CF02BB">
            <w:pPr>
              <w:spacing w:line="360" w:lineRule="auto"/>
              <w:jc w:val="center"/>
              <w:rPr>
                <w:rFonts w:hint="eastAsia" w:ascii="仿宋" w:hAnsi="仿宋" w:eastAsia="仿宋" w:cs="宋体"/>
                <w:kern w:val="0"/>
                <w:sz w:val="24"/>
                <w:highlight w:val="none"/>
              </w:rPr>
            </w:pPr>
            <w:r>
              <w:rPr>
                <w:rFonts w:hint="eastAsia" w:ascii="仿宋" w:hAnsi="仿宋" w:eastAsia="仿宋" w:cs="宋体"/>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C84720C">
            <w:pPr>
              <w:spacing w:line="360" w:lineRule="auto"/>
              <w:jc w:val="center"/>
              <w:rPr>
                <w:rFonts w:hint="eastAsia" w:ascii="仿宋" w:hAnsi="仿宋" w:eastAsia="仿宋"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F9B865C">
            <w:pPr>
              <w:spacing w:line="360" w:lineRule="auto"/>
              <w:jc w:val="center"/>
              <w:rPr>
                <w:rFonts w:hint="eastAsia" w:ascii="仿宋" w:hAnsi="仿宋" w:eastAsia="仿宋"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5DA369A">
            <w:pPr>
              <w:spacing w:line="360" w:lineRule="auto"/>
              <w:jc w:val="center"/>
              <w:rPr>
                <w:rFonts w:hint="eastAsia" w:ascii="仿宋" w:hAnsi="仿宋" w:eastAsia="仿宋" w:cs="宋体"/>
                <w:kern w:val="0"/>
                <w:sz w:val="24"/>
                <w:highlight w:val="none"/>
              </w:rPr>
            </w:pPr>
          </w:p>
        </w:tc>
      </w:tr>
      <w:tr w14:paraId="202EF07D">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F8623DC">
            <w:pPr>
              <w:spacing w:line="360" w:lineRule="auto"/>
              <w:jc w:val="center"/>
              <w:rPr>
                <w:rFonts w:hint="eastAsia" w:ascii="仿宋" w:hAnsi="仿宋" w:eastAsia="仿宋" w:cs="宋体"/>
                <w:kern w:val="0"/>
                <w:sz w:val="24"/>
                <w:highlight w:val="none"/>
              </w:rPr>
            </w:pPr>
            <w:r>
              <w:rPr>
                <w:rFonts w:hint="eastAsia" w:ascii="仿宋" w:hAnsi="仿宋" w:eastAsia="仿宋" w:cs="宋体"/>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72F81C8">
            <w:pPr>
              <w:spacing w:line="360" w:lineRule="auto"/>
              <w:jc w:val="center"/>
              <w:rPr>
                <w:rFonts w:hint="eastAsia" w:ascii="仿宋" w:hAnsi="仿宋" w:eastAsia="仿宋"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E6527C">
            <w:pPr>
              <w:spacing w:line="360" w:lineRule="auto"/>
              <w:jc w:val="center"/>
              <w:rPr>
                <w:rFonts w:hint="eastAsia" w:ascii="仿宋" w:hAnsi="仿宋" w:eastAsia="仿宋"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710A1DA">
            <w:pPr>
              <w:spacing w:line="360" w:lineRule="auto"/>
              <w:jc w:val="center"/>
              <w:rPr>
                <w:rFonts w:hint="eastAsia" w:ascii="仿宋" w:hAnsi="仿宋" w:eastAsia="仿宋" w:cs="宋体"/>
                <w:kern w:val="0"/>
                <w:sz w:val="24"/>
                <w:highlight w:val="none"/>
              </w:rPr>
            </w:pPr>
          </w:p>
        </w:tc>
      </w:tr>
      <w:tr w14:paraId="5181FD4C">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77F0A04">
            <w:pPr>
              <w:spacing w:line="360" w:lineRule="auto"/>
              <w:jc w:val="center"/>
              <w:rPr>
                <w:rFonts w:hint="eastAsia" w:ascii="仿宋" w:hAnsi="仿宋" w:eastAsia="仿宋" w:cs="宋体"/>
                <w:kern w:val="0"/>
                <w:sz w:val="24"/>
                <w:highlight w:val="none"/>
              </w:rPr>
            </w:pPr>
            <w:r>
              <w:rPr>
                <w:rFonts w:hint="eastAsia" w:ascii="仿宋" w:hAnsi="仿宋" w:eastAsia="仿宋" w:cs="宋体"/>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09E475">
            <w:pPr>
              <w:spacing w:line="360" w:lineRule="auto"/>
              <w:jc w:val="center"/>
              <w:rPr>
                <w:rFonts w:hint="eastAsia" w:ascii="仿宋" w:hAnsi="仿宋" w:eastAsia="仿宋"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12A741E">
            <w:pPr>
              <w:spacing w:line="360" w:lineRule="auto"/>
              <w:jc w:val="center"/>
              <w:rPr>
                <w:rFonts w:hint="eastAsia" w:ascii="仿宋" w:hAnsi="仿宋" w:eastAsia="仿宋"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65419F7">
            <w:pPr>
              <w:spacing w:line="360" w:lineRule="auto"/>
              <w:jc w:val="center"/>
              <w:rPr>
                <w:rFonts w:hint="eastAsia" w:ascii="仿宋" w:hAnsi="仿宋" w:eastAsia="仿宋" w:cs="宋体"/>
                <w:kern w:val="0"/>
                <w:sz w:val="24"/>
                <w:highlight w:val="none"/>
              </w:rPr>
            </w:pPr>
          </w:p>
        </w:tc>
      </w:tr>
    </w:tbl>
    <w:p w14:paraId="3EB9EB59">
      <w:pPr>
        <w:snapToGrid w:val="0"/>
        <w:spacing w:line="360" w:lineRule="auto"/>
        <w:jc w:val="left"/>
        <w:rPr>
          <w:rFonts w:hint="eastAsia" w:ascii="仿宋" w:hAnsi="仿宋" w:eastAsia="仿宋"/>
          <w:sz w:val="24"/>
          <w:highlight w:val="none"/>
        </w:rPr>
      </w:pPr>
      <w:r>
        <w:rPr>
          <w:rFonts w:hint="eastAsia" w:ascii="仿宋" w:hAnsi="仿宋" w:eastAsia="仿宋"/>
          <w:sz w:val="24"/>
          <w:highlight w:val="none"/>
        </w:rPr>
        <w:t>注：</w:t>
      </w:r>
    </w:p>
    <w:p w14:paraId="20719988">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1.管理关系：是指不具有出资持股关系的其他单位之间存在的管理与被管理关系，如一些上下级关系的事业单位和团体组织。</w:t>
      </w:r>
    </w:p>
    <w:p w14:paraId="74D90BB6">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2.</w:t>
      </w:r>
      <w:r>
        <w:rPr>
          <w:rFonts w:hint="eastAsia" w:ascii="仿宋" w:hAnsi="仿宋" w:eastAsia="仿宋"/>
          <w:spacing w:val="-6"/>
          <w:sz w:val="24"/>
          <w:highlight w:val="none"/>
        </w:rPr>
        <w:t>本表所指的管理关系仅限于直接管理关系，不包括间接的管理关系。</w:t>
      </w:r>
    </w:p>
    <w:p w14:paraId="2ED757EE">
      <w:pPr>
        <w:snapToGrid w:val="0"/>
        <w:spacing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3.供应商不存在直接管理关系的，则填“无”。</w:t>
      </w:r>
    </w:p>
    <w:p w14:paraId="59A7183B">
      <w:pPr>
        <w:snapToGrid w:val="0"/>
        <w:spacing w:line="360" w:lineRule="auto"/>
        <w:jc w:val="left"/>
        <w:rPr>
          <w:rFonts w:hint="eastAsia" w:ascii="仿宋" w:hAnsi="仿宋" w:eastAsia="仿宋"/>
          <w:sz w:val="24"/>
          <w:highlight w:val="none"/>
        </w:rPr>
      </w:pPr>
    </w:p>
    <w:p w14:paraId="339D6DC8">
      <w:pPr>
        <w:snapToGrid w:val="0"/>
        <w:spacing w:line="360" w:lineRule="auto"/>
        <w:jc w:val="left"/>
        <w:rPr>
          <w:rFonts w:hint="eastAsia" w:ascii="仿宋" w:hAnsi="仿宋" w:eastAsia="仿宋"/>
          <w:sz w:val="24"/>
          <w:highlight w:val="none"/>
        </w:rPr>
      </w:pPr>
    </w:p>
    <w:p w14:paraId="59869F88">
      <w:pPr>
        <w:snapToGrid w:val="0"/>
        <w:spacing w:line="360" w:lineRule="auto"/>
        <w:jc w:val="left"/>
        <w:rPr>
          <w:rFonts w:hint="eastAsia" w:ascii="仿宋" w:hAnsi="仿宋" w:eastAsia="仿宋"/>
          <w:sz w:val="24"/>
          <w:highlight w:val="none"/>
        </w:rPr>
      </w:pPr>
    </w:p>
    <w:p w14:paraId="1BBF2FE2">
      <w:pPr>
        <w:snapToGrid w:val="0"/>
        <w:spacing w:line="360" w:lineRule="auto"/>
        <w:jc w:val="left"/>
        <w:rPr>
          <w:rFonts w:hint="eastAsia" w:ascii="仿宋" w:hAnsi="仿宋" w:eastAsia="仿宋"/>
          <w:sz w:val="24"/>
          <w:highlight w:val="none"/>
        </w:rPr>
      </w:pPr>
    </w:p>
    <w:p w14:paraId="4C183979">
      <w:pPr>
        <w:snapToGrid w:val="0"/>
        <w:spacing w:line="360" w:lineRule="auto"/>
        <w:jc w:val="left"/>
        <w:rPr>
          <w:rFonts w:hint="eastAsia" w:ascii="仿宋" w:hAnsi="仿宋" w:eastAsia="仿宋"/>
          <w:sz w:val="24"/>
          <w:highlight w:val="none"/>
        </w:rPr>
      </w:pPr>
    </w:p>
    <w:p w14:paraId="7FF64762">
      <w:pPr>
        <w:snapToGrid w:val="0"/>
        <w:spacing w:line="360" w:lineRule="auto"/>
        <w:jc w:val="left"/>
        <w:rPr>
          <w:rFonts w:hint="eastAsia" w:ascii="仿宋" w:hAnsi="仿宋" w:eastAsia="仿宋"/>
          <w:sz w:val="24"/>
          <w:highlight w:val="none"/>
        </w:rPr>
      </w:pPr>
    </w:p>
    <w:p w14:paraId="3FC0788C">
      <w:pPr>
        <w:snapToGrid w:val="0"/>
        <w:spacing w:line="360" w:lineRule="auto"/>
        <w:jc w:val="left"/>
        <w:rPr>
          <w:rFonts w:hint="eastAsia" w:ascii="仿宋" w:hAnsi="仿宋" w:eastAsia="仿宋"/>
          <w:sz w:val="24"/>
          <w:highlight w:val="none"/>
        </w:rPr>
      </w:pPr>
    </w:p>
    <w:p w14:paraId="0818D7DB">
      <w:pPr>
        <w:snapToGrid w:val="0"/>
        <w:spacing w:before="120" w:beforeLines="50" w:line="360" w:lineRule="auto"/>
        <w:ind w:right="480"/>
        <w:rPr>
          <w:rFonts w:hint="eastAsia" w:ascii="仿宋" w:hAnsi="仿宋" w:eastAsia="仿宋"/>
          <w:sz w:val="24"/>
          <w:highlight w:val="none"/>
          <w:u w:val="single"/>
        </w:rPr>
      </w:pPr>
      <w:r>
        <w:rPr>
          <w:rFonts w:hint="eastAsia" w:ascii="仿宋" w:hAnsi="仿宋" w:eastAsia="仿宋"/>
          <w:sz w:val="24"/>
          <w:highlight w:val="none"/>
        </w:rPr>
        <w:t>法定代表人或者委托代理人</w:t>
      </w:r>
      <w:r>
        <w:rPr>
          <w:rFonts w:hint="eastAsia" w:ascii="仿宋" w:hAnsi="仿宋" w:eastAsia="仿宋"/>
          <w:spacing w:val="20"/>
          <w:sz w:val="24"/>
          <w:highlight w:val="none"/>
        </w:rPr>
        <w:t>（签字</w:t>
      </w:r>
      <w:r>
        <w:rPr>
          <w:rFonts w:hint="eastAsia" w:ascii="仿宋" w:hAnsi="仿宋" w:eastAsia="仿宋"/>
          <w:spacing w:val="20"/>
          <w:sz w:val="24"/>
          <w:highlight w:val="none"/>
          <w:lang w:val="en-US" w:eastAsia="zh-CN"/>
        </w:rPr>
        <w:t>或盖法定代表人CA章</w:t>
      </w:r>
      <w:r>
        <w:rPr>
          <w:rFonts w:hint="eastAsia" w:ascii="仿宋" w:hAnsi="仿宋" w:eastAsia="仿宋"/>
          <w:spacing w:val="20"/>
          <w:sz w:val="24"/>
          <w:highlight w:val="none"/>
        </w:rPr>
        <w:t>）</w:t>
      </w:r>
      <w:r>
        <w:rPr>
          <w:rFonts w:hint="eastAsia" w:ascii="仿宋" w:hAnsi="仿宋" w:eastAsia="仿宋"/>
          <w:sz w:val="24"/>
          <w:highlight w:val="none"/>
        </w:rPr>
        <w:t>：</w:t>
      </w:r>
      <w:r>
        <w:rPr>
          <w:rFonts w:hint="eastAsia" w:ascii="仿宋" w:hAnsi="仿宋" w:eastAsia="仿宋"/>
          <w:sz w:val="24"/>
          <w:highlight w:val="none"/>
          <w:u w:val="single"/>
        </w:rPr>
        <w:t xml:space="preserve">             </w:t>
      </w:r>
    </w:p>
    <w:p w14:paraId="3D67D069">
      <w:pPr>
        <w:snapToGrid w:val="0"/>
        <w:spacing w:before="120" w:beforeLines="50" w:after="50" w:line="360" w:lineRule="auto"/>
        <w:ind w:right="480"/>
        <w:rPr>
          <w:rFonts w:hint="eastAsia" w:ascii="仿宋" w:hAnsi="仿宋" w:eastAsia="仿宋"/>
          <w:sz w:val="24"/>
          <w:highlight w:val="none"/>
        </w:rPr>
      </w:pPr>
      <w:r>
        <w:rPr>
          <w:rFonts w:hint="eastAsia" w:ascii="仿宋" w:hAnsi="仿宋" w:eastAsia="仿宋"/>
          <w:sz w:val="24"/>
          <w:highlight w:val="none"/>
        </w:rPr>
        <w:t>投标人（</w:t>
      </w:r>
      <w:r>
        <w:rPr>
          <w:rFonts w:hint="eastAsia" w:ascii="仿宋" w:hAnsi="仿宋" w:eastAsia="仿宋"/>
          <w:sz w:val="24"/>
          <w:highlight w:val="none"/>
          <w:lang w:eastAsia="zh-CN"/>
        </w:rPr>
        <w:t>盖CA公章</w:t>
      </w:r>
      <w:r>
        <w:rPr>
          <w:rFonts w:hint="eastAsia" w:ascii="仿宋" w:hAnsi="仿宋" w:eastAsia="仿宋"/>
          <w:sz w:val="24"/>
          <w:highlight w:val="none"/>
        </w:rPr>
        <w:t>）：</w:t>
      </w:r>
      <w:r>
        <w:rPr>
          <w:rFonts w:hint="eastAsia" w:ascii="仿宋" w:hAnsi="仿宋" w:eastAsia="仿宋"/>
          <w:sz w:val="24"/>
          <w:highlight w:val="none"/>
          <w:u w:val="single"/>
        </w:rPr>
        <w:t xml:space="preserve">                 </w:t>
      </w:r>
    </w:p>
    <w:p w14:paraId="182DBE02">
      <w:pPr>
        <w:snapToGrid w:val="0"/>
        <w:spacing w:before="120" w:beforeLines="50" w:after="50" w:line="360" w:lineRule="auto"/>
        <w:ind w:right="480" w:firstLine="480" w:firstLineChars="200"/>
        <w:jc w:val="both"/>
        <w:rPr>
          <w:rFonts w:hint="eastAsia" w:ascii="仿宋" w:hAnsi="仿宋" w:eastAsia="仿宋"/>
          <w:sz w:val="24"/>
          <w:highlight w:val="none"/>
        </w:rPr>
      </w:pPr>
      <w:r>
        <w:rPr>
          <w:rFonts w:hint="eastAsia" w:ascii="仿宋" w:hAnsi="仿宋" w:eastAsia="仿宋"/>
          <w:sz w:val="24"/>
          <w:highlight w:val="none"/>
        </w:rPr>
        <w:t>年    月    日</w:t>
      </w:r>
    </w:p>
    <w:p w14:paraId="01434108">
      <w:pPr>
        <w:snapToGrid w:val="0"/>
        <w:spacing w:before="50" w:after="120" w:afterLines="50"/>
        <w:jc w:val="left"/>
        <w:rPr>
          <w:rFonts w:hint="eastAsia" w:ascii="仿宋" w:hAnsi="仿宋" w:eastAsia="仿宋"/>
          <w:szCs w:val="21"/>
          <w:highlight w:val="none"/>
        </w:rPr>
      </w:pPr>
    </w:p>
    <w:p w14:paraId="578A8072">
      <w:pPr>
        <w:numPr>
          <w:ilvl w:val="2"/>
          <w:numId w:val="7"/>
        </w:numPr>
        <w:snapToGrid w:val="0"/>
        <w:spacing w:before="120" w:beforeLines="50" w:after="50"/>
        <w:ind w:left="0" w:firstLine="0"/>
        <w:jc w:val="left"/>
        <w:rPr>
          <w:rFonts w:hint="eastAsia" w:ascii="仿宋" w:hAnsi="仿宋" w:eastAsia="仿宋"/>
          <w:b/>
          <w:sz w:val="24"/>
          <w:szCs w:val="20"/>
          <w:highlight w:val="none"/>
        </w:rPr>
      </w:pPr>
      <w:r>
        <w:rPr>
          <w:rFonts w:ascii="仿宋" w:hAnsi="仿宋" w:eastAsia="仿宋"/>
          <w:b/>
          <w:sz w:val="24"/>
          <w:highlight w:val="none"/>
        </w:rPr>
        <w:br w:type="page"/>
      </w:r>
      <w:r>
        <w:rPr>
          <w:rFonts w:hint="eastAsia" w:ascii="仿宋" w:hAnsi="仿宋" w:eastAsia="仿宋"/>
          <w:b/>
          <w:sz w:val="24"/>
          <w:highlight w:val="none"/>
        </w:rPr>
        <w:t>投标声明格式</w:t>
      </w:r>
    </w:p>
    <w:p w14:paraId="788E3E72">
      <w:pPr>
        <w:snapToGrid w:val="0"/>
        <w:spacing w:before="50" w:after="120" w:afterLines="50"/>
        <w:jc w:val="left"/>
        <w:rPr>
          <w:rFonts w:hint="eastAsia" w:ascii="仿宋" w:hAnsi="仿宋" w:eastAsia="仿宋"/>
          <w:highlight w:val="none"/>
        </w:rPr>
      </w:pPr>
    </w:p>
    <w:p w14:paraId="1A14637E">
      <w:pPr>
        <w:snapToGrid w:val="0"/>
        <w:spacing w:before="50" w:after="120" w:afterLines="50"/>
        <w:jc w:val="center"/>
        <w:rPr>
          <w:rFonts w:hint="eastAsia" w:ascii="仿宋" w:hAnsi="仿宋" w:eastAsia="仿宋" w:cs="方正小标宋简体"/>
          <w:bCs/>
          <w:sz w:val="44"/>
          <w:szCs w:val="44"/>
          <w:highlight w:val="none"/>
        </w:rPr>
      </w:pPr>
      <w:r>
        <w:rPr>
          <w:rFonts w:hint="eastAsia" w:ascii="仿宋" w:hAnsi="仿宋" w:eastAsia="仿宋" w:cs="方正小标宋简体"/>
          <w:bCs/>
          <w:sz w:val="44"/>
          <w:szCs w:val="44"/>
          <w:highlight w:val="none"/>
        </w:rPr>
        <w:t>投标声明</w:t>
      </w:r>
    </w:p>
    <w:p w14:paraId="0DB21766">
      <w:pPr>
        <w:snapToGrid w:val="0"/>
        <w:spacing w:before="50" w:after="120" w:afterLines="50"/>
        <w:jc w:val="center"/>
        <w:rPr>
          <w:rFonts w:hint="eastAsia" w:ascii="仿宋" w:hAnsi="仿宋" w:eastAsia="仿宋" w:cs="方正小标宋简体"/>
          <w:bCs/>
          <w:sz w:val="44"/>
          <w:szCs w:val="44"/>
          <w:highlight w:val="none"/>
        </w:rPr>
      </w:pPr>
    </w:p>
    <w:p w14:paraId="299A0898">
      <w:pPr>
        <w:spacing w:line="400" w:lineRule="exact"/>
        <w:contextualSpacing/>
        <w:jc w:val="left"/>
        <w:rPr>
          <w:rFonts w:hint="eastAsia" w:ascii="仿宋" w:hAnsi="仿宋" w:eastAsia="仿宋"/>
          <w:sz w:val="24"/>
          <w:highlight w:val="none"/>
        </w:rPr>
      </w:pPr>
      <w:r>
        <w:rPr>
          <w:rFonts w:hint="eastAsia" w:ascii="仿宋" w:hAnsi="仿宋" w:eastAsia="仿宋"/>
          <w:sz w:val="24"/>
          <w:highlight w:val="none"/>
        </w:rPr>
        <w:t>（采购人名称）：</w:t>
      </w:r>
    </w:p>
    <w:p w14:paraId="36424A56">
      <w:pPr>
        <w:spacing w:line="400" w:lineRule="exact"/>
        <w:ind w:firstLine="523" w:firstLineChars="218"/>
        <w:contextualSpacing/>
        <w:jc w:val="left"/>
        <w:rPr>
          <w:rFonts w:hint="eastAsia" w:ascii="仿宋" w:hAnsi="仿宋" w:eastAsia="仿宋"/>
          <w:sz w:val="24"/>
          <w:highlight w:val="none"/>
        </w:rPr>
      </w:pPr>
      <w:r>
        <w:rPr>
          <w:rFonts w:hint="eastAsia" w:ascii="仿宋" w:hAnsi="仿宋" w:eastAsia="仿宋"/>
          <w:sz w:val="24"/>
          <w:highlight w:val="none"/>
        </w:rPr>
        <w:t>我方参加贵单位组织</w:t>
      </w:r>
      <w:r>
        <w:rPr>
          <w:rFonts w:hint="eastAsia" w:ascii="仿宋" w:hAnsi="仿宋" w:eastAsia="仿宋"/>
          <w:sz w:val="24"/>
          <w:highlight w:val="none"/>
          <w:u w:val="single"/>
        </w:rPr>
        <w:t xml:space="preserve">             </w:t>
      </w:r>
      <w:r>
        <w:rPr>
          <w:rFonts w:hint="eastAsia" w:ascii="仿宋" w:hAnsi="仿宋" w:eastAsia="仿宋"/>
          <w:sz w:val="24"/>
          <w:highlight w:val="none"/>
        </w:rPr>
        <w:t>项目（项目编号：</w:t>
      </w:r>
      <w:r>
        <w:rPr>
          <w:rFonts w:hint="eastAsia" w:ascii="仿宋" w:hAnsi="仿宋" w:eastAsia="仿宋"/>
          <w:sz w:val="24"/>
          <w:highlight w:val="none"/>
          <w:u w:val="single"/>
        </w:rPr>
        <w:t xml:space="preserve">       </w:t>
      </w:r>
      <w:r>
        <w:rPr>
          <w:rFonts w:hint="eastAsia" w:ascii="仿宋" w:hAnsi="仿宋" w:eastAsia="仿宋"/>
          <w:sz w:val="24"/>
          <w:highlight w:val="none"/>
        </w:rPr>
        <w:t>）的政府采购活动。我方在此郑重声明：</w:t>
      </w:r>
    </w:p>
    <w:p w14:paraId="5E3D7E8D">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6F17100">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2.我方不是为本次采购项目提供整体设计、规范编制或者项目管理、监理、检测等服务的供应商。</w:t>
      </w:r>
    </w:p>
    <w:p w14:paraId="2A275D8F">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3. 我方承诺符合《中华人民共和国政府采购法》第二十二条规定：</w:t>
      </w:r>
    </w:p>
    <w:p w14:paraId="7B4ADB65">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（一）具有独立承担民事责任的能力；</w:t>
      </w:r>
    </w:p>
    <w:p w14:paraId="1C169B68">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（二）具有良好的商业信誉和健全的财务会计制度；</w:t>
      </w:r>
    </w:p>
    <w:p w14:paraId="51ACFEB9">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（三）具有履行合同所必需的设备和专业技术能力；</w:t>
      </w:r>
    </w:p>
    <w:p w14:paraId="3F11E38B">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（四）有依法缴纳税收和社会保障资金的良好记录；</w:t>
      </w:r>
    </w:p>
    <w:p w14:paraId="277F9E52">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（五）参加政府采购活动前三年内，在经营活动中没有重大违法记录；</w:t>
      </w:r>
    </w:p>
    <w:p w14:paraId="64C2C825">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（六）法律、行政法规规定的其他条件。</w:t>
      </w:r>
    </w:p>
    <w:p w14:paraId="56D0D6D0">
      <w:pPr>
        <w:spacing w:line="400" w:lineRule="exact"/>
        <w:ind w:firstLine="480" w:firstLineChars="200"/>
        <w:contextualSpacing/>
        <w:jc w:val="left"/>
        <w:rPr>
          <w:rFonts w:hint="eastAsia" w:ascii="仿宋" w:hAnsi="仿宋" w:eastAsia="仿宋"/>
          <w:sz w:val="24"/>
          <w:highlight w:val="none"/>
        </w:rPr>
      </w:pPr>
      <w:r>
        <w:rPr>
          <w:rFonts w:hint="eastAsia" w:ascii="仿宋" w:hAnsi="仿宋" w:eastAsia="仿宋"/>
          <w:sz w:val="24"/>
          <w:highlight w:val="none"/>
        </w:rPr>
        <w:t>4.以上事项如有虚假或者隐瞒，我方愿意承担一切后果，并不再寻求任何旨在减轻或者免除法律责任的辩解。</w:t>
      </w:r>
    </w:p>
    <w:p w14:paraId="547F5E7D">
      <w:pPr>
        <w:spacing w:line="400" w:lineRule="exact"/>
        <w:contextualSpacing/>
        <w:jc w:val="left"/>
        <w:rPr>
          <w:rFonts w:hint="eastAsia" w:ascii="仿宋" w:hAnsi="仿宋" w:eastAsia="仿宋"/>
          <w:sz w:val="24"/>
          <w:highlight w:val="none"/>
        </w:rPr>
      </w:pPr>
      <w:r>
        <w:rPr>
          <w:rFonts w:hint="eastAsia" w:ascii="仿宋" w:hAnsi="仿宋" w:eastAsia="仿宋"/>
          <w:sz w:val="24"/>
          <w:highlight w:val="none"/>
        </w:rPr>
        <w:t xml:space="preserve">    特此承诺。</w:t>
      </w:r>
    </w:p>
    <w:p w14:paraId="398C1DFC">
      <w:pPr>
        <w:spacing w:line="400" w:lineRule="exact"/>
        <w:ind w:firstLine="495"/>
        <w:contextualSpacing/>
        <w:jc w:val="left"/>
        <w:rPr>
          <w:rFonts w:hint="eastAsia" w:ascii="仿宋" w:hAnsi="仿宋" w:eastAsia="仿宋"/>
          <w:b/>
          <w:sz w:val="24"/>
          <w:highlight w:val="none"/>
        </w:rPr>
      </w:pPr>
    </w:p>
    <w:p w14:paraId="279660ED">
      <w:pPr>
        <w:spacing w:line="400" w:lineRule="exact"/>
        <w:ind w:firstLine="495"/>
        <w:contextualSpacing/>
        <w:jc w:val="left"/>
        <w:rPr>
          <w:rFonts w:hint="eastAsia" w:ascii="仿宋" w:hAnsi="仿宋" w:eastAsia="仿宋"/>
          <w:b/>
          <w:sz w:val="24"/>
          <w:highlight w:val="none"/>
        </w:rPr>
      </w:pPr>
    </w:p>
    <w:p w14:paraId="6305D2BF">
      <w:pPr>
        <w:spacing w:line="400" w:lineRule="exact"/>
        <w:ind w:firstLine="495"/>
        <w:contextualSpacing/>
        <w:jc w:val="left"/>
        <w:rPr>
          <w:rFonts w:hint="eastAsia" w:ascii="仿宋" w:hAnsi="仿宋" w:eastAsia="仿宋"/>
          <w:b/>
          <w:sz w:val="24"/>
          <w:highlight w:val="none"/>
        </w:rPr>
      </w:pPr>
    </w:p>
    <w:p w14:paraId="3166DD1A">
      <w:pPr>
        <w:spacing w:line="400" w:lineRule="exact"/>
        <w:contextualSpacing/>
        <w:jc w:val="left"/>
        <w:rPr>
          <w:rFonts w:hint="eastAsia" w:ascii="仿宋" w:hAnsi="仿宋" w:eastAsia="仿宋"/>
          <w:sz w:val="24"/>
          <w:highlight w:val="none"/>
        </w:rPr>
      </w:pPr>
      <w:r>
        <w:rPr>
          <w:rFonts w:hint="eastAsia" w:ascii="仿宋" w:hAnsi="仿宋" w:eastAsia="仿宋"/>
          <w:sz w:val="24"/>
          <w:highlight w:val="none"/>
        </w:rPr>
        <w:t xml:space="preserve">                                          法定代表人（</w:t>
      </w:r>
      <w:r>
        <w:rPr>
          <w:rFonts w:hint="eastAsia" w:ascii="仿宋" w:hAnsi="仿宋" w:eastAsia="仿宋"/>
          <w:sz w:val="24"/>
          <w:highlight w:val="none"/>
          <w:lang w:eastAsia="zh-CN"/>
        </w:rPr>
        <w:t>签字或者盖CA章</w:t>
      </w:r>
      <w:r>
        <w:rPr>
          <w:rFonts w:hint="eastAsia" w:ascii="仿宋" w:hAnsi="仿宋" w:eastAsia="仿宋"/>
          <w:sz w:val="24"/>
          <w:highlight w:val="none"/>
        </w:rPr>
        <w:t>）：</w:t>
      </w:r>
      <w:r>
        <w:rPr>
          <w:rFonts w:hint="eastAsia" w:ascii="仿宋" w:hAnsi="仿宋" w:eastAsia="仿宋"/>
          <w:sz w:val="24"/>
          <w:highlight w:val="none"/>
          <w:u w:val="single"/>
        </w:rPr>
        <w:t xml:space="preserve">             </w:t>
      </w:r>
    </w:p>
    <w:p w14:paraId="1955CF9C">
      <w:pPr>
        <w:spacing w:line="400" w:lineRule="exact"/>
        <w:contextualSpacing/>
        <w:jc w:val="left"/>
        <w:rPr>
          <w:rFonts w:hint="eastAsia" w:ascii="仿宋" w:hAnsi="仿宋" w:eastAsia="仿宋"/>
          <w:sz w:val="24"/>
          <w:highlight w:val="none"/>
        </w:rPr>
      </w:pPr>
      <w:r>
        <w:rPr>
          <w:rFonts w:hint="eastAsia" w:ascii="仿宋" w:hAnsi="仿宋" w:eastAsia="仿宋"/>
          <w:sz w:val="24"/>
          <w:highlight w:val="none"/>
        </w:rPr>
        <w:t xml:space="preserve">                                          投标人（</w:t>
      </w:r>
      <w:r>
        <w:rPr>
          <w:rFonts w:hint="eastAsia" w:ascii="仿宋" w:hAnsi="仿宋" w:eastAsia="仿宋"/>
          <w:sz w:val="24"/>
          <w:highlight w:val="none"/>
          <w:lang w:eastAsia="zh-CN"/>
        </w:rPr>
        <w:t>盖CA公章</w:t>
      </w:r>
      <w:r>
        <w:rPr>
          <w:rFonts w:hint="eastAsia" w:ascii="仿宋" w:hAnsi="仿宋" w:eastAsia="仿宋"/>
          <w:sz w:val="24"/>
          <w:highlight w:val="none"/>
        </w:rPr>
        <w:t>）：</w:t>
      </w:r>
      <w:r>
        <w:rPr>
          <w:rFonts w:hint="eastAsia" w:ascii="仿宋" w:hAnsi="仿宋" w:eastAsia="仿宋"/>
          <w:sz w:val="24"/>
          <w:highlight w:val="none"/>
          <w:u w:val="single"/>
        </w:rPr>
        <w:t xml:space="preserve">                 </w:t>
      </w:r>
    </w:p>
    <w:p w14:paraId="7DF98C28">
      <w:pPr>
        <w:spacing w:line="400" w:lineRule="exact"/>
        <w:contextualSpacing/>
        <w:jc w:val="left"/>
        <w:rPr>
          <w:rFonts w:hint="eastAsia" w:ascii="仿宋" w:hAnsi="仿宋" w:eastAsia="仿宋"/>
          <w:highlight w:val="none"/>
        </w:rPr>
      </w:pPr>
      <w:r>
        <w:rPr>
          <w:rFonts w:hint="eastAsia" w:ascii="仿宋" w:hAnsi="仿宋" w:eastAsia="仿宋"/>
          <w:sz w:val="24"/>
          <w:highlight w:val="none"/>
        </w:rPr>
        <w:t xml:space="preserve">                                                   年    月    日</w:t>
      </w:r>
    </w:p>
    <w:p w14:paraId="2687E887">
      <w:pPr>
        <w:rPr>
          <w:rFonts w:hint="eastAsia" w:ascii="仿宋" w:hAnsi="仿宋" w:eastAsia="仿宋"/>
          <w:b/>
          <w:sz w:val="28"/>
          <w:szCs w:val="28"/>
          <w:highlight w:val="none"/>
        </w:rPr>
      </w:pPr>
      <w:bookmarkStart w:id="170" w:name="_Toc19686838"/>
      <w:r>
        <w:rPr>
          <w:rFonts w:ascii="仿宋" w:hAnsi="仿宋" w:eastAsia="仿宋"/>
          <w:b/>
          <w:sz w:val="28"/>
          <w:szCs w:val="28"/>
          <w:highlight w:val="none"/>
        </w:rPr>
        <w:br w:type="page"/>
      </w:r>
      <w:r>
        <w:rPr>
          <w:rFonts w:hint="eastAsia" w:ascii="仿宋" w:hAnsi="仿宋" w:eastAsia="仿宋"/>
          <w:b/>
          <w:sz w:val="28"/>
          <w:szCs w:val="28"/>
          <w:highlight w:val="none"/>
        </w:rPr>
        <w:t>三、商务文件格式</w:t>
      </w:r>
      <w:bookmarkEnd w:id="170"/>
    </w:p>
    <w:p w14:paraId="68073144">
      <w:pPr>
        <w:snapToGrid w:val="0"/>
        <w:spacing w:before="120" w:beforeLines="50" w:after="50" w:line="360" w:lineRule="auto"/>
        <w:jc w:val="left"/>
        <w:rPr>
          <w:rFonts w:hint="eastAsia" w:ascii="仿宋" w:hAnsi="仿宋" w:eastAsia="仿宋"/>
          <w:b/>
          <w:sz w:val="24"/>
          <w:highlight w:val="none"/>
        </w:rPr>
      </w:pPr>
      <w:r>
        <w:rPr>
          <w:rFonts w:hint="eastAsia" w:ascii="仿宋" w:hAnsi="仿宋" w:eastAsia="仿宋"/>
          <w:b/>
          <w:sz w:val="24"/>
          <w:highlight w:val="none"/>
        </w:rPr>
        <w:t xml:space="preserve">1.商务文件封面格式： </w:t>
      </w:r>
    </w:p>
    <w:p w14:paraId="1A1E7F5B">
      <w:pPr>
        <w:snapToGrid w:val="0"/>
        <w:spacing w:before="120" w:beforeLines="50" w:after="50"/>
        <w:rPr>
          <w:rFonts w:hint="eastAsia" w:ascii="仿宋" w:hAnsi="仿宋" w:eastAsia="仿宋"/>
          <w:bCs/>
          <w:sz w:val="32"/>
          <w:szCs w:val="20"/>
          <w:highlight w:val="none"/>
        </w:rPr>
      </w:pPr>
    </w:p>
    <w:p w14:paraId="0D259269">
      <w:pPr>
        <w:snapToGrid w:val="0"/>
        <w:spacing w:before="120" w:beforeLines="50" w:after="50"/>
        <w:rPr>
          <w:rFonts w:hint="eastAsia" w:ascii="仿宋" w:hAnsi="仿宋" w:eastAsia="仿宋"/>
          <w:sz w:val="24"/>
          <w:szCs w:val="20"/>
          <w:highlight w:val="none"/>
        </w:rPr>
      </w:pPr>
    </w:p>
    <w:p w14:paraId="56777B71">
      <w:pPr>
        <w:snapToGrid w:val="0"/>
        <w:spacing w:before="120" w:beforeLines="50" w:after="50"/>
        <w:rPr>
          <w:rFonts w:hint="eastAsia" w:ascii="仿宋" w:hAnsi="仿宋" w:eastAsia="仿宋"/>
          <w:sz w:val="24"/>
          <w:szCs w:val="20"/>
          <w:highlight w:val="none"/>
        </w:rPr>
      </w:pPr>
    </w:p>
    <w:p w14:paraId="7A19989C">
      <w:pPr>
        <w:snapToGrid w:val="0"/>
        <w:spacing w:before="120" w:beforeLines="50" w:after="50"/>
        <w:rPr>
          <w:rFonts w:hint="eastAsia" w:ascii="仿宋" w:hAnsi="仿宋" w:eastAsia="仿宋"/>
          <w:sz w:val="24"/>
          <w:szCs w:val="20"/>
          <w:highlight w:val="none"/>
        </w:rPr>
      </w:pPr>
    </w:p>
    <w:p w14:paraId="39022ECA">
      <w:pPr>
        <w:snapToGrid w:val="0"/>
        <w:spacing w:before="120" w:beforeLines="50" w:after="50"/>
        <w:jc w:val="center"/>
        <w:rPr>
          <w:rFonts w:hint="eastAsia" w:ascii="仿宋" w:hAnsi="仿宋" w:eastAsia="仿宋" w:cs="方正小标宋简体"/>
          <w:sz w:val="84"/>
          <w:szCs w:val="84"/>
          <w:highlight w:val="none"/>
        </w:rPr>
      </w:pPr>
      <w:r>
        <w:rPr>
          <w:rFonts w:hint="eastAsia" w:ascii="仿宋" w:hAnsi="仿宋" w:eastAsia="仿宋" w:cs="方正小标宋简体"/>
          <w:sz w:val="84"/>
          <w:szCs w:val="84"/>
          <w:highlight w:val="none"/>
        </w:rPr>
        <w:t>投  标  文  件</w:t>
      </w:r>
    </w:p>
    <w:p w14:paraId="09C47E55">
      <w:pPr>
        <w:snapToGrid w:val="0"/>
        <w:spacing w:before="120" w:beforeLines="50" w:after="50"/>
        <w:rPr>
          <w:rFonts w:hint="eastAsia" w:ascii="仿宋" w:hAnsi="仿宋" w:eastAsia="仿宋"/>
          <w:sz w:val="24"/>
          <w:szCs w:val="20"/>
          <w:highlight w:val="none"/>
        </w:rPr>
      </w:pPr>
    </w:p>
    <w:p w14:paraId="20289991">
      <w:pPr>
        <w:snapToGrid w:val="0"/>
        <w:spacing w:before="120" w:beforeLines="50" w:after="50"/>
        <w:rPr>
          <w:rFonts w:hint="eastAsia" w:ascii="仿宋" w:hAnsi="仿宋" w:eastAsia="仿宋"/>
          <w:sz w:val="24"/>
          <w:szCs w:val="20"/>
          <w:highlight w:val="none"/>
        </w:rPr>
      </w:pPr>
    </w:p>
    <w:p w14:paraId="1792C82C">
      <w:pPr>
        <w:snapToGrid w:val="0"/>
        <w:spacing w:before="120" w:beforeLines="50" w:after="50"/>
        <w:jc w:val="center"/>
        <w:rPr>
          <w:rFonts w:hint="eastAsia" w:ascii="仿宋" w:hAnsi="仿宋" w:eastAsia="仿宋" w:cs="方正小标宋简体"/>
          <w:bCs/>
          <w:sz w:val="32"/>
          <w:szCs w:val="32"/>
          <w:highlight w:val="none"/>
        </w:rPr>
      </w:pPr>
      <w:r>
        <w:rPr>
          <w:rFonts w:hint="eastAsia" w:ascii="仿宋" w:hAnsi="仿宋" w:eastAsia="仿宋" w:cs="方正小标宋简体"/>
          <w:bCs/>
          <w:sz w:val="32"/>
          <w:szCs w:val="32"/>
          <w:highlight w:val="none"/>
        </w:rPr>
        <w:t>商  务  文  件</w:t>
      </w:r>
    </w:p>
    <w:p w14:paraId="2D46783A">
      <w:pPr>
        <w:snapToGrid w:val="0"/>
        <w:spacing w:before="120" w:beforeLines="50" w:after="50"/>
        <w:rPr>
          <w:rFonts w:hint="eastAsia" w:ascii="仿宋" w:hAnsi="仿宋" w:eastAsia="仿宋"/>
          <w:bCs/>
          <w:sz w:val="24"/>
          <w:szCs w:val="20"/>
          <w:highlight w:val="none"/>
        </w:rPr>
      </w:pPr>
    </w:p>
    <w:p w14:paraId="337E7022">
      <w:pPr>
        <w:snapToGrid w:val="0"/>
        <w:spacing w:before="120" w:beforeLines="50" w:after="50"/>
        <w:ind w:firstLine="540" w:firstLineChars="225"/>
        <w:rPr>
          <w:rFonts w:hint="eastAsia" w:ascii="仿宋" w:hAnsi="仿宋" w:eastAsia="仿宋"/>
          <w:bCs/>
          <w:sz w:val="24"/>
          <w:highlight w:val="none"/>
        </w:rPr>
      </w:pPr>
    </w:p>
    <w:p w14:paraId="3895945F">
      <w:pPr>
        <w:snapToGrid w:val="0"/>
        <w:spacing w:before="120" w:beforeLines="50" w:after="50"/>
        <w:ind w:firstLine="540" w:firstLineChars="225"/>
        <w:rPr>
          <w:rFonts w:hint="eastAsia" w:ascii="仿宋" w:hAnsi="仿宋" w:eastAsia="仿宋"/>
          <w:bCs/>
          <w:sz w:val="24"/>
          <w:highlight w:val="none"/>
        </w:rPr>
      </w:pPr>
    </w:p>
    <w:p w14:paraId="1A63AC29">
      <w:pPr>
        <w:snapToGrid w:val="0"/>
        <w:spacing w:before="120" w:beforeLines="50" w:after="50"/>
        <w:ind w:firstLine="540" w:firstLineChars="225"/>
        <w:rPr>
          <w:rFonts w:hint="eastAsia" w:ascii="仿宋" w:hAnsi="仿宋" w:eastAsia="仿宋"/>
          <w:bCs/>
          <w:sz w:val="24"/>
          <w:highlight w:val="none"/>
        </w:rPr>
      </w:pPr>
    </w:p>
    <w:p w14:paraId="0A352A60">
      <w:pPr>
        <w:snapToGrid w:val="0"/>
        <w:spacing w:before="120" w:beforeLines="50" w:after="50"/>
        <w:ind w:firstLine="540" w:firstLineChars="225"/>
        <w:rPr>
          <w:rFonts w:hint="eastAsia" w:ascii="仿宋" w:hAnsi="仿宋" w:eastAsia="仿宋"/>
          <w:bCs/>
          <w:sz w:val="24"/>
          <w:highlight w:val="none"/>
        </w:rPr>
      </w:pPr>
      <w:r>
        <w:rPr>
          <w:rFonts w:hint="eastAsia" w:ascii="仿宋" w:hAnsi="仿宋" w:eastAsia="仿宋"/>
          <w:bCs/>
          <w:sz w:val="24"/>
          <w:highlight w:val="none"/>
        </w:rPr>
        <w:t>项目名称：</w:t>
      </w:r>
    </w:p>
    <w:p w14:paraId="32F5591E">
      <w:pPr>
        <w:snapToGrid w:val="0"/>
        <w:spacing w:before="120" w:beforeLines="50" w:after="50"/>
        <w:ind w:firstLine="540" w:firstLineChars="225"/>
        <w:rPr>
          <w:rFonts w:hint="eastAsia" w:ascii="仿宋" w:hAnsi="仿宋" w:eastAsia="仿宋"/>
          <w:bCs/>
          <w:sz w:val="24"/>
          <w:szCs w:val="20"/>
          <w:highlight w:val="none"/>
        </w:rPr>
      </w:pPr>
    </w:p>
    <w:p w14:paraId="40B75ECC">
      <w:pPr>
        <w:snapToGrid w:val="0"/>
        <w:spacing w:before="120" w:beforeLines="50" w:after="50"/>
        <w:ind w:firstLine="540" w:firstLineChars="225"/>
        <w:rPr>
          <w:rFonts w:hint="eastAsia" w:ascii="仿宋" w:hAnsi="仿宋" w:eastAsia="仿宋"/>
          <w:bCs/>
          <w:sz w:val="24"/>
          <w:highlight w:val="none"/>
        </w:rPr>
      </w:pPr>
      <w:r>
        <w:rPr>
          <w:rFonts w:hint="eastAsia" w:ascii="仿宋" w:hAnsi="仿宋" w:eastAsia="仿宋"/>
          <w:bCs/>
          <w:sz w:val="24"/>
          <w:highlight w:val="none"/>
        </w:rPr>
        <w:t>项目编号：</w:t>
      </w:r>
    </w:p>
    <w:p w14:paraId="65BD63A7">
      <w:pPr>
        <w:snapToGrid w:val="0"/>
        <w:spacing w:before="120" w:beforeLines="50" w:after="50"/>
        <w:ind w:firstLine="540" w:firstLineChars="225"/>
        <w:rPr>
          <w:rFonts w:hint="eastAsia" w:ascii="仿宋" w:hAnsi="仿宋" w:eastAsia="仿宋"/>
          <w:bCs/>
          <w:sz w:val="24"/>
          <w:szCs w:val="20"/>
          <w:highlight w:val="none"/>
        </w:rPr>
      </w:pPr>
      <w:r>
        <w:rPr>
          <w:rFonts w:hint="eastAsia" w:ascii="仿宋" w:hAnsi="仿宋" w:eastAsia="仿宋"/>
          <w:bCs/>
          <w:sz w:val="24"/>
          <w:highlight w:val="none"/>
        </w:rPr>
        <w:t xml:space="preserve"> </w:t>
      </w:r>
    </w:p>
    <w:p w14:paraId="09D96B43">
      <w:pPr>
        <w:snapToGrid w:val="0"/>
        <w:spacing w:before="120" w:beforeLines="50" w:after="50"/>
        <w:ind w:firstLine="540" w:firstLineChars="225"/>
        <w:rPr>
          <w:rFonts w:hint="eastAsia" w:ascii="仿宋" w:hAnsi="仿宋" w:eastAsia="仿宋"/>
          <w:bCs/>
          <w:sz w:val="24"/>
          <w:highlight w:val="none"/>
        </w:rPr>
      </w:pPr>
      <w:r>
        <w:rPr>
          <w:rFonts w:hint="eastAsia" w:ascii="仿宋" w:hAnsi="仿宋" w:eastAsia="仿宋"/>
          <w:bCs/>
          <w:sz w:val="24"/>
          <w:highlight w:val="none"/>
        </w:rPr>
        <w:t>投标人名称：</w:t>
      </w:r>
    </w:p>
    <w:p w14:paraId="6231B5B3">
      <w:pPr>
        <w:pStyle w:val="7"/>
        <w:rPr>
          <w:highlight w:val="none"/>
        </w:rPr>
      </w:pPr>
    </w:p>
    <w:p w14:paraId="0823B09C">
      <w:pPr>
        <w:pStyle w:val="7"/>
        <w:rPr>
          <w:highlight w:val="none"/>
        </w:rPr>
      </w:pPr>
    </w:p>
    <w:p w14:paraId="05EB0ABC">
      <w:pPr>
        <w:snapToGrid w:val="0"/>
        <w:spacing w:before="120" w:beforeLines="50" w:after="50"/>
        <w:ind w:firstLine="645"/>
        <w:rPr>
          <w:rFonts w:hint="eastAsia" w:ascii="仿宋" w:hAnsi="仿宋" w:eastAsia="仿宋"/>
          <w:sz w:val="24"/>
          <w:highlight w:val="none"/>
        </w:rPr>
      </w:pPr>
      <w:r>
        <w:rPr>
          <w:rFonts w:hint="eastAsia" w:ascii="仿宋" w:hAnsi="仿宋" w:eastAsia="仿宋"/>
          <w:sz w:val="24"/>
          <w:highlight w:val="none"/>
        </w:rPr>
        <w:t xml:space="preserve">                          年 </w:t>
      </w:r>
      <w:r>
        <w:rPr>
          <w:rFonts w:ascii="仿宋" w:hAnsi="仿宋" w:eastAsia="仿宋"/>
          <w:sz w:val="24"/>
          <w:highlight w:val="none"/>
        </w:rPr>
        <w:t xml:space="preserve"> </w:t>
      </w:r>
      <w:r>
        <w:rPr>
          <w:rFonts w:hint="eastAsia" w:ascii="仿宋" w:hAnsi="仿宋" w:eastAsia="仿宋"/>
          <w:sz w:val="24"/>
          <w:highlight w:val="none"/>
        </w:rPr>
        <w:t xml:space="preserve"> </w:t>
      </w:r>
      <w:r>
        <w:rPr>
          <w:rFonts w:ascii="仿宋" w:hAnsi="仿宋" w:eastAsia="仿宋"/>
          <w:sz w:val="24"/>
          <w:highlight w:val="none"/>
        </w:rPr>
        <w:t xml:space="preserve"> </w:t>
      </w:r>
      <w:r>
        <w:rPr>
          <w:rFonts w:hint="eastAsia" w:ascii="仿宋" w:hAnsi="仿宋" w:eastAsia="仿宋"/>
          <w:sz w:val="24"/>
          <w:highlight w:val="none"/>
        </w:rPr>
        <w:t xml:space="preserve"> 月    日</w:t>
      </w:r>
    </w:p>
    <w:p w14:paraId="4B2C0ADB">
      <w:pPr>
        <w:snapToGrid w:val="0"/>
        <w:spacing w:before="120" w:beforeLines="50" w:after="50"/>
        <w:rPr>
          <w:rFonts w:hint="eastAsia" w:ascii="仿宋" w:hAnsi="仿宋" w:eastAsia="仿宋"/>
          <w:sz w:val="24"/>
          <w:szCs w:val="20"/>
          <w:highlight w:val="none"/>
        </w:rPr>
      </w:pPr>
      <w:r>
        <w:rPr>
          <w:rFonts w:ascii="仿宋" w:hAnsi="仿宋" w:eastAsia="仿宋"/>
          <w:sz w:val="24"/>
          <w:szCs w:val="20"/>
          <w:highlight w:val="none"/>
        </w:rPr>
        <w:t xml:space="preserve"> </w:t>
      </w:r>
    </w:p>
    <w:p w14:paraId="2F1A6847">
      <w:pPr>
        <w:snapToGrid w:val="0"/>
        <w:spacing w:line="360" w:lineRule="auto"/>
        <w:jc w:val="left"/>
        <w:rPr>
          <w:rFonts w:hint="eastAsia" w:ascii="仿宋" w:hAnsi="仿宋" w:eastAsia="仿宋"/>
          <w:b/>
          <w:bCs/>
          <w:sz w:val="28"/>
          <w:szCs w:val="28"/>
          <w:highlight w:val="none"/>
        </w:rPr>
      </w:pPr>
      <w:r>
        <w:rPr>
          <w:rFonts w:ascii="仿宋" w:hAnsi="仿宋" w:eastAsia="仿宋"/>
          <w:sz w:val="24"/>
          <w:szCs w:val="20"/>
          <w:highlight w:val="none"/>
        </w:rPr>
        <w:br w:type="page"/>
      </w:r>
      <w:r>
        <w:rPr>
          <w:rFonts w:hint="eastAsia" w:ascii="仿宋" w:hAnsi="仿宋" w:eastAsia="仿宋"/>
          <w:b/>
          <w:bCs/>
          <w:sz w:val="24"/>
          <w:highlight w:val="none"/>
        </w:rPr>
        <w:t>2.商务文件目录</w:t>
      </w:r>
    </w:p>
    <w:p w14:paraId="07465E42">
      <w:pPr>
        <w:snapToGrid w:val="0"/>
        <w:spacing w:before="50" w:after="120" w:afterLines="50" w:line="360" w:lineRule="auto"/>
        <w:ind w:firstLine="480" w:firstLineChars="200"/>
        <w:jc w:val="left"/>
        <w:rPr>
          <w:rFonts w:hint="eastAsia" w:ascii="仿宋" w:hAnsi="仿宋" w:eastAsia="仿宋"/>
          <w:b/>
          <w:bCs/>
          <w:sz w:val="32"/>
          <w:szCs w:val="32"/>
          <w:highlight w:val="none"/>
        </w:rPr>
      </w:pPr>
      <w:r>
        <w:rPr>
          <w:rFonts w:hint="eastAsia" w:ascii="仿宋" w:hAnsi="仿宋" w:eastAsia="仿宋"/>
          <w:sz w:val="24"/>
          <w:highlight w:val="none"/>
        </w:rPr>
        <w:t>根据招标文件规定及投标人提供的材料自行编写目录。</w:t>
      </w:r>
    </w:p>
    <w:p w14:paraId="52A35CC0">
      <w:pPr>
        <w:snapToGrid w:val="0"/>
        <w:spacing w:before="50" w:after="120" w:afterLines="50"/>
        <w:jc w:val="left"/>
        <w:rPr>
          <w:rFonts w:hint="eastAsia" w:ascii="仿宋" w:hAnsi="仿宋" w:eastAsia="仿宋"/>
          <w:highlight w:val="none"/>
        </w:rPr>
      </w:pPr>
    </w:p>
    <w:p w14:paraId="67E411EB">
      <w:pPr>
        <w:snapToGrid w:val="0"/>
        <w:spacing w:before="120" w:beforeLines="50" w:after="50"/>
        <w:jc w:val="left"/>
        <w:rPr>
          <w:rFonts w:hint="eastAsia" w:ascii="仿宋" w:hAnsi="仿宋" w:eastAsia="仿宋"/>
          <w:b/>
          <w:sz w:val="24"/>
          <w:highlight w:val="none"/>
        </w:rPr>
      </w:pPr>
      <w:r>
        <w:rPr>
          <w:rFonts w:ascii="仿宋" w:hAnsi="仿宋" w:eastAsia="仿宋"/>
          <w:b/>
          <w:sz w:val="24"/>
          <w:highlight w:val="none"/>
        </w:rPr>
        <w:br w:type="page"/>
      </w:r>
      <w:r>
        <w:rPr>
          <w:rFonts w:hint="eastAsia" w:ascii="仿宋" w:hAnsi="仿宋" w:eastAsia="仿宋"/>
          <w:b/>
          <w:sz w:val="24"/>
          <w:highlight w:val="none"/>
        </w:rPr>
        <w:t>3.投标人参加本项目无围标串标行为的承诺</w:t>
      </w:r>
    </w:p>
    <w:p w14:paraId="59FE621F">
      <w:pPr>
        <w:snapToGrid w:val="0"/>
        <w:spacing w:before="120" w:beforeLines="50" w:after="50"/>
        <w:jc w:val="left"/>
        <w:rPr>
          <w:rFonts w:hint="eastAsia" w:ascii="仿宋" w:hAnsi="仿宋" w:eastAsia="仿宋"/>
          <w:b/>
          <w:sz w:val="24"/>
          <w:highlight w:val="none"/>
        </w:rPr>
      </w:pPr>
    </w:p>
    <w:p w14:paraId="0D9941A5">
      <w:pPr>
        <w:spacing w:line="360" w:lineRule="auto"/>
        <w:ind w:left="420"/>
        <w:contextualSpacing/>
        <w:jc w:val="center"/>
        <w:rPr>
          <w:rFonts w:hint="eastAsia" w:ascii="仿宋" w:hAnsi="仿宋" w:eastAsia="仿宋"/>
          <w:b/>
          <w:sz w:val="24"/>
          <w:highlight w:val="none"/>
        </w:rPr>
      </w:pPr>
      <w:r>
        <w:rPr>
          <w:rFonts w:hint="eastAsia" w:ascii="仿宋" w:hAnsi="仿宋" w:eastAsia="仿宋" w:cs="方正小标宋简体"/>
          <w:bCs/>
          <w:spacing w:val="-11"/>
          <w:sz w:val="44"/>
          <w:szCs w:val="44"/>
          <w:highlight w:val="none"/>
        </w:rPr>
        <w:t>投标人参加本项目无围标串标行为的承诺函</w:t>
      </w:r>
    </w:p>
    <w:p w14:paraId="14026A82">
      <w:pPr>
        <w:spacing w:line="440" w:lineRule="exact"/>
        <w:contextualSpacing/>
        <w:jc w:val="left"/>
        <w:rPr>
          <w:rFonts w:hint="eastAsia" w:ascii="仿宋" w:hAnsi="仿宋" w:eastAsia="仿宋"/>
          <w:b/>
          <w:sz w:val="24"/>
          <w:highlight w:val="none"/>
        </w:rPr>
      </w:pPr>
      <w:r>
        <w:rPr>
          <w:rFonts w:hint="eastAsia" w:ascii="仿宋" w:hAnsi="仿宋" w:eastAsia="仿宋"/>
          <w:b/>
          <w:sz w:val="24"/>
          <w:highlight w:val="none"/>
        </w:rPr>
        <w:t>一、我方承诺无下列相互串通投标的情形：</w:t>
      </w:r>
    </w:p>
    <w:p w14:paraId="66145D37">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1.不同投标人的投标文件由同一单位或者个人编制；</w:t>
      </w:r>
    </w:p>
    <w:p w14:paraId="40419E9D">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2.不同投标人委托同一单位或者个人办理投标事宜；</w:t>
      </w:r>
    </w:p>
    <w:p w14:paraId="37247EFD">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3.不同的投标人的投标文件载明的项目管理员为同一个人；</w:t>
      </w:r>
    </w:p>
    <w:p w14:paraId="2111C8BE">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4.不同投标人的投标文件异常一致或者投标报价呈规律性差异；</w:t>
      </w:r>
    </w:p>
    <w:p w14:paraId="405DCDAF">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5.不同投标人的投标文件相互混装；</w:t>
      </w:r>
    </w:p>
    <w:p w14:paraId="4DF51ED5">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6.不同投标人的投标保证金从同一单位或者个人账户转出。</w:t>
      </w:r>
    </w:p>
    <w:p w14:paraId="6432D3CA">
      <w:pPr>
        <w:spacing w:line="440" w:lineRule="exact"/>
        <w:contextualSpacing/>
        <w:jc w:val="left"/>
        <w:rPr>
          <w:rFonts w:hint="eastAsia" w:ascii="仿宋" w:hAnsi="仿宋" w:eastAsia="仿宋"/>
          <w:sz w:val="24"/>
          <w:highlight w:val="none"/>
        </w:rPr>
      </w:pPr>
      <w:r>
        <w:rPr>
          <w:rFonts w:hint="eastAsia" w:ascii="仿宋" w:hAnsi="仿宋" w:eastAsia="仿宋"/>
          <w:b/>
          <w:sz w:val="24"/>
          <w:highlight w:val="none"/>
        </w:rPr>
        <w:t>二、我方承诺无下列恶意串通的情形：</w:t>
      </w:r>
    </w:p>
    <w:p w14:paraId="5FCB47A1">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1.投标人直接或者间接从采购人或者采购代理机构处获得其他投标人的相关信息并修改其投标文件或者响应文件；</w:t>
      </w:r>
    </w:p>
    <w:p w14:paraId="2844ABFA">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2.投标人按照采购人或者采购代理机构的授意撤换、修改投标文件或者响应文件；</w:t>
      </w:r>
    </w:p>
    <w:p w14:paraId="3035753C">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3.投标人之间协商报价、技术方案等投标文件或者响应文件的实质性内容；</w:t>
      </w:r>
    </w:p>
    <w:p w14:paraId="0D3B798A">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4.属于同一集团、协会、商会等组织成员的投标人按照该组织要求协同参加政府采购活动；</w:t>
      </w:r>
    </w:p>
    <w:p w14:paraId="65FC07D9">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5.投标人之间事先约定一致抬高或者压低投标报价，或者在招标项目中事先约定轮流以高价位或者低价位中标，或者事先约定由某一特定投标人中标，然后再参加投标；</w:t>
      </w:r>
    </w:p>
    <w:p w14:paraId="277B771D">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6.投标人之间商定部分投标人放弃参加政府采购活动或者放弃中标；</w:t>
      </w:r>
    </w:p>
    <w:p w14:paraId="57CC201F">
      <w:pPr>
        <w:spacing w:line="440" w:lineRule="exact"/>
        <w:ind w:firstLine="470" w:firstLineChars="196"/>
        <w:contextualSpacing/>
        <w:jc w:val="left"/>
        <w:rPr>
          <w:rFonts w:hint="eastAsia" w:ascii="仿宋" w:hAnsi="仿宋" w:eastAsia="仿宋"/>
          <w:sz w:val="24"/>
          <w:highlight w:val="none"/>
        </w:rPr>
      </w:pPr>
      <w:r>
        <w:rPr>
          <w:rFonts w:hint="eastAsia" w:ascii="仿宋" w:hAnsi="仿宋" w:eastAsia="仿宋"/>
          <w:sz w:val="24"/>
          <w:highlight w:val="none"/>
        </w:rPr>
        <w:t>7.投标人与采购人或者采购代理机构之间、投标人相互之间，为谋求特定投标人中标或者排斥其他投标人的其他串通行为。</w:t>
      </w:r>
    </w:p>
    <w:p w14:paraId="28860251">
      <w:pPr>
        <w:spacing w:line="440" w:lineRule="exact"/>
        <w:ind w:firstLine="472" w:firstLineChars="196"/>
        <w:contextualSpacing/>
        <w:jc w:val="left"/>
        <w:rPr>
          <w:rFonts w:hint="eastAsia" w:ascii="仿宋" w:hAnsi="仿宋" w:eastAsia="仿宋"/>
          <w:b/>
          <w:sz w:val="24"/>
          <w:highlight w:val="none"/>
        </w:rPr>
      </w:pPr>
      <w:r>
        <w:rPr>
          <w:rFonts w:hint="eastAsia" w:ascii="仿宋" w:hAnsi="仿宋" w:eastAsia="仿宋"/>
          <w:b/>
          <w:sz w:val="24"/>
          <w:highlight w:val="none"/>
        </w:rPr>
        <w:t>以上情形一经核查属实，我方愿意承担一切后果，并不再寻求任何旨在减轻或者免除法律责任的辩解。</w:t>
      </w:r>
    </w:p>
    <w:p w14:paraId="306C57EA">
      <w:pPr>
        <w:pStyle w:val="25"/>
        <w:rPr>
          <w:rFonts w:hint="eastAsia"/>
          <w:highlight w:val="none"/>
        </w:rPr>
      </w:pPr>
    </w:p>
    <w:p w14:paraId="0F5615AD">
      <w:pPr>
        <w:pStyle w:val="25"/>
        <w:rPr>
          <w:rFonts w:hint="eastAsia"/>
          <w:b w:val="0"/>
          <w:highlight w:val="none"/>
        </w:rPr>
      </w:pPr>
      <w:r>
        <w:rPr>
          <w:rFonts w:hint="eastAsia"/>
          <w:highlight w:val="none"/>
        </w:rPr>
        <w:t xml:space="preserve"> </w:t>
      </w:r>
      <w:r>
        <w:rPr>
          <w:highlight w:val="none"/>
        </w:rPr>
        <w:t xml:space="preserve">                                </w:t>
      </w:r>
      <w:r>
        <w:rPr>
          <w:b w:val="0"/>
          <w:highlight w:val="none"/>
        </w:rPr>
        <w:t xml:space="preserve">   </w:t>
      </w:r>
      <w:r>
        <w:rPr>
          <w:rFonts w:hint="eastAsia"/>
          <w:b w:val="0"/>
          <w:highlight w:val="none"/>
        </w:rPr>
        <w:t>投标人（</w:t>
      </w:r>
      <w:r>
        <w:rPr>
          <w:rFonts w:hint="eastAsia"/>
          <w:b w:val="0"/>
          <w:highlight w:val="none"/>
          <w:lang w:val="en-US" w:eastAsia="zh-CN"/>
        </w:rPr>
        <w:t>CA</w:t>
      </w:r>
      <w:r>
        <w:rPr>
          <w:rFonts w:hint="eastAsia"/>
          <w:b w:val="0"/>
          <w:highlight w:val="none"/>
        </w:rPr>
        <w:t>公章）：</w:t>
      </w:r>
      <w:r>
        <w:rPr>
          <w:rFonts w:hint="eastAsia"/>
          <w:b w:val="0"/>
          <w:highlight w:val="none"/>
          <w:u w:val="single"/>
        </w:rPr>
        <w:t xml:space="preserve">                      </w:t>
      </w:r>
    </w:p>
    <w:p w14:paraId="7D00209C">
      <w:pPr>
        <w:pStyle w:val="25"/>
        <w:ind w:firstLine="480"/>
        <w:rPr>
          <w:rFonts w:hint="eastAsia"/>
          <w:b w:val="0"/>
          <w:highlight w:val="none"/>
        </w:rPr>
      </w:pPr>
      <w:r>
        <w:rPr>
          <w:rFonts w:hint="eastAsia"/>
          <w:b w:val="0"/>
          <w:highlight w:val="none"/>
        </w:rPr>
        <w:t xml:space="preserve">                                            </w:t>
      </w:r>
      <w:r>
        <w:rPr>
          <w:b w:val="0"/>
          <w:highlight w:val="none"/>
        </w:rPr>
        <w:t xml:space="preserve">   </w:t>
      </w:r>
      <w:r>
        <w:rPr>
          <w:rFonts w:hint="eastAsia"/>
          <w:b w:val="0"/>
          <w:highlight w:val="none"/>
        </w:rPr>
        <w:t xml:space="preserve">    </w:t>
      </w:r>
      <w:r>
        <w:rPr>
          <w:rFonts w:hint="eastAsia"/>
          <w:b w:val="0"/>
          <w:highlight w:val="none"/>
          <w:u w:val="single"/>
        </w:rPr>
        <w:t xml:space="preserve">      </w:t>
      </w:r>
      <w:r>
        <w:rPr>
          <w:rFonts w:hint="eastAsia"/>
          <w:b w:val="0"/>
          <w:highlight w:val="none"/>
        </w:rPr>
        <w:t>年</w:t>
      </w:r>
      <w:r>
        <w:rPr>
          <w:rFonts w:hint="eastAsia"/>
          <w:b w:val="0"/>
          <w:highlight w:val="none"/>
          <w:u w:val="single"/>
        </w:rPr>
        <w:t xml:space="preserve">    </w:t>
      </w:r>
      <w:r>
        <w:rPr>
          <w:rFonts w:hint="eastAsia"/>
          <w:b w:val="0"/>
          <w:highlight w:val="none"/>
        </w:rPr>
        <w:t>月</w:t>
      </w:r>
      <w:r>
        <w:rPr>
          <w:rFonts w:hint="eastAsia"/>
          <w:b w:val="0"/>
          <w:highlight w:val="none"/>
          <w:u w:val="single"/>
        </w:rPr>
        <w:t xml:space="preserve">     </w:t>
      </w:r>
      <w:r>
        <w:rPr>
          <w:rFonts w:hint="eastAsia"/>
          <w:b w:val="0"/>
          <w:highlight w:val="none"/>
        </w:rPr>
        <w:t>日</w:t>
      </w:r>
    </w:p>
    <w:p w14:paraId="0E28886C">
      <w:pPr>
        <w:snapToGrid w:val="0"/>
        <w:spacing w:before="120" w:beforeLines="50" w:after="50"/>
        <w:jc w:val="left"/>
        <w:rPr>
          <w:rFonts w:hint="eastAsia" w:ascii="仿宋" w:hAnsi="仿宋" w:eastAsia="仿宋"/>
          <w:b/>
          <w:sz w:val="24"/>
          <w:highlight w:val="none"/>
        </w:rPr>
      </w:pPr>
    </w:p>
    <w:p w14:paraId="62F3D63D">
      <w:pPr>
        <w:snapToGrid w:val="0"/>
        <w:spacing w:before="120" w:beforeLines="50" w:after="50"/>
        <w:jc w:val="left"/>
        <w:rPr>
          <w:rFonts w:hint="eastAsia" w:ascii="仿宋" w:hAnsi="仿宋" w:eastAsia="仿宋"/>
          <w:b/>
          <w:sz w:val="24"/>
          <w:highlight w:val="none"/>
        </w:rPr>
      </w:pPr>
    </w:p>
    <w:p w14:paraId="2D1ED65D">
      <w:pPr>
        <w:snapToGrid w:val="0"/>
        <w:spacing w:before="120" w:beforeLines="50" w:after="50"/>
        <w:jc w:val="left"/>
        <w:rPr>
          <w:rFonts w:hint="eastAsia" w:ascii="仿宋" w:hAnsi="仿宋" w:eastAsia="仿宋"/>
          <w:b/>
          <w:sz w:val="24"/>
          <w:highlight w:val="none"/>
        </w:rPr>
      </w:pPr>
    </w:p>
    <w:p w14:paraId="62320ADB">
      <w:pPr>
        <w:snapToGrid w:val="0"/>
        <w:spacing w:before="120" w:beforeLines="50" w:after="50"/>
        <w:jc w:val="left"/>
        <w:rPr>
          <w:rFonts w:hint="eastAsia" w:ascii="仿宋" w:hAnsi="仿宋" w:eastAsia="仿宋"/>
          <w:b/>
          <w:sz w:val="24"/>
          <w:highlight w:val="none"/>
        </w:rPr>
      </w:pPr>
    </w:p>
    <w:p w14:paraId="26685476">
      <w:pPr>
        <w:snapToGrid w:val="0"/>
        <w:spacing w:before="120" w:beforeLines="50" w:after="50"/>
        <w:jc w:val="left"/>
        <w:rPr>
          <w:rFonts w:hint="eastAsia" w:ascii="仿宋" w:hAnsi="仿宋" w:eastAsia="仿宋"/>
          <w:b/>
          <w:sz w:val="24"/>
          <w:highlight w:val="none"/>
        </w:rPr>
      </w:pPr>
    </w:p>
    <w:p w14:paraId="4E88DFE2">
      <w:pPr>
        <w:snapToGrid w:val="0"/>
        <w:spacing w:before="120" w:beforeLines="50" w:after="50"/>
        <w:jc w:val="left"/>
        <w:rPr>
          <w:rFonts w:hint="eastAsia" w:ascii="仿宋" w:hAnsi="仿宋" w:eastAsia="仿宋"/>
          <w:b/>
          <w:sz w:val="24"/>
          <w:szCs w:val="20"/>
          <w:highlight w:val="none"/>
        </w:rPr>
      </w:pPr>
      <w:r>
        <w:rPr>
          <w:rFonts w:hint="eastAsia" w:ascii="仿宋" w:hAnsi="仿宋" w:eastAsia="仿宋"/>
          <w:b/>
          <w:sz w:val="24"/>
          <w:highlight w:val="none"/>
        </w:rPr>
        <w:t>4.法定代表人身份证明</w:t>
      </w:r>
    </w:p>
    <w:p w14:paraId="5A093394">
      <w:pPr>
        <w:spacing w:before="240" w:beforeLines="100" w:after="120" w:afterLines="50"/>
        <w:ind w:left="540"/>
        <w:jc w:val="center"/>
        <w:rPr>
          <w:rFonts w:hint="eastAsia" w:ascii="仿宋" w:hAnsi="仿宋" w:eastAsia="仿宋" w:cs="方正小标宋简体"/>
          <w:bCs/>
          <w:sz w:val="44"/>
          <w:szCs w:val="44"/>
          <w:highlight w:val="none"/>
        </w:rPr>
      </w:pPr>
      <w:r>
        <w:rPr>
          <w:rFonts w:hint="eastAsia" w:ascii="仿宋" w:hAnsi="仿宋" w:eastAsia="仿宋" w:cs="方正小标宋简体"/>
          <w:bCs/>
          <w:sz w:val="44"/>
          <w:szCs w:val="44"/>
          <w:highlight w:val="none"/>
        </w:rPr>
        <w:t>法定代表人身份证明</w:t>
      </w:r>
    </w:p>
    <w:p w14:paraId="2E3E7CD0">
      <w:pPr>
        <w:spacing w:line="500" w:lineRule="exact"/>
        <w:ind w:left="540"/>
        <w:rPr>
          <w:rFonts w:hint="eastAsia" w:ascii="仿宋" w:hAnsi="仿宋" w:eastAsia="仿宋"/>
          <w:sz w:val="24"/>
          <w:highlight w:val="none"/>
        </w:rPr>
      </w:pPr>
      <w:r>
        <w:rPr>
          <w:rFonts w:hint="eastAsia" w:ascii="仿宋" w:hAnsi="仿宋" w:eastAsia="仿宋"/>
          <w:sz w:val="24"/>
          <w:highlight w:val="none"/>
        </w:rPr>
        <w:t>投 标 人：</w:t>
      </w:r>
      <w:r>
        <w:rPr>
          <w:rFonts w:hint="eastAsia" w:ascii="仿宋" w:hAnsi="仿宋" w:eastAsia="仿宋"/>
          <w:sz w:val="24"/>
          <w:highlight w:val="none"/>
          <w:u w:val="single"/>
        </w:rPr>
        <w:t xml:space="preserve">                                                        </w:t>
      </w:r>
    </w:p>
    <w:p w14:paraId="066526BF">
      <w:pPr>
        <w:spacing w:line="500" w:lineRule="exact"/>
        <w:ind w:left="540"/>
        <w:rPr>
          <w:rFonts w:hint="eastAsia" w:ascii="仿宋" w:hAnsi="仿宋" w:eastAsia="仿宋"/>
          <w:sz w:val="24"/>
          <w:highlight w:val="none"/>
        </w:rPr>
      </w:pPr>
      <w:r>
        <w:rPr>
          <w:rFonts w:hint="eastAsia" w:ascii="仿宋" w:hAnsi="仿宋" w:eastAsia="仿宋"/>
          <w:sz w:val="24"/>
          <w:highlight w:val="none"/>
        </w:rPr>
        <w:t>地    址：</w:t>
      </w:r>
      <w:r>
        <w:rPr>
          <w:rFonts w:hint="eastAsia" w:ascii="仿宋" w:hAnsi="仿宋" w:eastAsia="仿宋"/>
          <w:sz w:val="24"/>
          <w:highlight w:val="none"/>
          <w:u w:val="single"/>
        </w:rPr>
        <w:t xml:space="preserve">                                                        </w:t>
      </w:r>
    </w:p>
    <w:p w14:paraId="31F21700">
      <w:pPr>
        <w:spacing w:line="500" w:lineRule="exact"/>
        <w:ind w:left="540"/>
        <w:rPr>
          <w:rFonts w:hint="eastAsia" w:ascii="仿宋" w:hAnsi="仿宋" w:eastAsia="仿宋"/>
          <w:sz w:val="24"/>
          <w:highlight w:val="none"/>
        </w:rPr>
      </w:pPr>
      <w:r>
        <w:rPr>
          <w:rFonts w:hint="eastAsia" w:ascii="仿宋" w:hAnsi="仿宋" w:eastAsia="仿宋"/>
          <w:sz w:val="24"/>
          <w:highlight w:val="none"/>
        </w:rPr>
        <w:t>姓    名：</w:t>
      </w:r>
      <w:r>
        <w:rPr>
          <w:rFonts w:hint="eastAsia" w:ascii="仿宋" w:hAnsi="仿宋" w:eastAsia="仿宋"/>
          <w:sz w:val="24"/>
          <w:highlight w:val="none"/>
          <w:u w:val="single"/>
        </w:rPr>
        <w:t xml:space="preserve">                          </w:t>
      </w:r>
      <w:r>
        <w:rPr>
          <w:rFonts w:hint="eastAsia" w:ascii="仿宋" w:hAnsi="仿宋" w:eastAsia="仿宋"/>
          <w:sz w:val="24"/>
          <w:highlight w:val="none"/>
        </w:rPr>
        <w:t>性      别：</w:t>
      </w:r>
      <w:r>
        <w:rPr>
          <w:rFonts w:hint="eastAsia" w:ascii="仿宋" w:hAnsi="仿宋" w:eastAsia="仿宋"/>
          <w:sz w:val="24"/>
          <w:highlight w:val="none"/>
          <w:u w:val="single"/>
        </w:rPr>
        <w:t xml:space="preserve">                </w:t>
      </w:r>
    </w:p>
    <w:p w14:paraId="56E42250">
      <w:pPr>
        <w:spacing w:line="500" w:lineRule="exact"/>
        <w:ind w:left="540"/>
        <w:rPr>
          <w:rFonts w:hint="eastAsia" w:ascii="仿宋" w:hAnsi="仿宋" w:eastAsia="仿宋"/>
          <w:sz w:val="24"/>
          <w:highlight w:val="none"/>
          <w:u w:val="single"/>
        </w:rPr>
      </w:pPr>
      <w:r>
        <w:rPr>
          <w:rFonts w:hint="eastAsia" w:ascii="仿宋" w:hAnsi="仿宋" w:eastAsia="仿宋"/>
          <w:sz w:val="24"/>
          <w:highlight w:val="none"/>
        </w:rPr>
        <w:t>年    龄：</w:t>
      </w:r>
      <w:r>
        <w:rPr>
          <w:rFonts w:hint="eastAsia" w:ascii="仿宋" w:hAnsi="仿宋" w:eastAsia="仿宋"/>
          <w:sz w:val="24"/>
          <w:highlight w:val="none"/>
          <w:u w:val="single"/>
        </w:rPr>
        <w:t xml:space="preserve">                          </w:t>
      </w:r>
      <w:r>
        <w:rPr>
          <w:rFonts w:hint="eastAsia" w:ascii="仿宋" w:hAnsi="仿宋" w:eastAsia="仿宋"/>
          <w:sz w:val="24"/>
          <w:highlight w:val="none"/>
        </w:rPr>
        <w:t>职      务：</w:t>
      </w:r>
      <w:r>
        <w:rPr>
          <w:rFonts w:hint="eastAsia" w:ascii="仿宋" w:hAnsi="仿宋" w:eastAsia="仿宋"/>
          <w:sz w:val="24"/>
          <w:highlight w:val="none"/>
          <w:u w:val="single"/>
        </w:rPr>
        <w:t xml:space="preserve">                </w:t>
      </w:r>
    </w:p>
    <w:p w14:paraId="7806CF1E">
      <w:pPr>
        <w:spacing w:line="500" w:lineRule="exact"/>
        <w:ind w:left="540"/>
        <w:rPr>
          <w:rFonts w:hint="eastAsia" w:ascii="仿宋" w:hAnsi="仿宋" w:eastAsia="仿宋"/>
          <w:sz w:val="24"/>
          <w:highlight w:val="none"/>
        </w:rPr>
      </w:pPr>
      <w:r>
        <w:rPr>
          <w:rFonts w:hint="eastAsia" w:ascii="仿宋" w:hAnsi="仿宋" w:eastAsia="仿宋"/>
          <w:sz w:val="24"/>
          <w:highlight w:val="none"/>
        </w:rPr>
        <w:t>身份证号码：</w:t>
      </w:r>
      <w:r>
        <w:rPr>
          <w:rFonts w:hint="eastAsia" w:ascii="仿宋" w:hAnsi="仿宋" w:eastAsia="仿宋"/>
          <w:sz w:val="24"/>
          <w:highlight w:val="none"/>
          <w:u w:val="single"/>
        </w:rPr>
        <w:t xml:space="preserve">                                 </w:t>
      </w:r>
    </w:p>
    <w:p w14:paraId="613E4757">
      <w:pPr>
        <w:spacing w:line="500" w:lineRule="exact"/>
        <w:ind w:left="540"/>
        <w:rPr>
          <w:rFonts w:hint="eastAsia" w:ascii="仿宋" w:hAnsi="仿宋" w:eastAsia="仿宋"/>
          <w:sz w:val="24"/>
          <w:highlight w:val="none"/>
        </w:rPr>
      </w:pPr>
      <w:r>
        <w:rPr>
          <w:rFonts w:hint="eastAsia" w:ascii="仿宋" w:hAnsi="仿宋" w:eastAsia="仿宋"/>
          <w:sz w:val="24"/>
          <w:highlight w:val="none"/>
        </w:rPr>
        <w:t>系</w:t>
      </w:r>
      <w:r>
        <w:rPr>
          <w:rFonts w:hint="eastAsia" w:ascii="仿宋" w:hAnsi="仿宋" w:eastAsia="仿宋"/>
          <w:sz w:val="24"/>
          <w:highlight w:val="none"/>
          <w:u w:val="single"/>
        </w:rPr>
        <w:t xml:space="preserve">            （投标人名称）              </w:t>
      </w:r>
      <w:r>
        <w:rPr>
          <w:rFonts w:hint="eastAsia" w:ascii="仿宋" w:hAnsi="仿宋" w:eastAsia="仿宋"/>
          <w:sz w:val="24"/>
          <w:highlight w:val="none"/>
        </w:rPr>
        <w:t>的法定代表人。</w:t>
      </w:r>
    </w:p>
    <w:p w14:paraId="24C3E9B1">
      <w:pPr>
        <w:spacing w:line="500" w:lineRule="exact"/>
        <w:ind w:left="540"/>
        <w:rPr>
          <w:rFonts w:hint="eastAsia" w:ascii="仿宋" w:hAnsi="仿宋" w:eastAsia="仿宋"/>
          <w:sz w:val="24"/>
          <w:highlight w:val="none"/>
        </w:rPr>
      </w:pPr>
      <w:r>
        <w:rPr>
          <w:rFonts w:hint="eastAsia" w:ascii="仿宋" w:hAnsi="仿宋" w:eastAsia="仿宋"/>
          <w:sz w:val="24"/>
          <w:highlight w:val="none"/>
        </w:rPr>
        <w:t>特此证明。</w:t>
      </w:r>
    </w:p>
    <w:p w14:paraId="50BFFB07">
      <w:pPr>
        <w:spacing w:line="500" w:lineRule="exact"/>
        <w:ind w:left="540"/>
        <w:rPr>
          <w:rFonts w:hint="eastAsia" w:ascii="仿宋" w:hAnsi="仿宋" w:eastAsia="仿宋"/>
          <w:sz w:val="24"/>
          <w:highlight w:val="none"/>
        </w:rPr>
      </w:pPr>
    </w:p>
    <w:p w14:paraId="7DA42EB6">
      <w:pPr>
        <w:spacing w:line="500" w:lineRule="exact"/>
        <w:ind w:left="540"/>
        <w:rPr>
          <w:rFonts w:hint="eastAsia" w:ascii="仿宋" w:hAnsi="仿宋" w:eastAsia="仿宋"/>
          <w:sz w:val="24"/>
          <w:highlight w:val="none"/>
        </w:rPr>
      </w:pPr>
    </w:p>
    <w:p w14:paraId="4B48CDD7">
      <w:pPr>
        <w:spacing w:line="500" w:lineRule="exact"/>
        <w:ind w:left="540"/>
        <w:rPr>
          <w:rFonts w:hint="eastAsia" w:ascii="仿宋" w:hAnsi="仿宋" w:eastAsia="仿宋"/>
          <w:sz w:val="24"/>
          <w:highlight w:val="none"/>
        </w:rPr>
      </w:pPr>
      <w:r>
        <w:rPr>
          <w:rFonts w:hint="eastAsia" w:ascii="仿宋" w:hAnsi="仿宋" w:eastAsia="仿宋"/>
          <w:sz w:val="24"/>
          <w:highlight w:val="none"/>
        </w:rPr>
        <w:t>附件：法定代表人有效身份证正反面复印件</w:t>
      </w:r>
    </w:p>
    <w:p w14:paraId="7AED0113">
      <w:pPr>
        <w:spacing w:line="500" w:lineRule="exact"/>
        <w:ind w:left="540"/>
        <w:rPr>
          <w:rFonts w:hint="eastAsia" w:ascii="仿宋" w:hAnsi="仿宋" w:eastAsia="仿宋"/>
          <w:sz w:val="24"/>
          <w:highlight w:val="none"/>
        </w:rPr>
      </w:pPr>
    </w:p>
    <w:p w14:paraId="4D1A27AA">
      <w:pPr>
        <w:spacing w:line="500" w:lineRule="exact"/>
        <w:ind w:left="540" w:firstLine="5520" w:firstLineChars="2300"/>
        <w:jc w:val="left"/>
        <w:rPr>
          <w:rFonts w:hint="eastAsia" w:ascii="仿宋" w:hAnsi="仿宋" w:eastAsia="仿宋"/>
          <w:sz w:val="24"/>
          <w:highlight w:val="none"/>
        </w:rPr>
      </w:pPr>
      <w:r>
        <w:rPr>
          <w:rFonts w:hint="eastAsia" w:ascii="仿宋" w:hAnsi="仿宋" w:eastAsia="仿宋"/>
          <w:sz w:val="24"/>
          <w:highlight w:val="none"/>
        </w:rPr>
        <w:t>投标人（</w:t>
      </w:r>
      <w:r>
        <w:rPr>
          <w:rFonts w:hint="eastAsia" w:ascii="仿宋" w:hAnsi="仿宋" w:eastAsia="仿宋"/>
          <w:sz w:val="24"/>
          <w:highlight w:val="none"/>
          <w:lang w:val="en-US" w:eastAsia="zh-CN"/>
        </w:rPr>
        <w:t>CA</w:t>
      </w:r>
      <w:r>
        <w:rPr>
          <w:rFonts w:hint="eastAsia" w:ascii="仿宋" w:hAnsi="仿宋" w:eastAsia="仿宋"/>
          <w:sz w:val="24"/>
          <w:highlight w:val="none"/>
        </w:rPr>
        <w:t>公章）：</w:t>
      </w:r>
      <w:r>
        <w:rPr>
          <w:rFonts w:hint="eastAsia" w:ascii="仿宋" w:hAnsi="仿宋" w:eastAsia="仿宋"/>
          <w:sz w:val="24"/>
          <w:highlight w:val="none"/>
          <w:u w:val="single"/>
        </w:rPr>
        <w:t xml:space="preserve"> </w:t>
      </w:r>
      <w:r>
        <w:rPr>
          <w:rFonts w:hint="eastAsia"/>
          <w:highlight w:val="none"/>
          <w:u w:val="single"/>
        </w:rPr>
        <w:t xml:space="preserve">                    </w:t>
      </w:r>
    </w:p>
    <w:p w14:paraId="32E531B4">
      <w:pPr>
        <w:snapToGrid w:val="0"/>
        <w:spacing w:before="120" w:beforeLines="50" w:after="50"/>
        <w:ind w:left="540"/>
        <w:jc w:val="right"/>
        <w:rPr>
          <w:rFonts w:hint="eastAsia" w:ascii="仿宋" w:hAnsi="仿宋" w:eastAsia="仿宋"/>
          <w:sz w:val="24"/>
          <w:highlight w:val="none"/>
        </w:rPr>
      </w:pPr>
      <w:r>
        <w:rPr>
          <w:rFonts w:hint="eastAsia" w:ascii="仿宋" w:hAnsi="仿宋" w:eastAsia="仿宋"/>
          <w:sz w:val="24"/>
          <w:highlight w:val="none"/>
          <w:u w:val="single"/>
        </w:rPr>
        <w:t xml:space="preserve">         </w:t>
      </w:r>
      <w:r>
        <w:rPr>
          <w:rFonts w:hint="eastAsia" w:ascii="仿宋" w:hAnsi="仿宋" w:eastAsia="仿宋"/>
          <w:sz w:val="24"/>
          <w:highlight w:val="none"/>
        </w:rPr>
        <w:t>年</w:t>
      </w:r>
      <w:r>
        <w:rPr>
          <w:rFonts w:hint="eastAsia" w:ascii="仿宋" w:hAnsi="仿宋" w:eastAsia="仿宋"/>
          <w:sz w:val="24"/>
          <w:highlight w:val="none"/>
          <w:u w:val="single"/>
        </w:rPr>
        <w:t xml:space="preserve">        </w:t>
      </w:r>
      <w:r>
        <w:rPr>
          <w:rFonts w:hint="eastAsia" w:ascii="仿宋" w:hAnsi="仿宋" w:eastAsia="仿宋"/>
          <w:sz w:val="24"/>
          <w:highlight w:val="none"/>
        </w:rPr>
        <w:t>月</w:t>
      </w:r>
      <w:r>
        <w:rPr>
          <w:rFonts w:hint="eastAsia" w:ascii="仿宋" w:hAnsi="仿宋" w:eastAsia="仿宋"/>
          <w:sz w:val="24"/>
          <w:highlight w:val="none"/>
          <w:u w:val="single"/>
        </w:rPr>
        <w:t xml:space="preserve">        </w:t>
      </w:r>
      <w:r>
        <w:rPr>
          <w:rFonts w:hint="eastAsia" w:ascii="仿宋" w:hAnsi="仿宋" w:eastAsia="仿宋"/>
          <w:sz w:val="24"/>
          <w:highlight w:val="none"/>
        </w:rPr>
        <w:t>日</w:t>
      </w:r>
    </w:p>
    <w:p w14:paraId="5B747FF5">
      <w:pPr>
        <w:snapToGrid w:val="0"/>
        <w:spacing w:before="120" w:beforeLines="50" w:after="50"/>
        <w:jc w:val="center"/>
        <w:rPr>
          <w:rFonts w:hint="eastAsia" w:ascii="仿宋" w:hAnsi="仿宋" w:eastAsia="仿宋"/>
          <w:b/>
          <w:sz w:val="24"/>
          <w:highlight w:val="none"/>
        </w:rPr>
      </w:pPr>
    </w:p>
    <w:p w14:paraId="287FAB85">
      <w:pPr>
        <w:snapToGrid w:val="0"/>
        <w:spacing w:before="120" w:beforeLines="50" w:after="50"/>
        <w:jc w:val="left"/>
        <w:rPr>
          <w:rFonts w:hint="eastAsia" w:ascii="仿宋" w:hAnsi="仿宋" w:eastAsia="仿宋"/>
          <w:b/>
          <w:sz w:val="24"/>
          <w:szCs w:val="20"/>
          <w:highlight w:val="none"/>
        </w:rPr>
      </w:pPr>
      <w:r>
        <w:rPr>
          <w:rFonts w:hint="eastAsia" w:ascii="仿宋" w:hAnsi="仿宋" w:eastAsia="仿宋"/>
          <w:sz w:val="24"/>
          <w:highlight w:val="none"/>
        </w:rPr>
        <w:t>注：自然人投标的无需提供</w:t>
      </w:r>
    </w:p>
    <w:p w14:paraId="1490CC50">
      <w:pPr>
        <w:snapToGrid w:val="0"/>
        <w:spacing w:before="120" w:beforeLines="50" w:after="50"/>
        <w:jc w:val="left"/>
        <w:rPr>
          <w:rFonts w:hint="eastAsia" w:ascii="仿宋" w:hAnsi="仿宋" w:eastAsia="仿宋"/>
          <w:b/>
          <w:sz w:val="24"/>
          <w:szCs w:val="20"/>
          <w:highlight w:val="none"/>
        </w:rPr>
      </w:pPr>
      <w:r>
        <w:rPr>
          <w:rFonts w:ascii="仿宋" w:hAnsi="仿宋" w:eastAsia="仿宋"/>
          <w:b/>
          <w:sz w:val="24"/>
          <w:highlight w:val="none"/>
        </w:rPr>
        <w:br w:type="page"/>
      </w:r>
      <w:r>
        <w:rPr>
          <w:rFonts w:hint="eastAsia" w:ascii="仿宋" w:hAnsi="仿宋" w:eastAsia="仿宋"/>
          <w:b/>
          <w:sz w:val="24"/>
          <w:highlight w:val="none"/>
        </w:rPr>
        <w:t>5.授权委托书格式</w:t>
      </w:r>
    </w:p>
    <w:p w14:paraId="74BC46CC">
      <w:pPr>
        <w:snapToGrid w:val="0"/>
        <w:spacing w:before="120" w:beforeLines="50" w:after="50"/>
        <w:jc w:val="center"/>
        <w:rPr>
          <w:rFonts w:hint="eastAsia" w:ascii="仿宋" w:hAnsi="仿宋" w:eastAsia="仿宋"/>
          <w:b/>
          <w:sz w:val="44"/>
          <w:szCs w:val="44"/>
          <w:highlight w:val="none"/>
        </w:rPr>
      </w:pPr>
    </w:p>
    <w:p w14:paraId="3653A82F">
      <w:pPr>
        <w:spacing w:line="360" w:lineRule="auto"/>
        <w:contextualSpacing/>
        <w:jc w:val="center"/>
        <w:rPr>
          <w:rFonts w:hint="eastAsia" w:ascii="仿宋" w:hAnsi="仿宋" w:eastAsia="仿宋" w:cs="方正小标宋简体"/>
          <w:bCs/>
          <w:sz w:val="44"/>
          <w:szCs w:val="44"/>
          <w:highlight w:val="none"/>
        </w:rPr>
      </w:pPr>
      <w:r>
        <w:rPr>
          <w:rFonts w:hint="eastAsia" w:ascii="仿宋" w:hAnsi="仿宋" w:eastAsia="仿宋" w:cs="方正小标宋简体"/>
          <w:bCs/>
          <w:sz w:val="44"/>
          <w:szCs w:val="44"/>
          <w:highlight w:val="none"/>
        </w:rPr>
        <w:t>授权委托书</w:t>
      </w:r>
    </w:p>
    <w:p w14:paraId="16929156">
      <w:pPr>
        <w:spacing w:line="360" w:lineRule="auto"/>
        <w:contextualSpacing/>
        <w:jc w:val="center"/>
        <w:rPr>
          <w:rFonts w:hint="eastAsia" w:ascii="仿宋" w:hAnsi="仿宋" w:eastAsia="仿宋" w:cs="方正小标宋简体"/>
          <w:bCs/>
          <w:sz w:val="24"/>
          <w:highlight w:val="none"/>
        </w:rPr>
      </w:pPr>
      <w:r>
        <w:rPr>
          <w:rFonts w:hint="eastAsia" w:ascii="仿宋" w:hAnsi="仿宋" w:eastAsia="仿宋" w:cs="方正小标宋简体"/>
          <w:bCs/>
          <w:sz w:val="32"/>
          <w:szCs w:val="32"/>
          <w:highlight w:val="none"/>
        </w:rPr>
        <w:t>（如有委托时）</w:t>
      </w:r>
    </w:p>
    <w:p w14:paraId="0C826F9D">
      <w:pPr>
        <w:spacing w:line="440" w:lineRule="exact"/>
        <w:contextualSpacing/>
        <w:jc w:val="center"/>
        <w:rPr>
          <w:rFonts w:hint="eastAsia" w:ascii="仿宋" w:hAnsi="仿宋" w:eastAsia="仿宋"/>
          <w:b/>
          <w:sz w:val="24"/>
          <w:highlight w:val="none"/>
        </w:rPr>
      </w:pPr>
    </w:p>
    <w:p w14:paraId="63E440D8">
      <w:pPr>
        <w:spacing w:line="440" w:lineRule="exact"/>
        <w:contextualSpacing/>
        <w:rPr>
          <w:rFonts w:hint="eastAsia" w:ascii="仿宋" w:hAnsi="仿宋" w:eastAsia="仿宋"/>
          <w:b/>
          <w:bCs/>
          <w:sz w:val="24"/>
          <w:highlight w:val="none"/>
        </w:rPr>
      </w:pPr>
      <w:r>
        <w:rPr>
          <w:rFonts w:hint="eastAsia" w:ascii="仿宋" w:hAnsi="仿宋" w:eastAsia="仿宋"/>
          <w:bCs/>
          <w:sz w:val="24"/>
          <w:highlight w:val="none"/>
        </w:rPr>
        <w:t>致：</w:t>
      </w:r>
      <w:r>
        <w:rPr>
          <w:rFonts w:hint="eastAsia" w:ascii="仿宋" w:hAnsi="仿宋" w:eastAsia="仿宋"/>
          <w:sz w:val="24"/>
          <w:highlight w:val="none"/>
          <w:u w:val="single"/>
        </w:rPr>
        <w:t>采购人名称</w:t>
      </w:r>
    </w:p>
    <w:p w14:paraId="20567479">
      <w:pPr>
        <w:spacing w:line="440" w:lineRule="exact"/>
        <w:ind w:firstLine="566" w:firstLineChars="236"/>
        <w:contextualSpacing/>
        <w:rPr>
          <w:rFonts w:hint="eastAsia" w:ascii="仿宋" w:hAnsi="仿宋" w:eastAsia="仿宋"/>
          <w:sz w:val="24"/>
          <w:highlight w:val="none"/>
        </w:rPr>
      </w:pPr>
      <w:r>
        <w:rPr>
          <w:rFonts w:hint="eastAsia" w:ascii="仿宋" w:hAnsi="仿宋" w:eastAsia="仿宋"/>
          <w:sz w:val="24"/>
          <w:highlight w:val="none"/>
        </w:rPr>
        <w:t>我</w:t>
      </w:r>
      <w:r>
        <w:rPr>
          <w:rFonts w:hint="eastAsia" w:ascii="仿宋" w:hAnsi="仿宋" w:eastAsia="仿宋"/>
          <w:sz w:val="24"/>
          <w:highlight w:val="none"/>
          <w:u w:val="single"/>
        </w:rPr>
        <w:t xml:space="preserve">       </w:t>
      </w:r>
      <w:r>
        <w:rPr>
          <w:rFonts w:hint="eastAsia" w:ascii="仿宋" w:hAnsi="仿宋" w:eastAsia="仿宋"/>
          <w:sz w:val="24"/>
          <w:highlight w:val="none"/>
        </w:rPr>
        <w:t>（姓名）系</w:t>
      </w:r>
      <w:r>
        <w:rPr>
          <w:rFonts w:hint="eastAsia" w:ascii="仿宋" w:hAnsi="仿宋" w:eastAsia="仿宋"/>
          <w:sz w:val="24"/>
          <w:highlight w:val="none"/>
          <w:u w:val="single"/>
        </w:rPr>
        <w:t xml:space="preserve">      </w:t>
      </w:r>
      <w:r>
        <w:rPr>
          <w:rFonts w:hint="eastAsia" w:ascii="仿宋" w:hAnsi="仿宋" w:eastAsia="仿宋"/>
          <w:sz w:val="24"/>
          <w:highlight w:val="none"/>
        </w:rPr>
        <w:t>（投标人名称）的法定代表人，现授权委托</w:t>
      </w:r>
      <w:r>
        <w:rPr>
          <w:rFonts w:hint="eastAsia" w:ascii="仿宋" w:hAnsi="仿宋" w:eastAsia="仿宋"/>
          <w:sz w:val="24"/>
          <w:highlight w:val="none"/>
          <w:u w:val="single"/>
        </w:rPr>
        <w:t xml:space="preserve">              （姓名）</w:t>
      </w:r>
      <w:r>
        <w:rPr>
          <w:rFonts w:hint="eastAsia" w:ascii="仿宋" w:hAnsi="仿宋" w:eastAsia="仿宋"/>
          <w:sz w:val="24"/>
          <w:highlight w:val="none"/>
        </w:rPr>
        <w:t>以我方的名义参加</w:t>
      </w:r>
      <w:r>
        <w:rPr>
          <w:rFonts w:hint="eastAsia" w:ascii="仿宋" w:hAnsi="仿宋" w:eastAsia="仿宋"/>
          <w:sz w:val="24"/>
          <w:highlight w:val="none"/>
          <w:u w:val="single"/>
        </w:rPr>
        <w:t xml:space="preserve">              </w:t>
      </w:r>
      <w:r>
        <w:rPr>
          <w:rFonts w:hint="eastAsia" w:ascii="仿宋" w:hAnsi="仿宋" w:eastAsia="仿宋"/>
          <w:sz w:val="24"/>
          <w:highlight w:val="none"/>
        </w:rPr>
        <w:t>项目的投标活动，并代表我方全权办理针对上述项目的所有采购程序和环节的具体事务和签署相关文件。</w:t>
      </w:r>
    </w:p>
    <w:p w14:paraId="64C30B67">
      <w:pPr>
        <w:spacing w:line="440" w:lineRule="exact"/>
        <w:contextualSpacing/>
        <w:rPr>
          <w:rFonts w:hint="eastAsia" w:ascii="仿宋" w:hAnsi="仿宋" w:eastAsia="仿宋"/>
          <w:sz w:val="24"/>
          <w:highlight w:val="none"/>
        </w:rPr>
      </w:pPr>
      <w:r>
        <w:rPr>
          <w:rFonts w:hint="eastAsia" w:ascii="仿宋" w:hAnsi="仿宋" w:eastAsia="仿宋"/>
          <w:sz w:val="24"/>
          <w:highlight w:val="none"/>
        </w:rPr>
        <w:t xml:space="preserve">    我方对委托代理人的签字事项负全部责任。</w:t>
      </w:r>
    </w:p>
    <w:p w14:paraId="1CC700DE">
      <w:pPr>
        <w:spacing w:line="440" w:lineRule="exact"/>
        <w:ind w:firstLine="480"/>
        <w:contextualSpacing/>
        <w:rPr>
          <w:rFonts w:hint="eastAsia" w:ascii="仿宋" w:hAnsi="仿宋" w:eastAsia="仿宋"/>
          <w:sz w:val="24"/>
          <w:highlight w:val="none"/>
        </w:rPr>
      </w:pPr>
      <w:r>
        <w:rPr>
          <w:rFonts w:hint="eastAsia" w:ascii="仿宋" w:hAnsi="仿宋" w:eastAsia="仿宋"/>
          <w:sz w:val="24"/>
          <w:highlight w:val="none"/>
          <w:u w:val="single"/>
        </w:rPr>
        <w:t>本授权书自签署之日起生效，在撤销授权的书面通知以前，本授权书一直有效。委托代理人在授权书有效期内签署的所有文件不因授权的撤销而失效。</w:t>
      </w:r>
    </w:p>
    <w:p w14:paraId="577F9DE4">
      <w:pPr>
        <w:spacing w:line="440" w:lineRule="exact"/>
        <w:ind w:firstLine="480"/>
        <w:contextualSpacing/>
        <w:rPr>
          <w:rFonts w:hint="eastAsia" w:ascii="仿宋" w:hAnsi="仿宋" w:eastAsia="仿宋"/>
          <w:sz w:val="24"/>
          <w:highlight w:val="none"/>
        </w:rPr>
      </w:pPr>
      <w:r>
        <w:rPr>
          <w:rFonts w:hint="eastAsia" w:ascii="仿宋" w:hAnsi="仿宋" w:eastAsia="仿宋"/>
          <w:sz w:val="24"/>
          <w:highlight w:val="none"/>
        </w:rPr>
        <w:t>委托代理人无转委托权，特此委托。</w:t>
      </w:r>
    </w:p>
    <w:p w14:paraId="1B2C9405">
      <w:pPr>
        <w:spacing w:line="440" w:lineRule="exact"/>
        <w:ind w:firstLine="480"/>
        <w:contextualSpacing/>
        <w:rPr>
          <w:rFonts w:hint="eastAsia" w:ascii="仿宋" w:hAnsi="仿宋" w:eastAsia="仿宋"/>
          <w:sz w:val="24"/>
          <w:highlight w:val="none"/>
        </w:rPr>
      </w:pPr>
      <w:r>
        <w:rPr>
          <w:rFonts w:hint="eastAsia" w:ascii="仿宋" w:hAnsi="仿宋" w:eastAsia="仿宋"/>
          <w:sz w:val="24"/>
          <w:highlight w:val="none"/>
        </w:rPr>
        <w:t>附：法定代表人身份证明及委托代理人有效身份证正反面复印件</w:t>
      </w:r>
    </w:p>
    <w:p w14:paraId="5C36EFCD">
      <w:pPr>
        <w:spacing w:line="440" w:lineRule="exact"/>
        <w:contextualSpacing/>
        <w:rPr>
          <w:rFonts w:hint="eastAsia" w:ascii="仿宋" w:hAnsi="仿宋" w:eastAsia="仿宋"/>
          <w:sz w:val="24"/>
          <w:highlight w:val="none"/>
        </w:rPr>
      </w:pPr>
    </w:p>
    <w:p w14:paraId="58DC7CC5">
      <w:pPr>
        <w:spacing w:line="440" w:lineRule="exact"/>
        <w:contextualSpacing/>
        <w:rPr>
          <w:rFonts w:hint="eastAsia" w:ascii="仿宋" w:hAnsi="仿宋" w:eastAsia="仿宋"/>
          <w:sz w:val="24"/>
          <w:highlight w:val="none"/>
          <w:u w:val="single"/>
        </w:rPr>
      </w:pPr>
      <w:r>
        <w:rPr>
          <w:rFonts w:hint="eastAsia" w:ascii="仿宋" w:hAnsi="仿宋" w:eastAsia="仿宋"/>
          <w:sz w:val="24"/>
          <w:highlight w:val="none"/>
        </w:rPr>
        <w:t>委托代理人（签字）：</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法定代表人（</w:t>
      </w:r>
      <w:r>
        <w:rPr>
          <w:rFonts w:hint="eastAsia" w:ascii="仿宋" w:hAnsi="仿宋" w:eastAsia="仿宋"/>
          <w:sz w:val="24"/>
          <w:highlight w:val="none"/>
          <w:lang w:eastAsia="zh-CN"/>
        </w:rPr>
        <w:t>签字或者盖CA章</w:t>
      </w:r>
      <w:r>
        <w:rPr>
          <w:rFonts w:hint="eastAsia" w:ascii="仿宋" w:hAnsi="仿宋" w:eastAsia="仿宋"/>
          <w:sz w:val="24"/>
          <w:highlight w:val="none"/>
        </w:rPr>
        <w:t>）：</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rPr>
        <w:t xml:space="preserve"> </w:t>
      </w:r>
    </w:p>
    <w:p w14:paraId="20083EB2">
      <w:pPr>
        <w:spacing w:line="440" w:lineRule="exact"/>
        <w:contextualSpacing/>
        <w:rPr>
          <w:rFonts w:hint="eastAsia" w:ascii="仿宋" w:hAnsi="仿宋" w:eastAsia="仿宋"/>
          <w:sz w:val="24"/>
          <w:highlight w:val="none"/>
        </w:rPr>
      </w:pPr>
      <w:r>
        <w:rPr>
          <w:rFonts w:hint="eastAsia" w:ascii="仿宋" w:hAnsi="仿宋" w:eastAsia="仿宋"/>
          <w:sz w:val="24"/>
          <w:highlight w:val="none"/>
        </w:rPr>
        <w:t>委托代理人身份证号码：</w:t>
      </w:r>
      <w:r>
        <w:rPr>
          <w:rFonts w:hint="eastAsia" w:ascii="仿宋" w:hAnsi="仿宋" w:eastAsia="仿宋"/>
          <w:sz w:val="24"/>
          <w:highlight w:val="none"/>
          <w:u w:val="single"/>
        </w:rPr>
        <w:t xml:space="preserve">                          </w:t>
      </w:r>
    </w:p>
    <w:p w14:paraId="33F6700C">
      <w:pPr>
        <w:spacing w:line="440" w:lineRule="exact"/>
        <w:contextualSpacing/>
        <w:jc w:val="center"/>
        <w:rPr>
          <w:rFonts w:hint="eastAsia" w:ascii="仿宋" w:hAnsi="仿宋" w:eastAsia="仿宋"/>
          <w:sz w:val="24"/>
          <w:highlight w:val="none"/>
        </w:rPr>
      </w:pPr>
      <w:r>
        <w:rPr>
          <w:rFonts w:hint="eastAsia" w:ascii="仿宋" w:hAnsi="仿宋" w:eastAsia="仿宋"/>
          <w:sz w:val="24"/>
          <w:highlight w:val="none"/>
        </w:rPr>
        <w:t xml:space="preserve">                                   投标人（</w:t>
      </w:r>
      <w:r>
        <w:rPr>
          <w:rFonts w:hint="eastAsia" w:ascii="仿宋" w:hAnsi="仿宋" w:eastAsia="仿宋"/>
          <w:sz w:val="24"/>
          <w:highlight w:val="none"/>
          <w:lang w:eastAsia="zh-CN"/>
        </w:rPr>
        <w:t>盖CA公章</w:t>
      </w:r>
      <w:r>
        <w:rPr>
          <w:rFonts w:hint="eastAsia" w:ascii="仿宋" w:hAnsi="仿宋" w:eastAsia="仿宋"/>
          <w:sz w:val="24"/>
          <w:highlight w:val="none"/>
        </w:rPr>
        <w:t>）：</w:t>
      </w:r>
      <w:r>
        <w:rPr>
          <w:rFonts w:hint="eastAsia" w:ascii="仿宋" w:hAnsi="仿宋" w:eastAsia="仿宋"/>
          <w:sz w:val="24"/>
          <w:highlight w:val="none"/>
          <w:u w:val="single"/>
        </w:rPr>
        <w:t xml:space="preserve"> </w:t>
      </w:r>
      <w:r>
        <w:rPr>
          <w:rFonts w:hint="eastAsia"/>
          <w:highlight w:val="none"/>
          <w:u w:val="single"/>
        </w:rPr>
        <w:t xml:space="preserve">    </w:t>
      </w:r>
      <w:r>
        <w:rPr>
          <w:highlight w:val="none"/>
          <w:u w:val="single"/>
        </w:rPr>
        <w:t xml:space="preserve">      </w:t>
      </w:r>
      <w:r>
        <w:rPr>
          <w:rFonts w:hint="eastAsia"/>
          <w:highlight w:val="none"/>
          <w:u w:val="single"/>
        </w:rPr>
        <w:t xml:space="preserve">      </w:t>
      </w:r>
    </w:p>
    <w:p w14:paraId="00FDD7BB">
      <w:pPr>
        <w:spacing w:line="440" w:lineRule="exact"/>
        <w:contextualSpacing/>
        <w:jc w:val="center"/>
        <w:rPr>
          <w:rFonts w:hint="eastAsia" w:ascii="仿宋" w:hAnsi="仿宋" w:eastAsia="仿宋"/>
          <w:sz w:val="24"/>
          <w:highlight w:val="none"/>
        </w:rPr>
      </w:pPr>
      <w:r>
        <w:rPr>
          <w:rFonts w:hint="eastAsia" w:ascii="仿宋" w:hAnsi="仿宋" w:eastAsia="仿宋"/>
          <w:sz w:val="24"/>
          <w:highlight w:val="none"/>
        </w:rPr>
        <w:t xml:space="preserve">                                              年    月    日</w:t>
      </w:r>
    </w:p>
    <w:p w14:paraId="69951EE7">
      <w:pPr>
        <w:spacing w:line="440" w:lineRule="exact"/>
        <w:contextualSpacing/>
        <w:rPr>
          <w:rFonts w:hint="eastAsia" w:ascii="仿宋" w:hAnsi="仿宋" w:eastAsia="仿宋" w:cs="仿宋_GB2312"/>
          <w:sz w:val="24"/>
          <w:highlight w:val="none"/>
        </w:rPr>
      </w:pPr>
      <w:r>
        <w:rPr>
          <w:rFonts w:hint="eastAsia" w:ascii="仿宋" w:hAnsi="仿宋" w:eastAsia="仿宋" w:cs="仿宋_GB2312"/>
          <w:sz w:val="24"/>
          <w:highlight w:val="none"/>
        </w:rPr>
        <w:t>注：1.</w:t>
      </w:r>
      <w:bookmarkStart w:id="171" w:name="_Hlk65851555"/>
      <w:bookmarkStart w:id="172" w:name="_Hlk65851620"/>
      <w:r>
        <w:rPr>
          <w:rFonts w:hint="eastAsia" w:ascii="仿宋" w:hAnsi="仿宋" w:eastAsia="仿宋" w:cs="仿宋_GB2312"/>
          <w:sz w:val="24"/>
          <w:highlight w:val="none"/>
        </w:rPr>
        <w:t>法定代表人必须在授权委托书上亲笔</w:t>
      </w:r>
      <w:r>
        <w:rPr>
          <w:rFonts w:hint="eastAsia" w:ascii="仿宋" w:hAnsi="仿宋" w:eastAsia="仿宋" w:cs="仿宋_GB2312"/>
          <w:sz w:val="24"/>
          <w:highlight w:val="none"/>
          <w:lang w:eastAsia="zh-CN"/>
        </w:rPr>
        <w:t>签字或者盖CA章</w:t>
      </w:r>
      <w:r>
        <w:rPr>
          <w:rFonts w:hint="eastAsia" w:ascii="仿宋" w:hAnsi="仿宋" w:eastAsia="仿宋" w:cs="仿宋_GB2312"/>
          <w:sz w:val="24"/>
          <w:highlight w:val="none"/>
        </w:rPr>
        <w:t>，</w:t>
      </w:r>
      <w:bookmarkEnd w:id="171"/>
      <w:r>
        <w:rPr>
          <w:rFonts w:hint="eastAsia" w:ascii="仿宋" w:hAnsi="仿宋" w:eastAsia="仿宋" w:cs="仿宋_GB2312"/>
          <w:sz w:val="24"/>
          <w:highlight w:val="none"/>
        </w:rPr>
        <w:t>委托代理人必须在授权委托书上亲笔签字，</w:t>
      </w:r>
      <w:r>
        <w:rPr>
          <w:rFonts w:hint="eastAsia" w:ascii="仿宋" w:hAnsi="仿宋" w:eastAsia="仿宋" w:cs="仿宋_GB2312"/>
          <w:b/>
          <w:bCs/>
          <w:sz w:val="24"/>
          <w:highlight w:val="none"/>
        </w:rPr>
        <w:t>否则按无效投标处理</w:t>
      </w:r>
      <w:r>
        <w:rPr>
          <w:rFonts w:hint="eastAsia" w:ascii="仿宋" w:hAnsi="仿宋" w:eastAsia="仿宋" w:cs="仿宋_GB2312"/>
          <w:sz w:val="24"/>
          <w:highlight w:val="none"/>
        </w:rPr>
        <w:t>；</w:t>
      </w:r>
      <w:bookmarkEnd w:id="172"/>
    </w:p>
    <w:p w14:paraId="4AA9A42B">
      <w:pPr>
        <w:spacing w:line="440" w:lineRule="exact"/>
        <w:ind w:firstLine="480" w:firstLineChars="200"/>
        <w:contextualSpacing/>
        <w:jc w:val="left"/>
        <w:rPr>
          <w:rFonts w:hint="eastAsia" w:ascii="仿宋" w:hAnsi="仿宋" w:eastAsia="仿宋"/>
          <w:sz w:val="24"/>
          <w:highlight w:val="none"/>
        </w:rPr>
      </w:pPr>
      <w:r>
        <w:rPr>
          <w:rFonts w:hint="eastAsia" w:ascii="仿宋" w:hAnsi="仿宋" w:eastAsia="仿宋" w:cs="仿宋_GB2312"/>
          <w:sz w:val="24"/>
          <w:highlight w:val="none"/>
        </w:rPr>
        <w:t>2.法人、其他组织投标时“我方”是指“我单位”，自然人投标时“我方”是指“本人”。</w:t>
      </w:r>
    </w:p>
    <w:p w14:paraId="60BFE29F">
      <w:pPr>
        <w:snapToGrid w:val="0"/>
        <w:spacing w:before="120" w:beforeLines="50" w:after="50"/>
        <w:jc w:val="center"/>
        <w:rPr>
          <w:rFonts w:hint="eastAsia" w:ascii="仿宋" w:hAnsi="仿宋" w:eastAsia="仿宋" w:cs="方正小标宋简体"/>
          <w:sz w:val="44"/>
          <w:szCs w:val="44"/>
          <w:highlight w:val="none"/>
        </w:rPr>
      </w:pPr>
      <w:r>
        <w:rPr>
          <w:rFonts w:ascii="仿宋" w:hAnsi="仿宋" w:eastAsia="仿宋"/>
          <w:sz w:val="24"/>
          <w:highlight w:val="none"/>
        </w:rPr>
        <w:br w:type="page"/>
      </w:r>
    </w:p>
    <w:p w14:paraId="1AA6FF88">
      <w:pPr>
        <w:rPr>
          <w:rFonts w:hint="eastAsia" w:ascii="仿宋" w:hAnsi="仿宋" w:eastAsia="仿宋"/>
          <w:b/>
          <w:sz w:val="24"/>
          <w:szCs w:val="20"/>
          <w:highlight w:val="none"/>
        </w:rPr>
      </w:pPr>
      <w:r>
        <w:rPr>
          <w:rFonts w:hint="eastAsia" w:ascii="仿宋" w:hAnsi="仿宋" w:eastAsia="仿宋"/>
          <w:b/>
          <w:sz w:val="24"/>
          <w:highlight w:val="none"/>
        </w:rPr>
        <w:t>6.商务要求偏离表格式（注：按第</w:t>
      </w:r>
      <w:r>
        <w:rPr>
          <w:rFonts w:ascii="仿宋" w:hAnsi="仿宋" w:eastAsia="仿宋"/>
          <w:b/>
          <w:sz w:val="24"/>
          <w:highlight w:val="none"/>
        </w:rPr>
        <w:t>二章</w:t>
      </w:r>
      <w:r>
        <w:rPr>
          <w:rFonts w:hint="eastAsia" w:ascii="仿宋" w:hAnsi="仿宋" w:eastAsia="仿宋"/>
          <w:b/>
          <w:sz w:val="24"/>
          <w:highlight w:val="none"/>
        </w:rPr>
        <w:t>“</w:t>
      </w:r>
      <w:r>
        <w:rPr>
          <w:rFonts w:ascii="仿宋" w:hAnsi="仿宋" w:eastAsia="仿宋"/>
          <w:b/>
          <w:sz w:val="24"/>
          <w:highlight w:val="none"/>
        </w:rPr>
        <w:t>采购需求</w:t>
      </w:r>
      <w:r>
        <w:rPr>
          <w:rFonts w:hint="eastAsia" w:ascii="仿宋" w:hAnsi="仿宋" w:eastAsia="仿宋"/>
          <w:b/>
          <w:sz w:val="24"/>
          <w:highlight w:val="none"/>
        </w:rPr>
        <w:t>”</w:t>
      </w:r>
      <w:r>
        <w:rPr>
          <w:rFonts w:ascii="仿宋" w:hAnsi="仿宋" w:eastAsia="仿宋"/>
          <w:b/>
          <w:sz w:val="24"/>
          <w:highlight w:val="none"/>
        </w:rPr>
        <w:t>的</w:t>
      </w:r>
      <w:r>
        <w:rPr>
          <w:rFonts w:hint="eastAsia" w:ascii="仿宋" w:hAnsi="仿宋" w:eastAsia="仿宋"/>
          <w:b/>
          <w:sz w:val="24"/>
          <w:highlight w:val="none"/>
        </w:rPr>
        <w:t>“</w:t>
      </w:r>
      <w:r>
        <w:rPr>
          <w:rFonts w:ascii="仿宋" w:hAnsi="仿宋" w:eastAsia="仿宋"/>
          <w:b/>
          <w:sz w:val="24"/>
          <w:highlight w:val="none"/>
        </w:rPr>
        <w:t>商务</w:t>
      </w:r>
      <w:r>
        <w:rPr>
          <w:rFonts w:hint="eastAsia" w:ascii="仿宋" w:hAnsi="仿宋" w:eastAsia="仿宋"/>
          <w:b/>
          <w:sz w:val="24"/>
          <w:highlight w:val="none"/>
        </w:rPr>
        <w:t>要求”的</w:t>
      </w:r>
      <w:r>
        <w:rPr>
          <w:rFonts w:ascii="仿宋" w:hAnsi="仿宋" w:eastAsia="仿宋"/>
          <w:b/>
          <w:sz w:val="24"/>
          <w:highlight w:val="none"/>
        </w:rPr>
        <w:t>内容</w:t>
      </w:r>
      <w:r>
        <w:rPr>
          <w:rFonts w:hint="eastAsia" w:ascii="仿宋" w:hAnsi="仿宋" w:eastAsia="仿宋"/>
          <w:b/>
          <w:sz w:val="24"/>
          <w:highlight w:val="none"/>
        </w:rPr>
        <w:t>修改）</w:t>
      </w:r>
    </w:p>
    <w:p w14:paraId="42C3D391">
      <w:pPr>
        <w:snapToGrid w:val="0"/>
        <w:spacing w:before="50"/>
        <w:ind w:right="240"/>
        <w:jc w:val="center"/>
        <w:rPr>
          <w:rFonts w:hint="eastAsia" w:ascii="仿宋" w:hAnsi="仿宋" w:eastAsia="仿宋"/>
          <w:b/>
          <w:sz w:val="28"/>
          <w:highlight w:val="none"/>
        </w:rPr>
      </w:pPr>
    </w:p>
    <w:p w14:paraId="28CC6F87">
      <w:pPr>
        <w:snapToGrid w:val="0"/>
        <w:spacing w:before="50"/>
        <w:ind w:right="240"/>
        <w:jc w:val="center"/>
        <w:rPr>
          <w:rFonts w:hint="eastAsia" w:ascii="仿宋" w:hAnsi="仿宋" w:eastAsia="仿宋" w:cs="宋体"/>
          <w:sz w:val="28"/>
          <w:highlight w:val="none"/>
        </w:rPr>
      </w:pPr>
      <w:r>
        <w:rPr>
          <w:rFonts w:hint="eastAsia" w:ascii="仿宋" w:hAnsi="仿宋" w:eastAsia="仿宋"/>
          <w:b/>
          <w:sz w:val="28"/>
          <w:highlight w:val="none"/>
        </w:rPr>
        <w:t>商务要求偏离表</w:t>
      </w:r>
    </w:p>
    <w:p w14:paraId="7EE9D3F5">
      <w:pPr>
        <w:snapToGrid w:val="0"/>
        <w:spacing w:before="50"/>
        <w:ind w:right="240"/>
        <w:jc w:val="center"/>
        <w:rPr>
          <w:rFonts w:hint="eastAsia" w:ascii="仿宋" w:hAnsi="仿宋" w:eastAsia="仿宋"/>
          <w:sz w:val="24"/>
          <w:highlight w:val="none"/>
          <w:u w:val="single"/>
        </w:rPr>
      </w:pPr>
      <w:r>
        <w:rPr>
          <w:rFonts w:hint="eastAsia" w:ascii="仿宋" w:hAnsi="仿宋" w:eastAsia="仿宋" w:cs="宋体"/>
          <w:sz w:val="24"/>
          <w:highlight w:val="none"/>
        </w:rPr>
        <w:t xml:space="preserve">                                                           </w:t>
      </w:r>
      <w:r>
        <w:rPr>
          <w:rFonts w:ascii="仿宋" w:hAnsi="仿宋" w:eastAsia="仿宋" w:cs="宋体"/>
          <w:sz w:val="24"/>
          <w:highlight w:val="none"/>
        </w:rPr>
        <w:t xml:space="preserve">  </w:t>
      </w:r>
    </w:p>
    <w:tbl>
      <w:tblPr>
        <w:tblStyle w:val="49"/>
        <w:tblW w:w="987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2268"/>
        <w:gridCol w:w="2693"/>
        <w:gridCol w:w="2552"/>
        <w:gridCol w:w="1515"/>
      </w:tblGrid>
      <w:tr w14:paraId="41FFB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1D6974E2">
            <w:pPr>
              <w:snapToGrid w:val="0"/>
              <w:spacing w:before="120" w:beforeLines="50"/>
              <w:jc w:val="center"/>
              <w:rPr>
                <w:rFonts w:hint="eastAsia" w:ascii="仿宋" w:hAnsi="仿宋" w:eastAsia="仿宋"/>
                <w:sz w:val="24"/>
                <w:highlight w:val="none"/>
              </w:rPr>
            </w:pPr>
            <w:r>
              <w:rPr>
                <w:rFonts w:hint="eastAsia" w:ascii="仿宋" w:hAnsi="仿宋" w:eastAsia="仿宋"/>
                <w:sz w:val="24"/>
                <w:highlight w:val="none"/>
              </w:rPr>
              <w:t>序号</w:t>
            </w:r>
          </w:p>
        </w:tc>
        <w:tc>
          <w:tcPr>
            <w:tcW w:w="2268" w:type="dxa"/>
            <w:tcBorders>
              <w:top w:val="single" w:color="auto" w:sz="4" w:space="0"/>
              <w:left w:val="single" w:color="auto" w:sz="4" w:space="0"/>
              <w:bottom w:val="single" w:color="auto" w:sz="4" w:space="0"/>
              <w:right w:val="single" w:color="auto" w:sz="4" w:space="0"/>
            </w:tcBorders>
            <w:vAlign w:val="center"/>
          </w:tcPr>
          <w:p w14:paraId="1CC25BA9">
            <w:pPr>
              <w:snapToGrid w:val="0"/>
              <w:spacing w:before="120" w:beforeLines="50"/>
              <w:jc w:val="center"/>
              <w:rPr>
                <w:rFonts w:hint="eastAsia" w:ascii="仿宋" w:hAnsi="仿宋" w:eastAsia="仿宋"/>
                <w:sz w:val="24"/>
                <w:highlight w:val="none"/>
              </w:rPr>
            </w:pPr>
            <w:r>
              <w:rPr>
                <w:rFonts w:hint="eastAsia" w:ascii="仿宋" w:hAnsi="仿宋" w:eastAsia="仿宋"/>
                <w:sz w:val="24"/>
                <w:highlight w:val="none"/>
              </w:rPr>
              <w:t>条款名称</w:t>
            </w:r>
          </w:p>
        </w:tc>
        <w:tc>
          <w:tcPr>
            <w:tcW w:w="2693" w:type="dxa"/>
            <w:tcBorders>
              <w:top w:val="single" w:color="auto" w:sz="4" w:space="0"/>
              <w:left w:val="single" w:color="auto" w:sz="4" w:space="0"/>
              <w:bottom w:val="single" w:color="auto" w:sz="4" w:space="0"/>
              <w:right w:val="single" w:color="auto" w:sz="4" w:space="0"/>
            </w:tcBorders>
            <w:vAlign w:val="center"/>
          </w:tcPr>
          <w:p w14:paraId="0D0B9580">
            <w:pPr>
              <w:snapToGrid w:val="0"/>
              <w:spacing w:before="120" w:beforeLines="50"/>
              <w:jc w:val="center"/>
              <w:rPr>
                <w:rFonts w:hint="eastAsia" w:ascii="仿宋" w:hAnsi="仿宋" w:eastAsia="仿宋"/>
                <w:sz w:val="24"/>
                <w:highlight w:val="none"/>
              </w:rPr>
            </w:pPr>
            <w:r>
              <w:rPr>
                <w:rFonts w:hint="eastAsia" w:ascii="仿宋" w:hAnsi="仿宋" w:eastAsia="仿宋"/>
                <w:sz w:val="24"/>
                <w:highlight w:val="none"/>
              </w:rPr>
              <w:t>招标文件商务要求</w:t>
            </w:r>
          </w:p>
        </w:tc>
        <w:tc>
          <w:tcPr>
            <w:tcW w:w="2552" w:type="dxa"/>
            <w:tcBorders>
              <w:top w:val="single" w:color="auto" w:sz="4" w:space="0"/>
              <w:left w:val="single" w:color="auto" w:sz="4" w:space="0"/>
              <w:bottom w:val="single" w:color="auto" w:sz="4" w:space="0"/>
              <w:right w:val="single" w:color="auto" w:sz="4" w:space="0"/>
            </w:tcBorders>
            <w:vAlign w:val="center"/>
          </w:tcPr>
          <w:p w14:paraId="3739CAA0">
            <w:pPr>
              <w:snapToGrid w:val="0"/>
              <w:spacing w:before="120" w:beforeLines="50"/>
              <w:jc w:val="center"/>
              <w:rPr>
                <w:rFonts w:hint="eastAsia" w:ascii="仿宋" w:hAnsi="仿宋" w:eastAsia="仿宋"/>
                <w:sz w:val="24"/>
                <w:highlight w:val="none"/>
              </w:rPr>
            </w:pPr>
            <w:r>
              <w:rPr>
                <w:rFonts w:hint="eastAsia" w:ascii="仿宋" w:hAnsi="仿宋" w:eastAsia="仿宋"/>
                <w:sz w:val="24"/>
                <w:highlight w:val="none"/>
              </w:rPr>
              <w:t>投标人的承诺</w:t>
            </w:r>
          </w:p>
        </w:tc>
        <w:tc>
          <w:tcPr>
            <w:tcW w:w="1515" w:type="dxa"/>
            <w:tcBorders>
              <w:top w:val="single" w:color="auto" w:sz="4" w:space="0"/>
              <w:left w:val="single" w:color="auto" w:sz="4" w:space="0"/>
              <w:bottom w:val="single" w:color="auto" w:sz="4" w:space="0"/>
              <w:right w:val="single" w:color="auto" w:sz="4" w:space="0"/>
            </w:tcBorders>
            <w:vAlign w:val="center"/>
          </w:tcPr>
          <w:p w14:paraId="0655FAA0">
            <w:pPr>
              <w:snapToGrid w:val="0"/>
              <w:spacing w:before="120" w:beforeLines="50"/>
              <w:jc w:val="center"/>
              <w:rPr>
                <w:rFonts w:hint="eastAsia" w:ascii="仿宋" w:hAnsi="仿宋" w:eastAsia="仿宋"/>
                <w:sz w:val="24"/>
                <w:highlight w:val="none"/>
              </w:rPr>
            </w:pPr>
            <w:r>
              <w:rPr>
                <w:rFonts w:hint="eastAsia" w:ascii="仿宋" w:hAnsi="仿宋" w:eastAsia="仿宋"/>
                <w:sz w:val="24"/>
                <w:highlight w:val="none"/>
              </w:rPr>
              <w:t>偏离说明</w:t>
            </w:r>
          </w:p>
        </w:tc>
      </w:tr>
      <w:tr w14:paraId="4CE0A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07A41BC1">
            <w:pPr>
              <w:jc w:val="center"/>
              <w:rPr>
                <w:rFonts w:hint="eastAsia" w:ascii="仿宋" w:hAnsi="仿宋" w:eastAsia="仿宋"/>
                <w:sz w:val="24"/>
                <w:highlight w:val="none"/>
              </w:rPr>
            </w:pPr>
            <w:r>
              <w:rPr>
                <w:rFonts w:hint="eastAsia" w:ascii="仿宋" w:hAnsi="仿宋" w:eastAsia="仿宋"/>
                <w:sz w:val="24"/>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4A705B4B">
            <w:pPr>
              <w:jc w:val="center"/>
              <w:rPr>
                <w:rFonts w:hint="eastAsia" w:ascii="仿宋" w:hAnsi="仿宋" w:eastAsia="仿宋"/>
                <w:sz w:val="24"/>
                <w:highlight w:val="none"/>
              </w:rPr>
            </w:pPr>
          </w:p>
        </w:tc>
        <w:tc>
          <w:tcPr>
            <w:tcW w:w="2693" w:type="dxa"/>
            <w:tcBorders>
              <w:top w:val="single" w:color="auto" w:sz="4" w:space="0"/>
              <w:left w:val="single" w:color="auto" w:sz="4" w:space="0"/>
              <w:bottom w:val="single" w:color="auto" w:sz="4" w:space="0"/>
              <w:right w:val="single" w:color="auto" w:sz="4" w:space="0"/>
            </w:tcBorders>
            <w:vAlign w:val="center"/>
          </w:tcPr>
          <w:p w14:paraId="475357F9">
            <w:pPr>
              <w:snapToGrid w:val="0"/>
              <w:spacing w:before="120" w:beforeLines="50"/>
              <w:jc w:val="center"/>
              <w:rPr>
                <w:rFonts w:hint="eastAsia" w:ascii="仿宋" w:hAnsi="仿宋" w:eastAsia="仿宋"/>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FAF38FE">
            <w:pPr>
              <w:snapToGrid w:val="0"/>
              <w:spacing w:before="120" w:beforeLines="50"/>
              <w:jc w:val="center"/>
              <w:rPr>
                <w:rFonts w:hint="eastAsia" w:ascii="仿宋" w:hAnsi="仿宋" w:eastAsia="仿宋"/>
                <w:sz w:val="24"/>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14:paraId="6F718405">
            <w:pPr>
              <w:snapToGrid w:val="0"/>
              <w:spacing w:before="120" w:beforeLines="50"/>
              <w:jc w:val="center"/>
              <w:rPr>
                <w:rFonts w:hint="eastAsia" w:ascii="仿宋" w:hAnsi="仿宋" w:eastAsia="仿宋"/>
                <w:sz w:val="24"/>
                <w:highlight w:val="none"/>
              </w:rPr>
            </w:pPr>
          </w:p>
        </w:tc>
      </w:tr>
      <w:tr w14:paraId="61015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08C3785E">
            <w:pPr>
              <w:jc w:val="center"/>
              <w:rPr>
                <w:rFonts w:hint="eastAsia" w:ascii="仿宋" w:hAnsi="仿宋" w:eastAsia="仿宋"/>
                <w:sz w:val="24"/>
                <w:highlight w:val="none"/>
              </w:rPr>
            </w:pPr>
            <w:r>
              <w:rPr>
                <w:rFonts w:hint="eastAsia" w:ascii="仿宋" w:hAnsi="仿宋" w:eastAsia="仿宋"/>
                <w:sz w:val="24"/>
                <w:highlight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73BCB6F8">
            <w:pPr>
              <w:jc w:val="center"/>
              <w:rPr>
                <w:rFonts w:hint="eastAsia" w:ascii="仿宋" w:hAnsi="仿宋" w:eastAsia="仿宋"/>
                <w:sz w:val="24"/>
                <w:highlight w:val="none"/>
              </w:rPr>
            </w:pPr>
          </w:p>
        </w:tc>
        <w:tc>
          <w:tcPr>
            <w:tcW w:w="2693" w:type="dxa"/>
            <w:tcBorders>
              <w:top w:val="single" w:color="auto" w:sz="4" w:space="0"/>
              <w:left w:val="single" w:color="auto" w:sz="4" w:space="0"/>
              <w:bottom w:val="single" w:color="auto" w:sz="4" w:space="0"/>
              <w:right w:val="single" w:color="auto" w:sz="4" w:space="0"/>
            </w:tcBorders>
            <w:vAlign w:val="center"/>
          </w:tcPr>
          <w:p w14:paraId="73F32E55">
            <w:pPr>
              <w:snapToGrid w:val="0"/>
              <w:spacing w:before="120" w:beforeLines="50"/>
              <w:rPr>
                <w:rFonts w:hint="eastAsia" w:ascii="仿宋" w:hAnsi="仿宋" w:eastAsia="仿宋"/>
                <w:sz w:val="24"/>
                <w:highlight w:val="none"/>
                <w:u w:val="single"/>
              </w:rPr>
            </w:pPr>
          </w:p>
        </w:tc>
        <w:tc>
          <w:tcPr>
            <w:tcW w:w="2552" w:type="dxa"/>
            <w:tcBorders>
              <w:top w:val="single" w:color="auto" w:sz="4" w:space="0"/>
              <w:left w:val="single" w:color="auto" w:sz="4" w:space="0"/>
              <w:bottom w:val="single" w:color="auto" w:sz="4" w:space="0"/>
              <w:right w:val="single" w:color="auto" w:sz="4" w:space="0"/>
            </w:tcBorders>
            <w:vAlign w:val="center"/>
          </w:tcPr>
          <w:p w14:paraId="625837A3">
            <w:pPr>
              <w:snapToGrid w:val="0"/>
              <w:spacing w:before="120" w:beforeLines="50"/>
              <w:ind w:left="43"/>
              <w:jc w:val="center"/>
              <w:rPr>
                <w:rFonts w:hint="eastAsia" w:ascii="仿宋" w:hAnsi="仿宋" w:eastAsia="仿宋"/>
                <w:sz w:val="24"/>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14:paraId="1085A29B">
            <w:pPr>
              <w:snapToGrid w:val="0"/>
              <w:spacing w:before="120" w:beforeLines="50"/>
              <w:ind w:left="43"/>
              <w:jc w:val="center"/>
              <w:rPr>
                <w:rFonts w:hint="eastAsia" w:ascii="仿宋" w:hAnsi="仿宋" w:eastAsia="仿宋"/>
                <w:sz w:val="24"/>
                <w:highlight w:val="none"/>
              </w:rPr>
            </w:pPr>
          </w:p>
        </w:tc>
      </w:tr>
      <w:tr w14:paraId="6F11E1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77A17046">
            <w:pPr>
              <w:jc w:val="center"/>
              <w:rPr>
                <w:rFonts w:hint="eastAsia" w:ascii="仿宋" w:hAnsi="仿宋" w:eastAsia="仿宋" w:cs="宋体"/>
                <w:sz w:val="24"/>
                <w:highlight w:val="none"/>
              </w:rPr>
            </w:pPr>
            <w:r>
              <w:rPr>
                <w:rFonts w:hint="eastAsia" w:ascii="仿宋" w:hAnsi="仿宋" w:eastAsia="仿宋" w:cs="宋体"/>
                <w:sz w:val="24"/>
                <w:highlight w:val="none"/>
              </w:rPr>
              <w:t>3</w:t>
            </w:r>
          </w:p>
        </w:tc>
        <w:tc>
          <w:tcPr>
            <w:tcW w:w="2268" w:type="dxa"/>
            <w:tcBorders>
              <w:top w:val="single" w:color="auto" w:sz="4" w:space="0"/>
              <w:left w:val="single" w:color="auto" w:sz="4" w:space="0"/>
              <w:bottom w:val="single" w:color="auto" w:sz="4" w:space="0"/>
              <w:right w:val="single" w:color="auto" w:sz="4" w:space="0"/>
            </w:tcBorders>
            <w:vAlign w:val="center"/>
          </w:tcPr>
          <w:p w14:paraId="0E4F9DDC">
            <w:pPr>
              <w:jc w:val="center"/>
              <w:rPr>
                <w:rFonts w:hint="eastAsia" w:ascii="仿宋" w:hAnsi="仿宋" w:eastAsia="仿宋" w:cs="宋体"/>
                <w:sz w:val="24"/>
                <w:highlight w:val="none"/>
              </w:rPr>
            </w:pPr>
          </w:p>
        </w:tc>
        <w:tc>
          <w:tcPr>
            <w:tcW w:w="2693" w:type="dxa"/>
            <w:tcBorders>
              <w:top w:val="single" w:color="auto" w:sz="4" w:space="0"/>
              <w:left w:val="single" w:color="auto" w:sz="4" w:space="0"/>
              <w:bottom w:val="single" w:color="auto" w:sz="4" w:space="0"/>
              <w:right w:val="single" w:color="auto" w:sz="4" w:space="0"/>
            </w:tcBorders>
            <w:vAlign w:val="center"/>
          </w:tcPr>
          <w:p w14:paraId="377A47ED">
            <w:pPr>
              <w:snapToGrid w:val="0"/>
              <w:spacing w:before="120" w:beforeLines="50"/>
              <w:rPr>
                <w:rFonts w:hint="eastAsia" w:ascii="仿宋" w:hAnsi="仿宋" w:eastAsia="仿宋"/>
                <w:sz w:val="24"/>
                <w:highlight w:val="none"/>
                <w:u w:val="single"/>
              </w:rPr>
            </w:pPr>
          </w:p>
        </w:tc>
        <w:tc>
          <w:tcPr>
            <w:tcW w:w="2552" w:type="dxa"/>
            <w:tcBorders>
              <w:top w:val="single" w:color="auto" w:sz="4" w:space="0"/>
              <w:left w:val="single" w:color="auto" w:sz="4" w:space="0"/>
              <w:bottom w:val="single" w:color="auto" w:sz="4" w:space="0"/>
              <w:right w:val="single" w:color="auto" w:sz="4" w:space="0"/>
            </w:tcBorders>
            <w:vAlign w:val="center"/>
          </w:tcPr>
          <w:p w14:paraId="2C3C0E7F">
            <w:pPr>
              <w:snapToGrid w:val="0"/>
              <w:spacing w:before="120" w:beforeLines="50"/>
              <w:ind w:left="43"/>
              <w:jc w:val="center"/>
              <w:rPr>
                <w:rFonts w:hint="eastAsia" w:ascii="仿宋" w:hAnsi="仿宋" w:eastAsia="仿宋"/>
                <w:sz w:val="24"/>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14:paraId="40B03B9B">
            <w:pPr>
              <w:snapToGrid w:val="0"/>
              <w:spacing w:before="120" w:beforeLines="50"/>
              <w:ind w:left="43"/>
              <w:jc w:val="center"/>
              <w:rPr>
                <w:rFonts w:hint="eastAsia" w:ascii="仿宋" w:hAnsi="仿宋" w:eastAsia="仿宋"/>
                <w:sz w:val="24"/>
                <w:highlight w:val="none"/>
              </w:rPr>
            </w:pPr>
          </w:p>
        </w:tc>
      </w:tr>
      <w:tr w14:paraId="22CD2B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53AD581A">
            <w:pPr>
              <w:snapToGrid w:val="0"/>
              <w:spacing w:before="120" w:beforeLines="50"/>
              <w:jc w:val="center"/>
              <w:rPr>
                <w:rFonts w:hint="eastAsia" w:ascii="仿宋" w:hAnsi="仿宋" w:eastAsia="仿宋"/>
                <w:sz w:val="24"/>
                <w:highlight w:val="none"/>
              </w:rPr>
            </w:pPr>
            <w:r>
              <w:rPr>
                <w:rFonts w:ascii="仿宋" w:hAnsi="仿宋" w:eastAsia="仿宋"/>
                <w:sz w:val="24"/>
                <w:highlight w:val="none"/>
              </w:rPr>
              <w:t>…</w:t>
            </w:r>
          </w:p>
        </w:tc>
        <w:tc>
          <w:tcPr>
            <w:tcW w:w="2268" w:type="dxa"/>
            <w:tcBorders>
              <w:top w:val="single" w:color="auto" w:sz="4" w:space="0"/>
              <w:left w:val="single" w:color="auto" w:sz="4" w:space="0"/>
              <w:bottom w:val="single" w:color="auto" w:sz="4" w:space="0"/>
              <w:right w:val="single" w:color="auto" w:sz="4" w:space="0"/>
            </w:tcBorders>
            <w:vAlign w:val="center"/>
          </w:tcPr>
          <w:p w14:paraId="0A78CCE5">
            <w:pPr>
              <w:snapToGrid w:val="0"/>
              <w:spacing w:before="120" w:beforeLines="50"/>
              <w:jc w:val="center"/>
              <w:rPr>
                <w:rFonts w:hint="eastAsia" w:ascii="仿宋" w:hAnsi="仿宋" w:eastAsia="仿宋"/>
                <w:sz w:val="24"/>
                <w:highlight w:val="none"/>
              </w:rPr>
            </w:pPr>
            <w:r>
              <w:rPr>
                <w:rFonts w:hint="eastAsia" w:ascii="仿宋" w:hAnsi="仿宋" w:eastAsia="仿宋"/>
                <w:sz w:val="24"/>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6346C65">
            <w:pPr>
              <w:snapToGrid w:val="0"/>
              <w:spacing w:before="120" w:beforeLines="50"/>
              <w:jc w:val="center"/>
              <w:rPr>
                <w:rFonts w:hint="eastAsia" w:ascii="仿宋" w:hAnsi="仿宋" w:eastAsia="仿宋"/>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293B3BE">
            <w:pPr>
              <w:snapToGrid w:val="0"/>
              <w:spacing w:before="120" w:beforeLines="50"/>
              <w:jc w:val="center"/>
              <w:rPr>
                <w:rFonts w:hint="eastAsia" w:ascii="仿宋" w:hAnsi="仿宋" w:eastAsia="仿宋"/>
                <w:sz w:val="24"/>
                <w:highlight w:val="none"/>
              </w:rPr>
            </w:pPr>
          </w:p>
        </w:tc>
        <w:tc>
          <w:tcPr>
            <w:tcW w:w="1515" w:type="dxa"/>
            <w:tcBorders>
              <w:top w:val="single" w:color="auto" w:sz="4" w:space="0"/>
              <w:left w:val="single" w:color="auto" w:sz="4" w:space="0"/>
              <w:bottom w:val="single" w:color="auto" w:sz="4" w:space="0"/>
              <w:right w:val="single" w:color="auto" w:sz="4" w:space="0"/>
            </w:tcBorders>
            <w:vAlign w:val="center"/>
          </w:tcPr>
          <w:p w14:paraId="02A64322">
            <w:pPr>
              <w:snapToGrid w:val="0"/>
              <w:spacing w:before="120" w:beforeLines="50"/>
              <w:jc w:val="center"/>
              <w:rPr>
                <w:rFonts w:hint="eastAsia" w:ascii="仿宋" w:hAnsi="仿宋" w:eastAsia="仿宋"/>
                <w:sz w:val="24"/>
                <w:highlight w:val="none"/>
              </w:rPr>
            </w:pPr>
          </w:p>
        </w:tc>
      </w:tr>
    </w:tbl>
    <w:p w14:paraId="1E01A648">
      <w:pPr>
        <w:pStyle w:val="17"/>
        <w:rPr>
          <w:rFonts w:hint="eastAsia" w:ascii="仿宋" w:hAnsi="仿宋" w:eastAsia="仿宋"/>
          <w:highlight w:val="none"/>
        </w:rPr>
      </w:pPr>
      <w:r>
        <w:rPr>
          <w:rFonts w:hint="eastAsia" w:ascii="仿宋" w:hAnsi="仿宋" w:eastAsia="仿宋"/>
          <w:highlight w:val="none"/>
        </w:rPr>
        <w:t>注：</w:t>
      </w:r>
    </w:p>
    <w:p w14:paraId="3E1952BC">
      <w:pPr>
        <w:pStyle w:val="19"/>
        <w:spacing w:line="520" w:lineRule="exact"/>
        <w:ind w:firstLine="0" w:firstLineChars="0"/>
        <w:rPr>
          <w:rFonts w:hint="eastAsia" w:ascii="仿宋" w:hAnsi="仿宋" w:eastAsia="仿宋" w:cs="仿宋_GB2312"/>
          <w:szCs w:val="32"/>
          <w:highlight w:val="none"/>
        </w:rPr>
      </w:pPr>
      <w:r>
        <w:rPr>
          <w:rFonts w:hint="eastAsia" w:ascii="仿宋" w:hAnsi="仿宋" w:eastAsia="仿宋"/>
          <w:sz w:val="24"/>
          <w:szCs w:val="24"/>
          <w:highlight w:val="none"/>
        </w:rPr>
        <w:t>1.</w:t>
      </w:r>
      <w:r>
        <w:rPr>
          <w:rFonts w:hint="eastAsia" w:ascii="仿宋" w:hAnsi="仿宋" w:eastAsia="仿宋"/>
          <w:highlight w:val="none"/>
        </w:rPr>
        <w:t xml:space="preserve"> </w:t>
      </w:r>
      <w:r>
        <w:rPr>
          <w:rFonts w:hint="eastAsia" w:ascii="仿宋" w:hAnsi="仿宋" w:eastAsia="仿宋"/>
          <w:sz w:val="24"/>
          <w:szCs w:val="24"/>
          <w:highlight w:val="none"/>
        </w:rPr>
        <w:t>说明：应对照招标文件“第二章 采购需求”中 “二、商务要求”内容逐条作明确的投标响应，并作出偏离说明。</w:t>
      </w:r>
    </w:p>
    <w:p w14:paraId="1A79D9D4">
      <w:pPr>
        <w:pStyle w:val="17"/>
        <w:rPr>
          <w:rFonts w:hint="eastAsia" w:ascii="仿宋" w:hAnsi="仿宋" w:eastAsia="仿宋"/>
          <w:b w:val="0"/>
          <w:bCs w:val="0"/>
          <w:highlight w:val="none"/>
        </w:rPr>
      </w:pPr>
      <w:r>
        <w:rPr>
          <w:rFonts w:ascii="仿宋" w:hAnsi="仿宋" w:eastAsia="仿宋"/>
          <w:b w:val="0"/>
          <w:bCs w:val="0"/>
          <w:highlight w:val="none"/>
        </w:rPr>
        <w:t>2.</w:t>
      </w:r>
      <w:r>
        <w:rPr>
          <w:rFonts w:hint="eastAsia" w:ascii="仿宋" w:hAnsi="仿宋" w:eastAsia="仿宋"/>
          <w:b w:val="0"/>
          <w:bCs w:val="0"/>
          <w:highlight w:val="none"/>
        </w:rPr>
        <w:t>投标人应根据自身的承诺，对照招标文件要求在“偏离说明”中注明“</w:t>
      </w:r>
      <w:r>
        <w:rPr>
          <w:rFonts w:hint="eastAsia" w:ascii="仿宋" w:hAnsi="仿宋" w:eastAsia="仿宋"/>
          <w:highlight w:val="none"/>
        </w:rPr>
        <w:t>正偏离</w:t>
      </w:r>
      <w:r>
        <w:rPr>
          <w:rFonts w:hint="eastAsia" w:ascii="仿宋" w:hAnsi="仿宋" w:eastAsia="仿宋"/>
          <w:b w:val="0"/>
          <w:bCs w:val="0"/>
          <w:highlight w:val="none"/>
        </w:rPr>
        <w:t>”、“</w:t>
      </w:r>
      <w:r>
        <w:rPr>
          <w:rFonts w:hint="eastAsia" w:ascii="仿宋" w:hAnsi="仿宋" w:eastAsia="仿宋"/>
          <w:highlight w:val="none"/>
        </w:rPr>
        <w:t>负偏离</w:t>
      </w:r>
      <w:r>
        <w:rPr>
          <w:rFonts w:hint="eastAsia" w:ascii="仿宋" w:hAnsi="仿宋" w:eastAsia="仿宋"/>
          <w:b w:val="0"/>
          <w:bCs w:val="0"/>
          <w:highlight w:val="none"/>
        </w:rPr>
        <w:t>”或者“</w:t>
      </w:r>
      <w:r>
        <w:rPr>
          <w:rFonts w:hint="eastAsia" w:ascii="仿宋" w:hAnsi="仿宋" w:eastAsia="仿宋"/>
          <w:highlight w:val="none"/>
        </w:rPr>
        <w:t>无偏离</w:t>
      </w:r>
      <w:r>
        <w:rPr>
          <w:rFonts w:hint="eastAsia" w:ascii="仿宋" w:hAnsi="仿宋" w:eastAsia="仿宋"/>
          <w:b w:val="0"/>
          <w:bCs w:val="0"/>
          <w:highlight w:val="none"/>
        </w:rPr>
        <w:t>”。既不属于“</w:t>
      </w:r>
      <w:r>
        <w:rPr>
          <w:rFonts w:hint="eastAsia" w:ascii="仿宋" w:hAnsi="仿宋" w:eastAsia="仿宋"/>
          <w:highlight w:val="none"/>
        </w:rPr>
        <w:t>正偏离</w:t>
      </w:r>
      <w:r>
        <w:rPr>
          <w:rFonts w:hint="eastAsia" w:ascii="仿宋" w:hAnsi="仿宋" w:eastAsia="仿宋"/>
          <w:b w:val="0"/>
          <w:bCs w:val="0"/>
          <w:highlight w:val="none"/>
        </w:rPr>
        <w:t>”也不属于“</w:t>
      </w:r>
      <w:r>
        <w:rPr>
          <w:rFonts w:hint="eastAsia" w:ascii="仿宋" w:hAnsi="仿宋" w:eastAsia="仿宋"/>
          <w:highlight w:val="none"/>
        </w:rPr>
        <w:t>负偏离</w:t>
      </w:r>
      <w:r>
        <w:rPr>
          <w:rFonts w:hint="eastAsia" w:ascii="仿宋" w:hAnsi="仿宋" w:eastAsia="仿宋"/>
          <w:b w:val="0"/>
          <w:bCs w:val="0"/>
          <w:highlight w:val="none"/>
        </w:rPr>
        <w:t>”即为“</w:t>
      </w:r>
      <w:r>
        <w:rPr>
          <w:rFonts w:hint="eastAsia" w:ascii="仿宋" w:hAnsi="仿宋" w:eastAsia="仿宋"/>
          <w:highlight w:val="none"/>
        </w:rPr>
        <w:t>无偏离</w:t>
      </w:r>
      <w:r>
        <w:rPr>
          <w:rFonts w:hint="eastAsia" w:ascii="仿宋" w:hAnsi="仿宋" w:eastAsia="仿宋"/>
          <w:b w:val="0"/>
          <w:bCs w:val="0"/>
          <w:highlight w:val="none"/>
        </w:rPr>
        <w:t>”。</w:t>
      </w:r>
    </w:p>
    <w:p w14:paraId="5100140E">
      <w:pPr>
        <w:snapToGrid w:val="0"/>
        <w:spacing w:before="50" w:after="50"/>
        <w:rPr>
          <w:rFonts w:hint="eastAsia" w:ascii="仿宋" w:hAnsi="仿宋" w:eastAsia="仿宋"/>
          <w:sz w:val="24"/>
          <w:highlight w:val="none"/>
        </w:rPr>
      </w:pPr>
    </w:p>
    <w:p w14:paraId="6E2A440D">
      <w:pPr>
        <w:snapToGrid w:val="0"/>
        <w:spacing w:before="50" w:after="50"/>
        <w:rPr>
          <w:rFonts w:hint="eastAsia" w:ascii="仿宋" w:hAnsi="仿宋" w:eastAsia="仿宋"/>
          <w:sz w:val="24"/>
          <w:highlight w:val="none"/>
        </w:rPr>
      </w:pPr>
    </w:p>
    <w:p w14:paraId="752A2780">
      <w:pPr>
        <w:snapToGrid w:val="0"/>
        <w:spacing w:before="50" w:after="50"/>
        <w:rPr>
          <w:rFonts w:hint="eastAsia" w:ascii="仿宋" w:hAnsi="仿宋" w:eastAsia="仿宋"/>
          <w:spacing w:val="20"/>
          <w:sz w:val="24"/>
          <w:highlight w:val="none"/>
          <w:u w:val="single"/>
        </w:rPr>
      </w:pPr>
      <w:r>
        <w:rPr>
          <w:rFonts w:hint="eastAsia" w:ascii="仿宋" w:hAnsi="仿宋" w:eastAsia="仿宋"/>
          <w:sz w:val="24"/>
          <w:highlight w:val="none"/>
        </w:rPr>
        <w:t>法定代表人或者委托代理人</w:t>
      </w:r>
      <w:r>
        <w:rPr>
          <w:rFonts w:hint="eastAsia" w:ascii="仿宋" w:hAnsi="仿宋" w:eastAsia="仿宋"/>
          <w:spacing w:val="20"/>
          <w:sz w:val="24"/>
          <w:highlight w:val="none"/>
        </w:rPr>
        <w:t>（签字</w:t>
      </w:r>
      <w:r>
        <w:rPr>
          <w:rFonts w:hint="eastAsia" w:ascii="仿宋" w:hAnsi="仿宋" w:eastAsia="仿宋"/>
          <w:spacing w:val="20"/>
          <w:sz w:val="24"/>
          <w:highlight w:val="none"/>
          <w:lang w:val="en-US" w:eastAsia="zh-CN"/>
        </w:rPr>
        <w:t>或盖法定代表人CA章</w:t>
      </w:r>
      <w:r>
        <w:rPr>
          <w:rFonts w:hint="eastAsia" w:ascii="仿宋" w:hAnsi="仿宋" w:eastAsia="仿宋"/>
          <w:spacing w:val="20"/>
          <w:sz w:val="24"/>
          <w:highlight w:val="none"/>
        </w:rPr>
        <w:t>）：</w:t>
      </w:r>
      <w:r>
        <w:rPr>
          <w:rFonts w:hint="eastAsia" w:ascii="仿宋" w:hAnsi="仿宋" w:eastAsia="仿宋"/>
          <w:spacing w:val="20"/>
          <w:sz w:val="24"/>
          <w:highlight w:val="none"/>
          <w:u w:val="single"/>
        </w:rPr>
        <w:t xml:space="preserve">        </w:t>
      </w:r>
    </w:p>
    <w:p w14:paraId="4B209B82">
      <w:pPr>
        <w:snapToGrid w:val="0"/>
        <w:spacing w:before="120" w:beforeLines="50"/>
        <w:rPr>
          <w:rFonts w:hint="eastAsia" w:ascii="仿宋" w:hAnsi="仿宋" w:eastAsia="仿宋"/>
          <w:sz w:val="24"/>
          <w:highlight w:val="none"/>
        </w:rPr>
      </w:pPr>
      <w:r>
        <w:rPr>
          <w:rFonts w:hint="eastAsia" w:ascii="仿宋" w:hAnsi="仿宋" w:eastAsia="仿宋"/>
          <w:sz w:val="24"/>
          <w:highlight w:val="none"/>
        </w:rPr>
        <w:t>投标人</w:t>
      </w:r>
      <w:r>
        <w:rPr>
          <w:rFonts w:hint="eastAsia" w:ascii="仿宋" w:hAnsi="仿宋" w:eastAsia="仿宋"/>
          <w:sz w:val="24"/>
          <w:highlight w:val="none"/>
          <w:lang w:eastAsia="zh-CN"/>
        </w:rPr>
        <w:t>盖CA公章</w:t>
      </w:r>
      <w:r>
        <w:rPr>
          <w:rFonts w:hint="eastAsia" w:ascii="仿宋" w:hAnsi="仿宋" w:eastAsia="仿宋"/>
          <w:sz w:val="24"/>
          <w:highlight w:val="none"/>
        </w:rPr>
        <w:t>：</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p>
    <w:p w14:paraId="3DEFB53B">
      <w:pPr>
        <w:snapToGrid w:val="0"/>
        <w:spacing w:before="120" w:beforeLines="50"/>
        <w:rPr>
          <w:rFonts w:hint="eastAsia" w:ascii="仿宋" w:hAnsi="仿宋" w:eastAsia="仿宋"/>
          <w:sz w:val="24"/>
          <w:szCs w:val="20"/>
          <w:highlight w:val="none"/>
        </w:rPr>
      </w:pPr>
      <w:r>
        <w:rPr>
          <w:rFonts w:hint="eastAsia" w:ascii="仿宋" w:hAnsi="仿宋" w:eastAsia="仿宋"/>
          <w:spacing w:val="20"/>
          <w:sz w:val="24"/>
          <w:highlight w:val="none"/>
        </w:rPr>
        <w:t>日  期：</w:t>
      </w:r>
      <w:r>
        <w:rPr>
          <w:rFonts w:hint="eastAsia" w:ascii="仿宋" w:hAnsi="仿宋" w:eastAsia="仿宋"/>
          <w:spacing w:val="20"/>
          <w:sz w:val="24"/>
          <w:highlight w:val="none"/>
          <w:u w:val="single"/>
        </w:rPr>
        <w:t xml:space="preserve">     </w:t>
      </w:r>
      <w:r>
        <w:rPr>
          <w:rFonts w:ascii="仿宋" w:hAnsi="仿宋" w:eastAsia="仿宋"/>
          <w:spacing w:val="20"/>
          <w:sz w:val="24"/>
          <w:highlight w:val="none"/>
          <w:u w:val="single"/>
        </w:rPr>
        <w:t xml:space="preserve">   </w:t>
      </w:r>
      <w:r>
        <w:rPr>
          <w:rFonts w:hint="eastAsia" w:ascii="仿宋" w:hAnsi="仿宋" w:eastAsia="仿宋"/>
          <w:spacing w:val="20"/>
          <w:sz w:val="24"/>
          <w:highlight w:val="none"/>
          <w:u w:val="single"/>
        </w:rPr>
        <w:t xml:space="preserve">    </w:t>
      </w:r>
    </w:p>
    <w:p w14:paraId="1FBFD657">
      <w:pPr>
        <w:snapToGrid w:val="0"/>
        <w:spacing w:before="120" w:beforeLines="50"/>
        <w:rPr>
          <w:rFonts w:hint="eastAsia" w:ascii="仿宋" w:hAnsi="仿宋" w:eastAsia="仿宋"/>
          <w:sz w:val="24"/>
          <w:szCs w:val="20"/>
          <w:highlight w:val="none"/>
        </w:rPr>
      </w:pPr>
    </w:p>
    <w:p w14:paraId="237B0F4B">
      <w:pPr>
        <w:snapToGrid w:val="0"/>
        <w:spacing w:before="120" w:beforeLines="50" w:after="50"/>
        <w:jc w:val="left"/>
        <w:rPr>
          <w:rFonts w:hint="eastAsia" w:ascii="仿宋" w:hAnsi="仿宋" w:eastAsia="仿宋"/>
          <w:sz w:val="24"/>
          <w:szCs w:val="20"/>
          <w:highlight w:val="none"/>
        </w:rPr>
      </w:pPr>
    </w:p>
    <w:p w14:paraId="3FCF701B">
      <w:pPr>
        <w:snapToGrid w:val="0"/>
        <w:spacing w:before="120" w:beforeLines="50" w:after="50"/>
        <w:jc w:val="left"/>
        <w:rPr>
          <w:rFonts w:hint="eastAsia" w:ascii="仿宋" w:hAnsi="仿宋" w:eastAsia="仿宋"/>
          <w:sz w:val="24"/>
          <w:szCs w:val="20"/>
          <w:highlight w:val="none"/>
        </w:rPr>
      </w:pPr>
    </w:p>
    <w:p w14:paraId="1AB5B743">
      <w:pPr>
        <w:rPr>
          <w:rFonts w:hint="eastAsia" w:ascii="仿宋" w:hAnsi="仿宋" w:eastAsia="仿宋"/>
          <w:sz w:val="24"/>
          <w:szCs w:val="20"/>
          <w:highlight w:val="none"/>
        </w:rPr>
      </w:pPr>
    </w:p>
    <w:p w14:paraId="18BE0DD3">
      <w:pPr>
        <w:rPr>
          <w:rFonts w:hint="eastAsia" w:ascii="仿宋" w:hAnsi="仿宋" w:eastAsia="仿宋"/>
          <w:sz w:val="24"/>
          <w:szCs w:val="20"/>
          <w:highlight w:val="none"/>
        </w:rPr>
      </w:pPr>
    </w:p>
    <w:p w14:paraId="63F819FE">
      <w:pPr>
        <w:rPr>
          <w:rFonts w:hint="eastAsia" w:ascii="仿宋" w:hAnsi="仿宋" w:eastAsia="仿宋"/>
          <w:sz w:val="24"/>
          <w:szCs w:val="20"/>
          <w:highlight w:val="none"/>
        </w:rPr>
      </w:pPr>
    </w:p>
    <w:p w14:paraId="02C8BA7F">
      <w:pPr>
        <w:rPr>
          <w:rFonts w:hint="eastAsia" w:ascii="仿宋" w:hAnsi="仿宋" w:eastAsia="仿宋"/>
          <w:sz w:val="24"/>
          <w:szCs w:val="20"/>
          <w:highlight w:val="none"/>
        </w:rPr>
      </w:pPr>
    </w:p>
    <w:p w14:paraId="74579F71">
      <w:pPr>
        <w:snapToGrid w:val="0"/>
        <w:spacing w:before="120" w:beforeLines="50" w:after="50"/>
        <w:jc w:val="left"/>
        <w:rPr>
          <w:rFonts w:hint="eastAsia" w:ascii="仿宋" w:hAnsi="仿宋" w:eastAsia="仿宋"/>
          <w:b/>
          <w:sz w:val="24"/>
          <w:highlight w:val="none"/>
        </w:rPr>
      </w:pPr>
      <w:r>
        <w:rPr>
          <w:rFonts w:ascii="仿宋" w:hAnsi="仿宋" w:eastAsia="仿宋"/>
          <w:sz w:val="24"/>
          <w:szCs w:val="20"/>
          <w:highlight w:val="none"/>
        </w:rPr>
        <w:br w:type="page"/>
      </w:r>
      <w:r>
        <w:rPr>
          <w:rFonts w:hint="eastAsia" w:ascii="仿宋" w:hAnsi="仿宋" w:eastAsia="仿宋"/>
          <w:b/>
          <w:sz w:val="24"/>
          <w:highlight w:val="none"/>
        </w:rPr>
        <w:t>7.投标人业绩证明材料</w:t>
      </w:r>
    </w:p>
    <w:p w14:paraId="279ECA3D">
      <w:pPr>
        <w:pStyle w:val="35"/>
        <w:snapToGrid w:val="0"/>
        <w:ind w:left="480" w:hanging="480"/>
        <w:rPr>
          <w:rFonts w:hint="eastAsia" w:ascii="仿宋" w:hAnsi="仿宋" w:eastAsia="仿宋"/>
          <w:sz w:val="24"/>
          <w:highlight w:val="none"/>
        </w:rPr>
      </w:pPr>
      <w:r>
        <w:rPr>
          <w:rFonts w:hint="eastAsia" w:ascii="仿宋" w:hAnsi="仿宋" w:eastAsia="仿宋"/>
          <w:sz w:val="24"/>
          <w:highlight w:val="none"/>
        </w:rPr>
        <w:t xml:space="preserve">投标人业绩情况一览表格式： </w:t>
      </w:r>
    </w:p>
    <w:p w14:paraId="026C47F6">
      <w:pPr>
        <w:snapToGrid w:val="0"/>
        <w:spacing w:before="50"/>
        <w:ind w:right="240"/>
        <w:jc w:val="center"/>
        <w:rPr>
          <w:rFonts w:hint="eastAsia" w:ascii="仿宋" w:hAnsi="仿宋" w:eastAsia="仿宋"/>
          <w:sz w:val="24"/>
          <w:highlight w:val="none"/>
        </w:rPr>
      </w:pPr>
      <w:r>
        <w:rPr>
          <w:rFonts w:hint="eastAsia" w:ascii="仿宋" w:hAnsi="仿宋" w:eastAsia="仿宋"/>
          <w:b/>
          <w:sz w:val="28"/>
          <w:highlight w:val="none"/>
        </w:rPr>
        <w:t>业绩情况一览表</w:t>
      </w:r>
    </w:p>
    <w:p w14:paraId="640E6019">
      <w:pPr>
        <w:snapToGrid w:val="0"/>
        <w:spacing w:before="50"/>
        <w:ind w:right="240" w:firstLine="3840" w:firstLineChars="1600"/>
        <w:jc w:val="center"/>
        <w:rPr>
          <w:rFonts w:hint="eastAsia" w:ascii="仿宋" w:hAnsi="仿宋" w:eastAsia="仿宋"/>
          <w:sz w:val="24"/>
          <w:highlight w:val="none"/>
          <w:u w:val="single"/>
        </w:rPr>
      </w:pPr>
      <w:r>
        <w:rPr>
          <w:rFonts w:hint="eastAsia" w:ascii="仿宋" w:hAnsi="仿宋" w:eastAsia="仿宋" w:cs="宋体"/>
          <w:sz w:val="24"/>
          <w:highlight w:val="none"/>
        </w:rPr>
        <w:t xml:space="preserve">             </w:t>
      </w:r>
      <w:r>
        <w:rPr>
          <w:rFonts w:ascii="仿宋" w:hAnsi="仿宋" w:eastAsia="仿宋" w:cs="宋体"/>
          <w:sz w:val="24"/>
          <w:highlight w:val="none"/>
        </w:rPr>
        <w:t xml:space="preserve">       </w:t>
      </w:r>
      <w:r>
        <w:rPr>
          <w:rFonts w:hint="eastAsia" w:ascii="仿宋" w:hAnsi="仿宋" w:eastAsia="仿宋" w:cs="宋体"/>
          <w:sz w:val="24"/>
          <w:highlight w:val="none"/>
        </w:rPr>
        <w:t xml:space="preserve"> </w:t>
      </w:r>
      <w:r>
        <w:rPr>
          <w:rFonts w:ascii="仿宋" w:hAnsi="仿宋" w:eastAsia="仿宋" w:cs="宋体"/>
          <w:sz w:val="24"/>
          <w:highlight w:val="none"/>
        </w:rPr>
        <w:t xml:space="preserve">  </w:t>
      </w:r>
    </w:p>
    <w:tbl>
      <w:tblPr>
        <w:tblStyle w:val="49"/>
        <w:tblW w:w="950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559"/>
        <w:gridCol w:w="2977"/>
        <w:gridCol w:w="2268"/>
        <w:gridCol w:w="1994"/>
      </w:tblGrid>
      <w:tr w14:paraId="18B293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704" w:type="dxa"/>
            <w:vMerge w:val="restart"/>
            <w:tcBorders>
              <w:top w:val="single" w:color="auto" w:sz="4" w:space="0"/>
              <w:left w:val="single" w:color="auto" w:sz="4" w:space="0"/>
              <w:bottom w:val="single" w:color="auto" w:sz="4" w:space="0"/>
              <w:right w:val="single" w:color="auto" w:sz="4" w:space="0"/>
            </w:tcBorders>
            <w:vAlign w:val="center"/>
          </w:tcPr>
          <w:p w14:paraId="1CC9FD7A">
            <w:pPr>
              <w:snapToGrid w:val="0"/>
              <w:spacing w:line="240" w:lineRule="exact"/>
              <w:jc w:val="center"/>
              <w:rPr>
                <w:rFonts w:hint="eastAsia" w:ascii="仿宋" w:hAnsi="仿宋" w:eastAsia="仿宋"/>
                <w:sz w:val="24"/>
                <w:highlight w:val="none"/>
              </w:rPr>
            </w:pPr>
            <w:r>
              <w:rPr>
                <w:rFonts w:hint="eastAsia" w:ascii="仿宋" w:hAnsi="仿宋" w:eastAsia="仿宋"/>
                <w:sz w:val="24"/>
                <w:highlight w:val="none"/>
              </w:rPr>
              <w:t>序号</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7C3503E2">
            <w:pPr>
              <w:snapToGrid w:val="0"/>
              <w:spacing w:line="240" w:lineRule="exact"/>
              <w:jc w:val="center"/>
              <w:rPr>
                <w:rFonts w:hint="eastAsia" w:ascii="仿宋" w:hAnsi="仿宋" w:eastAsia="仿宋"/>
                <w:sz w:val="24"/>
                <w:highlight w:val="none"/>
              </w:rPr>
            </w:pPr>
            <w:r>
              <w:rPr>
                <w:rFonts w:hint="eastAsia" w:ascii="仿宋" w:hAnsi="仿宋" w:eastAsia="仿宋"/>
                <w:sz w:val="24"/>
                <w:highlight w:val="none"/>
              </w:rPr>
              <w:t>采购人名称</w:t>
            </w:r>
          </w:p>
        </w:tc>
        <w:tc>
          <w:tcPr>
            <w:tcW w:w="2977" w:type="dxa"/>
            <w:vMerge w:val="restart"/>
            <w:tcBorders>
              <w:top w:val="single" w:color="auto" w:sz="4" w:space="0"/>
              <w:left w:val="single" w:color="auto" w:sz="4" w:space="0"/>
              <w:bottom w:val="single" w:color="auto" w:sz="4" w:space="0"/>
              <w:right w:val="single" w:color="auto" w:sz="4" w:space="0"/>
            </w:tcBorders>
            <w:vAlign w:val="center"/>
          </w:tcPr>
          <w:p w14:paraId="1F2DC309">
            <w:pPr>
              <w:snapToGrid w:val="0"/>
              <w:spacing w:line="240" w:lineRule="exact"/>
              <w:jc w:val="center"/>
              <w:rPr>
                <w:rFonts w:hint="eastAsia" w:ascii="仿宋" w:hAnsi="仿宋" w:eastAsia="仿宋"/>
                <w:sz w:val="24"/>
                <w:highlight w:val="none"/>
              </w:rPr>
            </w:pPr>
            <w:r>
              <w:rPr>
                <w:rFonts w:hint="eastAsia" w:ascii="仿宋" w:hAnsi="仿宋" w:eastAsia="仿宋"/>
                <w:sz w:val="24"/>
                <w:highlight w:val="none"/>
              </w:rPr>
              <w:t>项目名称</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32FAB564">
            <w:pPr>
              <w:snapToGrid w:val="0"/>
              <w:spacing w:line="240" w:lineRule="exact"/>
              <w:jc w:val="center"/>
              <w:rPr>
                <w:rFonts w:hint="eastAsia" w:ascii="仿宋" w:hAnsi="仿宋" w:eastAsia="仿宋"/>
                <w:sz w:val="24"/>
                <w:highlight w:val="none"/>
              </w:rPr>
            </w:pPr>
            <w:r>
              <w:rPr>
                <w:rFonts w:hint="eastAsia" w:ascii="仿宋" w:hAnsi="仿宋" w:eastAsia="仿宋"/>
                <w:sz w:val="24"/>
                <w:highlight w:val="none"/>
              </w:rPr>
              <w:t>合同金额</w:t>
            </w:r>
          </w:p>
          <w:p w14:paraId="67A30D05">
            <w:pPr>
              <w:snapToGrid w:val="0"/>
              <w:spacing w:line="240" w:lineRule="exact"/>
              <w:jc w:val="center"/>
              <w:rPr>
                <w:rFonts w:hint="eastAsia" w:ascii="仿宋" w:hAnsi="仿宋" w:eastAsia="仿宋"/>
                <w:sz w:val="24"/>
                <w:highlight w:val="none"/>
              </w:rPr>
            </w:pPr>
            <w:r>
              <w:rPr>
                <w:rFonts w:hint="eastAsia" w:ascii="仿宋" w:hAnsi="仿宋" w:eastAsia="仿宋"/>
                <w:sz w:val="24"/>
                <w:highlight w:val="none"/>
              </w:rPr>
              <w:t>（万元）</w:t>
            </w:r>
          </w:p>
        </w:tc>
        <w:tc>
          <w:tcPr>
            <w:tcW w:w="1994" w:type="dxa"/>
            <w:vMerge w:val="restart"/>
            <w:tcBorders>
              <w:top w:val="single" w:color="auto" w:sz="4" w:space="0"/>
              <w:left w:val="single" w:color="auto" w:sz="4" w:space="0"/>
              <w:bottom w:val="single" w:color="auto" w:sz="4" w:space="0"/>
              <w:right w:val="single" w:color="auto" w:sz="4" w:space="0"/>
            </w:tcBorders>
            <w:vAlign w:val="center"/>
          </w:tcPr>
          <w:p w14:paraId="5AAE3A47">
            <w:pPr>
              <w:snapToGrid w:val="0"/>
              <w:spacing w:line="240" w:lineRule="exact"/>
              <w:jc w:val="center"/>
              <w:rPr>
                <w:rFonts w:hint="eastAsia" w:ascii="仿宋" w:hAnsi="仿宋" w:eastAsia="仿宋"/>
                <w:sz w:val="24"/>
                <w:highlight w:val="none"/>
              </w:rPr>
            </w:pPr>
            <w:r>
              <w:rPr>
                <w:rFonts w:hint="eastAsia" w:ascii="仿宋" w:hAnsi="仿宋" w:eastAsia="仿宋"/>
                <w:sz w:val="24"/>
                <w:highlight w:val="none"/>
              </w:rPr>
              <w:t>采购人联系人及</w:t>
            </w:r>
          </w:p>
          <w:p w14:paraId="6FB85F3C">
            <w:pPr>
              <w:snapToGrid w:val="0"/>
              <w:spacing w:line="240" w:lineRule="exact"/>
              <w:jc w:val="center"/>
              <w:rPr>
                <w:rFonts w:hint="eastAsia" w:ascii="仿宋" w:hAnsi="仿宋" w:eastAsia="仿宋"/>
                <w:sz w:val="24"/>
                <w:highlight w:val="none"/>
              </w:rPr>
            </w:pPr>
            <w:r>
              <w:rPr>
                <w:rFonts w:hint="eastAsia" w:ascii="仿宋" w:hAnsi="仿宋" w:eastAsia="仿宋"/>
                <w:sz w:val="24"/>
                <w:highlight w:val="none"/>
              </w:rPr>
              <w:t>联系电话</w:t>
            </w:r>
          </w:p>
        </w:tc>
      </w:tr>
      <w:tr w14:paraId="03D19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704" w:type="dxa"/>
            <w:vMerge w:val="continue"/>
            <w:tcBorders>
              <w:top w:val="single" w:color="auto" w:sz="4" w:space="0"/>
              <w:left w:val="single" w:color="auto" w:sz="4" w:space="0"/>
              <w:bottom w:val="single" w:color="auto" w:sz="4" w:space="0"/>
              <w:right w:val="single" w:color="auto" w:sz="4" w:space="0"/>
            </w:tcBorders>
            <w:vAlign w:val="center"/>
          </w:tcPr>
          <w:p w14:paraId="6610B469">
            <w:pPr>
              <w:jc w:val="left"/>
              <w:rPr>
                <w:rFonts w:hint="eastAsia" w:ascii="仿宋" w:hAnsi="仿宋" w:eastAsia="仿宋"/>
                <w:sz w:val="24"/>
                <w:highlight w:val="none"/>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4A34BE3">
            <w:pPr>
              <w:jc w:val="left"/>
              <w:rPr>
                <w:rFonts w:hint="eastAsia" w:ascii="仿宋" w:hAnsi="仿宋" w:eastAsia="仿宋"/>
                <w:sz w:val="24"/>
                <w:highlight w:val="none"/>
              </w:rPr>
            </w:pPr>
          </w:p>
        </w:tc>
        <w:tc>
          <w:tcPr>
            <w:tcW w:w="2977" w:type="dxa"/>
            <w:vMerge w:val="continue"/>
            <w:tcBorders>
              <w:top w:val="single" w:color="auto" w:sz="4" w:space="0"/>
              <w:left w:val="single" w:color="auto" w:sz="4" w:space="0"/>
              <w:bottom w:val="single" w:color="auto" w:sz="4" w:space="0"/>
              <w:right w:val="single" w:color="auto" w:sz="4" w:space="0"/>
            </w:tcBorders>
            <w:vAlign w:val="center"/>
          </w:tcPr>
          <w:p w14:paraId="267CAA30">
            <w:pPr>
              <w:jc w:val="left"/>
              <w:rPr>
                <w:rFonts w:hint="eastAsia" w:ascii="仿宋" w:hAnsi="仿宋" w:eastAsia="仿宋"/>
                <w:sz w:val="24"/>
                <w:highlight w:val="none"/>
              </w:rPr>
            </w:pP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8FDE206">
            <w:pPr>
              <w:jc w:val="left"/>
              <w:rPr>
                <w:rFonts w:hint="eastAsia" w:ascii="仿宋" w:hAnsi="仿宋" w:eastAsia="仿宋"/>
                <w:sz w:val="24"/>
                <w:highlight w:val="none"/>
              </w:rPr>
            </w:pPr>
          </w:p>
        </w:tc>
        <w:tc>
          <w:tcPr>
            <w:tcW w:w="1994" w:type="dxa"/>
            <w:vMerge w:val="continue"/>
            <w:tcBorders>
              <w:top w:val="single" w:color="auto" w:sz="4" w:space="0"/>
              <w:left w:val="single" w:color="auto" w:sz="4" w:space="0"/>
              <w:bottom w:val="single" w:color="auto" w:sz="4" w:space="0"/>
              <w:right w:val="single" w:color="auto" w:sz="4" w:space="0"/>
            </w:tcBorders>
            <w:vAlign w:val="center"/>
          </w:tcPr>
          <w:p w14:paraId="2EEBA3C1">
            <w:pPr>
              <w:jc w:val="left"/>
              <w:rPr>
                <w:rFonts w:hint="eastAsia" w:ascii="仿宋" w:hAnsi="仿宋" w:eastAsia="仿宋"/>
                <w:sz w:val="24"/>
                <w:highlight w:val="none"/>
              </w:rPr>
            </w:pPr>
          </w:p>
        </w:tc>
      </w:tr>
      <w:tr w14:paraId="59CD09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9E48940">
            <w:pPr>
              <w:snapToGrid w:val="0"/>
              <w:spacing w:line="240" w:lineRule="exact"/>
              <w:jc w:val="center"/>
              <w:rPr>
                <w:rFonts w:hint="eastAsia" w:ascii="仿宋" w:hAnsi="仿宋" w:eastAsia="仿宋"/>
                <w:sz w:val="24"/>
                <w:highlight w:val="none"/>
              </w:rPr>
            </w:pPr>
            <w:r>
              <w:rPr>
                <w:rFonts w:hint="eastAsia" w:ascii="仿宋" w:hAnsi="仿宋" w:eastAsia="仿宋"/>
                <w:sz w:val="24"/>
                <w:highlight w:val="none"/>
              </w:rPr>
              <w:t>1</w:t>
            </w:r>
          </w:p>
        </w:tc>
        <w:tc>
          <w:tcPr>
            <w:tcW w:w="1559" w:type="dxa"/>
            <w:tcBorders>
              <w:top w:val="single" w:color="auto" w:sz="4" w:space="0"/>
              <w:left w:val="single" w:color="auto" w:sz="4" w:space="0"/>
              <w:bottom w:val="single" w:color="auto" w:sz="4" w:space="0"/>
              <w:right w:val="single" w:color="auto" w:sz="4" w:space="0"/>
            </w:tcBorders>
            <w:vAlign w:val="center"/>
          </w:tcPr>
          <w:p w14:paraId="6C5481B5">
            <w:pPr>
              <w:snapToGrid w:val="0"/>
              <w:spacing w:line="240" w:lineRule="exact"/>
              <w:jc w:val="center"/>
              <w:rPr>
                <w:rFonts w:hint="eastAsia" w:ascii="仿宋" w:hAnsi="仿宋" w:eastAsia="仿宋"/>
                <w:sz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31D2A1D5">
            <w:pPr>
              <w:snapToGrid w:val="0"/>
              <w:spacing w:line="240" w:lineRule="exact"/>
              <w:jc w:val="center"/>
              <w:rPr>
                <w:rFonts w:hint="eastAsia" w:ascii="仿宋" w:hAnsi="仿宋" w:eastAsia="仿宋"/>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E72F39D">
            <w:pPr>
              <w:snapToGrid w:val="0"/>
              <w:spacing w:line="240" w:lineRule="exact"/>
              <w:jc w:val="center"/>
              <w:rPr>
                <w:rFonts w:hint="eastAsia" w:ascii="仿宋" w:hAnsi="仿宋" w:eastAsia="仿宋"/>
                <w:sz w:val="24"/>
                <w:highlight w:val="none"/>
              </w:rPr>
            </w:pPr>
          </w:p>
        </w:tc>
        <w:tc>
          <w:tcPr>
            <w:tcW w:w="1994" w:type="dxa"/>
            <w:tcBorders>
              <w:top w:val="single" w:color="auto" w:sz="4" w:space="0"/>
              <w:left w:val="single" w:color="auto" w:sz="4" w:space="0"/>
              <w:bottom w:val="single" w:color="auto" w:sz="4" w:space="0"/>
              <w:right w:val="single" w:color="auto" w:sz="4" w:space="0"/>
            </w:tcBorders>
            <w:vAlign w:val="center"/>
          </w:tcPr>
          <w:p w14:paraId="0C3075F1">
            <w:pPr>
              <w:snapToGrid w:val="0"/>
              <w:spacing w:line="240" w:lineRule="exact"/>
              <w:jc w:val="center"/>
              <w:rPr>
                <w:rFonts w:hint="eastAsia" w:ascii="仿宋" w:hAnsi="仿宋" w:eastAsia="仿宋"/>
                <w:sz w:val="24"/>
                <w:highlight w:val="none"/>
              </w:rPr>
            </w:pPr>
          </w:p>
        </w:tc>
      </w:tr>
      <w:tr w14:paraId="06F15C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0AE35A9">
            <w:pPr>
              <w:snapToGrid w:val="0"/>
              <w:spacing w:before="50" w:after="120" w:afterLines="50" w:line="400" w:lineRule="exact"/>
              <w:jc w:val="center"/>
              <w:rPr>
                <w:rFonts w:hint="eastAsia" w:ascii="仿宋" w:hAnsi="仿宋" w:eastAsia="仿宋"/>
                <w:sz w:val="24"/>
                <w:highlight w:val="none"/>
              </w:rPr>
            </w:pPr>
            <w:r>
              <w:rPr>
                <w:rFonts w:hint="eastAsia" w:ascii="仿宋" w:hAnsi="仿宋" w:eastAsia="仿宋"/>
                <w:sz w:val="24"/>
                <w:highlight w:val="none"/>
              </w:rPr>
              <w:t>2</w:t>
            </w:r>
          </w:p>
        </w:tc>
        <w:tc>
          <w:tcPr>
            <w:tcW w:w="1559" w:type="dxa"/>
            <w:tcBorders>
              <w:top w:val="single" w:color="auto" w:sz="4" w:space="0"/>
              <w:left w:val="single" w:color="auto" w:sz="4" w:space="0"/>
              <w:bottom w:val="single" w:color="auto" w:sz="4" w:space="0"/>
              <w:right w:val="single" w:color="auto" w:sz="4" w:space="0"/>
            </w:tcBorders>
            <w:vAlign w:val="center"/>
          </w:tcPr>
          <w:p w14:paraId="08A78110">
            <w:pPr>
              <w:snapToGrid w:val="0"/>
              <w:spacing w:before="50" w:after="120" w:afterLines="50" w:line="400" w:lineRule="exact"/>
              <w:jc w:val="center"/>
              <w:rPr>
                <w:rFonts w:hint="eastAsia" w:ascii="仿宋" w:hAnsi="仿宋" w:eastAsia="仿宋"/>
                <w:sz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1A8289A6">
            <w:pPr>
              <w:snapToGrid w:val="0"/>
              <w:spacing w:before="50" w:after="120" w:afterLines="50" w:line="400" w:lineRule="exact"/>
              <w:jc w:val="center"/>
              <w:rPr>
                <w:rFonts w:hint="eastAsia" w:ascii="仿宋" w:hAnsi="仿宋" w:eastAsia="仿宋"/>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3688CC7">
            <w:pPr>
              <w:snapToGrid w:val="0"/>
              <w:spacing w:before="50" w:after="120" w:afterLines="50" w:line="400" w:lineRule="exact"/>
              <w:jc w:val="center"/>
              <w:rPr>
                <w:rFonts w:hint="eastAsia" w:ascii="仿宋" w:hAnsi="仿宋" w:eastAsia="仿宋"/>
                <w:sz w:val="24"/>
                <w:highlight w:val="none"/>
              </w:rPr>
            </w:pPr>
          </w:p>
        </w:tc>
        <w:tc>
          <w:tcPr>
            <w:tcW w:w="1994" w:type="dxa"/>
            <w:tcBorders>
              <w:top w:val="single" w:color="auto" w:sz="4" w:space="0"/>
              <w:left w:val="single" w:color="auto" w:sz="4" w:space="0"/>
              <w:bottom w:val="single" w:color="auto" w:sz="4" w:space="0"/>
              <w:right w:val="single" w:color="auto" w:sz="4" w:space="0"/>
            </w:tcBorders>
            <w:vAlign w:val="center"/>
          </w:tcPr>
          <w:p w14:paraId="50A2DA9B">
            <w:pPr>
              <w:snapToGrid w:val="0"/>
              <w:spacing w:before="50" w:after="120" w:afterLines="50" w:line="400" w:lineRule="exact"/>
              <w:jc w:val="center"/>
              <w:rPr>
                <w:rFonts w:hint="eastAsia" w:ascii="仿宋" w:hAnsi="仿宋" w:eastAsia="仿宋"/>
                <w:sz w:val="24"/>
                <w:highlight w:val="none"/>
              </w:rPr>
            </w:pPr>
          </w:p>
        </w:tc>
      </w:tr>
      <w:tr w14:paraId="6EDA90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47D93FF">
            <w:pPr>
              <w:snapToGrid w:val="0"/>
              <w:spacing w:before="50" w:after="120" w:afterLines="50" w:line="400" w:lineRule="exact"/>
              <w:jc w:val="center"/>
              <w:rPr>
                <w:rFonts w:hint="eastAsia" w:ascii="仿宋" w:hAnsi="仿宋" w:eastAsia="仿宋"/>
                <w:sz w:val="24"/>
                <w:highlight w:val="none"/>
              </w:rPr>
            </w:pPr>
            <w:r>
              <w:rPr>
                <w:rFonts w:hint="eastAsia" w:ascii="仿宋" w:hAnsi="仿宋" w:eastAsia="仿宋"/>
                <w:sz w:val="24"/>
                <w:highlight w:val="none"/>
              </w:rPr>
              <w:t>3</w:t>
            </w:r>
          </w:p>
        </w:tc>
        <w:tc>
          <w:tcPr>
            <w:tcW w:w="1559" w:type="dxa"/>
            <w:tcBorders>
              <w:top w:val="single" w:color="auto" w:sz="4" w:space="0"/>
              <w:left w:val="single" w:color="auto" w:sz="4" w:space="0"/>
              <w:bottom w:val="single" w:color="auto" w:sz="4" w:space="0"/>
              <w:right w:val="single" w:color="auto" w:sz="4" w:space="0"/>
            </w:tcBorders>
            <w:vAlign w:val="center"/>
          </w:tcPr>
          <w:p w14:paraId="4D0496E9">
            <w:pPr>
              <w:snapToGrid w:val="0"/>
              <w:spacing w:before="50" w:after="120" w:afterLines="50" w:line="400" w:lineRule="exact"/>
              <w:jc w:val="center"/>
              <w:rPr>
                <w:rFonts w:hint="eastAsia" w:ascii="仿宋" w:hAnsi="仿宋" w:eastAsia="仿宋"/>
                <w:sz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54C73DB3">
            <w:pPr>
              <w:snapToGrid w:val="0"/>
              <w:spacing w:before="50" w:after="120" w:afterLines="50" w:line="400" w:lineRule="exact"/>
              <w:jc w:val="center"/>
              <w:rPr>
                <w:rFonts w:hint="eastAsia" w:ascii="仿宋" w:hAnsi="仿宋" w:eastAsia="仿宋"/>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7A0E588">
            <w:pPr>
              <w:snapToGrid w:val="0"/>
              <w:spacing w:before="50" w:after="120" w:afterLines="50" w:line="400" w:lineRule="exact"/>
              <w:jc w:val="center"/>
              <w:rPr>
                <w:rFonts w:hint="eastAsia" w:ascii="仿宋" w:hAnsi="仿宋" w:eastAsia="仿宋"/>
                <w:sz w:val="24"/>
                <w:highlight w:val="none"/>
              </w:rPr>
            </w:pPr>
          </w:p>
        </w:tc>
        <w:tc>
          <w:tcPr>
            <w:tcW w:w="1994" w:type="dxa"/>
            <w:tcBorders>
              <w:top w:val="single" w:color="auto" w:sz="4" w:space="0"/>
              <w:left w:val="single" w:color="auto" w:sz="4" w:space="0"/>
              <w:bottom w:val="single" w:color="auto" w:sz="4" w:space="0"/>
              <w:right w:val="single" w:color="auto" w:sz="4" w:space="0"/>
            </w:tcBorders>
            <w:vAlign w:val="center"/>
          </w:tcPr>
          <w:p w14:paraId="101A320A">
            <w:pPr>
              <w:snapToGrid w:val="0"/>
              <w:spacing w:before="50" w:after="120" w:afterLines="50" w:line="400" w:lineRule="exact"/>
              <w:jc w:val="center"/>
              <w:rPr>
                <w:rFonts w:hint="eastAsia" w:ascii="仿宋" w:hAnsi="仿宋" w:eastAsia="仿宋"/>
                <w:sz w:val="24"/>
                <w:highlight w:val="none"/>
              </w:rPr>
            </w:pPr>
          </w:p>
        </w:tc>
      </w:tr>
      <w:tr w14:paraId="631EE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03273CC">
            <w:pPr>
              <w:snapToGrid w:val="0"/>
              <w:spacing w:before="50" w:after="120" w:afterLines="50" w:line="400" w:lineRule="exact"/>
              <w:jc w:val="center"/>
              <w:rPr>
                <w:rFonts w:hint="eastAsia" w:ascii="仿宋" w:hAnsi="仿宋" w:eastAsia="仿宋"/>
                <w:sz w:val="24"/>
                <w:highlight w:val="none"/>
              </w:rPr>
            </w:pPr>
            <w:r>
              <w:rPr>
                <w:rFonts w:ascii="仿宋" w:hAnsi="仿宋" w:eastAsia="仿宋"/>
                <w:sz w:val="24"/>
                <w:highlight w:val="none"/>
              </w:rPr>
              <w:t>…</w:t>
            </w:r>
          </w:p>
        </w:tc>
        <w:tc>
          <w:tcPr>
            <w:tcW w:w="1559" w:type="dxa"/>
            <w:tcBorders>
              <w:top w:val="single" w:color="auto" w:sz="4" w:space="0"/>
              <w:left w:val="single" w:color="auto" w:sz="4" w:space="0"/>
              <w:bottom w:val="single" w:color="auto" w:sz="4" w:space="0"/>
              <w:right w:val="single" w:color="auto" w:sz="4" w:space="0"/>
            </w:tcBorders>
            <w:vAlign w:val="center"/>
          </w:tcPr>
          <w:p w14:paraId="73E2232B">
            <w:pPr>
              <w:snapToGrid w:val="0"/>
              <w:spacing w:before="50" w:after="120" w:afterLines="50" w:line="400" w:lineRule="exact"/>
              <w:jc w:val="center"/>
              <w:rPr>
                <w:rFonts w:hint="eastAsia" w:ascii="仿宋" w:hAnsi="仿宋" w:eastAsia="仿宋"/>
                <w:sz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7AA448C1">
            <w:pPr>
              <w:snapToGrid w:val="0"/>
              <w:spacing w:before="50" w:after="120" w:afterLines="50" w:line="400" w:lineRule="exact"/>
              <w:jc w:val="center"/>
              <w:rPr>
                <w:rFonts w:hint="eastAsia" w:ascii="仿宋" w:hAnsi="仿宋" w:eastAsia="仿宋"/>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E5A3EF3">
            <w:pPr>
              <w:snapToGrid w:val="0"/>
              <w:spacing w:before="50" w:after="120" w:afterLines="50" w:line="400" w:lineRule="exact"/>
              <w:jc w:val="center"/>
              <w:rPr>
                <w:rFonts w:hint="eastAsia" w:ascii="仿宋" w:hAnsi="仿宋" w:eastAsia="仿宋"/>
                <w:sz w:val="24"/>
                <w:highlight w:val="none"/>
              </w:rPr>
            </w:pPr>
          </w:p>
        </w:tc>
        <w:tc>
          <w:tcPr>
            <w:tcW w:w="1994" w:type="dxa"/>
            <w:tcBorders>
              <w:top w:val="single" w:color="auto" w:sz="4" w:space="0"/>
              <w:left w:val="single" w:color="auto" w:sz="4" w:space="0"/>
              <w:bottom w:val="single" w:color="auto" w:sz="4" w:space="0"/>
              <w:right w:val="single" w:color="auto" w:sz="4" w:space="0"/>
            </w:tcBorders>
            <w:vAlign w:val="center"/>
          </w:tcPr>
          <w:p w14:paraId="26E4F7E5">
            <w:pPr>
              <w:snapToGrid w:val="0"/>
              <w:spacing w:before="50" w:after="120" w:afterLines="50" w:line="400" w:lineRule="exact"/>
              <w:jc w:val="center"/>
              <w:rPr>
                <w:rFonts w:hint="eastAsia" w:ascii="仿宋" w:hAnsi="仿宋" w:eastAsia="仿宋"/>
                <w:sz w:val="24"/>
                <w:highlight w:val="none"/>
              </w:rPr>
            </w:pPr>
          </w:p>
        </w:tc>
      </w:tr>
    </w:tbl>
    <w:p w14:paraId="3F9A6904">
      <w:pPr>
        <w:pStyle w:val="14"/>
        <w:spacing w:before="0" w:after="0" w:line="360" w:lineRule="auto"/>
        <w:contextualSpacing/>
        <w:rPr>
          <w:rFonts w:hint="eastAsia" w:ascii="仿宋" w:hAnsi="仿宋" w:eastAsia="仿宋"/>
          <w:sz w:val="24"/>
          <w:szCs w:val="24"/>
          <w:highlight w:val="none"/>
        </w:rPr>
      </w:pPr>
    </w:p>
    <w:p w14:paraId="70A67424">
      <w:pPr>
        <w:pStyle w:val="14"/>
        <w:spacing w:before="0" w:after="0" w:line="360" w:lineRule="auto"/>
        <w:contextualSpacing/>
        <w:rPr>
          <w:rFonts w:hint="eastAsia" w:ascii="仿宋" w:hAnsi="仿宋" w:eastAsia="仿宋"/>
          <w:sz w:val="24"/>
          <w:szCs w:val="24"/>
          <w:highlight w:val="none"/>
        </w:rPr>
      </w:pPr>
      <w:r>
        <w:rPr>
          <w:rFonts w:hint="eastAsia" w:ascii="仿宋" w:hAnsi="仿宋" w:eastAsia="仿宋"/>
          <w:sz w:val="24"/>
          <w:szCs w:val="24"/>
          <w:highlight w:val="none"/>
        </w:rPr>
        <w:t>注：</w:t>
      </w:r>
      <w:r>
        <w:rPr>
          <w:rFonts w:hint="eastAsia" w:ascii="仿宋" w:hAnsi="仿宋" w:eastAsia="仿宋"/>
          <w:sz w:val="24"/>
          <w:highlight w:val="none"/>
        </w:rPr>
        <w:t>投标人根据评标标准具体要求附业绩证明材料。</w:t>
      </w:r>
    </w:p>
    <w:p w14:paraId="31B725F4">
      <w:pPr>
        <w:pStyle w:val="14"/>
        <w:spacing w:before="0" w:after="0" w:line="360" w:lineRule="auto"/>
        <w:contextualSpacing/>
        <w:jc w:val="left"/>
        <w:rPr>
          <w:rFonts w:hint="eastAsia" w:ascii="仿宋" w:hAnsi="仿宋" w:eastAsia="仿宋"/>
          <w:sz w:val="24"/>
          <w:szCs w:val="24"/>
          <w:highlight w:val="none"/>
        </w:rPr>
      </w:pPr>
    </w:p>
    <w:p w14:paraId="0B2876AA">
      <w:pPr>
        <w:pStyle w:val="14"/>
        <w:spacing w:before="0" w:after="0" w:line="360" w:lineRule="auto"/>
        <w:contextualSpacing/>
        <w:jc w:val="left"/>
        <w:rPr>
          <w:rFonts w:hint="eastAsia" w:ascii="仿宋" w:hAnsi="仿宋" w:eastAsia="仿宋"/>
          <w:sz w:val="24"/>
          <w:szCs w:val="24"/>
          <w:highlight w:val="none"/>
        </w:rPr>
      </w:pPr>
    </w:p>
    <w:p w14:paraId="681ED854">
      <w:pPr>
        <w:pStyle w:val="14"/>
        <w:spacing w:before="0" w:after="0" w:line="360" w:lineRule="auto"/>
        <w:contextualSpacing/>
        <w:jc w:val="left"/>
        <w:rPr>
          <w:rFonts w:hint="eastAsia" w:ascii="仿宋" w:hAnsi="仿宋" w:eastAsia="仿宋"/>
          <w:sz w:val="24"/>
          <w:szCs w:val="24"/>
          <w:highlight w:val="none"/>
          <w:u w:val="single"/>
        </w:rPr>
      </w:pPr>
      <w:r>
        <w:rPr>
          <w:rFonts w:hint="eastAsia" w:ascii="仿宋" w:hAnsi="仿宋" w:eastAsia="仿宋"/>
          <w:sz w:val="24"/>
          <w:szCs w:val="24"/>
          <w:highlight w:val="none"/>
        </w:rPr>
        <w:t>法定代表人或者委托代理人</w:t>
      </w:r>
      <w:r>
        <w:rPr>
          <w:rFonts w:hint="eastAsia" w:ascii="仿宋" w:hAnsi="仿宋" w:eastAsia="仿宋"/>
          <w:spacing w:val="20"/>
          <w:sz w:val="24"/>
          <w:highlight w:val="none"/>
        </w:rPr>
        <w:t>（签字</w:t>
      </w:r>
      <w:r>
        <w:rPr>
          <w:rFonts w:hint="eastAsia" w:ascii="仿宋" w:hAnsi="仿宋" w:eastAsia="仿宋"/>
          <w:spacing w:val="20"/>
          <w:sz w:val="24"/>
          <w:highlight w:val="none"/>
          <w:lang w:val="en-US" w:eastAsia="zh-CN"/>
        </w:rPr>
        <w:t>或盖法定代表人CA章</w:t>
      </w:r>
      <w:r>
        <w:rPr>
          <w:rFonts w:hint="eastAsia" w:ascii="仿宋" w:hAnsi="仿宋" w:eastAsia="仿宋"/>
          <w:spacing w:val="20"/>
          <w:sz w:val="24"/>
          <w:highlight w:val="none"/>
        </w:rPr>
        <w:t>）</w:t>
      </w:r>
      <w:r>
        <w:rPr>
          <w:rFonts w:hint="eastAsia" w:ascii="仿宋" w:hAnsi="仿宋" w:eastAsia="仿宋"/>
          <w:sz w:val="24"/>
          <w:szCs w:val="24"/>
          <w:highlight w:val="none"/>
        </w:rPr>
        <w:t>：</w:t>
      </w:r>
      <w:r>
        <w:rPr>
          <w:rFonts w:hint="eastAsia" w:ascii="仿宋" w:hAnsi="仿宋" w:eastAsia="仿宋"/>
          <w:sz w:val="24"/>
          <w:szCs w:val="24"/>
          <w:highlight w:val="none"/>
          <w:u w:val="single"/>
        </w:rPr>
        <w:t>　　　　　</w:t>
      </w:r>
    </w:p>
    <w:p w14:paraId="6C94C02C">
      <w:pPr>
        <w:spacing w:line="360" w:lineRule="auto"/>
        <w:ind w:left="1200" w:right="480" w:hanging="1200" w:hangingChars="500"/>
        <w:contextualSpacing/>
        <w:jc w:val="left"/>
        <w:rPr>
          <w:rFonts w:hint="eastAsia" w:ascii="仿宋" w:hAnsi="仿宋" w:eastAsia="仿宋"/>
          <w:sz w:val="24"/>
          <w:szCs w:val="20"/>
          <w:highlight w:val="none"/>
        </w:rPr>
      </w:pPr>
      <w:r>
        <w:rPr>
          <w:rFonts w:hint="eastAsia" w:ascii="仿宋" w:hAnsi="仿宋" w:eastAsia="仿宋" w:cs="Arial"/>
          <w:sz w:val="24"/>
          <w:highlight w:val="none"/>
        </w:rPr>
        <w:t>投标人（</w:t>
      </w:r>
      <w:r>
        <w:rPr>
          <w:rFonts w:hint="eastAsia" w:ascii="仿宋" w:hAnsi="仿宋" w:eastAsia="仿宋" w:cs="Arial"/>
          <w:sz w:val="24"/>
          <w:highlight w:val="none"/>
          <w:lang w:eastAsia="zh-CN"/>
        </w:rPr>
        <w:t>盖CA公章</w:t>
      </w:r>
      <w:r>
        <w:rPr>
          <w:rFonts w:hint="eastAsia" w:ascii="仿宋" w:hAnsi="仿宋" w:eastAsia="仿宋" w:cs="Arial"/>
          <w:sz w:val="24"/>
          <w:highlight w:val="none"/>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p>
    <w:p w14:paraId="52BBA906">
      <w:pPr>
        <w:snapToGrid w:val="0"/>
        <w:spacing w:before="50"/>
        <w:jc w:val="left"/>
        <w:rPr>
          <w:rFonts w:hint="eastAsia" w:ascii="仿宋" w:hAnsi="仿宋" w:eastAsia="仿宋"/>
          <w:sz w:val="24"/>
          <w:szCs w:val="20"/>
          <w:highlight w:val="none"/>
        </w:rPr>
      </w:pPr>
      <w:r>
        <w:rPr>
          <w:rFonts w:hint="eastAsia" w:ascii="仿宋" w:hAnsi="仿宋" w:eastAsia="仿宋"/>
          <w:sz w:val="24"/>
          <w:szCs w:val="20"/>
          <w:highlight w:val="none"/>
        </w:rPr>
        <w:t>日期：</w:t>
      </w:r>
      <w:r>
        <w:rPr>
          <w:rFonts w:hint="eastAsia" w:ascii="仿宋" w:hAnsi="仿宋" w:eastAsia="仿宋"/>
          <w:sz w:val="24"/>
          <w:highlight w:val="none"/>
          <w:u w:val="single"/>
        </w:rPr>
        <w:t xml:space="preserve">                </w:t>
      </w:r>
    </w:p>
    <w:p w14:paraId="10DC2945">
      <w:pPr>
        <w:snapToGrid w:val="0"/>
        <w:spacing w:before="50"/>
        <w:jc w:val="left"/>
        <w:rPr>
          <w:rFonts w:hint="eastAsia" w:ascii="仿宋" w:hAnsi="仿宋" w:eastAsia="仿宋"/>
          <w:sz w:val="24"/>
          <w:highlight w:val="none"/>
        </w:rPr>
      </w:pPr>
    </w:p>
    <w:p w14:paraId="19C4C4FF">
      <w:pPr>
        <w:snapToGrid w:val="0"/>
        <w:spacing w:before="120" w:beforeLines="50"/>
        <w:rPr>
          <w:rFonts w:hint="eastAsia" w:ascii="仿宋" w:hAnsi="仿宋" w:eastAsia="仿宋"/>
          <w:sz w:val="24"/>
          <w:szCs w:val="20"/>
          <w:highlight w:val="none"/>
        </w:rPr>
        <w:sectPr>
          <w:footerReference r:id="rId8" w:type="default"/>
          <w:pgSz w:w="11906" w:h="16838"/>
          <w:pgMar w:top="907" w:right="851" w:bottom="907" w:left="851" w:header="851" w:footer="510" w:gutter="0"/>
          <w:pgNumType w:fmt="numberInDash" w:start="1"/>
          <w:cols w:space="720" w:num="1"/>
          <w:docGrid w:linePitch="312" w:charSpace="0"/>
        </w:sectPr>
      </w:pPr>
    </w:p>
    <w:p w14:paraId="7A681E78">
      <w:pPr>
        <w:rPr>
          <w:rFonts w:hint="eastAsia" w:ascii="仿宋" w:hAnsi="仿宋" w:eastAsia="仿宋"/>
          <w:b/>
          <w:sz w:val="28"/>
          <w:szCs w:val="28"/>
          <w:highlight w:val="none"/>
        </w:rPr>
      </w:pPr>
      <w:r>
        <w:rPr>
          <w:rFonts w:hint="eastAsia" w:ascii="仿宋" w:hAnsi="仿宋" w:eastAsia="仿宋"/>
          <w:b/>
          <w:sz w:val="28"/>
          <w:szCs w:val="28"/>
          <w:highlight w:val="none"/>
        </w:rPr>
        <w:t>四、技术文件格式</w:t>
      </w:r>
    </w:p>
    <w:p w14:paraId="50D8CECE">
      <w:pPr>
        <w:snapToGrid w:val="0"/>
        <w:spacing w:before="120" w:beforeLines="50" w:after="50"/>
        <w:ind w:left="142"/>
        <w:jc w:val="left"/>
        <w:rPr>
          <w:rFonts w:hint="eastAsia" w:ascii="仿宋" w:hAnsi="仿宋" w:eastAsia="仿宋"/>
          <w:b/>
          <w:sz w:val="24"/>
          <w:highlight w:val="none"/>
        </w:rPr>
      </w:pPr>
      <w:r>
        <w:rPr>
          <w:rFonts w:hint="eastAsia" w:ascii="仿宋" w:hAnsi="仿宋" w:eastAsia="仿宋"/>
          <w:b/>
          <w:sz w:val="24"/>
          <w:highlight w:val="none"/>
        </w:rPr>
        <w:t xml:space="preserve">1. 技术文件封面格式： </w:t>
      </w:r>
    </w:p>
    <w:p w14:paraId="26D822D2">
      <w:pPr>
        <w:snapToGrid w:val="0"/>
        <w:spacing w:before="120" w:beforeLines="50" w:after="50"/>
        <w:rPr>
          <w:rFonts w:hint="eastAsia" w:ascii="仿宋" w:hAnsi="仿宋" w:eastAsia="仿宋"/>
          <w:b/>
          <w:bCs/>
          <w:sz w:val="32"/>
          <w:szCs w:val="20"/>
          <w:highlight w:val="none"/>
        </w:rPr>
      </w:pPr>
      <w:r>
        <w:rPr>
          <w:rFonts w:hint="eastAsia" w:ascii="仿宋" w:hAnsi="仿宋" w:eastAsia="仿宋"/>
          <w:sz w:val="24"/>
          <w:highlight w:val="none"/>
        </w:rPr>
        <w:t xml:space="preserve">                                                   </w:t>
      </w:r>
    </w:p>
    <w:p w14:paraId="616961BD">
      <w:pPr>
        <w:snapToGrid w:val="0"/>
        <w:spacing w:before="120" w:beforeLines="50" w:after="50"/>
        <w:rPr>
          <w:rFonts w:hint="eastAsia" w:ascii="仿宋" w:hAnsi="仿宋" w:eastAsia="仿宋"/>
          <w:sz w:val="24"/>
          <w:szCs w:val="20"/>
          <w:highlight w:val="none"/>
        </w:rPr>
      </w:pPr>
    </w:p>
    <w:p w14:paraId="085207B9">
      <w:pPr>
        <w:snapToGrid w:val="0"/>
        <w:spacing w:before="120" w:beforeLines="50" w:after="50"/>
        <w:rPr>
          <w:rFonts w:hint="eastAsia" w:ascii="仿宋" w:hAnsi="仿宋" w:eastAsia="仿宋"/>
          <w:sz w:val="24"/>
          <w:szCs w:val="20"/>
          <w:highlight w:val="none"/>
        </w:rPr>
      </w:pPr>
    </w:p>
    <w:p w14:paraId="4348F40E">
      <w:pPr>
        <w:snapToGrid w:val="0"/>
        <w:spacing w:before="120" w:beforeLines="50" w:after="50"/>
        <w:jc w:val="center"/>
        <w:rPr>
          <w:rFonts w:hint="eastAsia" w:ascii="仿宋" w:hAnsi="仿宋" w:eastAsia="仿宋" w:cs="方正小标宋简体"/>
          <w:sz w:val="84"/>
          <w:szCs w:val="84"/>
          <w:highlight w:val="none"/>
        </w:rPr>
      </w:pPr>
      <w:r>
        <w:rPr>
          <w:rFonts w:hint="eastAsia" w:ascii="仿宋" w:hAnsi="仿宋" w:eastAsia="仿宋" w:cs="方正小标宋简体"/>
          <w:sz w:val="84"/>
          <w:szCs w:val="84"/>
          <w:highlight w:val="none"/>
        </w:rPr>
        <w:t>投  标  文  件</w:t>
      </w:r>
    </w:p>
    <w:p w14:paraId="6DAFAE2B">
      <w:pPr>
        <w:snapToGrid w:val="0"/>
        <w:spacing w:before="120" w:beforeLines="50" w:after="50"/>
        <w:rPr>
          <w:rFonts w:hint="eastAsia" w:ascii="仿宋" w:hAnsi="仿宋" w:eastAsia="仿宋"/>
          <w:sz w:val="24"/>
          <w:szCs w:val="20"/>
          <w:highlight w:val="none"/>
        </w:rPr>
      </w:pPr>
    </w:p>
    <w:p w14:paraId="0405D78C">
      <w:pPr>
        <w:snapToGrid w:val="0"/>
        <w:spacing w:before="120" w:beforeLines="50" w:after="50"/>
        <w:rPr>
          <w:rFonts w:hint="eastAsia" w:ascii="仿宋" w:hAnsi="仿宋" w:eastAsia="仿宋"/>
          <w:sz w:val="24"/>
          <w:szCs w:val="20"/>
          <w:highlight w:val="none"/>
        </w:rPr>
      </w:pPr>
    </w:p>
    <w:p w14:paraId="4E8A6942">
      <w:pPr>
        <w:snapToGrid w:val="0"/>
        <w:spacing w:before="120" w:beforeLines="50" w:after="50"/>
        <w:jc w:val="center"/>
        <w:rPr>
          <w:rFonts w:hint="eastAsia" w:ascii="仿宋" w:hAnsi="仿宋" w:eastAsia="仿宋"/>
          <w:b/>
          <w:bCs/>
          <w:sz w:val="32"/>
          <w:szCs w:val="32"/>
          <w:highlight w:val="none"/>
        </w:rPr>
      </w:pPr>
      <w:r>
        <w:rPr>
          <w:rFonts w:hint="eastAsia" w:ascii="仿宋" w:hAnsi="仿宋" w:eastAsia="仿宋"/>
          <w:b/>
          <w:bCs/>
          <w:sz w:val="32"/>
          <w:szCs w:val="32"/>
          <w:highlight w:val="none"/>
        </w:rPr>
        <w:t>技  术  文  件</w:t>
      </w:r>
    </w:p>
    <w:p w14:paraId="5EC6149E">
      <w:pPr>
        <w:snapToGrid w:val="0"/>
        <w:spacing w:before="120" w:beforeLines="50" w:after="50"/>
        <w:rPr>
          <w:rFonts w:hint="eastAsia" w:ascii="仿宋" w:hAnsi="仿宋" w:eastAsia="仿宋"/>
          <w:bCs/>
          <w:sz w:val="24"/>
          <w:szCs w:val="20"/>
          <w:highlight w:val="none"/>
        </w:rPr>
      </w:pPr>
    </w:p>
    <w:p w14:paraId="6DEC575F">
      <w:pPr>
        <w:snapToGrid w:val="0"/>
        <w:spacing w:before="120" w:beforeLines="50" w:after="50"/>
        <w:rPr>
          <w:rFonts w:hint="eastAsia" w:ascii="仿宋" w:hAnsi="仿宋" w:eastAsia="仿宋"/>
          <w:bCs/>
          <w:sz w:val="24"/>
          <w:szCs w:val="20"/>
          <w:highlight w:val="none"/>
        </w:rPr>
      </w:pPr>
    </w:p>
    <w:p w14:paraId="6990E689">
      <w:pPr>
        <w:snapToGrid w:val="0"/>
        <w:spacing w:before="120" w:beforeLines="50" w:after="50" w:line="400" w:lineRule="exact"/>
        <w:ind w:firstLine="360" w:firstLineChars="150"/>
        <w:rPr>
          <w:rFonts w:hint="eastAsia" w:ascii="仿宋" w:hAnsi="仿宋" w:eastAsia="仿宋"/>
          <w:bCs/>
          <w:sz w:val="24"/>
          <w:highlight w:val="none"/>
        </w:rPr>
      </w:pPr>
      <w:r>
        <w:rPr>
          <w:rFonts w:hint="eastAsia" w:ascii="仿宋" w:hAnsi="仿宋" w:eastAsia="仿宋"/>
          <w:bCs/>
          <w:sz w:val="24"/>
          <w:highlight w:val="none"/>
        </w:rPr>
        <w:t xml:space="preserve">项目名称： </w:t>
      </w:r>
    </w:p>
    <w:p w14:paraId="7C7E460D">
      <w:pPr>
        <w:snapToGrid w:val="0"/>
        <w:spacing w:before="120" w:beforeLines="50" w:after="50" w:line="400" w:lineRule="exact"/>
        <w:ind w:firstLine="360" w:firstLineChars="150"/>
        <w:rPr>
          <w:rFonts w:hint="eastAsia" w:ascii="仿宋" w:hAnsi="仿宋" w:eastAsia="仿宋"/>
          <w:bCs/>
          <w:sz w:val="24"/>
          <w:szCs w:val="20"/>
          <w:highlight w:val="none"/>
        </w:rPr>
      </w:pPr>
    </w:p>
    <w:p w14:paraId="10E03619">
      <w:pPr>
        <w:snapToGrid w:val="0"/>
        <w:spacing w:before="120" w:beforeLines="50" w:after="50" w:line="400" w:lineRule="exact"/>
        <w:ind w:firstLine="360" w:firstLineChars="150"/>
        <w:rPr>
          <w:rFonts w:hint="eastAsia" w:ascii="仿宋" w:hAnsi="仿宋" w:eastAsia="仿宋"/>
          <w:bCs/>
          <w:sz w:val="24"/>
          <w:highlight w:val="none"/>
        </w:rPr>
      </w:pPr>
      <w:r>
        <w:rPr>
          <w:rFonts w:hint="eastAsia" w:ascii="仿宋" w:hAnsi="仿宋" w:eastAsia="仿宋"/>
          <w:bCs/>
          <w:sz w:val="24"/>
          <w:highlight w:val="none"/>
        </w:rPr>
        <w:t xml:space="preserve">项目编号： </w:t>
      </w:r>
    </w:p>
    <w:p w14:paraId="1347F286">
      <w:pPr>
        <w:snapToGrid w:val="0"/>
        <w:spacing w:before="120" w:beforeLines="50" w:after="50" w:line="400" w:lineRule="exact"/>
        <w:ind w:firstLine="360" w:firstLineChars="150"/>
        <w:rPr>
          <w:rFonts w:hint="eastAsia" w:ascii="仿宋" w:hAnsi="仿宋" w:eastAsia="仿宋"/>
          <w:bCs/>
          <w:sz w:val="24"/>
          <w:highlight w:val="none"/>
        </w:rPr>
      </w:pPr>
    </w:p>
    <w:p w14:paraId="777F7ACC">
      <w:pPr>
        <w:snapToGrid w:val="0"/>
        <w:spacing w:before="120" w:beforeLines="50" w:after="50" w:line="400" w:lineRule="exact"/>
        <w:ind w:firstLine="360" w:firstLineChars="150"/>
        <w:rPr>
          <w:rFonts w:hint="eastAsia" w:ascii="仿宋" w:hAnsi="仿宋" w:eastAsia="仿宋"/>
          <w:bCs/>
          <w:sz w:val="24"/>
          <w:highlight w:val="none"/>
        </w:rPr>
      </w:pPr>
      <w:r>
        <w:rPr>
          <w:rFonts w:hint="eastAsia" w:ascii="仿宋" w:hAnsi="仿宋" w:eastAsia="仿宋"/>
          <w:bCs/>
          <w:sz w:val="24"/>
          <w:highlight w:val="none"/>
        </w:rPr>
        <w:t>投标人名称：</w:t>
      </w:r>
    </w:p>
    <w:p w14:paraId="23A1B2C6">
      <w:pPr>
        <w:snapToGrid w:val="0"/>
        <w:spacing w:before="120" w:beforeLines="50" w:after="50" w:line="400" w:lineRule="exact"/>
        <w:ind w:firstLine="360" w:firstLineChars="150"/>
        <w:rPr>
          <w:rFonts w:hint="eastAsia" w:ascii="仿宋" w:hAnsi="仿宋" w:eastAsia="仿宋"/>
          <w:bCs/>
          <w:sz w:val="24"/>
          <w:highlight w:val="none"/>
        </w:rPr>
      </w:pPr>
    </w:p>
    <w:p w14:paraId="0C50C452">
      <w:pPr>
        <w:snapToGrid w:val="0"/>
        <w:spacing w:before="120" w:beforeLines="50" w:after="50" w:line="400" w:lineRule="exact"/>
        <w:rPr>
          <w:rFonts w:hint="eastAsia" w:ascii="仿宋" w:hAnsi="仿宋" w:eastAsia="仿宋"/>
          <w:bCs/>
          <w:sz w:val="24"/>
          <w:highlight w:val="none"/>
        </w:rPr>
      </w:pPr>
    </w:p>
    <w:p w14:paraId="1FD8F444">
      <w:pPr>
        <w:snapToGrid w:val="0"/>
        <w:spacing w:before="120" w:beforeLines="50" w:after="50"/>
        <w:ind w:firstLine="645"/>
        <w:jc w:val="center"/>
        <w:rPr>
          <w:rFonts w:hint="eastAsia" w:ascii="仿宋" w:hAnsi="仿宋" w:eastAsia="仿宋"/>
          <w:sz w:val="24"/>
          <w:highlight w:val="none"/>
        </w:rPr>
      </w:pPr>
      <w:r>
        <w:rPr>
          <w:rFonts w:hint="eastAsia" w:ascii="仿宋" w:hAnsi="仿宋" w:eastAsia="仿宋"/>
          <w:sz w:val="24"/>
          <w:highlight w:val="none"/>
        </w:rPr>
        <w:t xml:space="preserve">               </w:t>
      </w:r>
    </w:p>
    <w:p w14:paraId="4FB7317F">
      <w:pPr>
        <w:snapToGrid w:val="0"/>
        <w:spacing w:before="120" w:beforeLines="50" w:after="50"/>
        <w:ind w:firstLine="645"/>
        <w:jc w:val="center"/>
        <w:rPr>
          <w:rFonts w:hint="eastAsia" w:ascii="仿宋" w:hAnsi="仿宋" w:eastAsia="仿宋"/>
          <w:sz w:val="24"/>
          <w:highlight w:val="none"/>
        </w:rPr>
      </w:pPr>
      <w:r>
        <w:rPr>
          <w:rFonts w:hint="eastAsia" w:ascii="仿宋" w:hAnsi="仿宋" w:eastAsia="仿宋"/>
          <w:sz w:val="24"/>
          <w:highlight w:val="none"/>
        </w:rPr>
        <w:t>年    月    日</w:t>
      </w:r>
    </w:p>
    <w:p w14:paraId="7E22B46B">
      <w:pPr>
        <w:snapToGrid w:val="0"/>
        <w:spacing w:before="120" w:beforeLines="50" w:after="50"/>
        <w:ind w:firstLine="645"/>
        <w:jc w:val="center"/>
        <w:rPr>
          <w:rFonts w:hint="eastAsia" w:ascii="仿宋" w:hAnsi="仿宋" w:eastAsia="仿宋"/>
          <w:sz w:val="24"/>
          <w:szCs w:val="20"/>
          <w:highlight w:val="none"/>
        </w:rPr>
      </w:pPr>
    </w:p>
    <w:p w14:paraId="3CCE8C2B">
      <w:pPr>
        <w:snapToGrid w:val="0"/>
        <w:spacing w:before="120" w:beforeLines="50" w:after="50"/>
        <w:ind w:left="142"/>
        <w:jc w:val="left"/>
        <w:rPr>
          <w:rFonts w:hint="eastAsia" w:ascii="仿宋" w:hAnsi="仿宋" w:eastAsia="仿宋"/>
          <w:b/>
          <w:bCs/>
          <w:sz w:val="24"/>
          <w:highlight w:val="none"/>
        </w:rPr>
      </w:pPr>
      <w:r>
        <w:rPr>
          <w:rFonts w:ascii="仿宋" w:hAnsi="仿宋" w:eastAsia="仿宋"/>
          <w:b/>
          <w:bCs/>
          <w:sz w:val="24"/>
          <w:highlight w:val="none"/>
        </w:rPr>
        <w:br w:type="page"/>
      </w:r>
      <w:r>
        <w:rPr>
          <w:rFonts w:hint="eastAsia" w:ascii="仿宋" w:hAnsi="仿宋" w:eastAsia="仿宋"/>
          <w:b/>
          <w:bCs/>
          <w:sz w:val="24"/>
          <w:highlight w:val="none"/>
        </w:rPr>
        <w:t>2.技术文件目录</w:t>
      </w:r>
    </w:p>
    <w:p w14:paraId="76E54293">
      <w:pPr>
        <w:snapToGrid w:val="0"/>
        <w:spacing w:before="50" w:after="120" w:afterLines="50" w:line="360" w:lineRule="auto"/>
        <w:ind w:firstLine="480" w:firstLineChars="200"/>
        <w:jc w:val="left"/>
        <w:rPr>
          <w:rFonts w:hint="eastAsia" w:ascii="仿宋" w:hAnsi="仿宋" w:eastAsia="仿宋"/>
          <w:sz w:val="24"/>
          <w:highlight w:val="none"/>
        </w:rPr>
      </w:pPr>
      <w:r>
        <w:rPr>
          <w:rFonts w:hint="eastAsia" w:ascii="仿宋" w:hAnsi="仿宋" w:eastAsia="仿宋"/>
          <w:sz w:val="24"/>
          <w:highlight w:val="none"/>
        </w:rPr>
        <w:t>根据招标文件规定及投标人提供的材料自行编写目录。</w:t>
      </w:r>
    </w:p>
    <w:p w14:paraId="2010B585">
      <w:pPr>
        <w:snapToGrid w:val="0"/>
        <w:spacing w:before="120" w:beforeLines="50" w:after="50"/>
        <w:ind w:left="142"/>
        <w:jc w:val="left"/>
        <w:rPr>
          <w:rFonts w:hint="eastAsia" w:ascii="仿宋" w:hAnsi="仿宋" w:eastAsia="仿宋"/>
          <w:b/>
          <w:sz w:val="24"/>
          <w:highlight w:val="none"/>
        </w:rPr>
      </w:pPr>
      <w:r>
        <w:rPr>
          <w:rFonts w:ascii="仿宋" w:hAnsi="仿宋" w:eastAsia="仿宋"/>
          <w:b/>
          <w:sz w:val="24"/>
          <w:highlight w:val="none"/>
        </w:rPr>
        <w:br w:type="page"/>
      </w:r>
      <w:r>
        <w:rPr>
          <w:rFonts w:hint="eastAsia" w:ascii="仿宋" w:hAnsi="仿宋" w:eastAsia="仿宋"/>
          <w:b/>
          <w:sz w:val="24"/>
          <w:highlight w:val="none"/>
        </w:rPr>
        <w:t>3. 技术要求偏离表格式</w:t>
      </w:r>
    </w:p>
    <w:p w14:paraId="4A218F9C">
      <w:pPr>
        <w:snapToGrid w:val="0"/>
        <w:spacing w:before="120" w:beforeLines="50" w:after="50"/>
        <w:ind w:left="142"/>
        <w:jc w:val="center"/>
        <w:rPr>
          <w:rFonts w:hint="eastAsia" w:ascii="仿宋" w:hAnsi="仿宋" w:eastAsia="仿宋"/>
          <w:b/>
          <w:sz w:val="32"/>
          <w:szCs w:val="32"/>
          <w:highlight w:val="none"/>
        </w:rPr>
      </w:pPr>
      <w:r>
        <w:rPr>
          <w:rFonts w:hint="eastAsia" w:ascii="仿宋" w:hAnsi="仿宋" w:eastAsia="仿宋"/>
          <w:b/>
          <w:sz w:val="32"/>
          <w:szCs w:val="32"/>
          <w:highlight w:val="none"/>
        </w:rPr>
        <w:t>技术要求偏离表</w:t>
      </w:r>
    </w:p>
    <w:tbl>
      <w:tblPr>
        <w:tblStyle w:val="4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837"/>
        <w:gridCol w:w="2551"/>
        <w:gridCol w:w="2410"/>
        <w:gridCol w:w="1701"/>
      </w:tblGrid>
      <w:tr w14:paraId="7D80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452BCCAA">
            <w:pPr>
              <w:pStyle w:val="25"/>
              <w:spacing w:before="0" w:after="0" w:line="400" w:lineRule="exact"/>
              <w:ind w:firstLine="0" w:firstLineChars="0"/>
              <w:jc w:val="center"/>
              <w:rPr>
                <w:rFonts w:hint="eastAsia"/>
                <w:b w:val="0"/>
                <w:highlight w:val="none"/>
              </w:rPr>
            </w:pPr>
            <w:r>
              <w:rPr>
                <w:rFonts w:hint="eastAsia"/>
                <w:b w:val="0"/>
                <w:highlight w:val="none"/>
              </w:rPr>
              <w:t>项号</w:t>
            </w:r>
          </w:p>
        </w:tc>
        <w:tc>
          <w:tcPr>
            <w:tcW w:w="1837" w:type="dxa"/>
            <w:vAlign w:val="center"/>
          </w:tcPr>
          <w:p w14:paraId="17ADC42E">
            <w:pPr>
              <w:pStyle w:val="25"/>
              <w:spacing w:before="0" w:after="0" w:line="400" w:lineRule="exact"/>
              <w:ind w:firstLine="0" w:firstLineChars="0"/>
              <w:jc w:val="center"/>
              <w:rPr>
                <w:rFonts w:hint="eastAsia"/>
                <w:b w:val="0"/>
                <w:highlight w:val="none"/>
              </w:rPr>
            </w:pPr>
            <w:r>
              <w:rPr>
                <w:rFonts w:hint="eastAsia"/>
                <w:b w:val="0"/>
                <w:highlight w:val="none"/>
              </w:rPr>
              <w:t>标的名称</w:t>
            </w:r>
          </w:p>
        </w:tc>
        <w:tc>
          <w:tcPr>
            <w:tcW w:w="2551" w:type="dxa"/>
            <w:vAlign w:val="center"/>
          </w:tcPr>
          <w:p w14:paraId="3D0661DC">
            <w:pPr>
              <w:pStyle w:val="25"/>
              <w:spacing w:before="0" w:after="0" w:line="400" w:lineRule="exact"/>
              <w:ind w:firstLine="0" w:firstLineChars="0"/>
              <w:jc w:val="center"/>
              <w:rPr>
                <w:rFonts w:hint="eastAsia"/>
                <w:b w:val="0"/>
                <w:highlight w:val="none"/>
              </w:rPr>
            </w:pPr>
            <w:r>
              <w:rPr>
                <w:rFonts w:hint="eastAsia"/>
                <w:b w:val="0"/>
                <w:highlight w:val="none"/>
              </w:rPr>
              <w:t>招标文件技术要求</w:t>
            </w:r>
          </w:p>
        </w:tc>
        <w:tc>
          <w:tcPr>
            <w:tcW w:w="2410" w:type="dxa"/>
            <w:vAlign w:val="center"/>
          </w:tcPr>
          <w:p w14:paraId="306A2BF8">
            <w:pPr>
              <w:pStyle w:val="25"/>
              <w:spacing w:before="0" w:after="0" w:line="400" w:lineRule="exact"/>
              <w:ind w:firstLine="0" w:firstLineChars="0"/>
              <w:jc w:val="center"/>
              <w:rPr>
                <w:rFonts w:hint="eastAsia"/>
                <w:b w:val="0"/>
                <w:highlight w:val="none"/>
              </w:rPr>
            </w:pPr>
            <w:r>
              <w:rPr>
                <w:rFonts w:hint="eastAsia"/>
                <w:b w:val="0"/>
                <w:highlight w:val="none"/>
              </w:rPr>
              <w:t>投标响应内容</w:t>
            </w:r>
          </w:p>
        </w:tc>
        <w:tc>
          <w:tcPr>
            <w:tcW w:w="1701" w:type="dxa"/>
            <w:vAlign w:val="center"/>
          </w:tcPr>
          <w:p w14:paraId="12ECD4DB">
            <w:pPr>
              <w:pStyle w:val="25"/>
              <w:spacing w:before="0" w:after="0" w:line="400" w:lineRule="exact"/>
              <w:ind w:firstLine="0" w:firstLineChars="0"/>
              <w:jc w:val="center"/>
              <w:rPr>
                <w:rFonts w:hint="eastAsia"/>
                <w:b w:val="0"/>
                <w:highlight w:val="none"/>
              </w:rPr>
            </w:pPr>
            <w:r>
              <w:rPr>
                <w:rFonts w:hint="eastAsia"/>
                <w:b w:val="0"/>
                <w:highlight w:val="none"/>
              </w:rPr>
              <w:t>偏离说明</w:t>
            </w:r>
          </w:p>
        </w:tc>
      </w:tr>
      <w:tr w14:paraId="57A6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4C07A0F1">
            <w:pPr>
              <w:pStyle w:val="25"/>
              <w:spacing w:before="0" w:after="0" w:line="400" w:lineRule="exact"/>
              <w:ind w:firstLine="0" w:firstLineChars="0"/>
              <w:jc w:val="center"/>
              <w:rPr>
                <w:rFonts w:hint="eastAsia"/>
                <w:b w:val="0"/>
                <w:highlight w:val="none"/>
              </w:rPr>
            </w:pPr>
            <w:r>
              <w:rPr>
                <w:rFonts w:hint="eastAsia"/>
                <w:b w:val="0"/>
                <w:highlight w:val="none"/>
              </w:rPr>
              <w:t>1</w:t>
            </w:r>
          </w:p>
        </w:tc>
        <w:tc>
          <w:tcPr>
            <w:tcW w:w="1837" w:type="dxa"/>
            <w:vAlign w:val="center"/>
          </w:tcPr>
          <w:p w14:paraId="4A381D5F">
            <w:pPr>
              <w:pStyle w:val="25"/>
              <w:spacing w:before="0" w:after="0" w:line="400" w:lineRule="exact"/>
              <w:ind w:firstLine="0" w:firstLineChars="0"/>
              <w:jc w:val="center"/>
              <w:rPr>
                <w:rFonts w:hint="eastAsia"/>
                <w:b w:val="0"/>
                <w:highlight w:val="none"/>
              </w:rPr>
            </w:pPr>
          </w:p>
        </w:tc>
        <w:tc>
          <w:tcPr>
            <w:tcW w:w="2551" w:type="dxa"/>
            <w:vAlign w:val="center"/>
          </w:tcPr>
          <w:p w14:paraId="3DD84C75">
            <w:pPr>
              <w:pStyle w:val="25"/>
              <w:spacing w:before="0" w:after="0" w:line="400" w:lineRule="exact"/>
              <w:ind w:firstLine="0" w:firstLineChars="0"/>
              <w:jc w:val="center"/>
              <w:rPr>
                <w:rFonts w:hint="eastAsia"/>
                <w:b w:val="0"/>
                <w:highlight w:val="none"/>
              </w:rPr>
            </w:pPr>
          </w:p>
        </w:tc>
        <w:tc>
          <w:tcPr>
            <w:tcW w:w="2410" w:type="dxa"/>
            <w:vAlign w:val="center"/>
          </w:tcPr>
          <w:p w14:paraId="5E514FEC">
            <w:pPr>
              <w:pStyle w:val="25"/>
              <w:spacing w:before="0" w:after="0" w:line="400" w:lineRule="exact"/>
              <w:ind w:firstLine="0" w:firstLineChars="0"/>
              <w:jc w:val="center"/>
              <w:rPr>
                <w:rFonts w:hint="eastAsia"/>
                <w:b w:val="0"/>
                <w:highlight w:val="none"/>
              </w:rPr>
            </w:pPr>
          </w:p>
        </w:tc>
        <w:tc>
          <w:tcPr>
            <w:tcW w:w="1701" w:type="dxa"/>
            <w:vAlign w:val="center"/>
          </w:tcPr>
          <w:p w14:paraId="7885C50B">
            <w:pPr>
              <w:pStyle w:val="25"/>
              <w:spacing w:before="0" w:after="0" w:line="400" w:lineRule="exact"/>
              <w:ind w:firstLine="480"/>
              <w:rPr>
                <w:rFonts w:hint="eastAsia"/>
                <w:b w:val="0"/>
                <w:highlight w:val="none"/>
              </w:rPr>
            </w:pPr>
          </w:p>
        </w:tc>
      </w:tr>
      <w:tr w14:paraId="1331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76C03EEC">
            <w:pPr>
              <w:pStyle w:val="25"/>
              <w:spacing w:before="0" w:after="0" w:line="400" w:lineRule="exact"/>
              <w:ind w:firstLine="0" w:firstLineChars="0"/>
              <w:jc w:val="center"/>
              <w:rPr>
                <w:rFonts w:hint="eastAsia"/>
                <w:b w:val="0"/>
                <w:highlight w:val="none"/>
              </w:rPr>
            </w:pPr>
            <w:r>
              <w:rPr>
                <w:rFonts w:hint="eastAsia"/>
                <w:b w:val="0"/>
                <w:highlight w:val="none"/>
              </w:rPr>
              <w:t>2</w:t>
            </w:r>
          </w:p>
        </w:tc>
        <w:tc>
          <w:tcPr>
            <w:tcW w:w="1837" w:type="dxa"/>
            <w:vAlign w:val="center"/>
          </w:tcPr>
          <w:p w14:paraId="098F4351">
            <w:pPr>
              <w:pStyle w:val="25"/>
              <w:spacing w:before="0" w:after="0" w:line="400" w:lineRule="exact"/>
              <w:ind w:firstLine="0" w:firstLineChars="0"/>
              <w:jc w:val="center"/>
              <w:rPr>
                <w:rFonts w:hint="eastAsia"/>
                <w:b w:val="0"/>
                <w:highlight w:val="none"/>
              </w:rPr>
            </w:pPr>
          </w:p>
        </w:tc>
        <w:tc>
          <w:tcPr>
            <w:tcW w:w="2551" w:type="dxa"/>
            <w:vAlign w:val="center"/>
          </w:tcPr>
          <w:p w14:paraId="51C62FEA">
            <w:pPr>
              <w:pStyle w:val="25"/>
              <w:spacing w:before="0" w:after="0" w:line="400" w:lineRule="exact"/>
              <w:ind w:firstLine="0" w:firstLineChars="0"/>
              <w:jc w:val="center"/>
              <w:rPr>
                <w:rFonts w:hint="eastAsia"/>
                <w:b w:val="0"/>
                <w:highlight w:val="none"/>
              </w:rPr>
            </w:pPr>
          </w:p>
        </w:tc>
        <w:tc>
          <w:tcPr>
            <w:tcW w:w="2410" w:type="dxa"/>
            <w:vAlign w:val="center"/>
          </w:tcPr>
          <w:p w14:paraId="6FF56486">
            <w:pPr>
              <w:pStyle w:val="25"/>
              <w:spacing w:before="0" w:after="0" w:line="400" w:lineRule="exact"/>
              <w:ind w:firstLine="0" w:firstLineChars="0"/>
              <w:jc w:val="center"/>
              <w:rPr>
                <w:rFonts w:hint="eastAsia"/>
                <w:b w:val="0"/>
                <w:highlight w:val="none"/>
              </w:rPr>
            </w:pPr>
          </w:p>
        </w:tc>
        <w:tc>
          <w:tcPr>
            <w:tcW w:w="1701" w:type="dxa"/>
            <w:vAlign w:val="center"/>
          </w:tcPr>
          <w:p w14:paraId="2686BF6D">
            <w:pPr>
              <w:pStyle w:val="25"/>
              <w:spacing w:before="0" w:after="0" w:line="400" w:lineRule="exact"/>
              <w:ind w:firstLine="480"/>
              <w:rPr>
                <w:rFonts w:hint="eastAsia"/>
                <w:b w:val="0"/>
                <w:highlight w:val="none"/>
              </w:rPr>
            </w:pPr>
          </w:p>
        </w:tc>
      </w:tr>
      <w:tr w14:paraId="16F1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4C46A96D">
            <w:pPr>
              <w:pStyle w:val="25"/>
              <w:spacing w:before="0" w:after="0" w:line="400" w:lineRule="exact"/>
              <w:ind w:firstLine="0" w:firstLineChars="0"/>
              <w:jc w:val="center"/>
              <w:rPr>
                <w:rFonts w:hint="eastAsia"/>
                <w:b w:val="0"/>
                <w:highlight w:val="none"/>
              </w:rPr>
            </w:pPr>
            <w:r>
              <w:rPr>
                <w:b w:val="0"/>
                <w:highlight w:val="none"/>
              </w:rPr>
              <w:t>…</w:t>
            </w:r>
          </w:p>
        </w:tc>
        <w:tc>
          <w:tcPr>
            <w:tcW w:w="1837" w:type="dxa"/>
            <w:vAlign w:val="center"/>
          </w:tcPr>
          <w:p w14:paraId="5CAE3F9A">
            <w:pPr>
              <w:pStyle w:val="25"/>
              <w:spacing w:before="0" w:after="0" w:line="400" w:lineRule="exact"/>
              <w:ind w:firstLine="0" w:firstLineChars="0"/>
              <w:jc w:val="center"/>
              <w:rPr>
                <w:rFonts w:hint="eastAsia"/>
                <w:b w:val="0"/>
                <w:highlight w:val="none"/>
              </w:rPr>
            </w:pPr>
          </w:p>
        </w:tc>
        <w:tc>
          <w:tcPr>
            <w:tcW w:w="2551" w:type="dxa"/>
            <w:vAlign w:val="center"/>
          </w:tcPr>
          <w:p w14:paraId="3B0B324E">
            <w:pPr>
              <w:pStyle w:val="25"/>
              <w:spacing w:before="0" w:after="0" w:line="400" w:lineRule="exact"/>
              <w:ind w:firstLine="0" w:firstLineChars="0"/>
              <w:jc w:val="center"/>
              <w:rPr>
                <w:rFonts w:hint="eastAsia"/>
                <w:b w:val="0"/>
                <w:highlight w:val="none"/>
              </w:rPr>
            </w:pPr>
          </w:p>
        </w:tc>
        <w:tc>
          <w:tcPr>
            <w:tcW w:w="2410" w:type="dxa"/>
            <w:vAlign w:val="center"/>
          </w:tcPr>
          <w:p w14:paraId="7A022043">
            <w:pPr>
              <w:pStyle w:val="25"/>
              <w:spacing w:before="0" w:after="0" w:line="400" w:lineRule="exact"/>
              <w:ind w:firstLine="0" w:firstLineChars="0"/>
              <w:jc w:val="center"/>
              <w:rPr>
                <w:rFonts w:hint="eastAsia"/>
                <w:b w:val="0"/>
                <w:highlight w:val="none"/>
              </w:rPr>
            </w:pPr>
          </w:p>
        </w:tc>
        <w:tc>
          <w:tcPr>
            <w:tcW w:w="1701" w:type="dxa"/>
            <w:vAlign w:val="center"/>
          </w:tcPr>
          <w:p w14:paraId="35EB15C8">
            <w:pPr>
              <w:pStyle w:val="25"/>
              <w:spacing w:before="0" w:after="0" w:line="400" w:lineRule="exact"/>
              <w:ind w:firstLine="480"/>
              <w:rPr>
                <w:rFonts w:hint="eastAsia"/>
                <w:b w:val="0"/>
                <w:highlight w:val="none"/>
              </w:rPr>
            </w:pPr>
          </w:p>
        </w:tc>
      </w:tr>
    </w:tbl>
    <w:p w14:paraId="5918F84E">
      <w:pPr>
        <w:pStyle w:val="17"/>
        <w:rPr>
          <w:rFonts w:hint="eastAsia" w:ascii="仿宋" w:hAnsi="仿宋" w:eastAsia="仿宋"/>
          <w:highlight w:val="none"/>
        </w:rPr>
      </w:pPr>
      <w:r>
        <w:rPr>
          <w:rFonts w:hint="eastAsia" w:ascii="仿宋" w:hAnsi="仿宋" w:eastAsia="仿宋"/>
          <w:highlight w:val="none"/>
        </w:rPr>
        <w:t>注：</w:t>
      </w:r>
    </w:p>
    <w:p w14:paraId="29E2A440">
      <w:pPr>
        <w:pStyle w:val="19"/>
        <w:spacing w:line="360" w:lineRule="auto"/>
        <w:ind w:firstLine="0" w:firstLineChars="0"/>
        <w:rPr>
          <w:rFonts w:hint="eastAsia" w:ascii="仿宋" w:hAnsi="仿宋" w:eastAsia="仿宋" w:cs="仿宋_GB2312"/>
          <w:szCs w:val="32"/>
          <w:highlight w:val="none"/>
        </w:rPr>
      </w:pPr>
      <w:r>
        <w:rPr>
          <w:rFonts w:hint="eastAsia" w:ascii="仿宋" w:hAnsi="仿宋" w:eastAsia="仿宋"/>
          <w:sz w:val="24"/>
          <w:szCs w:val="24"/>
          <w:highlight w:val="none"/>
        </w:rPr>
        <w:t>1. 说明：应对照招标文件“第二章 采购需求”中“</w:t>
      </w:r>
      <w:r>
        <w:rPr>
          <w:rFonts w:hint="eastAsia" w:ascii="仿宋" w:hAnsi="仿宋" w:eastAsia="仿宋"/>
          <w:highlight w:val="none"/>
        </w:rPr>
        <w:t xml:space="preserve"> </w:t>
      </w:r>
      <w:r>
        <w:rPr>
          <w:rFonts w:hint="eastAsia" w:ascii="仿宋" w:hAnsi="仿宋" w:eastAsia="仿宋"/>
          <w:sz w:val="24"/>
          <w:szCs w:val="24"/>
          <w:highlight w:val="none"/>
        </w:rPr>
        <w:t>一、技术要求”各</w:t>
      </w:r>
      <w:r>
        <w:rPr>
          <w:rFonts w:ascii="仿宋" w:hAnsi="仿宋" w:eastAsia="仿宋"/>
          <w:sz w:val="24"/>
          <w:szCs w:val="24"/>
          <w:highlight w:val="none"/>
        </w:rPr>
        <w:t>分项标的“</w:t>
      </w:r>
      <w:r>
        <w:rPr>
          <w:rFonts w:hint="eastAsia" w:ascii="仿宋" w:hAnsi="仿宋" w:eastAsia="仿宋"/>
          <w:sz w:val="24"/>
          <w:szCs w:val="24"/>
          <w:highlight w:val="none"/>
        </w:rPr>
        <w:t>技术参数及其性能（配置）要求</w:t>
      </w:r>
      <w:r>
        <w:rPr>
          <w:rFonts w:ascii="仿宋" w:hAnsi="仿宋" w:eastAsia="仿宋"/>
          <w:sz w:val="24"/>
          <w:szCs w:val="24"/>
          <w:highlight w:val="none"/>
        </w:rPr>
        <w:t>”</w:t>
      </w:r>
      <w:r>
        <w:rPr>
          <w:rFonts w:hint="eastAsia" w:ascii="仿宋" w:hAnsi="仿宋" w:eastAsia="仿宋"/>
          <w:sz w:val="24"/>
          <w:szCs w:val="24"/>
          <w:highlight w:val="none"/>
        </w:rPr>
        <w:t>逐条作明确的投标响应，并作出偏离说明。</w:t>
      </w:r>
    </w:p>
    <w:p w14:paraId="59002931">
      <w:pPr>
        <w:pStyle w:val="17"/>
        <w:spacing w:line="360" w:lineRule="auto"/>
        <w:rPr>
          <w:rFonts w:hint="eastAsia" w:ascii="仿宋" w:hAnsi="仿宋" w:eastAsia="仿宋"/>
          <w:b w:val="0"/>
          <w:bCs w:val="0"/>
          <w:highlight w:val="none"/>
        </w:rPr>
      </w:pPr>
      <w:r>
        <w:rPr>
          <w:rFonts w:ascii="仿宋" w:hAnsi="仿宋" w:eastAsia="仿宋"/>
          <w:b w:val="0"/>
          <w:bCs w:val="0"/>
          <w:highlight w:val="none"/>
        </w:rPr>
        <w:t>2.</w:t>
      </w:r>
      <w:r>
        <w:rPr>
          <w:rFonts w:hint="eastAsia" w:ascii="仿宋" w:hAnsi="仿宋" w:eastAsia="仿宋"/>
          <w:b w:val="0"/>
          <w:bCs w:val="0"/>
          <w:highlight w:val="none"/>
        </w:rPr>
        <w:t>投标人根据投标货物的性能指标，对照招标文件技术要求，在“偏离说明”中注明“</w:t>
      </w:r>
      <w:r>
        <w:rPr>
          <w:rFonts w:hint="eastAsia" w:ascii="仿宋" w:hAnsi="仿宋" w:eastAsia="仿宋"/>
          <w:highlight w:val="none"/>
        </w:rPr>
        <w:t>正偏离</w:t>
      </w:r>
      <w:r>
        <w:rPr>
          <w:rFonts w:hint="eastAsia" w:ascii="仿宋" w:hAnsi="仿宋" w:eastAsia="仿宋"/>
          <w:b w:val="0"/>
          <w:bCs w:val="0"/>
          <w:highlight w:val="none"/>
        </w:rPr>
        <w:t>”、“</w:t>
      </w:r>
      <w:r>
        <w:rPr>
          <w:rFonts w:hint="eastAsia" w:ascii="仿宋" w:hAnsi="仿宋" w:eastAsia="仿宋"/>
          <w:highlight w:val="none"/>
        </w:rPr>
        <w:t>负偏离</w:t>
      </w:r>
      <w:r>
        <w:rPr>
          <w:rFonts w:hint="eastAsia" w:ascii="仿宋" w:hAnsi="仿宋" w:eastAsia="仿宋"/>
          <w:b w:val="0"/>
          <w:bCs w:val="0"/>
          <w:highlight w:val="none"/>
        </w:rPr>
        <w:t>”或者“</w:t>
      </w:r>
      <w:r>
        <w:rPr>
          <w:rFonts w:hint="eastAsia" w:ascii="仿宋" w:hAnsi="仿宋" w:eastAsia="仿宋"/>
          <w:highlight w:val="none"/>
        </w:rPr>
        <w:t>无偏离</w:t>
      </w:r>
      <w:r>
        <w:rPr>
          <w:rFonts w:hint="eastAsia" w:ascii="仿宋" w:hAnsi="仿宋" w:eastAsia="仿宋"/>
          <w:b w:val="0"/>
          <w:bCs w:val="0"/>
          <w:highlight w:val="none"/>
        </w:rPr>
        <w:t>”。既不属于“</w:t>
      </w:r>
      <w:r>
        <w:rPr>
          <w:rFonts w:hint="eastAsia" w:ascii="仿宋" w:hAnsi="仿宋" w:eastAsia="仿宋"/>
          <w:highlight w:val="none"/>
        </w:rPr>
        <w:t>正偏离</w:t>
      </w:r>
      <w:r>
        <w:rPr>
          <w:rFonts w:hint="eastAsia" w:ascii="仿宋" w:hAnsi="仿宋" w:eastAsia="仿宋"/>
          <w:b w:val="0"/>
          <w:bCs w:val="0"/>
          <w:highlight w:val="none"/>
        </w:rPr>
        <w:t>”也不属于“</w:t>
      </w:r>
      <w:r>
        <w:rPr>
          <w:rFonts w:hint="eastAsia" w:ascii="仿宋" w:hAnsi="仿宋" w:eastAsia="仿宋"/>
          <w:highlight w:val="none"/>
        </w:rPr>
        <w:t>负偏离</w:t>
      </w:r>
      <w:r>
        <w:rPr>
          <w:rFonts w:hint="eastAsia" w:ascii="仿宋" w:hAnsi="仿宋" w:eastAsia="仿宋"/>
          <w:b w:val="0"/>
          <w:bCs w:val="0"/>
          <w:highlight w:val="none"/>
        </w:rPr>
        <w:t>”即为“</w:t>
      </w:r>
      <w:r>
        <w:rPr>
          <w:rFonts w:hint="eastAsia" w:ascii="仿宋" w:hAnsi="仿宋" w:eastAsia="仿宋"/>
          <w:highlight w:val="none"/>
        </w:rPr>
        <w:t>无偏离</w:t>
      </w:r>
      <w:r>
        <w:rPr>
          <w:rFonts w:hint="eastAsia" w:ascii="仿宋" w:hAnsi="仿宋" w:eastAsia="仿宋"/>
          <w:b w:val="0"/>
          <w:bCs w:val="0"/>
          <w:highlight w:val="none"/>
        </w:rPr>
        <w:t>”。</w:t>
      </w:r>
    </w:p>
    <w:p w14:paraId="07CEA306">
      <w:pPr>
        <w:pStyle w:val="19"/>
        <w:spacing w:line="360" w:lineRule="auto"/>
        <w:ind w:firstLine="0" w:firstLineChars="0"/>
        <w:rPr>
          <w:rFonts w:hint="eastAsia" w:ascii="仿宋" w:hAnsi="仿宋" w:eastAsia="仿宋"/>
          <w:sz w:val="24"/>
          <w:szCs w:val="24"/>
          <w:highlight w:val="none"/>
        </w:rPr>
      </w:pPr>
      <w:r>
        <w:rPr>
          <w:rFonts w:hint="eastAsia" w:ascii="仿宋" w:hAnsi="仿宋" w:eastAsia="仿宋"/>
          <w:sz w:val="24"/>
          <w:szCs w:val="24"/>
          <w:highlight w:val="none"/>
        </w:rPr>
        <w:t>3.投标人认为其投标响应有正偏离的，请在技术要求偏离表中列明，且在投标文件中提供投标产品生产厂家公开发布的彩页或</w:t>
      </w:r>
      <w:r>
        <w:rPr>
          <w:rFonts w:ascii="仿宋" w:hAnsi="仿宋" w:eastAsia="仿宋"/>
          <w:sz w:val="24"/>
          <w:szCs w:val="24"/>
          <w:highlight w:val="none"/>
        </w:rPr>
        <w:t>国家认可的有资质的第三方检测机构出具的检测报告复印件</w:t>
      </w:r>
      <w:r>
        <w:rPr>
          <w:rFonts w:hint="eastAsia" w:ascii="仿宋" w:hAnsi="仿宋" w:eastAsia="仿宋"/>
          <w:sz w:val="24"/>
          <w:szCs w:val="24"/>
          <w:highlight w:val="none"/>
        </w:rPr>
        <w:t>作为佐证，以上佐证材料均需加盖代理商公章。</w:t>
      </w:r>
    </w:p>
    <w:p w14:paraId="285530CE">
      <w:pPr>
        <w:pStyle w:val="19"/>
        <w:spacing w:line="360" w:lineRule="auto"/>
        <w:ind w:firstLine="0" w:firstLineChars="0"/>
        <w:rPr>
          <w:rFonts w:hint="eastAsia" w:ascii="仿宋" w:hAnsi="仿宋" w:eastAsia="仿宋"/>
          <w:sz w:val="24"/>
          <w:szCs w:val="24"/>
          <w:highlight w:val="none"/>
        </w:rPr>
      </w:pPr>
      <w:r>
        <w:rPr>
          <w:rFonts w:hint="eastAsia" w:ascii="仿宋" w:hAnsi="仿宋" w:eastAsia="仿宋"/>
          <w:sz w:val="24"/>
          <w:szCs w:val="24"/>
          <w:highlight w:val="none"/>
        </w:rPr>
        <w:t>4</w:t>
      </w:r>
      <w:r>
        <w:rPr>
          <w:rFonts w:ascii="仿宋" w:hAnsi="仿宋" w:eastAsia="仿宋"/>
          <w:sz w:val="24"/>
          <w:szCs w:val="24"/>
          <w:highlight w:val="none"/>
        </w:rPr>
        <w:t>.</w:t>
      </w:r>
      <w:r>
        <w:rPr>
          <w:rFonts w:hint="eastAsia" w:ascii="仿宋" w:hAnsi="仿宋" w:eastAsia="仿宋"/>
          <w:sz w:val="24"/>
          <w:szCs w:val="24"/>
          <w:highlight w:val="none"/>
        </w:rPr>
        <w:t xml:space="preserve"> 如技术要求偏离表中的投标响应与佐证材料不一致的，以佐证材料为准。</w:t>
      </w:r>
    </w:p>
    <w:p w14:paraId="5FC01107">
      <w:pPr>
        <w:snapToGrid w:val="0"/>
        <w:spacing w:before="50" w:after="50" w:line="360" w:lineRule="auto"/>
        <w:rPr>
          <w:rFonts w:hint="eastAsia" w:ascii="仿宋" w:hAnsi="仿宋" w:eastAsia="仿宋"/>
          <w:sz w:val="24"/>
          <w:highlight w:val="none"/>
        </w:rPr>
      </w:pPr>
    </w:p>
    <w:p w14:paraId="6B4D6B53">
      <w:pPr>
        <w:snapToGrid w:val="0"/>
        <w:spacing w:before="50" w:after="50" w:line="360" w:lineRule="auto"/>
        <w:rPr>
          <w:rFonts w:hint="eastAsia" w:ascii="仿宋" w:hAnsi="仿宋" w:eastAsia="仿宋"/>
          <w:sz w:val="24"/>
          <w:highlight w:val="none"/>
        </w:rPr>
      </w:pPr>
    </w:p>
    <w:p w14:paraId="3FF54682">
      <w:pPr>
        <w:snapToGrid w:val="0"/>
        <w:spacing w:before="50" w:after="50" w:line="360" w:lineRule="auto"/>
        <w:rPr>
          <w:rFonts w:hint="eastAsia" w:ascii="仿宋" w:hAnsi="仿宋" w:eastAsia="仿宋"/>
          <w:spacing w:val="20"/>
          <w:sz w:val="24"/>
          <w:highlight w:val="none"/>
          <w:u w:val="single"/>
        </w:rPr>
      </w:pPr>
      <w:r>
        <w:rPr>
          <w:rFonts w:hint="eastAsia" w:ascii="仿宋" w:hAnsi="仿宋" w:eastAsia="仿宋"/>
          <w:sz w:val="24"/>
          <w:highlight w:val="none"/>
        </w:rPr>
        <w:t>法定代表人或者委托代理人</w:t>
      </w:r>
      <w:r>
        <w:rPr>
          <w:rFonts w:hint="eastAsia" w:ascii="仿宋" w:hAnsi="仿宋" w:eastAsia="仿宋"/>
          <w:spacing w:val="20"/>
          <w:sz w:val="24"/>
          <w:highlight w:val="none"/>
        </w:rPr>
        <w:t>（签字</w:t>
      </w:r>
      <w:r>
        <w:rPr>
          <w:rFonts w:hint="eastAsia" w:ascii="仿宋" w:hAnsi="仿宋" w:eastAsia="仿宋"/>
          <w:spacing w:val="20"/>
          <w:sz w:val="24"/>
          <w:highlight w:val="none"/>
          <w:lang w:val="en-US" w:eastAsia="zh-CN"/>
        </w:rPr>
        <w:t>或盖法定代表人CA章</w:t>
      </w:r>
      <w:r>
        <w:rPr>
          <w:rFonts w:hint="eastAsia" w:ascii="仿宋" w:hAnsi="仿宋" w:eastAsia="仿宋"/>
          <w:spacing w:val="20"/>
          <w:sz w:val="24"/>
          <w:highlight w:val="none"/>
        </w:rPr>
        <w:t>）：</w:t>
      </w:r>
      <w:r>
        <w:rPr>
          <w:rFonts w:hint="eastAsia" w:ascii="仿宋" w:hAnsi="仿宋" w:eastAsia="仿宋"/>
          <w:spacing w:val="20"/>
          <w:sz w:val="24"/>
          <w:highlight w:val="none"/>
          <w:u w:val="single"/>
        </w:rPr>
        <w:t xml:space="preserve">        </w:t>
      </w:r>
    </w:p>
    <w:p w14:paraId="30181FEF">
      <w:pPr>
        <w:snapToGrid w:val="0"/>
        <w:spacing w:before="50" w:after="50" w:line="360" w:lineRule="auto"/>
        <w:rPr>
          <w:rFonts w:hint="eastAsia" w:ascii="仿宋" w:hAnsi="仿宋" w:eastAsia="仿宋"/>
          <w:sz w:val="24"/>
          <w:highlight w:val="none"/>
        </w:rPr>
      </w:pPr>
      <w:r>
        <w:rPr>
          <w:rFonts w:hint="eastAsia" w:ascii="仿宋" w:hAnsi="仿宋" w:eastAsia="仿宋"/>
          <w:sz w:val="24"/>
          <w:highlight w:val="none"/>
        </w:rPr>
        <w:t>投标人（</w:t>
      </w:r>
      <w:r>
        <w:rPr>
          <w:rFonts w:hint="eastAsia" w:ascii="仿宋" w:hAnsi="仿宋" w:eastAsia="仿宋"/>
          <w:sz w:val="24"/>
          <w:highlight w:val="none"/>
          <w:lang w:eastAsia="zh-CN"/>
        </w:rPr>
        <w:t>盖CA公章</w:t>
      </w:r>
      <w:r>
        <w:rPr>
          <w:rFonts w:hint="eastAsia" w:ascii="仿宋" w:hAnsi="仿宋" w:eastAsia="仿宋"/>
          <w:sz w:val="24"/>
          <w:highlight w:val="none"/>
        </w:rPr>
        <w:t>）：</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p>
    <w:p w14:paraId="74A3D7CA">
      <w:pPr>
        <w:snapToGrid w:val="0"/>
        <w:spacing w:before="50" w:after="50" w:line="360" w:lineRule="auto"/>
        <w:rPr>
          <w:rFonts w:hint="eastAsia" w:ascii="仿宋" w:hAnsi="仿宋" w:eastAsia="仿宋"/>
          <w:spacing w:val="20"/>
          <w:sz w:val="24"/>
          <w:highlight w:val="none"/>
          <w:u w:val="single"/>
        </w:rPr>
      </w:pPr>
      <w:r>
        <w:rPr>
          <w:rFonts w:hint="eastAsia" w:ascii="仿宋" w:hAnsi="仿宋" w:eastAsia="仿宋"/>
          <w:spacing w:val="20"/>
          <w:sz w:val="24"/>
          <w:highlight w:val="none"/>
        </w:rPr>
        <w:t>日 期：</w:t>
      </w:r>
      <w:r>
        <w:rPr>
          <w:rFonts w:hint="eastAsia" w:ascii="仿宋" w:hAnsi="仿宋" w:eastAsia="仿宋"/>
          <w:spacing w:val="20"/>
          <w:sz w:val="24"/>
          <w:highlight w:val="none"/>
          <w:u w:val="single"/>
        </w:rPr>
        <w:t xml:space="preserve">        </w:t>
      </w:r>
    </w:p>
    <w:p w14:paraId="67767E4B">
      <w:pPr>
        <w:snapToGrid w:val="0"/>
        <w:spacing w:before="50" w:after="50" w:line="360" w:lineRule="auto"/>
        <w:rPr>
          <w:rFonts w:hint="eastAsia" w:ascii="仿宋" w:hAnsi="仿宋" w:eastAsia="仿宋"/>
          <w:sz w:val="24"/>
          <w:szCs w:val="20"/>
          <w:highlight w:val="none"/>
        </w:rPr>
      </w:pPr>
    </w:p>
    <w:p w14:paraId="192F50B5">
      <w:pPr>
        <w:snapToGrid w:val="0"/>
        <w:spacing w:before="120" w:beforeLines="50" w:after="50"/>
        <w:ind w:left="142"/>
        <w:jc w:val="left"/>
        <w:rPr>
          <w:rFonts w:hint="eastAsia" w:ascii="仿宋" w:hAnsi="仿宋" w:eastAsia="仿宋"/>
          <w:b/>
          <w:sz w:val="24"/>
          <w:highlight w:val="none"/>
        </w:rPr>
      </w:pPr>
      <w:r>
        <w:rPr>
          <w:rFonts w:ascii="仿宋" w:hAnsi="仿宋" w:eastAsia="仿宋"/>
          <w:b/>
          <w:sz w:val="24"/>
          <w:highlight w:val="none"/>
        </w:rPr>
        <w:br w:type="page"/>
      </w:r>
      <w:r>
        <w:rPr>
          <w:rFonts w:hint="eastAsia" w:ascii="仿宋" w:hAnsi="仿宋" w:eastAsia="仿宋"/>
          <w:b/>
          <w:sz w:val="24"/>
          <w:highlight w:val="none"/>
        </w:rPr>
        <w:t>5. 项目实施人员一览表格式</w:t>
      </w:r>
    </w:p>
    <w:p w14:paraId="296DD17A">
      <w:pPr>
        <w:snapToGrid w:val="0"/>
        <w:spacing w:before="120" w:beforeLines="50" w:after="50"/>
        <w:ind w:left="142"/>
        <w:jc w:val="center"/>
        <w:rPr>
          <w:rFonts w:hint="eastAsia" w:ascii="仿宋" w:hAnsi="仿宋" w:eastAsia="仿宋"/>
          <w:b/>
          <w:sz w:val="32"/>
          <w:szCs w:val="32"/>
          <w:highlight w:val="none"/>
        </w:rPr>
      </w:pPr>
      <w:r>
        <w:rPr>
          <w:rFonts w:hint="eastAsia" w:ascii="仿宋" w:hAnsi="仿宋" w:eastAsia="仿宋"/>
          <w:b/>
          <w:sz w:val="32"/>
          <w:szCs w:val="32"/>
          <w:highlight w:val="none"/>
        </w:rPr>
        <w:t>项目实施人员一览表</w:t>
      </w:r>
    </w:p>
    <w:tbl>
      <w:tblPr>
        <w:tblStyle w:val="49"/>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806"/>
        <w:gridCol w:w="2301"/>
        <w:gridCol w:w="1248"/>
        <w:gridCol w:w="1931"/>
        <w:gridCol w:w="2096"/>
      </w:tblGrid>
      <w:tr w14:paraId="0AE0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29" w:type="dxa"/>
            <w:vAlign w:val="center"/>
          </w:tcPr>
          <w:p w14:paraId="0B8C5A32">
            <w:pPr>
              <w:snapToGrid w:val="0"/>
              <w:jc w:val="center"/>
              <w:rPr>
                <w:rFonts w:hint="eastAsia" w:ascii="仿宋" w:hAnsi="仿宋" w:eastAsia="仿宋"/>
                <w:sz w:val="24"/>
                <w:szCs w:val="20"/>
                <w:highlight w:val="none"/>
              </w:rPr>
            </w:pPr>
            <w:r>
              <w:rPr>
                <w:rFonts w:hint="eastAsia" w:ascii="仿宋" w:hAnsi="仿宋" w:eastAsia="仿宋"/>
                <w:sz w:val="24"/>
                <w:szCs w:val="20"/>
                <w:highlight w:val="none"/>
              </w:rPr>
              <w:t>姓名</w:t>
            </w:r>
          </w:p>
        </w:tc>
        <w:tc>
          <w:tcPr>
            <w:tcW w:w="806" w:type="dxa"/>
            <w:vAlign w:val="center"/>
          </w:tcPr>
          <w:p w14:paraId="01F70FE4">
            <w:pPr>
              <w:snapToGrid w:val="0"/>
              <w:jc w:val="center"/>
              <w:rPr>
                <w:rFonts w:hint="eastAsia" w:ascii="仿宋" w:hAnsi="仿宋" w:eastAsia="仿宋"/>
                <w:sz w:val="24"/>
                <w:szCs w:val="20"/>
                <w:highlight w:val="none"/>
              </w:rPr>
            </w:pPr>
            <w:r>
              <w:rPr>
                <w:rFonts w:hint="eastAsia" w:ascii="仿宋" w:hAnsi="仿宋" w:eastAsia="仿宋"/>
                <w:sz w:val="24"/>
                <w:szCs w:val="20"/>
                <w:highlight w:val="none"/>
              </w:rPr>
              <w:t>职务</w:t>
            </w:r>
          </w:p>
        </w:tc>
        <w:tc>
          <w:tcPr>
            <w:tcW w:w="2301" w:type="dxa"/>
            <w:vAlign w:val="center"/>
          </w:tcPr>
          <w:p w14:paraId="3815BC05">
            <w:pPr>
              <w:snapToGrid w:val="0"/>
              <w:jc w:val="center"/>
              <w:rPr>
                <w:rFonts w:hint="eastAsia" w:ascii="仿宋" w:hAnsi="仿宋" w:eastAsia="仿宋"/>
                <w:sz w:val="24"/>
                <w:szCs w:val="20"/>
                <w:highlight w:val="none"/>
              </w:rPr>
            </w:pPr>
            <w:r>
              <w:rPr>
                <w:rFonts w:hint="eastAsia" w:ascii="仿宋" w:hAnsi="仿宋" w:eastAsia="仿宋"/>
                <w:sz w:val="24"/>
                <w:szCs w:val="20"/>
                <w:highlight w:val="none"/>
              </w:rPr>
              <w:t>专业技术资格（职称）或者职业资格或者执业资格证或者其他证书</w:t>
            </w:r>
          </w:p>
        </w:tc>
        <w:tc>
          <w:tcPr>
            <w:tcW w:w="1248" w:type="dxa"/>
            <w:vAlign w:val="center"/>
          </w:tcPr>
          <w:p w14:paraId="75BEFD9F">
            <w:pPr>
              <w:snapToGrid w:val="0"/>
              <w:jc w:val="center"/>
              <w:rPr>
                <w:rFonts w:hint="eastAsia" w:ascii="仿宋" w:hAnsi="仿宋" w:eastAsia="仿宋"/>
                <w:sz w:val="24"/>
                <w:szCs w:val="20"/>
                <w:highlight w:val="none"/>
              </w:rPr>
            </w:pPr>
            <w:r>
              <w:rPr>
                <w:rFonts w:hint="eastAsia" w:ascii="仿宋" w:hAnsi="仿宋" w:eastAsia="仿宋"/>
                <w:sz w:val="24"/>
                <w:szCs w:val="20"/>
                <w:highlight w:val="none"/>
              </w:rPr>
              <w:t>证书编号</w:t>
            </w:r>
          </w:p>
        </w:tc>
        <w:tc>
          <w:tcPr>
            <w:tcW w:w="1931" w:type="dxa"/>
            <w:vAlign w:val="center"/>
          </w:tcPr>
          <w:p w14:paraId="2243387E">
            <w:pPr>
              <w:snapToGrid w:val="0"/>
              <w:jc w:val="center"/>
              <w:rPr>
                <w:rFonts w:hint="eastAsia" w:ascii="仿宋" w:hAnsi="仿宋" w:eastAsia="仿宋"/>
                <w:sz w:val="24"/>
                <w:szCs w:val="20"/>
                <w:highlight w:val="none"/>
              </w:rPr>
            </w:pPr>
            <w:r>
              <w:rPr>
                <w:rFonts w:hint="eastAsia" w:ascii="仿宋" w:hAnsi="仿宋" w:eastAsia="仿宋"/>
                <w:sz w:val="24"/>
                <w:szCs w:val="20"/>
                <w:highlight w:val="none"/>
              </w:rPr>
              <w:t>参加本单位</w:t>
            </w:r>
          </w:p>
          <w:p w14:paraId="510C99A3">
            <w:pPr>
              <w:snapToGrid w:val="0"/>
              <w:jc w:val="center"/>
              <w:rPr>
                <w:rFonts w:hint="eastAsia" w:ascii="仿宋" w:hAnsi="仿宋" w:eastAsia="仿宋"/>
                <w:sz w:val="24"/>
                <w:szCs w:val="20"/>
                <w:highlight w:val="none"/>
              </w:rPr>
            </w:pPr>
            <w:r>
              <w:rPr>
                <w:rFonts w:hint="eastAsia" w:ascii="仿宋" w:hAnsi="仿宋" w:eastAsia="仿宋"/>
                <w:sz w:val="24"/>
                <w:szCs w:val="20"/>
                <w:highlight w:val="none"/>
              </w:rPr>
              <w:t>工作时间</w:t>
            </w:r>
          </w:p>
        </w:tc>
        <w:tc>
          <w:tcPr>
            <w:tcW w:w="2096" w:type="dxa"/>
            <w:vAlign w:val="center"/>
          </w:tcPr>
          <w:p w14:paraId="3BFDCFCE">
            <w:pPr>
              <w:snapToGrid w:val="0"/>
              <w:jc w:val="center"/>
              <w:rPr>
                <w:rFonts w:hint="eastAsia" w:ascii="仿宋" w:hAnsi="仿宋" w:eastAsia="仿宋"/>
                <w:sz w:val="24"/>
                <w:szCs w:val="20"/>
                <w:highlight w:val="none"/>
              </w:rPr>
            </w:pPr>
            <w:r>
              <w:rPr>
                <w:rFonts w:hint="eastAsia" w:ascii="仿宋" w:hAnsi="仿宋" w:eastAsia="仿宋"/>
                <w:sz w:val="24"/>
                <w:szCs w:val="20"/>
                <w:highlight w:val="none"/>
              </w:rPr>
              <w:t>劳动合同编号</w:t>
            </w:r>
          </w:p>
        </w:tc>
      </w:tr>
      <w:tr w14:paraId="4E71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929" w:type="dxa"/>
            <w:vAlign w:val="center"/>
          </w:tcPr>
          <w:p w14:paraId="6C66E7FB">
            <w:pPr>
              <w:snapToGrid w:val="0"/>
              <w:jc w:val="center"/>
              <w:rPr>
                <w:rFonts w:hint="eastAsia" w:ascii="仿宋" w:hAnsi="仿宋" w:eastAsia="仿宋"/>
                <w:sz w:val="24"/>
                <w:szCs w:val="20"/>
                <w:highlight w:val="none"/>
              </w:rPr>
            </w:pPr>
          </w:p>
        </w:tc>
        <w:tc>
          <w:tcPr>
            <w:tcW w:w="806" w:type="dxa"/>
            <w:vAlign w:val="center"/>
          </w:tcPr>
          <w:p w14:paraId="4B52352A">
            <w:pPr>
              <w:snapToGrid w:val="0"/>
              <w:jc w:val="center"/>
              <w:rPr>
                <w:rFonts w:hint="eastAsia" w:ascii="仿宋" w:hAnsi="仿宋" w:eastAsia="仿宋"/>
                <w:sz w:val="24"/>
                <w:szCs w:val="20"/>
                <w:highlight w:val="none"/>
              </w:rPr>
            </w:pPr>
          </w:p>
        </w:tc>
        <w:tc>
          <w:tcPr>
            <w:tcW w:w="2301" w:type="dxa"/>
            <w:vAlign w:val="center"/>
          </w:tcPr>
          <w:p w14:paraId="771DB165">
            <w:pPr>
              <w:snapToGrid w:val="0"/>
              <w:jc w:val="center"/>
              <w:rPr>
                <w:rFonts w:hint="eastAsia" w:ascii="仿宋" w:hAnsi="仿宋" w:eastAsia="仿宋"/>
                <w:sz w:val="24"/>
                <w:szCs w:val="20"/>
                <w:highlight w:val="none"/>
              </w:rPr>
            </w:pPr>
          </w:p>
        </w:tc>
        <w:tc>
          <w:tcPr>
            <w:tcW w:w="1248" w:type="dxa"/>
            <w:vAlign w:val="center"/>
          </w:tcPr>
          <w:p w14:paraId="569A6DEC">
            <w:pPr>
              <w:snapToGrid w:val="0"/>
              <w:jc w:val="center"/>
              <w:rPr>
                <w:rFonts w:hint="eastAsia" w:ascii="仿宋" w:hAnsi="仿宋" w:eastAsia="仿宋"/>
                <w:sz w:val="24"/>
                <w:szCs w:val="20"/>
                <w:highlight w:val="none"/>
              </w:rPr>
            </w:pPr>
          </w:p>
        </w:tc>
        <w:tc>
          <w:tcPr>
            <w:tcW w:w="1931" w:type="dxa"/>
            <w:vAlign w:val="center"/>
          </w:tcPr>
          <w:p w14:paraId="33F52419">
            <w:pPr>
              <w:snapToGrid w:val="0"/>
              <w:jc w:val="center"/>
              <w:rPr>
                <w:rFonts w:hint="eastAsia" w:ascii="仿宋" w:hAnsi="仿宋" w:eastAsia="仿宋"/>
                <w:sz w:val="24"/>
                <w:szCs w:val="20"/>
                <w:highlight w:val="none"/>
              </w:rPr>
            </w:pPr>
          </w:p>
        </w:tc>
        <w:tc>
          <w:tcPr>
            <w:tcW w:w="2096" w:type="dxa"/>
            <w:vAlign w:val="center"/>
          </w:tcPr>
          <w:p w14:paraId="118C8AD3">
            <w:pPr>
              <w:snapToGrid w:val="0"/>
              <w:jc w:val="center"/>
              <w:rPr>
                <w:rFonts w:hint="eastAsia" w:ascii="仿宋" w:hAnsi="仿宋" w:eastAsia="仿宋"/>
                <w:sz w:val="24"/>
                <w:szCs w:val="20"/>
                <w:highlight w:val="none"/>
              </w:rPr>
            </w:pPr>
          </w:p>
        </w:tc>
      </w:tr>
      <w:tr w14:paraId="7DEF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9" w:type="dxa"/>
            <w:vAlign w:val="center"/>
          </w:tcPr>
          <w:p w14:paraId="11EB5658">
            <w:pPr>
              <w:snapToGrid w:val="0"/>
              <w:jc w:val="center"/>
              <w:rPr>
                <w:rFonts w:hint="eastAsia" w:ascii="仿宋" w:hAnsi="仿宋" w:eastAsia="仿宋"/>
                <w:sz w:val="24"/>
                <w:szCs w:val="20"/>
                <w:highlight w:val="none"/>
              </w:rPr>
            </w:pPr>
          </w:p>
        </w:tc>
        <w:tc>
          <w:tcPr>
            <w:tcW w:w="806" w:type="dxa"/>
            <w:vAlign w:val="center"/>
          </w:tcPr>
          <w:p w14:paraId="24A1A652">
            <w:pPr>
              <w:snapToGrid w:val="0"/>
              <w:jc w:val="center"/>
              <w:rPr>
                <w:rFonts w:hint="eastAsia" w:ascii="仿宋" w:hAnsi="仿宋" w:eastAsia="仿宋"/>
                <w:sz w:val="24"/>
                <w:szCs w:val="20"/>
                <w:highlight w:val="none"/>
              </w:rPr>
            </w:pPr>
          </w:p>
        </w:tc>
        <w:tc>
          <w:tcPr>
            <w:tcW w:w="2301" w:type="dxa"/>
            <w:vAlign w:val="center"/>
          </w:tcPr>
          <w:p w14:paraId="73E3BCEC">
            <w:pPr>
              <w:snapToGrid w:val="0"/>
              <w:jc w:val="center"/>
              <w:rPr>
                <w:rFonts w:hint="eastAsia" w:ascii="仿宋" w:hAnsi="仿宋" w:eastAsia="仿宋"/>
                <w:sz w:val="24"/>
                <w:szCs w:val="20"/>
                <w:highlight w:val="none"/>
              </w:rPr>
            </w:pPr>
          </w:p>
        </w:tc>
        <w:tc>
          <w:tcPr>
            <w:tcW w:w="1248" w:type="dxa"/>
            <w:vAlign w:val="center"/>
          </w:tcPr>
          <w:p w14:paraId="0DBF8C13">
            <w:pPr>
              <w:snapToGrid w:val="0"/>
              <w:jc w:val="center"/>
              <w:rPr>
                <w:rFonts w:hint="eastAsia" w:ascii="仿宋" w:hAnsi="仿宋" w:eastAsia="仿宋"/>
                <w:sz w:val="24"/>
                <w:szCs w:val="20"/>
                <w:highlight w:val="none"/>
              </w:rPr>
            </w:pPr>
          </w:p>
        </w:tc>
        <w:tc>
          <w:tcPr>
            <w:tcW w:w="1931" w:type="dxa"/>
            <w:vAlign w:val="center"/>
          </w:tcPr>
          <w:p w14:paraId="26E8E102">
            <w:pPr>
              <w:snapToGrid w:val="0"/>
              <w:jc w:val="center"/>
              <w:rPr>
                <w:rFonts w:hint="eastAsia" w:ascii="仿宋" w:hAnsi="仿宋" w:eastAsia="仿宋"/>
                <w:sz w:val="24"/>
                <w:szCs w:val="20"/>
                <w:highlight w:val="none"/>
              </w:rPr>
            </w:pPr>
          </w:p>
        </w:tc>
        <w:tc>
          <w:tcPr>
            <w:tcW w:w="2096" w:type="dxa"/>
            <w:vAlign w:val="center"/>
          </w:tcPr>
          <w:p w14:paraId="20469D1E">
            <w:pPr>
              <w:snapToGrid w:val="0"/>
              <w:jc w:val="center"/>
              <w:rPr>
                <w:rFonts w:hint="eastAsia" w:ascii="仿宋" w:hAnsi="仿宋" w:eastAsia="仿宋"/>
                <w:sz w:val="24"/>
                <w:szCs w:val="20"/>
                <w:highlight w:val="none"/>
              </w:rPr>
            </w:pPr>
          </w:p>
        </w:tc>
      </w:tr>
      <w:tr w14:paraId="1D69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929" w:type="dxa"/>
            <w:vAlign w:val="center"/>
          </w:tcPr>
          <w:p w14:paraId="7B6C5D2C">
            <w:pPr>
              <w:snapToGrid w:val="0"/>
              <w:jc w:val="center"/>
              <w:rPr>
                <w:rFonts w:hint="eastAsia" w:ascii="仿宋" w:hAnsi="仿宋" w:eastAsia="仿宋"/>
                <w:sz w:val="24"/>
                <w:szCs w:val="20"/>
                <w:highlight w:val="none"/>
              </w:rPr>
            </w:pPr>
          </w:p>
        </w:tc>
        <w:tc>
          <w:tcPr>
            <w:tcW w:w="806" w:type="dxa"/>
            <w:vAlign w:val="center"/>
          </w:tcPr>
          <w:p w14:paraId="26184A4D">
            <w:pPr>
              <w:snapToGrid w:val="0"/>
              <w:jc w:val="center"/>
              <w:rPr>
                <w:rFonts w:hint="eastAsia" w:ascii="仿宋" w:hAnsi="仿宋" w:eastAsia="仿宋"/>
                <w:sz w:val="24"/>
                <w:szCs w:val="20"/>
                <w:highlight w:val="none"/>
              </w:rPr>
            </w:pPr>
          </w:p>
        </w:tc>
        <w:tc>
          <w:tcPr>
            <w:tcW w:w="2301" w:type="dxa"/>
            <w:vAlign w:val="center"/>
          </w:tcPr>
          <w:p w14:paraId="0FC08310">
            <w:pPr>
              <w:snapToGrid w:val="0"/>
              <w:jc w:val="center"/>
              <w:rPr>
                <w:rFonts w:hint="eastAsia" w:ascii="仿宋" w:hAnsi="仿宋" w:eastAsia="仿宋"/>
                <w:sz w:val="24"/>
                <w:szCs w:val="20"/>
                <w:highlight w:val="none"/>
              </w:rPr>
            </w:pPr>
          </w:p>
        </w:tc>
        <w:tc>
          <w:tcPr>
            <w:tcW w:w="1248" w:type="dxa"/>
            <w:vAlign w:val="center"/>
          </w:tcPr>
          <w:p w14:paraId="38632C35">
            <w:pPr>
              <w:snapToGrid w:val="0"/>
              <w:jc w:val="center"/>
              <w:rPr>
                <w:rFonts w:hint="eastAsia" w:ascii="仿宋" w:hAnsi="仿宋" w:eastAsia="仿宋"/>
                <w:sz w:val="24"/>
                <w:szCs w:val="20"/>
                <w:highlight w:val="none"/>
              </w:rPr>
            </w:pPr>
          </w:p>
        </w:tc>
        <w:tc>
          <w:tcPr>
            <w:tcW w:w="1931" w:type="dxa"/>
            <w:vAlign w:val="center"/>
          </w:tcPr>
          <w:p w14:paraId="2ADF5251">
            <w:pPr>
              <w:snapToGrid w:val="0"/>
              <w:jc w:val="center"/>
              <w:rPr>
                <w:rFonts w:hint="eastAsia" w:ascii="仿宋" w:hAnsi="仿宋" w:eastAsia="仿宋"/>
                <w:sz w:val="24"/>
                <w:szCs w:val="20"/>
                <w:highlight w:val="none"/>
              </w:rPr>
            </w:pPr>
          </w:p>
        </w:tc>
        <w:tc>
          <w:tcPr>
            <w:tcW w:w="2096" w:type="dxa"/>
            <w:vAlign w:val="center"/>
          </w:tcPr>
          <w:p w14:paraId="15E878F0">
            <w:pPr>
              <w:snapToGrid w:val="0"/>
              <w:jc w:val="center"/>
              <w:rPr>
                <w:rFonts w:hint="eastAsia" w:ascii="仿宋" w:hAnsi="仿宋" w:eastAsia="仿宋"/>
                <w:sz w:val="24"/>
                <w:szCs w:val="20"/>
                <w:highlight w:val="none"/>
              </w:rPr>
            </w:pPr>
          </w:p>
        </w:tc>
      </w:tr>
    </w:tbl>
    <w:p w14:paraId="001BC800">
      <w:pPr>
        <w:snapToGrid w:val="0"/>
        <w:spacing w:before="50" w:after="120" w:afterLines="50"/>
        <w:jc w:val="left"/>
        <w:rPr>
          <w:rFonts w:hint="eastAsia" w:ascii="仿宋" w:hAnsi="仿宋" w:eastAsia="仿宋"/>
          <w:sz w:val="24"/>
          <w:szCs w:val="20"/>
          <w:highlight w:val="none"/>
        </w:rPr>
      </w:pPr>
    </w:p>
    <w:p w14:paraId="4EF6D4DE">
      <w:pPr>
        <w:spacing w:line="360" w:lineRule="auto"/>
        <w:contextualSpacing/>
        <w:jc w:val="left"/>
        <w:rPr>
          <w:rFonts w:hint="eastAsia" w:ascii="仿宋" w:hAnsi="仿宋" w:eastAsia="仿宋"/>
          <w:sz w:val="24"/>
          <w:szCs w:val="20"/>
          <w:highlight w:val="none"/>
        </w:rPr>
      </w:pPr>
      <w:r>
        <w:rPr>
          <w:rFonts w:hint="eastAsia" w:ascii="仿宋" w:hAnsi="仿宋" w:eastAsia="仿宋"/>
          <w:sz w:val="24"/>
          <w:szCs w:val="20"/>
          <w:highlight w:val="none"/>
        </w:rPr>
        <w:t>注：</w:t>
      </w:r>
    </w:p>
    <w:p w14:paraId="2F60E4D2">
      <w:pPr>
        <w:spacing w:line="360" w:lineRule="auto"/>
        <w:contextualSpacing/>
        <w:jc w:val="left"/>
        <w:rPr>
          <w:rFonts w:hint="eastAsia" w:ascii="仿宋" w:hAnsi="仿宋" w:eastAsia="仿宋"/>
          <w:sz w:val="24"/>
          <w:szCs w:val="20"/>
          <w:highlight w:val="none"/>
        </w:rPr>
      </w:pPr>
      <w:r>
        <w:rPr>
          <w:rFonts w:hint="eastAsia" w:ascii="仿宋" w:hAnsi="仿宋" w:eastAsia="仿宋"/>
          <w:sz w:val="24"/>
          <w:szCs w:val="20"/>
          <w:highlight w:val="none"/>
        </w:rPr>
        <w:t>1</w:t>
      </w:r>
      <w:r>
        <w:rPr>
          <w:rFonts w:ascii="仿宋" w:hAnsi="仿宋" w:eastAsia="仿宋"/>
          <w:sz w:val="24"/>
          <w:szCs w:val="20"/>
          <w:highlight w:val="none"/>
        </w:rPr>
        <w:t>.</w:t>
      </w:r>
      <w:r>
        <w:rPr>
          <w:rFonts w:hint="eastAsia" w:ascii="仿宋" w:hAnsi="仿宋" w:eastAsia="仿宋"/>
          <w:sz w:val="24"/>
          <w:szCs w:val="20"/>
          <w:highlight w:val="none"/>
        </w:rPr>
        <w:t>在填写时，如本表格不适合投标单位的实际情况，可根据本表格式自行制表填写。</w:t>
      </w:r>
    </w:p>
    <w:p w14:paraId="5DB493B7">
      <w:pPr>
        <w:spacing w:line="360" w:lineRule="auto"/>
        <w:contextualSpacing/>
        <w:jc w:val="left"/>
        <w:rPr>
          <w:rFonts w:hint="eastAsia" w:ascii="仿宋" w:hAnsi="仿宋" w:eastAsia="仿宋"/>
          <w:sz w:val="24"/>
          <w:szCs w:val="20"/>
          <w:highlight w:val="none"/>
        </w:rPr>
      </w:pPr>
      <w:r>
        <w:rPr>
          <w:rFonts w:ascii="仿宋" w:hAnsi="仿宋" w:eastAsia="仿宋"/>
          <w:sz w:val="24"/>
          <w:szCs w:val="20"/>
          <w:highlight w:val="none"/>
        </w:rPr>
        <w:t>2.</w:t>
      </w:r>
      <w:r>
        <w:rPr>
          <w:rFonts w:hint="eastAsia" w:ascii="仿宋" w:hAnsi="仿宋" w:eastAsia="仿宋"/>
          <w:sz w:val="24"/>
          <w:szCs w:val="20"/>
          <w:highlight w:val="none"/>
        </w:rPr>
        <w:t>投标人应当附本表所列证书的复印件并加盖投标人公章。</w:t>
      </w:r>
    </w:p>
    <w:p w14:paraId="0C3CBDEB">
      <w:pPr>
        <w:spacing w:line="360" w:lineRule="auto"/>
        <w:contextualSpacing/>
        <w:rPr>
          <w:rFonts w:hint="eastAsia" w:ascii="仿宋" w:hAnsi="仿宋" w:eastAsia="仿宋"/>
          <w:sz w:val="24"/>
          <w:highlight w:val="none"/>
        </w:rPr>
      </w:pPr>
    </w:p>
    <w:p w14:paraId="2DFB61E6">
      <w:pPr>
        <w:spacing w:line="360" w:lineRule="auto"/>
        <w:contextualSpacing/>
        <w:rPr>
          <w:rFonts w:hint="eastAsia" w:ascii="仿宋" w:hAnsi="仿宋" w:eastAsia="仿宋"/>
          <w:sz w:val="24"/>
          <w:highlight w:val="none"/>
        </w:rPr>
      </w:pPr>
    </w:p>
    <w:p w14:paraId="49BB89FC">
      <w:pPr>
        <w:spacing w:line="360" w:lineRule="auto"/>
        <w:contextualSpacing/>
        <w:rPr>
          <w:rFonts w:hint="eastAsia" w:ascii="仿宋" w:hAnsi="仿宋" w:eastAsia="仿宋"/>
          <w:spacing w:val="20"/>
          <w:sz w:val="24"/>
          <w:szCs w:val="20"/>
          <w:highlight w:val="none"/>
          <w:u w:val="single"/>
        </w:rPr>
      </w:pPr>
      <w:r>
        <w:rPr>
          <w:rFonts w:hint="eastAsia" w:ascii="仿宋" w:hAnsi="仿宋" w:eastAsia="仿宋"/>
          <w:sz w:val="24"/>
          <w:highlight w:val="none"/>
        </w:rPr>
        <w:t>法定代表人或者委托代理人</w:t>
      </w:r>
      <w:r>
        <w:rPr>
          <w:rFonts w:hint="eastAsia" w:ascii="仿宋" w:hAnsi="仿宋" w:eastAsia="仿宋"/>
          <w:spacing w:val="20"/>
          <w:sz w:val="24"/>
          <w:highlight w:val="none"/>
        </w:rPr>
        <w:t>（签字</w:t>
      </w:r>
      <w:r>
        <w:rPr>
          <w:rFonts w:hint="eastAsia" w:ascii="仿宋" w:hAnsi="仿宋" w:eastAsia="仿宋"/>
          <w:spacing w:val="20"/>
          <w:sz w:val="24"/>
          <w:highlight w:val="none"/>
          <w:lang w:val="en-US" w:eastAsia="zh-CN"/>
        </w:rPr>
        <w:t>或盖法定代表人CA章</w:t>
      </w:r>
      <w:r>
        <w:rPr>
          <w:rFonts w:hint="eastAsia" w:ascii="仿宋" w:hAnsi="仿宋" w:eastAsia="仿宋"/>
          <w:spacing w:val="20"/>
          <w:sz w:val="24"/>
          <w:highlight w:val="none"/>
        </w:rPr>
        <w:t>）：</w:t>
      </w:r>
      <w:r>
        <w:rPr>
          <w:rFonts w:hint="eastAsia" w:ascii="仿宋" w:hAnsi="仿宋" w:eastAsia="仿宋"/>
          <w:spacing w:val="20"/>
          <w:sz w:val="24"/>
          <w:highlight w:val="none"/>
          <w:u w:val="single"/>
        </w:rPr>
        <w:t xml:space="preserve">        </w:t>
      </w:r>
    </w:p>
    <w:p w14:paraId="33BC4986">
      <w:pPr>
        <w:spacing w:line="360" w:lineRule="auto"/>
        <w:contextualSpacing/>
        <w:jc w:val="left"/>
        <w:rPr>
          <w:rFonts w:hint="eastAsia" w:ascii="仿宋" w:hAnsi="仿宋" w:eastAsia="仿宋"/>
          <w:sz w:val="24"/>
          <w:highlight w:val="none"/>
        </w:rPr>
      </w:pPr>
      <w:r>
        <w:rPr>
          <w:rFonts w:hint="eastAsia" w:ascii="仿宋" w:hAnsi="仿宋" w:eastAsia="仿宋"/>
          <w:sz w:val="24"/>
          <w:highlight w:val="none"/>
        </w:rPr>
        <w:t>投标人（</w:t>
      </w:r>
      <w:r>
        <w:rPr>
          <w:rFonts w:hint="eastAsia" w:ascii="仿宋" w:hAnsi="仿宋" w:eastAsia="仿宋"/>
          <w:sz w:val="24"/>
          <w:highlight w:val="none"/>
          <w:lang w:eastAsia="zh-CN"/>
        </w:rPr>
        <w:t>盖CA公章</w:t>
      </w:r>
      <w:r>
        <w:rPr>
          <w:rFonts w:hint="eastAsia" w:ascii="仿宋" w:hAnsi="仿宋" w:eastAsia="仿宋"/>
          <w:sz w:val="24"/>
          <w:highlight w:val="none"/>
        </w:rPr>
        <w:t>）：</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w:t>
      </w:r>
    </w:p>
    <w:p w14:paraId="0B8B724A">
      <w:pPr>
        <w:spacing w:line="360" w:lineRule="auto"/>
        <w:contextualSpacing/>
        <w:jc w:val="left"/>
        <w:rPr>
          <w:rFonts w:hint="eastAsia" w:ascii="仿宋" w:hAnsi="仿宋" w:eastAsia="仿宋"/>
          <w:sz w:val="24"/>
          <w:szCs w:val="20"/>
          <w:highlight w:val="none"/>
        </w:rPr>
      </w:pPr>
      <w:r>
        <w:rPr>
          <w:rFonts w:hint="eastAsia" w:ascii="仿宋" w:hAnsi="仿宋" w:eastAsia="仿宋"/>
          <w:spacing w:val="20"/>
          <w:sz w:val="24"/>
          <w:highlight w:val="none"/>
        </w:rPr>
        <w:t>日 期：</w:t>
      </w:r>
      <w:r>
        <w:rPr>
          <w:rFonts w:hint="eastAsia" w:ascii="仿宋" w:hAnsi="仿宋" w:eastAsia="仿宋"/>
          <w:spacing w:val="20"/>
          <w:sz w:val="24"/>
          <w:highlight w:val="none"/>
          <w:u w:val="single"/>
        </w:rPr>
        <w:t xml:space="preserve">         </w:t>
      </w:r>
    </w:p>
    <w:p w14:paraId="6883BFFC">
      <w:pPr>
        <w:snapToGrid w:val="0"/>
        <w:spacing w:before="50" w:after="120" w:afterLines="50"/>
        <w:jc w:val="left"/>
        <w:rPr>
          <w:rFonts w:hint="eastAsia" w:ascii="仿宋" w:hAnsi="仿宋" w:eastAsia="仿宋"/>
          <w:sz w:val="24"/>
          <w:szCs w:val="20"/>
          <w:highlight w:val="none"/>
        </w:rPr>
      </w:pPr>
    </w:p>
    <w:p w14:paraId="5E2609BD">
      <w:pPr>
        <w:snapToGrid w:val="0"/>
        <w:spacing w:before="120" w:beforeLines="50" w:after="50"/>
        <w:ind w:left="142"/>
        <w:jc w:val="left"/>
        <w:rPr>
          <w:rFonts w:hint="eastAsia" w:ascii="仿宋" w:hAnsi="仿宋" w:eastAsia="仿宋"/>
          <w:b/>
          <w:sz w:val="24"/>
          <w:highlight w:val="none"/>
        </w:rPr>
      </w:pPr>
      <w:r>
        <w:rPr>
          <w:rFonts w:ascii="仿宋" w:hAnsi="仿宋" w:eastAsia="仿宋"/>
          <w:b/>
          <w:sz w:val="24"/>
          <w:highlight w:val="none"/>
        </w:rPr>
        <w:br w:type="page"/>
      </w:r>
      <w:r>
        <w:rPr>
          <w:rFonts w:hint="eastAsia" w:ascii="仿宋" w:hAnsi="仿宋" w:eastAsia="仿宋"/>
          <w:b/>
          <w:sz w:val="24"/>
          <w:highlight w:val="none"/>
        </w:rPr>
        <w:t>6. 选配件、专用耗材、售后服务优惠表格式（注：按项目需求表具体项目修改）</w:t>
      </w:r>
    </w:p>
    <w:p w14:paraId="3DADDA41">
      <w:pPr>
        <w:snapToGrid w:val="0"/>
        <w:spacing w:before="120" w:beforeLines="50" w:after="50"/>
        <w:ind w:left="142"/>
        <w:jc w:val="center"/>
        <w:rPr>
          <w:rFonts w:hint="eastAsia" w:ascii="仿宋" w:hAnsi="仿宋" w:eastAsia="仿宋"/>
          <w:b/>
          <w:sz w:val="32"/>
          <w:szCs w:val="32"/>
          <w:highlight w:val="none"/>
        </w:rPr>
      </w:pPr>
      <w:r>
        <w:rPr>
          <w:rFonts w:hint="eastAsia" w:ascii="仿宋" w:hAnsi="仿宋" w:eastAsia="仿宋"/>
          <w:b/>
          <w:sz w:val="32"/>
          <w:szCs w:val="32"/>
          <w:highlight w:val="none"/>
        </w:rPr>
        <w:t>配件、专用耗材价格表</w:t>
      </w:r>
    </w:p>
    <w:p w14:paraId="6EF24FE9">
      <w:pPr>
        <w:pStyle w:val="25"/>
        <w:rPr>
          <w:rFonts w:hint="eastAsia"/>
          <w:highlight w:val="none"/>
        </w:rPr>
      </w:pPr>
      <w:r>
        <w:rPr>
          <w:rFonts w:hint="eastAsia"/>
          <w:highlight w:val="none"/>
        </w:rPr>
        <w:t>项目名称（项目编号）：</w:t>
      </w:r>
      <w:r>
        <w:rPr>
          <w:rFonts w:hint="eastAsia"/>
          <w:highlight w:val="none"/>
          <w:u w:val="single"/>
        </w:rPr>
        <w:t xml:space="preserve"> </w:t>
      </w:r>
      <w:r>
        <w:rPr>
          <w:highlight w:val="none"/>
          <w:u w:val="single"/>
        </w:rPr>
        <w:t xml:space="preserve">                                                 </w:t>
      </w:r>
    </w:p>
    <w:tbl>
      <w:tblPr>
        <w:tblStyle w:val="49"/>
        <w:tblW w:w="947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04"/>
        <w:gridCol w:w="2956"/>
        <w:gridCol w:w="1577"/>
        <w:gridCol w:w="1577"/>
        <w:gridCol w:w="2562"/>
      </w:tblGrid>
      <w:tr w14:paraId="73D91B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5" w:hRule="atLeast"/>
          <w:jc w:val="center"/>
        </w:trPr>
        <w:tc>
          <w:tcPr>
            <w:tcW w:w="80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B6523F5">
            <w:pPr>
              <w:pStyle w:val="25"/>
              <w:spacing w:before="0" w:after="0" w:line="400" w:lineRule="exact"/>
              <w:ind w:firstLine="0" w:firstLineChars="0"/>
              <w:jc w:val="center"/>
              <w:rPr>
                <w:rFonts w:hint="eastAsia"/>
                <w:highlight w:val="none"/>
              </w:rPr>
            </w:pPr>
            <w:r>
              <w:rPr>
                <w:rFonts w:hint="eastAsia"/>
                <w:highlight w:val="none"/>
              </w:rPr>
              <w:t>序号</w:t>
            </w:r>
          </w:p>
        </w:tc>
        <w:tc>
          <w:tcPr>
            <w:tcW w:w="2956" w:type="dxa"/>
            <w:tcBorders>
              <w:top w:val="single" w:color="auto" w:sz="4" w:space="0"/>
              <w:left w:val="single" w:color="auto" w:sz="4" w:space="0"/>
              <w:bottom w:val="single" w:color="auto" w:sz="2" w:space="0"/>
              <w:right w:val="single" w:color="auto" w:sz="4" w:space="0"/>
            </w:tcBorders>
            <w:vAlign w:val="center"/>
          </w:tcPr>
          <w:p w14:paraId="69C43866">
            <w:pPr>
              <w:pStyle w:val="25"/>
              <w:spacing w:before="0" w:after="0" w:line="400" w:lineRule="exact"/>
              <w:ind w:firstLine="0" w:firstLineChars="0"/>
              <w:jc w:val="center"/>
              <w:rPr>
                <w:rFonts w:hint="eastAsia"/>
                <w:highlight w:val="none"/>
              </w:rPr>
            </w:pPr>
            <w:r>
              <w:rPr>
                <w:rFonts w:hint="eastAsia"/>
                <w:highlight w:val="none"/>
              </w:rPr>
              <w:t>优惠内容</w:t>
            </w:r>
          </w:p>
        </w:tc>
        <w:tc>
          <w:tcPr>
            <w:tcW w:w="1577" w:type="dxa"/>
            <w:tcBorders>
              <w:top w:val="single" w:color="auto" w:sz="4" w:space="0"/>
              <w:left w:val="single" w:color="auto" w:sz="4" w:space="0"/>
              <w:bottom w:val="single" w:color="auto" w:sz="2" w:space="0"/>
              <w:right w:val="single" w:color="auto" w:sz="4" w:space="0"/>
            </w:tcBorders>
            <w:vAlign w:val="center"/>
          </w:tcPr>
          <w:p w14:paraId="4EE3761B">
            <w:pPr>
              <w:pStyle w:val="25"/>
              <w:spacing w:before="0" w:after="0" w:line="400" w:lineRule="exact"/>
              <w:ind w:firstLine="0" w:firstLineChars="0"/>
              <w:jc w:val="center"/>
              <w:rPr>
                <w:rFonts w:hint="eastAsia"/>
                <w:highlight w:val="none"/>
              </w:rPr>
            </w:pPr>
            <w:r>
              <w:rPr>
                <w:rFonts w:hint="eastAsia"/>
                <w:highlight w:val="none"/>
              </w:rPr>
              <w:t>适用机型</w:t>
            </w:r>
          </w:p>
        </w:tc>
        <w:tc>
          <w:tcPr>
            <w:tcW w:w="1577"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0EB77D15">
            <w:pPr>
              <w:pStyle w:val="25"/>
              <w:spacing w:before="0" w:after="0" w:line="400" w:lineRule="exact"/>
              <w:ind w:firstLine="0" w:firstLineChars="0"/>
              <w:jc w:val="center"/>
              <w:rPr>
                <w:rFonts w:hint="eastAsia"/>
                <w:highlight w:val="none"/>
              </w:rPr>
            </w:pPr>
            <w:r>
              <w:rPr>
                <w:rFonts w:hint="eastAsia"/>
                <w:highlight w:val="none"/>
              </w:rPr>
              <w:t>市场单价</w:t>
            </w:r>
          </w:p>
        </w:tc>
        <w:tc>
          <w:tcPr>
            <w:tcW w:w="2562" w:type="dxa"/>
            <w:tcBorders>
              <w:top w:val="single" w:color="auto" w:sz="4" w:space="0"/>
              <w:left w:val="single" w:color="auto" w:sz="4" w:space="0"/>
              <w:bottom w:val="single" w:color="auto" w:sz="2" w:space="0"/>
              <w:right w:val="single" w:color="auto" w:sz="4" w:space="0"/>
            </w:tcBorders>
            <w:vAlign w:val="center"/>
          </w:tcPr>
          <w:p w14:paraId="783E7C82">
            <w:pPr>
              <w:pStyle w:val="25"/>
              <w:spacing w:before="0" w:after="0" w:line="400" w:lineRule="exact"/>
              <w:ind w:firstLine="0" w:firstLineChars="0"/>
              <w:jc w:val="center"/>
              <w:rPr>
                <w:rFonts w:hint="eastAsia"/>
                <w:highlight w:val="none"/>
              </w:rPr>
            </w:pPr>
            <w:r>
              <w:rPr>
                <w:rFonts w:hint="eastAsia"/>
                <w:highlight w:val="none"/>
              </w:rPr>
              <w:t>给予本项目的优惠率</w:t>
            </w:r>
          </w:p>
        </w:tc>
      </w:tr>
      <w:tr w14:paraId="638224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804"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0249F549">
            <w:pPr>
              <w:pStyle w:val="25"/>
              <w:spacing w:before="0" w:after="0" w:line="400" w:lineRule="exact"/>
              <w:ind w:firstLine="0" w:firstLineChars="0"/>
              <w:jc w:val="center"/>
              <w:rPr>
                <w:rFonts w:hint="eastAsia"/>
                <w:b w:val="0"/>
                <w:highlight w:val="none"/>
              </w:rPr>
            </w:pPr>
            <w:r>
              <w:rPr>
                <w:rFonts w:hint="eastAsia"/>
                <w:b w:val="0"/>
                <w:highlight w:val="none"/>
              </w:rPr>
              <w:t>1</w:t>
            </w:r>
          </w:p>
        </w:tc>
        <w:tc>
          <w:tcPr>
            <w:tcW w:w="2956" w:type="dxa"/>
            <w:tcBorders>
              <w:top w:val="single" w:color="auto" w:sz="2" w:space="0"/>
              <w:left w:val="single" w:color="auto" w:sz="2" w:space="0"/>
              <w:bottom w:val="single" w:color="auto" w:sz="6" w:space="0"/>
              <w:right w:val="single" w:color="auto" w:sz="4" w:space="0"/>
            </w:tcBorders>
            <w:vAlign w:val="center"/>
          </w:tcPr>
          <w:p w14:paraId="3FC2FE8E">
            <w:pPr>
              <w:pStyle w:val="25"/>
              <w:spacing w:before="0" w:after="0" w:line="400" w:lineRule="exact"/>
              <w:ind w:firstLine="0" w:firstLineChars="0"/>
              <w:jc w:val="center"/>
              <w:rPr>
                <w:rFonts w:hint="eastAsia"/>
                <w:highlight w:val="none"/>
              </w:rPr>
            </w:pPr>
          </w:p>
        </w:tc>
        <w:tc>
          <w:tcPr>
            <w:tcW w:w="1577" w:type="dxa"/>
            <w:tcBorders>
              <w:top w:val="single" w:color="auto" w:sz="2" w:space="0"/>
              <w:left w:val="single" w:color="auto" w:sz="4" w:space="0"/>
              <w:bottom w:val="single" w:color="auto" w:sz="6" w:space="0"/>
              <w:right w:val="single" w:color="auto" w:sz="6" w:space="0"/>
            </w:tcBorders>
            <w:vAlign w:val="center"/>
          </w:tcPr>
          <w:p w14:paraId="3647A97C">
            <w:pPr>
              <w:pStyle w:val="25"/>
              <w:spacing w:before="0" w:after="0" w:line="400" w:lineRule="exact"/>
              <w:ind w:firstLine="0" w:firstLineChars="0"/>
              <w:jc w:val="center"/>
              <w:rPr>
                <w:rFonts w:hint="eastAsia"/>
                <w:highlight w:val="none"/>
              </w:rPr>
            </w:pPr>
          </w:p>
        </w:tc>
        <w:tc>
          <w:tcPr>
            <w:tcW w:w="1577"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3632D2D1">
            <w:pPr>
              <w:pStyle w:val="25"/>
              <w:spacing w:before="0" w:after="0" w:line="400" w:lineRule="exact"/>
              <w:ind w:firstLine="0" w:firstLineChars="0"/>
              <w:jc w:val="center"/>
              <w:rPr>
                <w:rFonts w:hint="eastAsia"/>
                <w:highlight w:val="none"/>
              </w:rPr>
            </w:pPr>
          </w:p>
        </w:tc>
        <w:tc>
          <w:tcPr>
            <w:tcW w:w="2562" w:type="dxa"/>
            <w:tcBorders>
              <w:top w:val="single" w:color="auto" w:sz="2" w:space="0"/>
              <w:left w:val="single" w:color="auto" w:sz="6" w:space="0"/>
              <w:bottom w:val="single" w:color="auto" w:sz="6" w:space="0"/>
              <w:right w:val="single" w:color="auto" w:sz="2" w:space="0"/>
            </w:tcBorders>
            <w:vAlign w:val="center"/>
          </w:tcPr>
          <w:p w14:paraId="314906AC">
            <w:pPr>
              <w:pStyle w:val="25"/>
              <w:spacing w:before="0" w:after="0" w:line="400" w:lineRule="exact"/>
              <w:rPr>
                <w:rFonts w:hint="eastAsia"/>
                <w:highlight w:val="none"/>
              </w:rPr>
            </w:pPr>
            <w:r>
              <w:rPr>
                <w:rFonts w:hint="eastAsia"/>
                <w:highlight w:val="none"/>
              </w:rPr>
              <w:t xml:space="preserve">       %</w:t>
            </w:r>
          </w:p>
        </w:tc>
      </w:tr>
      <w:tr w14:paraId="4A35F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804"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1838A267">
            <w:pPr>
              <w:pStyle w:val="25"/>
              <w:spacing w:before="0" w:after="0" w:line="400" w:lineRule="exact"/>
              <w:ind w:firstLine="0" w:firstLineChars="0"/>
              <w:jc w:val="center"/>
              <w:rPr>
                <w:rFonts w:hint="eastAsia"/>
                <w:b w:val="0"/>
                <w:highlight w:val="none"/>
              </w:rPr>
            </w:pPr>
            <w:r>
              <w:rPr>
                <w:rFonts w:hint="eastAsia"/>
                <w:b w:val="0"/>
                <w:highlight w:val="none"/>
              </w:rPr>
              <w:t>2</w:t>
            </w:r>
          </w:p>
        </w:tc>
        <w:tc>
          <w:tcPr>
            <w:tcW w:w="2956" w:type="dxa"/>
            <w:tcBorders>
              <w:top w:val="single" w:color="auto" w:sz="6" w:space="0"/>
              <w:left w:val="single" w:color="auto" w:sz="2" w:space="0"/>
              <w:bottom w:val="single" w:color="auto" w:sz="6" w:space="0"/>
              <w:right w:val="single" w:color="auto" w:sz="4" w:space="0"/>
            </w:tcBorders>
            <w:vAlign w:val="center"/>
          </w:tcPr>
          <w:p w14:paraId="610F4C5B">
            <w:pPr>
              <w:pStyle w:val="25"/>
              <w:spacing w:before="0" w:after="0" w:line="400" w:lineRule="exact"/>
              <w:ind w:firstLine="0" w:firstLineChars="0"/>
              <w:jc w:val="center"/>
              <w:rPr>
                <w:rFonts w:hint="eastAsia"/>
                <w:highlight w:val="none"/>
              </w:rPr>
            </w:pPr>
          </w:p>
        </w:tc>
        <w:tc>
          <w:tcPr>
            <w:tcW w:w="1577" w:type="dxa"/>
            <w:tcBorders>
              <w:top w:val="single" w:color="auto" w:sz="6" w:space="0"/>
              <w:left w:val="single" w:color="auto" w:sz="4" w:space="0"/>
              <w:bottom w:val="single" w:color="auto" w:sz="6" w:space="0"/>
              <w:right w:val="single" w:color="auto" w:sz="6" w:space="0"/>
            </w:tcBorders>
            <w:vAlign w:val="center"/>
          </w:tcPr>
          <w:p w14:paraId="0A85ABA8">
            <w:pPr>
              <w:pStyle w:val="25"/>
              <w:spacing w:before="0" w:after="0" w:line="400" w:lineRule="exact"/>
              <w:ind w:firstLine="0" w:firstLineChars="0"/>
              <w:jc w:val="center"/>
              <w:rPr>
                <w:rFonts w:hint="eastAsia"/>
                <w:highlight w:val="none"/>
              </w:rPr>
            </w:pPr>
          </w:p>
        </w:tc>
        <w:tc>
          <w:tcPr>
            <w:tcW w:w="1577"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447162E">
            <w:pPr>
              <w:pStyle w:val="25"/>
              <w:spacing w:before="0" w:after="0" w:line="400" w:lineRule="exact"/>
              <w:ind w:firstLine="0" w:firstLineChars="0"/>
              <w:jc w:val="center"/>
              <w:rPr>
                <w:rFonts w:hint="eastAsia"/>
                <w:highlight w:val="none"/>
              </w:rPr>
            </w:pPr>
          </w:p>
        </w:tc>
        <w:tc>
          <w:tcPr>
            <w:tcW w:w="2562" w:type="dxa"/>
            <w:tcBorders>
              <w:top w:val="single" w:color="auto" w:sz="6" w:space="0"/>
              <w:left w:val="single" w:color="auto" w:sz="6" w:space="0"/>
              <w:bottom w:val="single" w:color="auto" w:sz="6" w:space="0"/>
              <w:right w:val="single" w:color="auto" w:sz="2" w:space="0"/>
            </w:tcBorders>
            <w:vAlign w:val="center"/>
          </w:tcPr>
          <w:p w14:paraId="51C1710F">
            <w:pPr>
              <w:pStyle w:val="25"/>
              <w:spacing w:before="0" w:after="0" w:line="400" w:lineRule="exact"/>
              <w:rPr>
                <w:rFonts w:hint="eastAsia"/>
                <w:highlight w:val="none"/>
              </w:rPr>
            </w:pPr>
            <w:r>
              <w:rPr>
                <w:rFonts w:hint="eastAsia"/>
                <w:highlight w:val="none"/>
              </w:rPr>
              <w:t xml:space="preserve">       %</w:t>
            </w:r>
          </w:p>
        </w:tc>
      </w:tr>
      <w:tr w14:paraId="0B5D57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804"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62EE82BE">
            <w:pPr>
              <w:pStyle w:val="25"/>
              <w:spacing w:before="0" w:after="0" w:line="400" w:lineRule="exact"/>
              <w:ind w:firstLine="0" w:firstLineChars="0"/>
              <w:jc w:val="center"/>
              <w:rPr>
                <w:rFonts w:hint="eastAsia"/>
                <w:b w:val="0"/>
                <w:highlight w:val="none"/>
              </w:rPr>
            </w:pPr>
            <w:r>
              <w:rPr>
                <w:rFonts w:hint="eastAsia"/>
                <w:b w:val="0"/>
                <w:highlight w:val="none"/>
              </w:rPr>
              <w:t>3</w:t>
            </w:r>
          </w:p>
        </w:tc>
        <w:tc>
          <w:tcPr>
            <w:tcW w:w="2956" w:type="dxa"/>
            <w:tcBorders>
              <w:top w:val="single" w:color="auto" w:sz="6" w:space="0"/>
              <w:left w:val="single" w:color="auto" w:sz="2" w:space="0"/>
              <w:bottom w:val="single" w:color="auto" w:sz="6" w:space="0"/>
              <w:right w:val="single" w:color="auto" w:sz="4" w:space="0"/>
            </w:tcBorders>
            <w:vAlign w:val="center"/>
          </w:tcPr>
          <w:p w14:paraId="1837AA5D">
            <w:pPr>
              <w:pStyle w:val="25"/>
              <w:spacing w:before="0" w:after="0" w:line="400" w:lineRule="exact"/>
              <w:ind w:firstLine="0" w:firstLineChars="0"/>
              <w:jc w:val="center"/>
              <w:rPr>
                <w:rFonts w:hint="eastAsia"/>
                <w:highlight w:val="none"/>
              </w:rPr>
            </w:pPr>
          </w:p>
        </w:tc>
        <w:tc>
          <w:tcPr>
            <w:tcW w:w="1577" w:type="dxa"/>
            <w:tcBorders>
              <w:top w:val="single" w:color="auto" w:sz="6" w:space="0"/>
              <w:left w:val="single" w:color="auto" w:sz="4" w:space="0"/>
              <w:bottom w:val="single" w:color="auto" w:sz="6" w:space="0"/>
              <w:right w:val="single" w:color="auto" w:sz="6" w:space="0"/>
            </w:tcBorders>
            <w:vAlign w:val="center"/>
          </w:tcPr>
          <w:p w14:paraId="4A6D2121">
            <w:pPr>
              <w:pStyle w:val="25"/>
              <w:spacing w:before="0" w:after="0" w:line="400" w:lineRule="exact"/>
              <w:ind w:firstLine="0" w:firstLineChars="0"/>
              <w:jc w:val="center"/>
              <w:rPr>
                <w:rFonts w:hint="eastAsia"/>
                <w:highlight w:val="none"/>
              </w:rPr>
            </w:pPr>
          </w:p>
        </w:tc>
        <w:tc>
          <w:tcPr>
            <w:tcW w:w="1577"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5649DF2A">
            <w:pPr>
              <w:pStyle w:val="25"/>
              <w:spacing w:before="0" w:after="0" w:line="400" w:lineRule="exact"/>
              <w:ind w:firstLine="0" w:firstLineChars="0"/>
              <w:jc w:val="center"/>
              <w:rPr>
                <w:rFonts w:hint="eastAsia"/>
                <w:highlight w:val="none"/>
              </w:rPr>
            </w:pPr>
          </w:p>
        </w:tc>
        <w:tc>
          <w:tcPr>
            <w:tcW w:w="2562" w:type="dxa"/>
            <w:tcBorders>
              <w:top w:val="single" w:color="auto" w:sz="6" w:space="0"/>
              <w:left w:val="single" w:color="auto" w:sz="6" w:space="0"/>
              <w:bottom w:val="single" w:color="auto" w:sz="6" w:space="0"/>
              <w:right w:val="single" w:color="auto" w:sz="2" w:space="0"/>
            </w:tcBorders>
            <w:vAlign w:val="center"/>
          </w:tcPr>
          <w:p w14:paraId="119B28DC">
            <w:pPr>
              <w:pStyle w:val="25"/>
              <w:spacing w:before="0" w:after="0" w:line="400" w:lineRule="exact"/>
              <w:rPr>
                <w:rFonts w:hint="eastAsia"/>
                <w:highlight w:val="none"/>
              </w:rPr>
            </w:pPr>
            <w:r>
              <w:rPr>
                <w:rFonts w:hint="eastAsia"/>
                <w:highlight w:val="none"/>
              </w:rPr>
              <w:t xml:space="preserve">       %</w:t>
            </w:r>
          </w:p>
        </w:tc>
      </w:tr>
      <w:tr w14:paraId="15F323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6" w:hRule="atLeast"/>
          <w:jc w:val="center"/>
        </w:trPr>
        <w:tc>
          <w:tcPr>
            <w:tcW w:w="804"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2FF82095">
            <w:pPr>
              <w:pStyle w:val="25"/>
              <w:spacing w:before="0" w:after="0" w:line="400" w:lineRule="exact"/>
              <w:ind w:firstLine="0" w:firstLineChars="0"/>
              <w:jc w:val="center"/>
              <w:rPr>
                <w:rFonts w:hint="eastAsia"/>
                <w:b w:val="0"/>
                <w:highlight w:val="none"/>
              </w:rPr>
            </w:pPr>
            <w:r>
              <w:rPr>
                <w:b w:val="0"/>
                <w:highlight w:val="none"/>
              </w:rPr>
              <w:t>…</w:t>
            </w:r>
          </w:p>
        </w:tc>
        <w:tc>
          <w:tcPr>
            <w:tcW w:w="2956" w:type="dxa"/>
            <w:tcBorders>
              <w:top w:val="single" w:color="auto" w:sz="6" w:space="0"/>
              <w:left w:val="single" w:color="auto" w:sz="2" w:space="0"/>
              <w:bottom w:val="single" w:color="auto" w:sz="6" w:space="0"/>
              <w:right w:val="single" w:color="auto" w:sz="4" w:space="0"/>
            </w:tcBorders>
            <w:vAlign w:val="center"/>
          </w:tcPr>
          <w:p w14:paraId="51A1725B">
            <w:pPr>
              <w:pStyle w:val="25"/>
              <w:spacing w:before="0" w:after="0" w:line="400" w:lineRule="exact"/>
              <w:ind w:firstLine="0" w:firstLineChars="0"/>
              <w:jc w:val="center"/>
              <w:rPr>
                <w:rFonts w:hint="eastAsia"/>
                <w:highlight w:val="none"/>
              </w:rPr>
            </w:pPr>
            <w:r>
              <w:rPr>
                <w:b w:val="0"/>
                <w:highlight w:val="none"/>
              </w:rPr>
              <w:t>…</w:t>
            </w:r>
          </w:p>
        </w:tc>
        <w:tc>
          <w:tcPr>
            <w:tcW w:w="1577" w:type="dxa"/>
            <w:tcBorders>
              <w:top w:val="single" w:color="auto" w:sz="6" w:space="0"/>
              <w:left w:val="single" w:color="auto" w:sz="4" w:space="0"/>
              <w:bottom w:val="single" w:color="auto" w:sz="6" w:space="0"/>
              <w:right w:val="single" w:color="auto" w:sz="6" w:space="0"/>
            </w:tcBorders>
            <w:vAlign w:val="center"/>
          </w:tcPr>
          <w:p w14:paraId="0C6D9DAD">
            <w:pPr>
              <w:pStyle w:val="25"/>
              <w:spacing w:before="0" w:after="0" w:line="400" w:lineRule="exact"/>
              <w:ind w:firstLine="0" w:firstLineChars="0"/>
              <w:jc w:val="center"/>
              <w:rPr>
                <w:rFonts w:hint="eastAsia"/>
                <w:highlight w:val="none"/>
              </w:rPr>
            </w:pPr>
          </w:p>
        </w:tc>
        <w:tc>
          <w:tcPr>
            <w:tcW w:w="1577"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5ED3B8B7">
            <w:pPr>
              <w:pStyle w:val="25"/>
              <w:spacing w:before="0" w:after="0" w:line="400" w:lineRule="exact"/>
              <w:ind w:firstLine="0" w:firstLineChars="0"/>
              <w:jc w:val="center"/>
              <w:rPr>
                <w:rFonts w:hint="eastAsia"/>
                <w:highlight w:val="none"/>
              </w:rPr>
            </w:pPr>
          </w:p>
        </w:tc>
        <w:tc>
          <w:tcPr>
            <w:tcW w:w="2562" w:type="dxa"/>
            <w:tcBorders>
              <w:top w:val="single" w:color="auto" w:sz="6" w:space="0"/>
              <w:left w:val="single" w:color="auto" w:sz="6" w:space="0"/>
              <w:bottom w:val="single" w:color="auto" w:sz="6" w:space="0"/>
              <w:right w:val="single" w:color="auto" w:sz="2" w:space="0"/>
            </w:tcBorders>
            <w:vAlign w:val="center"/>
          </w:tcPr>
          <w:p w14:paraId="7DCE329C">
            <w:pPr>
              <w:pStyle w:val="25"/>
              <w:spacing w:before="0" w:after="0" w:line="400" w:lineRule="exact"/>
              <w:rPr>
                <w:rFonts w:hint="eastAsia"/>
                <w:highlight w:val="none"/>
              </w:rPr>
            </w:pPr>
            <w:r>
              <w:rPr>
                <w:rFonts w:hint="eastAsia"/>
                <w:highlight w:val="none"/>
              </w:rPr>
              <w:t xml:space="preserve"> </w:t>
            </w:r>
            <w:r>
              <w:rPr>
                <w:highlight w:val="none"/>
              </w:rPr>
              <w:t xml:space="preserve">      </w:t>
            </w:r>
            <w:r>
              <w:rPr>
                <w:rFonts w:hint="eastAsia"/>
                <w:highlight w:val="none"/>
              </w:rPr>
              <w:t>%</w:t>
            </w:r>
          </w:p>
        </w:tc>
      </w:tr>
    </w:tbl>
    <w:p w14:paraId="48F01ED9">
      <w:pPr>
        <w:spacing w:line="360" w:lineRule="auto"/>
        <w:contextualSpacing/>
        <w:rPr>
          <w:rFonts w:hint="eastAsia" w:ascii="仿宋" w:hAnsi="仿宋" w:eastAsia="仿宋"/>
          <w:sz w:val="24"/>
          <w:highlight w:val="none"/>
        </w:rPr>
      </w:pPr>
    </w:p>
    <w:p w14:paraId="78D1FC26">
      <w:pPr>
        <w:spacing w:line="360" w:lineRule="auto"/>
        <w:contextualSpacing/>
        <w:rPr>
          <w:rFonts w:hint="eastAsia" w:ascii="仿宋" w:hAnsi="仿宋" w:eastAsia="仿宋"/>
          <w:sz w:val="24"/>
          <w:highlight w:val="none"/>
        </w:rPr>
      </w:pPr>
    </w:p>
    <w:p w14:paraId="0A09BB9B">
      <w:pPr>
        <w:spacing w:line="360" w:lineRule="auto"/>
        <w:contextualSpacing/>
        <w:rPr>
          <w:rFonts w:hint="eastAsia" w:ascii="仿宋" w:hAnsi="仿宋" w:eastAsia="仿宋"/>
          <w:sz w:val="24"/>
          <w:highlight w:val="none"/>
        </w:rPr>
      </w:pPr>
    </w:p>
    <w:p w14:paraId="2F6133C7">
      <w:pPr>
        <w:spacing w:line="360" w:lineRule="auto"/>
        <w:contextualSpacing/>
        <w:rPr>
          <w:rFonts w:hint="eastAsia" w:ascii="仿宋" w:hAnsi="仿宋" w:eastAsia="仿宋"/>
          <w:spacing w:val="20"/>
          <w:sz w:val="24"/>
          <w:highlight w:val="none"/>
          <w:u w:val="single"/>
        </w:rPr>
      </w:pPr>
      <w:r>
        <w:rPr>
          <w:rFonts w:hint="eastAsia" w:ascii="仿宋" w:hAnsi="仿宋" w:eastAsia="仿宋"/>
          <w:sz w:val="24"/>
          <w:highlight w:val="none"/>
        </w:rPr>
        <w:t>法定代表人或者委托代理人</w:t>
      </w:r>
      <w:r>
        <w:rPr>
          <w:rFonts w:hint="eastAsia" w:ascii="仿宋" w:hAnsi="仿宋" w:eastAsia="仿宋"/>
          <w:spacing w:val="20"/>
          <w:sz w:val="24"/>
          <w:highlight w:val="none"/>
        </w:rPr>
        <w:t>（签字</w:t>
      </w:r>
      <w:r>
        <w:rPr>
          <w:rFonts w:hint="eastAsia" w:ascii="仿宋" w:hAnsi="仿宋" w:eastAsia="仿宋"/>
          <w:spacing w:val="20"/>
          <w:sz w:val="24"/>
          <w:highlight w:val="none"/>
          <w:lang w:val="en-US" w:eastAsia="zh-CN"/>
        </w:rPr>
        <w:t>或盖法定代表人CA章</w:t>
      </w:r>
      <w:r>
        <w:rPr>
          <w:rFonts w:hint="eastAsia" w:ascii="仿宋" w:hAnsi="仿宋" w:eastAsia="仿宋"/>
          <w:spacing w:val="20"/>
          <w:sz w:val="24"/>
          <w:highlight w:val="none"/>
        </w:rPr>
        <w:t>）：</w:t>
      </w:r>
      <w:r>
        <w:rPr>
          <w:rFonts w:hint="eastAsia" w:ascii="仿宋" w:hAnsi="仿宋" w:eastAsia="仿宋"/>
          <w:spacing w:val="20"/>
          <w:sz w:val="24"/>
          <w:highlight w:val="none"/>
          <w:u w:val="single"/>
        </w:rPr>
        <w:t xml:space="preserve">        </w:t>
      </w:r>
    </w:p>
    <w:p w14:paraId="5024E1BA">
      <w:pPr>
        <w:spacing w:line="360" w:lineRule="auto"/>
        <w:contextualSpacing/>
        <w:rPr>
          <w:rFonts w:hint="eastAsia" w:ascii="仿宋" w:hAnsi="仿宋" w:eastAsia="仿宋"/>
          <w:sz w:val="24"/>
          <w:highlight w:val="none"/>
        </w:rPr>
      </w:pPr>
      <w:r>
        <w:rPr>
          <w:rFonts w:hint="eastAsia" w:ascii="仿宋" w:hAnsi="仿宋" w:eastAsia="仿宋"/>
          <w:sz w:val="24"/>
          <w:highlight w:val="none"/>
        </w:rPr>
        <w:t>投标人（</w:t>
      </w:r>
      <w:r>
        <w:rPr>
          <w:rFonts w:hint="eastAsia" w:ascii="仿宋" w:hAnsi="仿宋" w:eastAsia="仿宋"/>
          <w:sz w:val="24"/>
          <w:highlight w:val="none"/>
          <w:lang w:eastAsia="zh-CN"/>
        </w:rPr>
        <w:t>盖CA公章</w:t>
      </w:r>
      <w:r>
        <w:rPr>
          <w:rFonts w:hint="eastAsia" w:ascii="仿宋" w:hAnsi="仿宋" w:eastAsia="仿宋"/>
          <w:sz w:val="24"/>
          <w:highlight w:val="none"/>
        </w:rPr>
        <w:t>）：</w:t>
      </w:r>
      <w:r>
        <w:rPr>
          <w:rFonts w:hint="eastAsia" w:ascii="仿宋" w:hAnsi="仿宋" w:eastAsia="仿宋"/>
          <w:sz w:val="24"/>
          <w:highlight w:val="none"/>
          <w:u w:val="single"/>
        </w:rPr>
        <w:t xml:space="preserve">            </w:t>
      </w:r>
    </w:p>
    <w:p w14:paraId="10DE0D93">
      <w:pPr>
        <w:spacing w:line="360" w:lineRule="auto"/>
        <w:contextualSpacing/>
        <w:rPr>
          <w:rFonts w:hint="eastAsia" w:ascii="仿宋" w:hAnsi="仿宋" w:eastAsia="仿宋"/>
          <w:sz w:val="24"/>
          <w:szCs w:val="20"/>
          <w:highlight w:val="none"/>
        </w:rPr>
      </w:pPr>
      <w:r>
        <w:rPr>
          <w:rFonts w:hint="eastAsia" w:ascii="仿宋" w:hAnsi="仿宋" w:eastAsia="仿宋"/>
          <w:spacing w:val="20"/>
          <w:sz w:val="24"/>
          <w:highlight w:val="none"/>
        </w:rPr>
        <w:t>日 期：</w:t>
      </w:r>
      <w:r>
        <w:rPr>
          <w:rFonts w:hint="eastAsia" w:ascii="仿宋" w:hAnsi="仿宋" w:eastAsia="仿宋"/>
          <w:spacing w:val="20"/>
          <w:sz w:val="24"/>
          <w:highlight w:val="none"/>
          <w:u w:val="single"/>
        </w:rPr>
        <w:t xml:space="preserve">            </w:t>
      </w:r>
    </w:p>
    <w:p w14:paraId="6E421095">
      <w:pPr>
        <w:snapToGrid w:val="0"/>
        <w:spacing w:before="50" w:after="120" w:afterLines="50"/>
        <w:jc w:val="left"/>
        <w:rPr>
          <w:rFonts w:hint="eastAsia" w:ascii="仿宋" w:hAnsi="仿宋" w:eastAsia="仿宋"/>
          <w:sz w:val="24"/>
          <w:szCs w:val="20"/>
          <w:highlight w:val="none"/>
        </w:rPr>
      </w:pPr>
    </w:p>
    <w:p w14:paraId="235A29CA">
      <w:pPr>
        <w:rPr>
          <w:rFonts w:hint="eastAsia" w:ascii="仿宋" w:hAnsi="仿宋" w:eastAsia="仿宋"/>
          <w:b/>
          <w:sz w:val="28"/>
          <w:szCs w:val="28"/>
          <w:highlight w:val="none"/>
        </w:rPr>
      </w:pPr>
      <w:r>
        <w:rPr>
          <w:rFonts w:ascii="仿宋" w:hAnsi="仿宋" w:eastAsia="仿宋"/>
          <w:b/>
          <w:bCs/>
          <w:sz w:val="24"/>
          <w:highlight w:val="none"/>
        </w:rPr>
        <w:br w:type="page"/>
      </w:r>
      <w:r>
        <w:rPr>
          <w:rFonts w:hint="eastAsia" w:ascii="仿宋" w:hAnsi="仿宋" w:eastAsia="仿宋"/>
          <w:b/>
          <w:sz w:val="28"/>
          <w:szCs w:val="28"/>
          <w:highlight w:val="none"/>
        </w:rPr>
        <w:t>五、其他文书、文件格式</w:t>
      </w:r>
    </w:p>
    <w:p w14:paraId="6E2D5419">
      <w:pPr>
        <w:snapToGrid w:val="0"/>
        <w:spacing w:before="120" w:beforeLines="50" w:after="50"/>
        <w:jc w:val="left"/>
        <w:rPr>
          <w:rFonts w:hint="eastAsia" w:ascii="仿宋" w:hAnsi="仿宋" w:eastAsia="仿宋"/>
          <w:highlight w:val="none"/>
        </w:rPr>
      </w:pPr>
      <w:r>
        <w:rPr>
          <w:rFonts w:ascii="仿宋" w:hAnsi="仿宋" w:eastAsia="仿宋"/>
          <w:b/>
          <w:sz w:val="24"/>
          <w:highlight w:val="none"/>
        </w:rPr>
        <w:t>1</w:t>
      </w:r>
      <w:r>
        <w:rPr>
          <w:rFonts w:hint="eastAsia" w:ascii="仿宋" w:hAnsi="仿宋" w:eastAsia="仿宋"/>
          <w:b/>
          <w:sz w:val="24"/>
          <w:highlight w:val="none"/>
        </w:rPr>
        <w:t>.中小企业声明函格式</w:t>
      </w:r>
    </w:p>
    <w:p w14:paraId="5802F9DF">
      <w:pPr>
        <w:rPr>
          <w:rFonts w:hint="eastAsia" w:ascii="仿宋" w:hAnsi="仿宋" w:eastAsia="仿宋"/>
          <w:highlight w:val="none"/>
        </w:rPr>
      </w:pPr>
    </w:p>
    <w:p w14:paraId="26F9980B">
      <w:pPr>
        <w:jc w:val="center"/>
        <w:rPr>
          <w:rFonts w:hint="eastAsia" w:ascii="仿宋" w:hAnsi="仿宋" w:eastAsia="仿宋" w:cs="方正小标宋简体"/>
          <w:sz w:val="44"/>
          <w:szCs w:val="44"/>
          <w:highlight w:val="none"/>
        </w:rPr>
      </w:pPr>
      <w:r>
        <w:rPr>
          <w:rFonts w:hint="eastAsia" w:ascii="仿宋" w:hAnsi="仿宋" w:eastAsia="仿宋" w:cs="方正小标宋简体"/>
          <w:sz w:val="44"/>
          <w:szCs w:val="44"/>
          <w:highlight w:val="none"/>
        </w:rPr>
        <w:t>中小企业声明函（货物）</w:t>
      </w:r>
    </w:p>
    <w:p w14:paraId="3A31BA45">
      <w:pPr>
        <w:spacing w:before="2" w:line="500" w:lineRule="exact"/>
        <w:rPr>
          <w:rFonts w:hint="eastAsia" w:ascii="仿宋" w:hAnsi="仿宋" w:eastAsia="仿宋" w:cs="宋体"/>
          <w:b/>
          <w:bCs/>
          <w:sz w:val="27"/>
          <w:szCs w:val="27"/>
          <w:highlight w:val="none"/>
        </w:rPr>
      </w:pPr>
    </w:p>
    <w:p w14:paraId="5316ED4E">
      <w:pPr>
        <w:pStyle w:val="18"/>
        <w:ind w:firstLine="480" w:firstLineChars="200"/>
        <w:rPr>
          <w:rFonts w:hint="eastAsia"/>
          <w:highlight w:val="none"/>
        </w:rPr>
      </w:pPr>
      <w:r>
        <w:rPr>
          <w:highlight w:val="none"/>
        </w:rPr>
        <w:t>本公司郑重声明，根据《政府采购促进中小企业发展管理办法》（财库﹝2020﹞46号）的规定，本公司参加</w:t>
      </w:r>
      <w:r>
        <w:rPr>
          <w:highlight w:val="none"/>
          <w:u w:val="single"/>
        </w:rPr>
        <w:t>（单位名称）</w:t>
      </w:r>
      <w:r>
        <w:rPr>
          <w:highlight w:val="none"/>
        </w:rPr>
        <w:t>的</w:t>
      </w:r>
      <w:r>
        <w:rPr>
          <w:highlight w:val="none"/>
          <w:u w:val="single"/>
        </w:rPr>
        <w:t>（项目名称）</w:t>
      </w:r>
      <w:r>
        <w:rPr>
          <w:highlight w:val="none"/>
        </w:rPr>
        <w:t>采购活动，提供的货物全部由符合政策要求的中小企业制造。相关企业的具体情况如下：</w:t>
      </w:r>
    </w:p>
    <w:p w14:paraId="17EC78D5">
      <w:pPr>
        <w:pStyle w:val="18"/>
        <w:rPr>
          <w:rFonts w:hint="eastAsia"/>
          <w:highlight w:val="none"/>
        </w:rPr>
      </w:pPr>
      <w:r>
        <w:rPr>
          <w:highlight w:val="none"/>
        </w:rPr>
        <w:t>1.</w:t>
      </w:r>
      <w:r>
        <w:rPr>
          <w:highlight w:val="none"/>
          <w:u w:val="single"/>
        </w:rPr>
        <w:t>（标的名称）</w:t>
      </w:r>
      <w:r>
        <w:rPr>
          <w:highlight w:val="none"/>
        </w:rPr>
        <w:t>，属于</w:t>
      </w:r>
      <w:r>
        <w:rPr>
          <w:highlight w:val="none"/>
          <w:u w:val="single"/>
        </w:rPr>
        <w:t>（采购文件中明确的所属行业）</w:t>
      </w:r>
      <w:r>
        <w:rPr>
          <w:highlight w:val="none"/>
        </w:rPr>
        <w:t>行业；制造商为</w:t>
      </w:r>
      <w:r>
        <w:rPr>
          <w:highlight w:val="none"/>
          <w:u w:val="single"/>
        </w:rPr>
        <w:t>（企业名称）</w:t>
      </w:r>
      <w:r>
        <w:rPr>
          <w:highlight w:val="none"/>
        </w:rPr>
        <w:t>，从业人员</w:t>
      </w:r>
      <w:r>
        <w:rPr>
          <w:rFonts w:hint="eastAsia"/>
          <w:highlight w:val="none"/>
          <w:u w:val="single"/>
        </w:rPr>
        <w:t xml:space="preserve"> </w:t>
      </w:r>
      <w:r>
        <w:rPr>
          <w:highlight w:val="none"/>
          <w:u w:val="single"/>
        </w:rPr>
        <w:t xml:space="preserve">     </w:t>
      </w:r>
      <w:r>
        <w:rPr>
          <w:highlight w:val="none"/>
        </w:rPr>
        <w:t>人，营业收入为</w:t>
      </w:r>
      <w:r>
        <w:rPr>
          <w:rFonts w:hint="eastAsia"/>
          <w:highlight w:val="none"/>
          <w:u w:val="single"/>
        </w:rPr>
        <w:t xml:space="preserve"> </w:t>
      </w:r>
      <w:r>
        <w:rPr>
          <w:highlight w:val="none"/>
          <w:u w:val="single"/>
        </w:rPr>
        <w:t xml:space="preserve">     </w:t>
      </w:r>
      <w:r>
        <w:rPr>
          <w:highlight w:val="none"/>
        </w:rPr>
        <w:t>万元，资产总额为</w:t>
      </w:r>
      <w:r>
        <w:rPr>
          <w:rFonts w:hint="eastAsia"/>
          <w:highlight w:val="none"/>
          <w:u w:val="single"/>
        </w:rPr>
        <w:t xml:space="preserve"> </w:t>
      </w:r>
      <w:r>
        <w:rPr>
          <w:highlight w:val="none"/>
          <w:u w:val="single"/>
        </w:rPr>
        <w:t xml:space="preserve">     </w:t>
      </w:r>
      <w:r>
        <w:rPr>
          <w:highlight w:val="none"/>
        </w:rPr>
        <w:t>万元，属于</w:t>
      </w:r>
      <w:r>
        <w:rPr>
          <w:highlight w:val="none"/>
          <w:u w:val="single"/>
        </w:rPr>
        <w:t>（中型企业、小型企业、微型企业）</w:t>
      </w:r>
      <w:r>
        <w:rPr>
          <w:highlight w:val="none"/>
        </w:rPr>
        <w:t>；</w:t>
      </w:r>
    </w:p>
    <w:p w14:paraId="63775747">
      <w:pPr>
        <w:pStyle w:val="18"/>
        <w:rPr>
          <w:rFonts w:hint="eastAsia"/>
          <w:highlight w:val="none"/>
        </w:rPr>
      </w:pPr>
      <w:r>
        <w:rPr>
          <w:highlight w:val="none"/>
        </w:rPr>
        <w:t>2.</w:t>
      </w:r>
      <w:r>
        <w:rPr>
          <w:highlight w:val="none"/>
          <w:u w:val="single"/>
        </w:rPr>
        <w:t>（标的名称）</w:t>
      </w:r>
      <w:r>
        <w:rPr>
          <w:highlight w:val="none"/>
        </w:rPr>
        <w:t>，属于</w:t>
      </w:r>
      <w:r>
        <w:rPr>
          <w:highlight w:val="none"/>
          <w:u w:val="single"/>
        </w:rPr>
        <w:t>（采购文件中明确的所属行业）</w:t>
      </w:r>
      <w:r>
        <w:rPr>
          <w:highlight w:val="none"/>
        </w:rPr>
        <w:t>行业；制造商为</w:t>
      </w:r>
      <w:r>
        <w:rPr>
          <w:highlight w:val="none"/>
          <w:u w:val="single"/>
        </w:rPr>
        <w:t>（企业名称）</w:t>
      </w:r>
      <w:r>
        <w:rPr>
          <w:highlight w:val="none"/>
        </w:rPr>
        <w:t>，从业人员</w:t>
      </w:r>
      <w:r>
        <w:rPr>
          <w:rFonts w:hint="eastAsia"/>
          <w:highlight w:val="none"/>
          <w:u w:val="single"/>
        </w:rPr>
        <w:t xml:space="preserve"> </w:t>
      </w:r>
      <w:r>
        <w:rPr>
          <w:highlight w:val="none"/>
          <w:u w:val="single"/>
        </w:rPr>
        <w:t xml:space="preserve">     </w:t>
      </w:r>
      <w:r>
        <w:rPr>
          <w:highlight w:val="none"/>
        </w:rPr>
        <w:t>人，营业收入为</w:t>
      </w:r>
      <w:r>
        <w:rPr>
          <w:rFonts w:hint="eastAsia"/>
          <w:highlight w:val="none"/>
          <w:u w:val="single"/>
        </w:rPr>
        <w:t xml:space="preserve"> </w:t>
      </w:r>
      <w:r>
        <w:rPr>
          <w:highlight w:val="none"/>
          <w:u w:val="single"/>
        </w:rPr>
        <w:t xml:space="preserve">     </w:t>
      </w:r>
      <w:r>
        <w:rPr>
          <w:highlight w:val="none"/>
        </w:rPr>
        <w:t>万元，资产总额为</w:t>
      </w:r>
      <w:r>
        <w:rPr>
          <w:rFonts w:hint="eastAsia"/>
          <w:highlight w:val="none"/>
          <w:u w:val="single"/>
        </w:rPr>
        <w:t xml:space="preserve"> </w:t>
      </w:r>
      <w:r>
        <w:rPr>
          <w:highlight w:val="none"/>
          <w:u w:val="single"/>
        </w:rPr>
        <w:t xml:space="preserve">     </w:t>
      </w:r>
      <w:r>
        <w:rPr>
          <w:highlight w:val="none"/>
        </w:rPr>
        <w:t>万元，属于</w:t>
      </w:r>
      <w:r>
        <w:rPr>
          <w:highlight w:val="none"/>
          <w:u w:val="single"/>
        </w:rPr>
        <w:t>（中型企业、小型企业、微型企业）</w:t>
      </w:r>
      <w:r>
        <w:rPr>
          <w:highlight w:val="none"/>
        </w:rPr>
        <w:t>；</w:t>
      </w:r>
    </w:p>
    <w:p w14:paraId="7588B7C9">
      <w:pPr>
        <w:pStyle w:val="18"/>
        <w:rPr>
          <w:rFonts w:hint="eastAsia"/>
          <w:highlight w:val="none"/>
        </w:rPr>
      </w:pPr>
      <w:r>
        <w:rPr>
          <w:highlight w:val="none"/>
        </w:rPr>
        <w:t>3.</w:t>
      </w:r>
      <w:r>
        <w:rPr>
          <w:highlight w:val="none"/>
          <w:u w:val="single"/>
        </w:rPr>
        <w:t>（标的名称）</w:t>
      </w:r>
      <w:r>
        <w:rPr>
          <w:highlight w:val="none"/>
        </w:rPr>
        <w:t>，属于</w:t>
      </w:r>
      <w:r>
        <w:rPr>
          <w:highlight w:val="none"/>
          <w:u w:val="single"/>
        </w:rPr>
        <w:t>（采购文件中明确的所属行业）</w:t>
      </w:r>
      <w:r>
        <w:rPr>
          <w:highlight w:val="none"/>
        </w:rPr>
        <w:t>行业；制造商为</w:t>
      </w:r>
      <w:r>
        <w:rPr>
          <w:highlight w:val="none"/>
          <w:u w:val="single"/>
        </w:rPr>
        <w:t>（企业名称）</w:t>
      </w:r>
      <w:r>
        <w:rPr>
          <w:highlight w:val="none"/>
        </w:rPr>
        <w:t>，从业人员</w:t>
      </w:r>
      <w:r>
        <w:rPr>
          <w:rFonts w:hint="eastAsia"/>
          <w:highlight w:val="none"/>
          <w:u w:val="single"/>
        </w:rPr>
        <w:t xml:space="preserve"> </w:t>
      </w:r>
      <w:r>
        <w:rPr>
          <w:highlight w:val="none"/>
          <w:u w:val="single"/>
        </w:rPr>
        <w:t xml:space="preserve">     </w:t>
      </w:r>
      <w:r>
        <w:rPr>
          <w:highlight w:val="none"/>
        </w:rPr>
        <w:t>人，营业收入为</w:t>
      </w:r>
      <w:r>
        <w:rPr>
          <w:rFonts w:hint="eastAsia"/>
          <w:highlight w:val="none"/>
          <w:u w:val="single"/>
        </w:rPr>
        <w:t xml:space="preserve"> </w:t>
      </w:r>
      <w:r>
        <w:rPr>
          <w:highlight w:val="none"/>
          <w:u w:val="single"/>
        </w:rPr>
        <w:t xml:space="preserve">     </w:t>
      </w:r>
      <w:r>
        <w:rPr>
          <w:highlight w:val="none"/>
        </w:rPr>
        <w:t>万元，资产总额为</w:t>
      </w:r>
      <w:r>
        <w:rPr>
          <w:rFonts w:hint="eastAsia"/>
          <w:highlight w:val="none"/>
          <w:u w:val="single"/>
        </w:rPr>
        <w:t xml:space="preserve"> </w:t>
      </w:r>
      <w:r>
        <w:rPr>
          <w:highlight w:val="none"/>
          <w:u w:val="single"/>
        </w:rPr>
        <w:t xml:space="preserve">     </w:t>
      </w:r>
      <w:r>
        <w:rPr>
          <w:highlight w:val="none"/>
        </w:rPr>
        <w:t>万元，属于</w:t>
      </w:r>
      <w:r>
        <w:rPr>
          <w:highlight w:val="none"/>
          <w:u w:val="single"/>
        </w:rPr>
        <w:t>（中型企业、小型企业、微型企业）</w:t>
      </w:r>
      <w:r>
        <w:rPr>
          <w:highlight w:val="none"/>
        </w:rPr>
        <w:t>；</w:t>
      </w:r>
    </w:p>
    <w:p w14:paraId="662B0F78">
      <w:pPr>
        <w:pStyle w:val="18"/>
        <w:rPr>
          <w:rFonts w:hint="eastAsia"/>
          <w:highlight w:val="none"/>
        </w:rPr>
      </w:pPr>
      <w:r>
        <w:rPr>
          <w:highlight w:val="none"/>
        </w:rPr>
        <w:t xml:space="preserve">…… </w:t>
      </w:r>
    </w:p>
    <w:p w14:paraId="22AA67A5">
      <w:pPr>
        <w:pStyle w:val="18"/>
        <w:ind w:firstLine="480" w:firstLineChars="200"/>
        <w:rPr>
          <w:rFonts w:hint="eastAsia"/>
          <w:highlight w:val="none"/>
        </w:rPr>
      </w:pPr>
      <w:r>
        <w:rPr>
          <w:highlight w:val="none"/>
        </w:rPr>
        <w:t>以上企业，不属于大企业的分支机构，不存在控股股东为大企业的情形，也不存在与大企业的负责人为同一人的情形。</w:t>
      </w:r>
    </w:p>
    <w:p w14:paraId="142ED7E4">
      <w:pPr>
        <w:pStyle w:val="18"/>
        <w:ind w:firstLine="480" w:firstLineChars="200"/>
        <w:rPr>
          <w:rFonts w:hint="eastAsia"/>
          <w:highlight w:val="none"/>
        </w:rPr>
      </w:pPr>
      <w:r>
        <w:rPr>
          <w:highlight w:val="none"/>
        </w:rPr>
        <w:t>本企业对上述声明内容的真实性负责。如有虚假，将依法承担相应责任。</w:t>
      </w:r>
    </w:p>
    <w:p w14:paraId="707AC3CA">
      <w:pPr>
        <w:pStyle w:val="18"/>
        <w:rPr>
          <w:rFonts w:hint="eastAsia"/>
          <w:highlight w:val="none"/>
        </w:rPr>
      </w:pPr>
      <w:r>
        <w:rPr>
          <w:highlight w:val="none"/>
        </w:rPr>
        <w:t>企业名称（</w:t>
      </w:r>
      <w:r>
        <w:rPr>
          <w:rFonts w:hint="eastAsia"/>
          <w:highlight w:val="none"/>
          <w:lang w:val="en-US" w:eastAsia="zh-CN"/>
        </w:rPr>
        <w:t>CA</w:t>
      </w:r>
      <w:r>
        <w:rPr>
          <w:highlight w:val="none"/>
        </w:rPr>
        <w:t xml:space="preserve">章）： </w:t>
      </w:r>
    </w:p>
    <w:p w14:paraId="60C93B04">
      <w:pPr>
        <w:pStyle w:val="18"/>
        <w:rPr>
          <w:rFonts w:hint="eastAsia"/>
          <w:highlight w:val="none"/>
        </w:rPr>
      </w:pPr>
    </w:p>
    <w:p w14:paraId="1B16E3D5">
      <w:pPr>
        <w:pStyle w:val="18"/>
        <w:rPr>
          <w:rFonts w:hint="eastAsia"/>
          <w:highlight w:val="none"/>
        </w:rPr>
      </w:pPr>
      <w:r>
        <w:rPr>
          <w:highlight w:val="none"/>
        </w:rPr>
        <w:t>日</w:t>
      </w:r>
      <w:r>
        <w:rPr>
          <w:rFonts w:hint="eastAsia"/>
          <w:highlight w:val="none"/>
        </w:rPr>
        <w:t xml:space="preserve"> </w:t>
      </w:r>
      <w:r>
        <w:rPr>
          <w:highlight w:val="none"/>
        </w:rPr>
        <w:t>期：</w:t>
      </w:r>
    </w:p>
    <w:p w14:paraId="176C255E">
      <w:pPr>
        <w:pStyle w:val="18"/>
        <w:rPr>
          <w:rFonts w:hint="eastAsia"/>
          <w:highlight w:val="none"/>
        </w:rPr>
      </w:pPr>
      <w:r>
        <w:rPr>
          <w:rFonts w:hint="eastAsia"/>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5A71A1E1">
      <w:pPr>
        <w:pStyle w:val="25"/>
        <w:ind w:firstLine="0" w:firstLineChars="0"/>
        <w:rPr>
          <w:rFonts w:hint="eastAsia"/>
          <w:highlight w:val="none"/>
        </w:rPr>
      </w:pPr>
      <w:r>
        <w:rPr>
          <w:rFonts w:cs="Arial Unicode MS"/>
          <w:sz w:val="32"/>
          <w:szCs w:val="32"/>
          <w:highlight w:val="none"/>
        </w:rPr>
        <w:br w:type="page"/>
      </w:r>
      <w:r>
        <w:rPr>
          <w:highlight w:val="none"/>
        </w:rPr>
        <w:t>2</w:t>
      </w:r>
      <w:r>
        <w:rPr>
          <w:rFonts w:hint="eastAsia"/>
          <w:highlight w:val="none"/>
        </w:rPr>
        <w:t>.残疾人福利性单位声明函格式</w:t>
      </w:r>
    </w:p>
    <w:p w14:paraId="40C31828">
      <w:pPr>
        <w:spacing w:line="588" w:lineRule="exact"/>
        <w:jc w:val="center"/>
        <w:rPr>
          <w:rFonts w:hint="eastAsia" w:ascii="仿宋" w:hAnsi="仿宋" w:eastAsia="仿宋"/>
          <w:b/>
          <w:spacing w:val="6"/>
          <w:sz w:val="32"/>
          <w:szCs w:val="32"/>
          <w:highlight w:val="none"/>
        </w:rPr>
      </w:pPr>
    </w:p>
    <w:p w14:paraId="457C9BC0">
      <w:pPr>
        <w:spacing w:line="588" w:lineRule="exact"/>
        <w:jc w:val="center"/>
        <w:rPr>
          <w:rFonts w:hint="eastAsia" w:ascii="仿宋" w:hAnsi="仿宋" w:eastAsia="仿宋" w:cs="方正小标宋简体"/>
          <w:bCs/>
          <w:spacing w:val="6"/>
          <w:sz w:val="44"/>
          <w:szCs w:val="44"/>
          <w:highlight w:val="none"/>
        </w:rPr>
      </w:pPr>
      <w:r>
        <w:rPr>
          <w:rFonts w:hint="eastAsia" w:ascii="仿宋" w:hAnsi="仿宋" w:eastAsia="仿宋" w:cs="方正小标宋简体"/>
          <w:bCs/>
          <w:spacing w:val="6"/>
          <w:sz w:val="44"/>
          <w:szCs w:val="44"/>
          <w:highlight w:val="none"/>
        </w:rPr>
        <w:t>残疾人福利性单位声明函</w:t>
      </w:r>
    </w:p>
    <w:p w14:paraId="58042A1D">
      <w:pPr>
        <w:spacing w:line="360" w:lineRule="auto"/>
        <w:contextualSpacing/>
        <w:rPr>
          <w:rFonts w:hint="eastAsia" w:ascii="仿宋" w:hAnsi="仿宋" w:eastAsia="仿宋"/>
          <w:bCs/>
          <w:spacing w:val="6"/>
          <w:sz w:val="30"/>
          <w:szCs w:val="30"/>
          <w:highlight w:val="none"/>
        </w:rPr>
      </w:pPr>
    </w:p>
    <w:p w14:paraId="684ABBC2">
      <w:pPr>
        <w:spacing w:line="360" w:lineRule="auto"/>
        <w:ind w:firstLine="504" w:firstLineChars="200"/>
        <w:contextualSpacing/>
        <w:rPr>
          <w:rFonts w:hint="eastAsia" w:ascii="仿宋" w:hAnsi="仿宋" w:eastAsia="仿宋"/>
          <w:spacing w:val="6"/>
          <w:sz w:val="24"/>
          <w:highlight w:val="none"/>
        </w:rPr>
      </w:pPr>
      <w:r>
        <w:rPr>
          <w:rFonts w:hint="eastAsia" w:ascii="仿宋" w:hAnsi="仿宋" w:eastAsia="仿宋"/>
          <w:spacing w:val="6"/>
          <w:sz w:val="24"/>
          <w:highlight w:val="none"/>
        </w:rPr>
        <w:t>本单位郑重声明，根据《财政部 民政部 中国残疾人联合会关于促进残疾人就业政府采购政策的通知》（财库</w:t>
      </w:r>
      <w:r>
        <w:rPr>
          <w:rFonts w:hint="eastAsia" w:ascii="仿宋" w:hAnsi="仿宋" w:eastAsia="仿宋"/>
          <w:sz w:val="24"/>
          <w:highlight w:val="none"/>
        </w:rPr>
        <w:t>〔2017〕 141</w:t>
      </w:r>
      <w:r>
        <w:rPr>
          <w:rFonts w:hint="eastAsia" w:ascii="仿宋" w:hAnsi="仿宋" w:eastAsia="仿宋"/>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仿宋" w:hAnsi="仿宋" w:eastAsia="仿宋"/>
          <w:spacing w:val="-6"/>
          <w:sz w:val="24"/>
          <w:highlight w:val="none"/>
        </w:rPr>
        <w:t>疾人福利性单位制造的货物（不包括使用非残疾人福利性单位注册商标的货物）。</w:t>
      </w:r>
    </w:p>
    <w:p w14:paraId="7778A35F">
      <w:pPr>
        <w:spacing w:line="360" w:lineRule="auto"/>
        <w:ind w:firstLine="504" w:firstLineChars="200"/>
        <w:contextualSpacing/>
        <w:rPr>
          <w:rFonts w:hint="eastAsia" w:ascii="仿宋" w:hAnsi="仿宋" w:eastAsia="仿宋"/>
          <w:spacing w:val="6"/>
          <w:sz w:val="24"/>
          <w:highlight w:val="none"/>
        </w:rPr>
      </w:pPr>
      <w:r>
        <w:rPr>
          <w:rFonts w:hint="eastAsia" w:ascii="仿宋" w:hAnsi="仿宋" w:eastAsia="仿宋"/>
          <w:spacing w:val="6"/>
          <w:sz w:val="24"/>
          <w:highlight w:val="none"/>
        </w:rPr>
        <w:t>本单位对上述声明的真实性负责。如有虚假，将依法承担相应责任。</w:t>
      </w:r>
    </w:p>
    <w:p w14:paraId="199C7232">
      <w:pPr>
        <w:spacing w:line="360" w:lineRule="auto"/>
        <w:ind w:firstLine="504" w:firstLineChars="200"/>
        <w:contextualSpacing/>
        <w:rPr>
          <w:rFonts w:hint="eastAsia" w:ascii="仿宋" w:hAnsi="仿宋" w:eastAsia="仿宋"/>
          <w:spacing w:val="6"/>
          <w:sz w:val="24"/>
          <w:highlight w:val="none"/>
        </w:rPr>
      </w:pPr>
    </w:p>
    <w:p w14:paraId="307B100C">
      <w:pPr>
        <w:spacing w:line="360" w:lineRule="auto"/>
        <w:ind w:firstLine="504" w:firstLineChars="200"/>
        <w:contextualSpacing/>
        <w:rPr>
          <w:rFonts w:hint="eastAsia" w:ascii="仿宋" w:hAnsi="仿宋" w:eastAsia="仿宋"/>
          <w:spacing w:val="6"/>
          <w:sz w:val="24"/>
          <w:highlight w:val="none"/>
        </w:rPr>
      </w:pPr>
    </w:p>
    <w:p w14:paraId="6D291E3A">
      <w:pPr>
        <w:tabs>
          <w:tab w:val="left" w:pos="4860"/>
        </w:tabs>
        <w:spacing w:line="360" w:lineRule="auto"/>
        <w:ind w:right="1560" w:firstLine="504" w:firstLineChars="200"/>
        <w:contextualSpacing/>
        <w:jc w:val="center"/>
        <w:rPr>
          <w:rFonts w:hint="eastAsia" w:ascii="仿宋" w:hAnsi="仿宋" w:eastAsia="仿宋"/>
          <w:spacing w:val="6"/>
          <w:sz w:val="24"/>
          <w:highlight w:val="none"/>
        </w:rPr>
      </w:pPr>
      <w:r>
        <w:rPr>
          <w:rFonts w:hint="eastAsia" w:ascii="仿宋" w:hAnsi="仿宋" w:eastAsia="仿宋"/>
          <w:spacing w:val="6"/>
          <w:sz w:val="24"/>
          <w:highlight w:val="none"/>
        </w:rPr>
        <w:t>单位名称（</w:t>
      </w:r>
      <w:r>
        <w:rPr>
          <w:rFonts w:hint="eastAsia" w:ascii="仿宋" w:hAnsi="仿宋" w:eastAsia="仿宋"/>
          <w:spacing w:val="6"/>
          <w:sz w:val="24"/>
          <w:highlight w:val="none"/>
          <w:lang w:eastAsia="zh-CN"/>
        </w:rPr>
        <w:t>盖CA公章</w:t>
      </w:r>
      <w:r>
        <w:rPr>
          <w:rFonts w:hint="eastAsia" w:ascii="仿宋" w:hAnsi="仿宋" w:eastAsia="仿宋"/>
          <w:spacing w:val="6"/>
          <w:sz w:val="24"/>
          <w:highlight w:val="none"/>
        </w:rPr>
        <w:t>）：</w:t>
      </w:r>
    </w:p>
    <w:p w14:paraId="1A354E31">
      <w:pPr>
        <w:tabs>
          <w:tab w:val="left" w:pos="4860"/>
        </w:tabs>
        <w:spacing w:line="360" w:lineRule="auto"/>
        <w:ind w:right="1560" w:firstLine="504" w:firstLineChars="200"/>
        <w:contextualSpacing/>
        <w:jc w:val="center"/>
        <w:rPr>
          <w:rFonts w:hint="eastAsia" w:ascii="仿宋" w:hAnsi="仿宋" w:eastAsia="仿宋"/>
          <w:spacing w:val="6"/>
          <w:sz w:val="24"/>
          <w:highlight w:val="none"/>
        </w:rPr>
      </w:pPr>
      <w:r>
        <w:rPr>
          <w:rFonts w:hint="eastAsia" w:ascii="仿宋" w:hAnsi="仿宋" w:eastAsia="仿宋"/>
          <w:spacing w:val="6"/>
          <w:sz w:val="24"/>
          <w:highlight w:val="none"/>
        </w:rPr>
        <w:t>日  期：</w:t>
      </w:r>
    </w:p>
    <w:p w14:paraId="6F79F982">
      <w:pPr>
        <w:spacing w:line="360" w:lineRule="auto"/>
        <w:contextualSpacing/>
        <w:rPr>
          <w:rFonts w:hint="eastAsia" w:ascii="仿宋" w:hAnsi="仿宋" w:eastAsia="仿宋"/>
          <w:sz w:val="24"/>
          <w:highlight w:val="none"/>
        </w:rPr>
      </w:pPr>
    </w:p>
    <w:p w14:paraId="4515956A">
      <w:pPr>
        <w:spacing w:line="360" w:lineRule="auto"/>
        <w:contextualSpacing/>
        <w:rPr>
          <w:rFonts w:hint="eastAsia" w:ascii="仿宋" w:hAnsi="仿宋" w:eastAsia="仿宋"/>
          <w:sz w:val="24"/>
          <w:highlight w:val="none"/>
        </w:rPr>
      </w:pPr>
    </w:p>
    <w:p w14:paraId="230ADBEC">
      <w:pPr>
        <w:spacing w:line="360" w:lineRule="auto"/>
        <w:contextualSpacing/>
        <w:rPr>
          <w:rFonts w:hint="eastAsia" w:ascii="仿宋" w:hAnsi="仿宋" w:eastAsia="仿宋"/>
          <w:sz w:val="24"/>
          <w:highlight w:val="none"/>
        </w:rPr>
      </w:pPr>
    </w:p>
    <w:p w14:paraId="3C1219E5">
      <w:pPr>
        <w:spacing w:line="360" w:lineRule="auto"/>
        <w:contextualSpacing/>
        <w:rPr>
          <w:rFonts w:hint="eastAsia" w:ascii="仿宋" w:hAnsi="仿宋" w:eastAsia="仿宋"/>
          <w:sz w:val="24"/>
          <w:highlight w:val="none"/>
        </w:rPr>
      </w:pPr>
      <w:r>
        <w:rPr>
          <w:rFonts w:hint="eastAsia" w:ascii="仿宋" w:hAnsi="仿宋" w:eastAsia="仿宋"/>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75510182">
      <w:pPr>
        <w:spacing w:line="360" w:lineRule="auto"/>
        <w:jc w:val="left"/>
        <w:rPr>
          <w:rFonts w:hint="eastAsia" w:ascii="仿宋" w:hAnsi="仿宋" w:eastAsia="仿宋"/>
          <w:sz w:val="24"/>
          <w:highlight w:val="none"/>
        </w:rPr>
      </w:pPr>
      <w:r>
        <w:rPr>
          <w:rFonts w:ascii="仿宋" w:hAnsi="仿宋" w:eastAsia="仿宋"/>
          <w:sz w:val="24"/>
          <w:highlight w:val="none"/>
        </w:rPr>
        <w:br w:type="page"/>
      </w:r>
      <w:r>
        <w:rPr>
          <w:rFonts w:ascii="仿宋" w:hAnsi="仿宋" w:eastAsia="仿宋"/>
          <w:b/>
          <w:sz w:val="24"/>
          <w:highlight w:val="none"/>
        </w:rPr>
        <w:t>3</w:t>
      </w:r>
      <w:r>
        <w:rPr>
          <w:rFonts w:hint="eastAsia" w:ascii="仿宋" w:hAnsi="仿宋" w:eastAsia="仿宋"/>
          <w:b/>
          <w:sz w:val="24"/>
          <w:highlight w:val="none"/>
        </w:rPr>
        <w:t>.质疑函格式</w:t>
      </w:r>
    </w:p>
    <w:p w14:paraId="7CF89C7C">
      <w:pPr>
        <w:spacing w:line="500" w:lineRule="exact"/>
        <w:jc w:val="center"/>
        <w:rPr>
          <w:rFonts w:hint="eastAsia" w:ascii="仿宋" w:hAnsi="仿宋" w:eastAsia="仿宋" w:cs="方正小标宋简体"/>
          <w:b/>
          <w:sz w:val="36"/>
          <w:szCs w:val="36"/>
          <w:highlight w:val="none"/>
        </w:rPr>
      </w:pPr>
      <w:r>
        <w:rPr>
          <w:rFonts w:hint="eastAsia" w:ascii="仿宋" w:hAnsi="仿宋" w:eastAsia="仿宋" w:cs="方正小标宋简体"/>
          <w:b/>
          <w:sz w:val="36"/>
          <w:szCs w:val="36"/>
          <w:highlight w:val="none"/>
        </w:rPr>
        <w:t>质疑函</w:t>
      </w:r>
    </w:p>
    <w:p w14:paraId="7DA3EB0E">
      <w:pPr>
        <w:pStyle w:val="25"/>
        <w:spacing w:before="0" w:after="0" w:line="360" w:lineRule="exact"/>
        <w:ind w:firstLine="480"/>
        <w:rPr>
          <w:rFonts w:hint="eastAsia"/>
          <w:b w:val="0"/>
          <w:highlight w:val="none"/>
        </w:rPr>
      </w:pPr>
      <w:r>
        <w:rPr>
          <w:rFonts w:hint="eastAsia"/>
          <w:b w:val="0"/>
          <w:highlight w:val="none"/>
        </w:rPr>
        <w:t>一、质疑供应商基本信息：</w:t>
      </w:r>
    </w:p>
    <w:p w14:paraId="4E31FAEB">
      <w:pPr>
        <w:pStyle w:val="25"/>
        <w:spacing w:before="0" w:after="0" w:line="360" w:lineRule="exact"/>
        <w:ind w:firstLine="480"/>
        <w:rPr>
          <w:rFonts w:hint="eastAsia"/>
          <w:b w:val="0"/>
          <w:highlight w:val="none"/>
        </w:rPr>
      </w:pPr>
      <w:r>
        <w:rPr>
          <w:rFonts w:hint="eastAsia"/>
          <w:b w:val="0"/>
          <w:highlight w:val="none"/>
        </w:rPr>
        <w:t>质疑供应商：</w:t>
      </w:r>
      <w:r>
        <w:rPr>
          <w:rFonts w:hint="eastAsia"/>
          <w:b w:val="0"/>
          <w:highlight w:val="none"/>
          <w:u w:val="single"/>
        </w:rPr>
        <w:t xml:space="preserve">                                                        </w:t>
      </w:r>
    </w:p>
    <w:p w14:paraId="1E947E54">
      <w:pPr>
        <w:pStyle w:val="25"/>
        <w:spacing w:before="0" w:after="0" w:line="360" w:lineRule="exact"/>
        <w:ind w:firstLine="480"/>
        <w:rPr>
          <w:rFonts w:hint="eastAsia"/>
          <w:b w:val="0"/>
          <w:highlight w:val="none"/>
        </w:rPr>
      </w:pPr>
      <w:r>
        <w:rPr>
          <w:b w:val="0"/>
          <w:highlight w:val="none"/>
        </w:rPr>
        <w:t>地址</w:t>
      </w:r>
      <w:r>
        <w:rPr>
          <w:rFonts w:hint="eastAsia"/>
          <w:b w:val="0"/>
          <w:highlight w:val="none"/>
        </w:rPr>
        <w:t>：</w:t>
      </w:r>
      <w:r>
        <w:rPr>
          <w:rFonts w:hint="eastAsia"/>
          <w:b w:val="0"/>
          <w:highlight w:val="none"/>
          <w:u w:val="single"/>
        </w:rPr>
        <w:t xml:space="preserve">                                        </w:t>
      </w:r>
      <w:r>
        <w:rPr>
          <w:rFonts w:hint="eastAsia"/>
          <w:b w:val="0"/>
          <w:highlight w:val="none"/>
        </w:rPr>
        <w:t xml:space="preserve">  </w:t>
      </w:r>
      <w:r>
        <w:rPr>
          <w:b w:val="0"/>
          <w:highlight w:val="none"/>
        </w:rPr>
        <w:t>邮编</w:t>
      </w:r>
      <w:r>
        <w:rPr>
          <w:rFonts w:hint="eastAsia"/>
          <w:b w:val="0"/>
          <w:highlight w:val="none"/>
        </w:rPr>
        <w:t>：</w:t>
      </w:r>
      <w:r>
        <w:rPr>
          <w:rFonts w:hint="eastAsia"/>
          <w:b w:val="0"/>
          <w:highlight w:val="none"/>
          <w:u w:val="single"/>
        </w:rPr>
        <w:t xml:space="preserve">                   </w:t>
      </w:r>
    </w:p>
    <w:p w14:paraId="6B61C263">
      <w:pPr>
        <w:pStyle w:val="25"/>
        <w:spacing w:before="0" w:after="0" w:line="360" w:lineRule="exact"/>
        <w:ind w:firstLine="480"/>
        <w:rPr>
          <w:rFonts w:hint="eastAsia"/>
          <w:b w:val="0"/>
          <w:highlight w:val="none"/>
        </w:rPr>
      </w:pPr>
      <w:r>
        <w:rPr>
          <w:b w:val="0"/>
          <w:highlight w:val="none"/>
        </w:rPr>
        <w:t>联系人</w:t>
      </w:r>
      <w:r>
        <w:rPr>
          <w:rFonts w:hint="eastAsia"/>
          <w:b w:val="0"/>
          <w:highlight w:val="none"/>
        </w:rPr>
        <w:t>：</w:t>
      </w:r>
      <w:r>
        <w:rPr>
          <w:rFonts w:hint="eastAsia"/>
          <w:b w:val="0"/>
          <w:highlight w:val="none"/>
          <w:u w:val="single"/>
        </w:rPr>
        <w:t xml:space="preserve">                   </w:t>
      </w:r>
      <w:r>
        <w:rPr>
          <w:b w:val="0"/>
          <w:highlight w:val="none"/>
        </w:rPr>
        <w:t xml:space="preserve">  联系电话</w:t>
      </w:r>
      <w:r>
        <w:rPr>
          <w:rFonts w:hint="eastAsia"/>
          <w:b w:val="0"/>
          <w:highlight w:val="none"/>
        </w:rPr>
        <w:t>：</w:t>
      </w:r>
      <w:r>
        <w:rPr>
          <w:rFonts w:hint="eastAsia"/>
          <w:b w:val="0"/>
          <w:highlight w:val="none"/>
          <w:u w:val="single"/>
        </w:rPr>
        <w:t xml:space="preserve">                   </w:t>
      </w:r>
    </w:p>
    <w:p w14:paraId="68E4C943">
      <w:pPr>
        <w:pStyle w:val="25"/>
        <w:spacing w:before="0" w:after="0" w:line="360" w:lineRule="exact"/>
        <w:ind w:firstLine="480"/>
        <w:rPr>
          <w:rFonts w:hint="eastAsia"/>
          <w:b w:val="0"/>
          <w:highlight w:val="none"/>
        </w:rPr>
      </w:pPr>
      <w:r>
        <w:rPr>
          <w:rFonts w:hint="eastAsia"/>
          <w:b w:val="0"/>
          <w:highlight w:val="none"/>
        </w:rPr>
        <w:t>授权代表：</w:t>
      </w:r>
      <w:r>
        <w:rPr>
          <w:rFonts w:hint="eastAsia"/>
          <w:b w:val="0"/>
          <w:highlight w:val="none"/>
          <w:u w:val="single"/>
        </w:rPr>
        <w:t xml:space="preserve">                   </w:t>
      </w:r>
      <w:r>
        <w:rPr>
          <w:rFonts w:hint="eastAsia"/>
          <w:b w:val="0"/>
          <w:highlight w:val="none"/>
        </w:rPr>
        <w:t xml:space="preserve">  </w:t>
      </w:r>
      <w:r>
        <w:rPr>
          <w:b w:val="0"/>
          <w:highlight w:val="none"/>
        </w:rPr>
        <w:t>联系</w:t>
      </w:r>
      <w:r>
        <w:rPr>
          <w:rFonts w:hint="eastAsia"/>
          <w:b w:val="0"/>
          <w:highlight w:val="none"/>
        </w:rPr>
        <w:t>电话：</w:t>
      </w:r>
      <w:r>
        <w:rPr>
          <w:rFonts w:hint="eastAsia"/>
          <w:b w:val="0"/>
          <w:highlight w:val="none"/>
          <w:u w:val="single"/>
        </w:rPr>
        <w:t xml:space="preserve">                   </w:t>
      </w:r>
    </w:p>
    <w:p w14:paraId="7459D981">
      <w:pPr>
        <w:pStyle w:val="25"/>
        <w:spacing w:before="0" w:after="0" w:line="360" w:lineRule="exact"/>
        <w:ind w:firstLine="480"/>
        <w:rPr>
          <w:rFonts w:hint="eastAsia"/>
          <w:b w:val="0"/>
          <w:highlight w:val="none"/>
        </w:rPr>
      </w:pPr>
      <w:r>
        <w:rPr>
          <w:b w:val="0"/>
          <w:highlight w:val="none"/>
        </w:rPr>
        <w:t>地址</w:t>
      </w:r>
      <w:r>
        <w:rPr>
          <w:rFonts w:hint="eastAsia"/>
          <w:b w:val="0"/>
          <w:highlight w:val="none"/>
        </w:rPr>
        <w:t>：</w:t>
      </w:r>
      <w:r>
        <w:rPr>
          <w:rFonts w:hint="eastAsia"/>
          <w:b w:val="0"/>
          <w:highlight w:val="none"/>
          <w:u w:val="single"/>
        </w:rPr>
        <w:t xml:space="preserve">                   </w:t>
      </w:r>
      <w:r>
        <w:rPr>
          <w:rFonts w:hint="eastAsia"/>
          <w:b w:val="0"/>
          <w:highlight w:val="none"/>
        </w:rPr>
        <w:t xml:space="preserve"> </w:t>
      </w:r>
      <w:r>
        <w:rPr>
          <w:b w:val="0"/>
          <w:highlight w:val="none"/>
        </w:rPr>
        <w:t>邮编</w:t>
      </w:r>
      <w:r>
        <w:rPr>
          <w:rFonts w:hint="eastAsia"/>
          <w:b w:val="0"/>
          <w:highlight w:val="none"/>
        </w:rPr>
        <w:t>：</w:t>
      </w:r>
      <w:r>
        <w:rPr>
          <w:rFonts w:hint="eastAsia"/>
          <w:b w:val="0"/>
          <w:highlight w:val="none"/>
          <w:u w:val="single"/>
        </w:rPr>
        <w:t xml:space="preserve">                   </w:t>
      </w:r>
    </w:p>
    <w:p w14:paraId="04552CBB">
      <w:pPr>
        <w:pStyle w:val="25"/>
        <w:spacing w:before="0" w:after="0" w:line="360" w:lineRule="exact"/>
        <w:ind w:firstLine="480"/>
        <w:rPr>
          <w:rFonts w:hint="eastAsia"/>
          <w:b w:val="0"/>
          <w:highlight w:val="none"/>
        </w:rPr>
      </w:pPr>
      <w:r>
        <w:rPr>
          <w:rFonts w:hint="eastAsia"/>
          <w:b w:val="0"/>
          <w:highlight w:val="none"/>
        </w:rPr>
        <w:t>二、质疑项目基本情况：</w:t>
      </w:r>
    </w:p>
    <w:p w14:paraId="2B23AB9F">
      <w:pPr>
        <w:pStyle w:val="25"/>
        <w:spacing w:before="0" w:after="0" w:line="360" w:lineRule="exact"/>
        <w:ind w:firstLine="480"/>
        <w:rPr>
          <w:rFonts w:hint="eastAsia"/>
          <w:b w:val="0"/>
          <w:highlight w:val="none"/>
        </w:rPr>
      </w:pPr>
      <w:r>
        <w:rPr>
          <w:rFonts w:hint="eastAsia"/>
          <w:b w:val="0"/>
          <w:highlight w:val="none"/>
        </w:rPr>
        <w:t>质疑项目的名称：</w:t>
      </w:r>
      <w:r>
        <w:rPr>
          <w:rFonts w:hint="eastAsia"/>
          <w:b w:val="0"/>
          <w:highlight w:val="none"/>
          <w:u w:val="single"/>
        </w:rPr>
        <w:t xml:space="preserve">                   </w:t>
      </w:r>
    </w:p>
    <w:p w14:paraId="208A1521">
      <w:pPr>
        <w:pStyle w:val="25"/>
        <w:spacing w:before="0" w:after="0" w:line="360" w:lineRule="exact"/>
        <w:ind w:firstLine="480"/>
        <w:rPr>
          <w:rFonts w:hint="eastAsia"/>
          <w:b w:val="0"/>
          <w:highlight w:val="none"/>
        </w:rPr>
      </w:pPr>
      <w:r>
        <w:rPr>
          <w:rFonts w:hint="eastAsia"/>
          <w:b w:val="0"/>
          <w:highlight w:val="none"/>
        </w:rPr>
        <w:t>质疑项目的编号：</w:t>
      </w:r>
      <w:r>
        <w:rPr>
          <w:rFonts w:hint="eastAsia"/>
          <w:b w:val="0"/>
          <w:highlight w:val="none"/>
          <w:u w:val="single"/>
        </w:rPr>
        <w:t xml:space="preserve">                   </w:t>
      </w:r>
    </w:p>
    <w:p w14:paraId="473EF42B">
      <w:pPr>
        <w:pStyle w:val="25"/>
        <w:spacing w:before="0" w:after="0" w:line="360" w:lineRule="exact"/>
        <w:ind w:firstLine="480"/>
        <w:rPr>
          <w:rFonts w:hint="eastAsia"/>
          <w:b w:val="0"/>
          <w:highlight w:val="none"/>
        </w:rPr>
      </w:pPr>
      <w:r>
        <w:rPr>
          <w:rFonts w:hint="eastAsia"/>
          <w:b w:val="0"/>
          <w:highlight w:val="none"/>
        </w:rPr>
        <w:t>采购人名称：</w:t>
      </w:r>
      <w:r>
        <w:rPr>
          <w:rFonts w:hint="eastAsia"/>
          <w:b w:val="0"/>
          <w:highlight w:val="none"/>
          <w:u w:val="single"/>
        </w:rPr>
        <w:t xml:space="preserve">                   </w:t>
      </w:r>
    </w:p>
    <w:p w14:paraId="265BC13C">
      <w:pPr>
        <w:pStyle w:val="25"/>
        <w:spacing w:before="0" w:after="0" w:line="360" w:lineRule="exact"/>
        <w:ind w:firstLine="480"/>
        <w:rPr>
          <w:rFonts w:hint="eastAsia"/>
          <w:b w:val="0"/>
          <w:highlight w:val="none"/>
        </w:rPr>
      </w:pPr>
      <w:r>
        <w:rPr>
          <w:rFonts w:hint="eastAsia"/>
          <w:b w:val="0"/>
          <w:highlight w:val="none"/>
        </w:rPr>
        <w:t>质疑事项：</w:t>
      </w:r>
    </w:p>
    <w:p w14:paraId="0DB314ED">
      <w:pPr>
        <w:pStyle w:val="25"/>
        <w:spacing w:before="0" w:after="0" w:line="360" w:lineRule="exact"/>
        <w:ind w:firstLine="480"/>
        <w:rPr>
          <w:rFonts w:hint="eastAsia"/>
          <w:b w:val="0"/>
          <w:highlight w:val="none"/>
        </w:rPr>
      </w:pPr>
      <w:r>
        <w:rPr>
          <w:rFonts w:hint="eastAsia"/>
          <w:b w:val="0"/>
          <w:highlight w:val="none"/>
        </w:rPr>
        <w:t xml:space="preserve">□招标文件   招标文件获取日期： </w:t>
      </w:r>
      <w:r>
        <w:rPr>
          <w:rFonts w:hint="eastAsia"/>
          <w:b w:val="0"/>
          <w:highlight w:val="none"/>
          <w:u w:val="single"/>
        </w:rPr>
        <w:t xml:space="preserve">                   </w:t>
      </w:r>
    </w:p>
    <w:p w14:paraId="4A3A0550">
      <w:pPr>
        <w:pStyle w:val="25"/>
        <w:spacing w:before="0" w:after="0" w:line="360" w:lineRule="exact"/>
        <w:ind w:firstLine="480"/>
        <w:rPr>
          <w:rFonts w:hint="eastAsia"/>
          <w:b w:val="0"/>
          <w:highlight w:val="none"/>
        </w:rPr>
      </w:pPr>
      <w:r>
        <w:rPr>
          <w:rFonts w:hint="eastAsia"/>
          <w:b w:val="0"/>
          <w:highlight w:val="none"/>
        </w:rPr>
        <w:t xml:space="preserve">□采购过程   </w:t>
      </w:r>
    </w:p>
    <w:p w14:paraId="46C8E569">
      <w:pPr>
        <w:pStyle w:val="25"/>
        <w:spacing w:before="0" w:after="0" w:line="360" w:lineRule="exact"/>
        <w:ind w:firstLine="480"/>
        <w:rPr>
          <w:rFonts w:hint="eastAsia"/>
          <w:b w:val="0"/>
          <w:bCs/>
          <w:highlight w:val="none"/>
          <w:u w:val="single"/>
        </w:rPr>
      </w:pPr>
      <w:r>
        <w:rPr>
          <w:rFonts w:hint="eastAsia"/>
          <w:b w:val="0"/>
          <w:highlight w:val="none"/>
        </w:rPr>
        <w:t xml:space="preserve">□中标结果   </w:t>
      </w:r>
    </w:p>
    <w:p w14:paraId="07CC8B01">
      <w:pPr>
        <w:pStyle w:val="25"/>
        <w:spacing w:before="0" w:after="0" w:line="360" w:lineRule="exact"/>
        <w:ind w:firstLine="480"/>
        <w:rPr>
          <w:rFonts w:hint="eastAsia"/>
          <w:b w:val="0"/>
          <w:highlight w:val="none"/>
        </w:rPr>
      </w:pPr>
      <w:r>
        <w:rPr>
          <w:rFonts w:hint="eastAsia"/>
          <w:b w:val="0"/>
          <w:highlight w:val="none"/>
        </w:rPr>
        <w:t>三、质疑事项具体内容</w:t>
      </w:r>
    </w:p>
    <w:p w14:paraId="66BA26DE">
      <w:pPr>
        <w:pStyle w:val="25"/>
        <w:spacing w:before="0" w:after="0" w:line="360" w:lineRule="exact"/>
        <w:ind w:firstLine="480"/>
        <w:rPr>
          <w:rFonts w:hint="eastAsia"/>
          <w:b w:val="0"/>
          <w:highlight w:val="none"/>
        </w:rPr>
      </w:pPr>
      <w:r>
        <w:rPr>
          <w:rFonts w:hint="eastAsia"/>
          <w:b w:val="0"/>
          <w:highlight w:val="none"/>
        </w:rPr>
        <w:t>质疑事项1：</w:t>
      </w:r>
      <w:r>
        <w:rPr>
          <w:rFonts w:hint="eastAsia"/>
          <w:b w:val="0"/>
          <w:highlight w:val="none"/>
          <w:u w:val="single"/>
        </w:rPr>
        <w:t xml:space="preserve">             </w:t>
      </w:r>
      <w:r>
        <w:rPr>
          <w:b w:val="0"/>
          <w:highlight w:val="none"/>
          <w:u w:val="single"/>
        </w:rPr>
        <w:t xml:space="preserve">                                            </w:t>
      </w:r>
      <w:r>
        <w:rPr>
          <w:rFonts w:hint="eastAsia"/>
          <w:b w:val="0"/>
          <w:highlight w:val="none"/>
          <w:u w:val="single"/>
        </w:rPr>
        <w:t xml:space="preserve">      </w:t>
      </w:r>
    </w:p>
    <w:p w14:paraId="051A8EC3">
      <w:pPr>
        <w:pStyle w:val="25"/>
        <w:spacing w:before="0" w:after="0" w:line="360" w:lineRule="exact"/>
        <w:ind w:firstLine="480"/>
        <w:rPr>
          <w:rFonts w:hint="eastAsia"/>
          <w:b w:val="0"/>
          <w:highlight w:val="none"/>
        </w:rPr>
      </w:pPr>
      <w:r>
        <w:rPr>
          <w:rFonts w:hint="eastAsia"/>
          <w:b w:val="0"/>
          <w:highlight w:val="none"/>
        </w:rPr>
        <w:t>事实依据：</w:t>
      </w:r>
      <w:r>
        <w:rPr>
          <w:rFonts w:hint="eastAsia"/>
          <w:b w:val="0"/>
          <w:highlight w:val="none"/>
          <w:u w:val="single"/>
        </w:rPr>
        <w:t xml:space="preserve">             </w:t>
      </w:r>
      <w:r>
        <w:rPr>
          <w:b w:val="0"/>
          <w:highlight w:val="none"/>
          <w:u w:val="single"/>
        </w:rPr>
        <w:t xml:space="preserve">                                            </w:t>
      </w:r>
      <w:r>
        <w:rPr>
          <w:rFonts w:hint="eastAsia"/>
          <w:b w:val="0"/>
          <w:highlight w:val="none"/>
          <w:u w:val="single"/>
        </w:rPr>
        <w:t xml:space="preserve">      </w:t>
      </w:r>
      <w:r>
        <w:rPr>
          <w:b w:val="0"/>
          <w:highlight w:val="none"/>
          <w:u w:val="single"/>
        </w:rPr>
        <w:t xml:space="preserve"> </w:t>
      </w:r>
    </w:p>
    <w:p w14:paraId="69AD7726">
      <w:pPr>
        <w:pStyle w:val="25"/>
        <w:spacing w:before="0" w:after="0" w:line="360" w:lineRule="exact"/>
        <w:ind w:firstLine="480"/>
        <w:rPr>
          <w:rFonts w:hint="eastAsia"/>
          <w:b w:val="0"/>
          <w:highlight w:val="none"/>
        </w:rPr>
      </w:pPr>
      <w:r>
        <w:rPr>
          <w:rFonts w:hint="eastAsia"/>
          <w:b w:val="0"/>
          <w:highlight w:val="none"/>
        </w:rPr>
        <w:t>法律依据：</w:t>
      </w:r>
      <w:r>
        <w:rPr>
          <w:rFonts w:hint="eastAsia"/>
          <w:b w:val="0"/>
          <w:highlight w:val="none"/>
          <w:u w:val="single"/>
        </w:rPr>
        <w:t xml:space="preserve">             </w:t>
      </w:r>
      <w:r>
        <w:rPr>
          <w:b w:val="0"/>
          <w:highlight w:val="none"/>
          <w:u w:val="single"/>
        </w:rPr>
        <w:t xml:space="preserve">                                            </w:t>
      </w:r>
      <w:r>
        <w:rPr>
          <w:rFonts w:hint="eastAsia"/>
          <w:b w:val="0"/>
          <w:highlight w:val="none"/>
          <w:u w:val="single"/>
        </w:rPr>
        <w:t xml:space="preserve">      </w:t>
      </w:r>
      <w:r>
        <w:rPr>
          <w:b w:val="0"/>
          <w:highlight w:val="none"/>
          <w:u w:val="single"/>
        </w:rPr>
        <w:t xml:space="preserve"> </w:t>
      </w:r>
    </w:p>
    <w:p w14:paraId="516CA544">
      <w:pPr>
        <w:pStyle w:val="25"/>
        <w:spacing w:before="0" w:after="0" w:line="360" w:lineRule="exact"/>
        <w:ind w:firstLine="480"/>
        <w:rPr>
          <w:rFonts w:hint="eastAsia"/>
          <w:b w:val="0"/>
          <w:highlight w:val="none"/>
        </w:rPr>
      </w:pPr>
    </w:p>
    <w:p w14:paraId="2E343DFE">
      <w:pPr>
        <w:pStyle w:val="25"/>
        <w:spacing w:before="0" w:after="0" w:line="360" w:lineRule="exact"/>
        <w:ind w:firstLine="480"/>
        <w:rPr>
          <w:rFonts w:hint="eastAsia"/>
          <w:b w:val="0"/>
          <w:highlight w:val="none"/>
        </w:rPr>
      </w:pPr>
      <w:r>
        <w:rPr>
          <w:rFonts w:hint="eastAsia"/>
          <w:b w:val="0"/>
          <w:highlight w:val="none"/>
        </w:rPr>
        <w:t>质疑事项2</w:t>
      </w:r>
    </w:p>
    <w:p w14:paraId="65CEE8E9">
      <w:pPr>
        <w:pStyle w:val="25"/>
        <w:spacing w:before="0" w:after="0" w:line="360" w:lineRule="exact"/>
        <w:ind w:firstLine="480"/>
        <w:rPr>
          <w:rFonts w:hint="eastAsia"/>
          <w:b w:val="0"/>
          <w:highlight w:val="none"/>
        </w:rPr>
      </w:pPr>
      <w:r>
        <w:rPr>
          <w:b w:val="0"/>
          <w:highlight w:val="none"/>
        </w:rPr>
        <w:t>……</w:t>
      </w:r>
    </w:p>
    <w:p w14:paraId="7DAA5944">
      <w:pPr>
        <w:pStyle w:val="25"/>
        <w:spacing w:before="0" w:after="0" w:line="360" w:lineRule="exact"/>
        <w:ind w:firstLine="480"/>
        <w:rPr>
          <w:rFonts w:hint="eastAsia"/>
          <w:b w:val="0"/>
          <w:highlight w:val="none"/>
        </w:rPr>
      </w:pPr>
      <w:r>
        <w:rPr>
          <w:rFonts w:hint="eastAsia"/>
          <w:b w:val="0"/>
          <w:highlight w:val="none"/>
        </w:rPr>
        <w:t>四、与质疑事项相关的质疑请求：</w:t>
      </w:r>
    </w:p>
    <w:p w14:paraId="29925F05">
      <w:pPr>
        <w:pStyle w:val="25"/>
        <w:spacing w:before="0" w:after="0" w:line="360" w:lineRule="exact"/>
        <w:ind w:firstLine="480"/>
        <w:rPr>
          <w:rFonts w:hint="eastAsia"/>
          <w:b w:val="0"/>
          <w:highlight w:val="none"/>
        </w:rPr>
      </w:pPr>
      <w:r>
        <w:rPr>
          <w:rFonts w:hint="eastAsia"/>
          <w:b w:val="0"/>
          <w:highlight w:val="none"/>
        </w:rPr>
        <w:t>请求：</w:t>
      </w:r>
      <w:r>
        <w:rPr>
          <w:rFonts w:hint="eastAsia"/>
          <w:b w:val="0"/>
          <w:highlight w:val="none"/>
          <w:u w:val="single"/>
        </w:rPr>
        <w:t xml:space="preserve">             </w:t>
      </w:r>
      <w:r>
        <w:rPr>
          <w:b w:val="0"/>
          <w:highlight w:val="none"/>
          <w:u w:val="single"/>
        </w:rPr>
        <w:t xml:space="preserve">                                                </w:t>
      </w:r>
      <w:r>
        <w:rPr>
          <w:rFonts w:hint="eastAsia"/>
          <w:b w:val="0"/>
          <w:highlight w:val="none"/>
          <w:u w:val="single"/>
        </w:rPr>
        <w:t xml:space="preserve">      </w:t>
      </w:r>
      <w:r>
        <w:rPr>
          <w:b w:val="0"/>
          <w:highlight w:val="none"/>
          <w:u w:val="single"/>
        </w:rPr>
        <w:t xml:space="preserve"> </w:t>
      </w:r>
    </w:p>
    <w:p w14:paraId="755442EE">
      <w:pPr>
        <w:pStyle w:val="25"/>
        <w:spacing w:before="0" w:after="0" w:line="360" w:lineRule="exact"/>
        <w:ind w:firstLine="480"/>
        <w:rPr>
          <w:rFonts w:hint="eastAsia"/>
          <w:b w:val="0"/>
          <w:highlight w:val="none"/>
        </w:rPr>
      </w:pPr>
    </w:p>
    <w:p w14:paraId="3C9E7ED7">
      <w:pPr>
        <w:pStyle w:val="25"/>
        <w:spacing w:before="0" w:after="0" w:line="360" w:lineRule="exact"/>
        <w:ind w:firstLine="480"/>
        <w:rPr>
          <w:rFonts w:hint="eastAsia"/>
          <w:b w:val="0"/>
          <w:highlight w:val="none"/>
        </w:rPr>
      </w:pPr>
      <w:r>
        <w:rPr>
          <w:rFonts w:hint="eastAsia"/>
          <w:b w:val="0"/>
          <w:highlight w:val="none"/>
        </w:rPr>
        <w:t>签字（签章）：</w:t>
      </w:r>
      <w:r>
        <w:rPr>
          <w:b w:val="0"/>
          <w:highlight w:val="none"/>
          <w:u w:val="single"/>
        </w:rPr>
        <w:t xml:space="preserve">                   </w:t>
      </w:r>
      <w:r>
        <w:rPr>
          <w:rFonts w:hint="eastAsia"/>
          <w:b w:val="0"/>
          <w:highlight w:val="none"/>
          <w:u w:val="single"/>
        </w:rPr>
        <w:t xml:space="preserve">      </w:t>
      </w:r>
      <w:r>
        <w:rPr>
          <w:b w:val="0"/>
          <w:highlight w:val="none"/>
          <w:u w:val="single"/>
        </w:rPr>
        <w:t xml:space="preserve"> </w:t>
      </w:r>
      <w:r>
        <w:rPr>
          <w:rFonts w:hint="eastAsia"/>
          <w:b w:val="0"/>
          <w:highlight w:val="none"/>
        </w:rPr>
        <w:t xml:space="preserve">  </w:t>
      </w:r>
    </w:p>
    <w:p w14:paraId="5024606D">
      <w:pPr>
        <w:pStyle w:val="25"/>
        <w:spacing w:before="0" w:after="0" w:line="360" w:lineRule="exact"/>
        <w:ind w:firstLine="480"/>
        <w:rPr>
          <w:rFonts w:hint="eastAsia"/>
          <w:b w:val="0"/>
          <w:highlight w:val="none"/>
        </w:rPr>
      </w:pPr>
      <w:r>
        <w:rPr>
          <w:rFonts w:hint="eastAsia"/>
          <w:b w:val="0"/>
          <w:highlight w:val="none"/>
        </w:rPr>
        <w:t>公章：</w:t>
      </w:r>
      <w:r>
        <w:rPr>
          <w:rFonts w:hint="eastAsia"/>
          <w:b w:val="0"/>
          <w:highlight w:val="none"/>
          <w:u w:val="single"/>
        </w:rPr>
        <w:t xml:space="preserve">             </w:t>
      </w:r>
      <w:r>
        <w:rPr>
          <w:b w:val="0"/>
          <w:highlight w:val="none"/>
          <w:u w:val="single"/>
        </w:rPr>
        <w:t xml:space="preserve">                     </w:t>
      </w:r>
    </w:p>
    <w:p w14:paraId="23E35ACE">
      <w:pPr>
        <w:pStyle w:val="25"/>
        <w:spacing w:before="0" w:after="0" w:line="360" w:lineRule="exact"/>
        <w:ind w:firstLine="480"/>
        <w:rPr>
          <w:rFonts w:hint="eastAsia"/>
          <w:b w:val="0"/>
          <w:highlight w:val="none"/>
        </w:rPr>
      </w:pPr>
      <w:r>
        <w:rPr>
          <w:rFonts w:hint="eastAsia"/>
          <w:b w:val="0"/>
          <w:highlight w:val="none"/>
        </w:rPr>
        <w:t>日期：</w:t>
      </w:r>
      <w:r>
        <w:rPr>
          <w:rFonts w:hint="eastAsia"/>
          <w:b w:val="0"/>
          <w:highlight w:val="none"/>
          <w:u w:val="single"/>
        </w:rPr>
        <w:t xml:space="preserve">             </w:t>
      </w:r>
    </w:p>
    <w:p w14:paraId="395DBFA8">
      <w:pPr>
        <w:pStyle w:val="25"/>
        <w:spacing w:before="0" w:after="0" w:line="340" w:lineRule="exact"/>
        <w:ind w:firstLine="480"/>
        <w:rPr>
          <w:rFonts w:hint="eastAsia"/>
          <w:b w:val="0"/>
          <w:highlight w:val="none"/>
        </w:rPr>
      </w:pPr>
      <w:r>
        <w:rPr>
          <w:rFonts w:hint="eastAsia"/>
          <w:b w:val="0"/>
          <w:highlight w:val="none"/>
        </w:rPr>
        <w:t>说明：</w:t>
      </w:r>
    </w:p>
    <w:p w14:paraId="37D55BAC">
      <w:pPr>
        <w:pStyle w:val="25"/>
        <w:spacing w:before="0" w:after="0" w:line="340" w:lineRule="exact"/>
        <w:ind w:firstLine="480"/>
        <w:rPr>
          <w:rFonts w:hint="eastAsia"/>
          <w:b w:val="0"/>
          <w:bCs/>
          <w:highlight w:val="none"/>
        </w:rPr>
      </w:pPr>
      <w:r>
        <w:rPr>
          <w:rFonts w:hint="eastAsia"/>
          <w:b w:val="0"/>
          <w:highlight w:val="none"/>
        </w:rPr>
        <w:t>1.供应商提出质疑时，应提交质疑函和必要的证明材料</w:t>
      </w:r>
      <w:r>
        <w:rPr>
          <w:rFonts w:hint="eastAsia"/>
          <w:b w:val="0"/>
          <w:bCs/>
          <w:highlight w:val="none"/>
        </w:rPr>
        <w:t>。</w:t>
      </w:r>
    </w:p>
    <w:p w14:paraId="4ECE83E2">
      <w:pPr>
        <w:pStyle w:val="25"/>
        <w:spacing w:before="0" w:after="0" w:line="340" w:lineRule="exact"/>
        <w:ind w:firstLine="480"/>
        <w:rPr>
          <w:rFonts w:hint="eastAsia"/>
          <w:b w:val="0"/>
          <w:highlight w:val="none"/>
        </w:rPr>
      </w:pPr>
      <w:r>
        <w:rPr>
          <w:rFonts w:hint="eastAsia"/>
          <w:b w:val="0"/>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9F02366">
      <w:pPr>
        <w:pStyle w:val="25"/>
        <w:spacing w:before="0" w:after="0" w:line="340" w:lineRule="exact"/>
        <w:ind w:firstLine="480"/>
        <w:rPr>
          <w:rFonts w:hint="eastAsia"/>
          <w:b w:val="0"/>
          <w:highlight w:val="none"/>
        </w:rPr>
      </w:pPr>
      <w:r>
        <w:rPr>
          <w:rFonts w:hint="eastAsia"/>
          <w:b w:val="0"/>
          <w:highlight w:val="none"/>
        </w:rPr>
        <w:t>3.质疑函的质疑事项应具体、明确，并有必要的事实依据和法律依据。</w:t>
      </w:r>
    </w:p>
    <w:p w14:paraId="7E0CAC48">
      <w:pPr>
        <w:pStyle w:val="25"/>
        <w:spacing w:before="0" w:after="0" w:line="340" w:lineRule="exact"/>
        <w:ind w:firstLine="480"/>
        <w:rPr>
          <w:rFonts w:hint="eastAsia"/>
          <w:b w:val="0"/>
          <w:highlight w:val="none"/>
        </w:rPr>
      </w:pPr>
      <w:r>
        <w:rPr>
          <w:rFonts w:hint="eastAsia"/>
          <w:b w:val="0"/>
          <w:highlight w:val="none"/>
        </w:rPr>
        <w:t>4.质疑函的质疑请求应与质疑事项相关。</w:t>
      </w:r>
    </w:p>
    <w:p w14:paraId="5973B05A">
      <w:pPr>
        <w:pStyle w:val="25"/>
        <w:spacing w:before="0" w:after="0" w:line="340" w:lineRule="exact"/>
        <w:ind w:firstLine="480"/>
        <w:rPr>
          <w:rFonts w:hint="eastAsia"/>
          <w:b w:val="0"/>
          <w:bCs/>
          <w:highlight w:val="none"/>
        </w:rPr>
      </w:pPr>
      <w:r>
        <w:rPr>
          <w:rFonts w:hint="eastAsia"/>
          <w:b w:val="0"/>
          <w:highlight w:val="none"/>
        </w:rPr>
        <w:t>5.质疑供应商为法人或者其他组织的，质疑函应由法定代表人、主要负责人，或者其授权代表</w:t>
      </w:r>
      <w:r>
        <w:rPr>
          <w:rFonts w:hint="eastAsia"/>
          <w:b w:val="0"/>
          <w:highlight w:val="none"/>
          <w:lang w:eastAsia="zh-CN"/>
        </w:rPr>
        <w:t>签字或者盖章</w:t>
      </w:r>
      <w:r>
        <w:rPr>
          <w:rFonts w:hint="eastAsia"/>
          <w:b w:val="0"/>
          <w:highlight w:val="none"/>
        </w:rPr>
        <w:t>，并加</w:t>
      </w:r>
      <w:r>
        <w:rPr>
          <w:rFonts w:hint="eastAsia"/>
          <w:b w:val="0"/>
          <w:highlight w:val="none"/>
          <w:lang w:eastAsia="zh-CN"/>
        </w:rPr>
        <w:t>盖公章</w:t>
      </w:r>
      <w:r>
        <w:rPr>
          <w:rFonts w:hint="eastAsia"/>
          <w:b w:val="0"/>
          <w:highlight w:val="none"/>
        </w:rPr>
        <w:t>。</w:t>
      </w:r>
    </w:p>
    <w:p w14:paraId="508EEBF2">
      <w:pPr>
        <w:spacing w:line="360" w:lineRule="auto"/>
        <w:jc w:val="left"/>
        <w:rPr>
          <w:rFonts w:hint="eastAsia" w:ascii="仿宋" w:hAnsi="仿宋" w:eastAsia="仿宋"/>
          <w:b/>
          <w:bCs/>
          <w:sz w:val="32"/>
          <w:szCs w:val="32"/>
          <w:highlight w:val="none"/>
        </w:rPr>
      </w:pPr>
      <w:r>
        <w:rPr>
          <w:rFonts w:ascii="仿宋" w:hAnsi="仿宋" w:eastAsia="仿宋"/>
          <w:sz w:val="44"/>
          <w:highlight w:val="none"/>
        </w:rPr>
        <w:br w:type="page"/>
      </w:r>
      <w:r>
        <w:rPr>
          <w:rFonts w:ascii="仿宋" w:hAnsi="仿宋" w:eastAsia="仿宋"/>
          <w:b/>
          <w:sz w:val="24"/>
          <w:highlight w:val="none"/>
        </w:rPr>
        <w:t>4</w:t>
      </w:r>
      <w:r>
        <w:rPr>
          <w:rFonts w:hint="eastAsia" w:ascii="仿宋" w:hAnsi="仿宋" w:eastAsia="仿宋"/>
          <w:b/>
          <w:sz w:val="24"/>
          <w:highlight w:val="none"/>
        </w:rPr>
        <w:t>.投诉书格式</w:t>
      </w:r>
    </w:p>
    <w:p w14:paraId="26ADC897">
      <w:pPr>
        <w:spacing w:line="500" w:lineRule="exact"/>
        <w:jc w:val="center"/>
        <w:rPr>
          <w:rFonts w:hint="eastAsia" w:ascii="仿宋" w:hAnsi="仿宋" w:eastAsia="仿宋" w:cs="方正小标宋简体"/>
          <w:b/>
          <w:sz w:val="36"/>
          <w:szCs w:val="36"/>
          <w:highlight w:val="none"/>
        </w:rPr>
      </w:pPr>
      <w:r>
        <w:rPr>
          <w:rFonts w:hint="eastAsia" w:ascii="仿宋" w:hAnsi="仿宋" w:eastAsia="仿宋" w:cs="方正小标宋简体"/>
          <w:b/>
          <w:sz w:val="36"/>
          <w:szCs w:val="36"/>
          <w:highlight w:val="none"/>
        </w:rPr>
        <w:t>投诉书</w:t>
      </w:r>
    </w:p>
    <w:p w14:paraId="43C0A153">
      <w:pPr>
        <w:pStyle w:val="25"/>
        <w:spacing w:before="0" w:after="0" w:line="360" w:lineRule="exact"/>
        <w:ind w:firstLine="480"/>
        <w:rPr>
          <w:rFonts w:hint="eastAsia"/>
          <w:b w:val="0"/>
          <w:highlight w:val="none"/>
        </w:rPr>
      </w:pPr>
      <w:r>
        <w:rPr>
          <w:rFonts w:hint="eastAsia"/>
          <w:b w:val="0"/>
          <w:highlight w:val="none"/>
        </w:rPr>
        <w:t>一、投诉相关主体基本情况：</w:t>
      </w:r>
    </w:p>
    <w:p w14:paraId="5C15BFB2">
      <w:pPr>
        <w:pStyle w:val="25"/>
        <w:spacing w:before="0" w:after="0" w:line="360" w:lineRule="exact"/>
        <w:ind w:firstLine="480"/>
        <w:rPr>
          <w:rFonts w:hint="eastAsia"/>
          <w:b w:val="0"/>
          <w:highlight w:val="none"/>
        </w:rPr>
      </w:pPr>
      <w:r>
        <w:rPr>
          <w:rFonts w:hint="eastAsia"/>
          <w:b w:val="0"/>
          <w:highlight w:val="none"/>
        </w:rPr>
        <w:t>投标人：</w:t>
      </w:r>
      <w:r>
        <w:rPr>
          <w:rFonts w:hint="eastAsia"/>
          <w:b w:val="0"/>
          <w:highlight w:val="none"/>
          <w:u w:val="single"/>
        </w:rPr>
        <w:t xml:space="preserve">             </w:t>
      </w:r>
      <w:r>
        <w:rPr>
          <w:b w:val="0"/>
          <w:highlight w:val="none"/>
          <w:u w:val="single"/>
        </w:rPr>
        <w:t xml:space="preserve">                     </w:t>
      </w:r>
    </w:p>
    <w:p w14:paraId="3A142919">
      <w:pPr>
        <w:pStyle w:val="25"/>
        <w:spacing w:before="0" w:after="0" w:line="360" w:lineRule="exact"/>
        <w:ind w:firstLine="480"/>
        <w:rPr>
          <w:rFonts w:hint="eastAsia"/>
          <w:b w:val="0"/>
          <w:highlight w:val="none"/>
          <w:u w:val="single"/>
        </w:rPr>
      </w:pPr>
      <w:r>
        <w:rPr>
          <w:b w:val="0"/>
          <w:highlight w:val="none"/>
        </w:rPr>
        <w:t>地址</w:t>
      </w:r>
      <w:r>
        <w:rPr>
          <w:rFonts w:hint="eastAsia"/>
          <w:b w:val="0"/>
          <w:highlight w:val="none"/>
        </w:rPr>
        <w:t xml:space="preserve">： </w:t>
      </w:r>
      <w:r>
        <w:rPr>
          <w:rFonts w:hint="eastAsia"/>
          <w:b w:val="0"/>
          <w:highlight w:val="none"/>
          <w:u w:val="single"/>
        </w:rPr>
        <w:t xml:space="preserve">             </w:t>
      </w:r>
      <w:r>
        <w:rPr>
          <w:b w:val="0"/>
          <w:highlight w:val="none"/>
          <w:u w:val="single"/>
        </w:rPr>
        <w:t xml:space="preserve">                     </w:t>
      </w:r>
      <w:r>
        <w:rPr>
          <w:rFonts w:hint="eastAsia"/>
          <w:b w:val="0"/>
          <w:highlight w:val="none"/>
        </w:rPr>
        <w:t xml:space="preserve">      </w:t>
      </w:r>
      <w:r>
        <w:rPr>
          <w:b w:val="0"/>
          <w:highlight w:val="none"/>
        </w:rPr>
        <w:t>邮编</w:t>
      </w:r>
      <w:r>
        <w:rPr>
          <w:rFonts w:hint="eastAsia"/>
          <w:b w:val="0"/>
          <w:highlight w:val="none"/>
        </w:rPr>
        <w:t xml:space="preserve">： </w:t>
      </w:r>
      <w:r>
        <w:rPr>
          <w:rFonts w:hint="eastAsia"/>
          <w:b w:val="0"/>
          <w:highlight w:val="none"/>
          <w:u w:val="single"/>
        </w:rPr>
        <w:t xml:space="preserve">             </w:t>
      </w:r>
      <w:r>
        <w:rPr>
          <w:b w:val="0"/>
          <w:highlight w:val="none"/>
          <w:u w:val="single"/>
        </w:rPr>
        <w:t xml:space="preserve">      </w:t>
      </w:r>
    </w:p>
    <w:p w14:paraId="0DFFE92D">
      <w:pPr>
        <w:pStyle w:val="25"/>
        <w:spacing w:before="0" w:after="0" w:line="360" w:lineRule="exact"/>
        <w:ind w:firstLine="480"/>
        <w:rPr>
          <w:rFonts w:hint="eastAsia"/>
          <w:b w:val="0"/>
          <w:highlight w:val="none"/>
        </w:rPr>
      </w:pPr>
      <w:r>
        <w:rPr>
          <w:rFonts w:hint="eastAsia"/>
          <w:b w:val="0"/>
          <w:highlight w:val="none"/>
        </w:rPr>
        <w:t xml:space="preserve">法定代表人/主要负责人： </w:t>
      </w:r>
      <w:r>
        <w:rPr>
          <w:rFonts w:hint="eastAsia"/>
          <w:b w:val="0"/>
          <w:highlight w:val="none"/>
          <w:u w:val="single"/>
        </w:rPr>
        <w:t xml:space="preserve">             </w:t>
      </w:r>
      <w:r>
        <w:rPr>
          <w:b w:val="0"/>
          <w:highlight w:val="none"/>
          <w:u w:val="single"/>
        </w:rPr>
        <w:t xml:space="preserve">                     </w:t>
      </w:r>
    </w:p>
    <w:p w14:paraId="5B81ADD9">
      <w:pPr>
        <w:pStyle w:val="25"/>
        <w:spacing w:before="0" w:after="0" w:line="360" w:lineRule="exact"/>
        <w:ind w:firstLine="480"/>
        <w:rPr>
          <w:rFonts w:hint="eastAsia"/>
          <w:b w:val="0"/>
          <w:highlight w:val="none"/>
        </w:rPr>
      </w:pPr>
      <w:r>
        <w:rPr>
          <w:b w:val="0"/>
          <w:highlight w:val="none"/>
        </w:rPr>
        <w:t>联系电话</w:t>
      </w:r>
      <w:r>
        <w:rPr>
          <w:rFonts w:hint="eastAsia"/>
          <w:b w:val="0"/>
          <w:highlight w:val="none"/>
        </w:rPr>
        <w:t>：</w:t>
      </w:r>
      <w:r>
        <w:rPr>
          <w:rFonts w:hint="eastAsia"/>
          <w:b w:val="0"/>
          <w:highlight w:val="none"/>
          <w:u w:val="single"/>
        </w:rPr>
        <w:t xml:space="preserve">             </w:t>
      </w:r>
      <w:r>
        <w:rPr>
          <w:b w:val="0"/>
          <w:highlight w:val="none"/>
          <w:u w:val="single"/>
        </w:rPr>
        <w:t xml:space="preserve">                     </w:t>
      </w:r>
    </w:p>
    <w:p w14:paraId="3445614F">
      <w:pPr>
        <w:pStyle w:val="25"/>
        <w:spacing w:before="0" w:after="0" w:line="360" w:lineRule="exact"/>
        <w:ind w:firstLine="480"/>
        <w:rPr>
          <w:rFonts w:hint="eastAsia"/>
          <w:b w:val="0"/>
          <w:highlight w:val="none"/>
        </w:rPr>
      </w:pPr>
      <w:r>
        <w:rPr>
          <w:rFonts w:hint="eastAsia"/>
          <w:b w:val="0"/>
          <w:highlight w:val="none"/>
        </w:rPr>
        <w:t>授权代表：</w:t>
      </w:r>
      <w:r>
        <w:rPr>
          <w:rFonts w:hint="eastAsia"/>
          <w:b w:val="0"/>
          <w:highlight w:val="none"/>
          <w:u w:val="single"/>
        </w:rPr>
        <w:t xml:space="preserve">             </w:t>
      </w:r>
      <w:r>
        <w:rPr>
          <w:b w:val="0"/>
          <w:highlight w:val="none"/>
          <w:u w:val="single"/>
        </w:rPr>
        <w:t xml:space="preserve">                     </w:t>
      </w:r>
      <w:r>
        <w:rPr>
          <w:rFonts w:hint="eastAsia"/>
          <w:b w:val="0"/>
          <w:highlight w:val="none"/>
        </w:rPr>
        <w:t xml:space="preserve">  </w:t>
      </w:r>
      <w:r>
        <w:rPr>
          <w:b w:val="0"/>
          <w:highlight w:val="none"/>
        </w:rPr>
        <w:t>联系</w:t>
      </w:r>
      <w:r>
        <w:rPr>
          <w:rFonts w:hint="eastAsia"/>
          <w:b w:val="0"/>
          <w:highlight w:val="none"/>
        </w:rPr>
        <w:t>电话：</w:t>
      </w:r>
      <w:r>
        <w:rPr>
          <w:rFonts w:hint="eastAsia"/>
          <w:b w:val="0"/>
          <w:highlight w:val="none"/>
          <w:u w:val="single"/>
        </w:rPr>
        <w:t xml:space="preserve">             </w:t>
      </w:r>
      <w:r>
        <w:rPr>
          <w:b w:val="0"/>
          <w:highlight w:val="none"/>
          <w:u w:val="single"/>
        </w:rPr>
        <w:t xml:space="preserve">       </w:t>
      </w:r>
    </w:p>
    <w:p w14:paraId="1ED8B8AA">
      <w:pPr>
        <w:pStyle w:val="25"/>
        <w:spacing w:before="0" w:after="0" w:line="360" w:lineRule="exact"/>
        <w:ind w:firstLine="480"/>
        <w:rPr>
          <w:rFonts w:hint="eastAsia"/>
          <w:b w:val="0"/>
          <w:highlight w:val="none"/>
        </w:rPr>
      </w:pPr>
      <w:r>
        <w:rPr>
          <w:b w:val="0"/>
          <w:highlight w:val="none"/>
        </w:rPr>
        <w:t>地址</w:t>
      </w:r>
      <w:r>
        <w:rPr>
          <w:rFonts w:hint="eastAsia"/>
          <w:b w:val="0"/>
          <w:highlight w:val="none"/>
        </w:rPr>
        <w:t xml:space="preserve">： </w:t>
      </w:r>
      <w:r>
        <w:rPr>
          <w:rFonts w:hint="eastAsia"/>
          <w:b w:val="0"/>
          <w:highlight w:val="none"/>
          <w:u w:val="single"/>
        </w:rPr>
        <w:t xml:space="preserve">             </w:t>
      </w:r>
      <w:r>
        <w:rPr>
          <w:b w:val="0"/>
          <w:highlight w:val="none"/>
          <w:u w:val="single"/>
        </w:rPr>
        <w:t xml:space="preserve">                     </w:t>
      </w:r>
      <w:r>
        <w:rPr>
          <w:rFonts w:hint="eastAsia"/>
          <w:b w:val="0"/>
          <w:highlight w:val="none"/>
        </w:rPr>
        <w:t xml:space="preserve"> </w:t>
      </w:r>
    </w:p>
    <w:p w14:paraId="56C6D242">
      <w:pPr>
        <w:pStyle w:val="25"/>
        <w:spacing w:before="0" w:after="0" w:line="360" w:lineRule="exact"/>
        <w:ind w:firstLine="480"/>
        <w:rPr>
          <w:rFonts w:hint="eastAsia"/>
          <w:b w:val="0"/>
          <w:highlight w:val="none"/>
        </w:rPr>
      </w:pPr>
      <w:r>
        <w:rPr>
          <w:b w:val="0"/>
          <w:highlight w:val="none"/>
        </w:rPr>
        <w:t>邮编</w:t>
      </w:r>
      <w:r>
        <w:rPr>
          <w:rFonts w:hint="eastAsia"/>
          <w:b w:val="0"/>
          <w:highlight w:val="none"/>
        </w:rPr>
        <w:t xml:space="preserve">： </w:t>
      </w:r>
      <w:r>
        <w:rPr>
          <w:rFonts w:hint="eastAsia"/>
          <w:b w:val="0"/>
          <w:highlight w:val="none"/>
          <w:u w:val="single"/>
        </w:rPr>
        <w:t xml:space="preserve">             </w:t>
      </w:r>
      <w:r>
        <w:rPr>
          <w:b w:val="0"/>
          <w:highlight w:val="none"/>
          <w:u w:val="single"/>
        </w:rPr>
        <w:t xml:space="preserve">                     </w:t>
      </w:r>
    </w:p>
    <w:p w14:paraId="216C6EF8">
      <w:pPr>
        <w:pStyle w:val="25"/>
        <w:spacing w:before="0" w:after="0" w:line="360" w:lineRule="exact"/>
        <w:ind w:firstLine="480"/>
        <w:rPr>
          <w:rFonts w:hint="eastAsia"/>
          <w:b w:val="0"/>
          <w:highlight w:val="none"/>
        </w:rPr>
      </w:pPr>
      <w:r>
        <w:rPr>
          <w:rFonts w:hint="eastAsia"/>
          <w:b w:val="0"/>
          <w:highlight w:val="none"/>
        </w:rPr>
        <w:t>被投诉人1：</w:t>
      </w:r>
      <w:r>
        <w:rPr>
          <w:rFonts w:hint="eastAsia"/>
          <w:b w:val="0"/>
          <w:highlight w:val="none"/>
          <w:u w:val="single"/>
        </w:rPr>
        <w:t xml:space="preserve">             </w:t>
      </w:r>
      <w:r>
        <w:rPr>
          <w:b w:val="0"/>
          <w:highlight w:val="none"/>
          <w:u w:val="single"/>
        </w:rPr>
        <w:t xml:space="preserve">                     </w:t>
      </w:r>
    </w:p>
    <w:p w14:paraId="7B809C7C">
      <w:pPr>
        <w:pStyle w:val="25"/>
        <w:spacing w:before="0" w:after="0" w:line="360" w:lineRule="exact"/>
        <w:ind w:firstLine="480"/>
        <w:rPr>
          <w:rFonts w:hint="eastAsia"/>
          <w:b w:val="0"/>
          <w:highlight w:val="none"/>
        </w:rPr>
      </w:pPr>
      <w:r>
        <w:rPr>
          <w:rFonts w:hint="eastAsia"/>
          <w:b w:val="0"/>
          <w:highlight w:val="none"/>
        </w:rPr>
        <w:t>地址：</w:t>
      </w:r>
      <w:r>
        <w:rPr>
          <w:rFonts w:hint="eastAsia"/>
          <w:b w:val="0"/>
          <w:highlight w:val="none"/>
          <w:u w:val="single"/>
        </w:rPr>
        <w:t xml:space="preserve">             </w:t>
      </w:r>
      <w:r>
        <w:rPr>
          <w:b w:val="0"/>
          <w:highlight w:val="none"/>
          <w:u w:val="single"/>
        </w:rPr>
        <w:t xml:space="preserve">                     </w:t>
      </w:r>
    </w:p>
    <w:p w14:paraId="7BDD35F4">
      <w:pPr>
        <w:pStyle w:val="25"/>
        <w:spacing w:before="0" w:after="0" w:line="360" w:lineRule="exact"/>
        <w:ind w:firstLine="480"/>
        <w:rPr>
          <w:rFonts w:hint="eastAsia"/>
          <w:b w:val="0"/>
          <w:highlight w:val="none"/>
        </w:rPr>
      </w:pPr>
      <w:r>
        <w:rPr>
          <w:b w:val="0"/>
          <w:highlight w:val="none"/>
        </w:rPr>
        <w:t>邮编</w:t>
      </w:r>
      <w:r>
        <w:rPr>
          <w:rFonts w:hint="eastAsia"/>
          <w:b w:val="0"/>
          <w:highlight w:val="none"/>
        </w:rPr>
        <w:t>：</w:t>
      </w:r>
      <w:r>
        <w:rPr>
          <w:rFonts w:hint="eastAsia"/>
          <w:b w:val="0"/>
          <w:highlight w:val="none"/>
          <w:u w:val="single"/>
        </w:rPr>
        <w:t xml:space="preserve">             </w:t>
      </w:r>
      <w:r>
        <w:rPr>
          <w:b w:val="0"/>
          <w:highlight w:val="none"/>
          <w:u w:val="single"/>
        </w:rPr>
        <w:t xml:space="preserve">                     </w:t>
      </w:r>
    </w:p>
    <w:p w14:paraId="7467DDB6">
      <w:pPr>
        <w:pStyle w:val="25"/>
        <w:spacing w:before="0" w:after="0" w:line="360" w:lineRule="exact"/>
        <w:ind w:firstLine="480"/>
        <w:rPr>
          <w:rFonts w:hint="eastAsia"/>
          <w:b w:val="0"/>
          <w:highlight w:val="none"/>
          <w:u w:val="single"/>
        </w:rPr>
      </w:pPr>
      <w:r>
        <w:rPr>
          <w:rFonts w:hint="eastAsia"/>
          <w:b w:val="0"/>
          <w:highlight w:val="none"/>
        </w:rPr>
        <w:t>联系人：</w:t>
      </w:r>
      <w:r>
        <w:rPr>
          <w:rFonts w:hint="eastAsia"/>
          <w:b w:val="0"/>
          <w:highlight w:val="none"/>
          <w:u w:val="single"/>
        </w:rPr>
        <w:t xml:space="preserve">             </w:t>
      </w:r>
      <w:r>
        <w:rPr>
          <w:b w:val="0"/>
          <w:highlight w:val="none"/>
          <w:u w:val="single"/>
        </w:rPr>
        <w:t xml:space="preserve">               </w:t>
      </w:r>
      <w:r>
        <w:rPr>
          <w:rFonts w:hint="eastAsia"/>
          <w:b w:val="0"/>
          <w:highlight w:val="none"/>
        </w:rPr>
        <w:t xml:space="preserve">  </w:t>
      </w:r>
      <w:r>
        <w:rPr>
          <w:b w:val="0"/>
          <w:highlight w:val="none"/>
        </w:rPr>
        <w:t>联系</w:t>
      </w:r>
      <w:r>
        <w:rPr>
          <w:rFonts w:hint="eastAsia"/>
          <w:b w:val="0"/>
          <w:highlight w:val="none"/>
        </w:rPr>
        <w:t>电话：</w:t>
      </w:r>
      <w:r>
        <w:rPr>
          <w:rFonts w:hint="eastAsia"/>
          <w:b w:val="0"/>
          <w:highlight w:val="none"/>
          <w:u w:val="single"/>
        </w:rPr>
        <w:t xml:space="preserve">             </w:t>
      </w:r>
      <w:r>
        <w:rPr>
          <w:b w:val="0"/>
          <w:highlight w:val="none"/>
          <w:u w:val="single"/>
        </w:rPr>
        <w:t xml:space="preserve">        </w:t>
      </w:r>
    </w:p>
    <w:p w14:paraId="454C3B57">
      <w:pPr>
        <w:pStyle w:val="25"/>
        <w:spacing w:before="0" w:after="0" w:line="360" w:lineRule="exact"/>
        <w:ind w:firstLine="480"/>
        <w:rPr>
          <w:rFonts w:hint="eastAsia"/>
          <w:b w:val="0"/>
          <w:highlight w:val="none"/>
        </w:rPr>
      </w:pPr>
      <w:r>
        <w:rPr>
          <w:rFonts w:hint="eastAsia"/>
          <w:b w:val="0"/>
          <w:highlight w:val="none"/>
        </w:rPr>
        <w:t>被投诉人2：</w:t>
      </w:r>
      <w:r>
        <w:rPr>
          <w:rFonts w:hint="eastAsia"/>
          <w:b w:val="0"/>
          <w:highlight w:val="none"/>
          <w:u w:val="single"/>
        </w:rPr>
        <w:t xml:space="preserve">             </w:t>
      </w:r>
      <w:r>
        <w:rPr>
          <w:b w:val="0"/>
          <w:highlight w:val="none"/>
          <w:u w:val="single"/>
        </w:rPr>
        <w:t xml:space="preserve">                     </w:t>
      </w:r>
    </w:p>
    <w:p w14:paraId="16C56BB8">
      <w:pPr>
        <w:pStyle w:val="25"/>
        <w:spacing w:before="0" w:after="0" w:line="360" w:lineRule="exact"/>
        <w:ind w:firstLine="480"/>
        <w:rPr>
          <w:rFonts w:hint="eastAsia"/>
          <w:b w:val="0"/>
          <w:highlight w:val="none"/>
        </w:rPr>
      </w:pPr>
      <w:r>
        <w:rPr>
          <w:b w:val="0"/>
          <w:highlight w:val="none"/>
        </w:rPr>
        <w:t>……</w:t>
      </w:r>
    </w:p>
    <w:p w14:paraId="49D74737">
      <w:pPr>
        <w:pStyle w:val="25"/>
        <w:spacing w:before="0" w:after="0" w:line="360" w:lineRule="exact"/>
        <w:ind w:firstLine="480"/>
        <w:rPr>
          <w:rFonts w:hint="eastAsia"/>
          <w:b w:val="0"/>
          <w:highlight w:val="none"/>
        </w:rPr>
      </w:pPr>
      <w:r>
        <w:rPr>
          <w:rFonts w:hint="eastAsia"/>
          <w:b w:val="0"/>
          <w:highlight w:val="none"/>
        </w:rPr>
        <w:t>相关供应商：</w:t>
      </w:r>
      <w:r>
        <w:rPr>
          <w:rFonts w:hint="eastAsia"/>
          <w:b w:val="0"/>
          <w:highlight w:val="none"/>
          <w:u w:val="single"/>
        </w:rPr>
        <w:t xml:space="preserve">             </w:t>
      </w:r>
      <w:r>
        <w:rPr>
          <w:b w:val="0"/>
          <w:highlight w:val="none"/>
          <w:u w:val="single"/>
        </w:rPr>
        <w:t xml:space="preserve">                     </w:t>
      </w:r>
    </w:p>
    <w:p w14:paraId="4B4D03BF">
      <w:pPr>
        <w:pStyle w:val="25"/>
        <w:spacing w:before="0" w:after="0" w:line="360" w:lineRule="exact"/>
        <w:ind w:firstLine="480"/>
        <w:rPr>
          <w:rFonts w:hint="eastAsia"/>
          <w:b w:val="0"/>
          <w:highlight w:val="none"/>
        </w:rPr>
      </w:pPr>
      <w:r>
        <w:rPr>
          <w:b w:val="0"/>
          <w:highlight w:val="none"/>
        </w:rPr>
        <w:t>地址</w:t>
      </w:r>
      <w:r>
        <w:rPr>
          <w:rFonts w:hint="eastAsia"/>
          <w:b w:val="0"/>
          <w:highlight w:val="none"/>
        </w:rPr>
        <w:t>：</w:t>
      </w:r>
      <w:r>
        <w:rPr>
          <w:rFonts w:hint="eastAsia"/>
          <w:b w:val="0"/>
          <w:highlight w:val="none"/>
          <w:u w:val="single"/>
        </w:rPr>
        <w:t xml:space="preserve">             </w:t>
      </w:r>
      <w:r>
        <w:rPr>
          <w:b w:val="0"/>
          <w:highlight w:val="none"/>
          <w:u w:val="single"/>
        </w:rPr>
        <w:t xml:space="preserve">                     </w:t>
      </w:r>
      <w:r>
        <w:rPr>
          <w:rFonts w:hint="eastAsia"/>
          <w:b w:val="0"/>
          <w:highlight w:val="none"/>
        </w:rPr>
        <w:t xml:space="preserve">     </w:t>
      </w:r>
      <w:r>
        <w:rPr>
          <w:b w:val="0"/>
          <w:highlight w:val="none"/>
        </w:rPr>
        <w:t>邮编</w:t>
      </w:r>
      <w:r>
        <w:rPr>
          <w:rFonts w:hint="eastAsia"/>
          <w:b w:val="0"/>
          <w:highlight w:val="none"/>
        </w:rPr>
        <w:t>：</w:t>
      </w:r>
      <w:r>
        <w:rPr>
          <w:rFonts w:hint="eastAsia"/>
          <w:b w:val="0"/>
          <w:highlight w:val="none"/>
          <w:u w:val="single"/>
        </w:rPr>
        <w:t xml:space="preserve">             </w:t>
      </w:r>
      <w:r>
        <w:rPr>
          <w:b w:val="0"/>
          <w:highlight w:val="none"/>
          <w:u w:val="single"/>
        </w:rPr>
        <w:t xml:space="preserve">         </w:t>
      </w:r>
    </w:p>
    <w:p w14:paraId="40B43C2E">
      <w:pPr>
        <w:pStyle w:val="25"/>
        <w:spacing w:before="0" w:after="0" w:line="360" w:lineRule="exact"/>
        <w:ind w:firstLine="480"/>
        <w:rPr>
          <w:rFonts w:hint="eastAsia"/>
          <w:b w:val="0"/>
          <w:highlight w:val="none"/>
        </w:rPr>
      </w:pPr>
      <w:r>
        <w:rPr>
          <w:rFonts w:hint="eastAsia"/>
          <w:b w:val="0"/>
          <w:highlight w:val="none"/>
        </w:rPr>
        <w:t>联系人：</w:t>
      </w:r>
      <w:r>
        <w:rPr>
          <w:rFonts w:hint="eastAsia"/>
          <w:b w:val="0"/>
          <w:highlight w:val="none"/>
          <w:u w:val="single"/>
        </w:rPr>
        <w:t xml:space="preserve">             </w:t>
      </w:r>
      <w:r>
        <w:rPr>
          <w:b w:val="0"/>
          <w:highlight w:val="none"/>
          <w:u w:val="single"/>
        </w:rPr>
        <w:t xml:space="preserve">                     </w:t>
      </w:r>
      <w:r>
        <w:rPr>
          <w:rFonts w:hint="eastAsia"/>
          <w:b w:val="0"/>
          <w:highlight w:val="none"/>
        </w:rPr>
        <w:t xml:space="preserve">   </w:t>
      </w:r>
      <w:r>
        <w:rPr>
          <w:b w:val="0"/>
          <w:highlight w:val="none"/>
        </w:rPr>
        <w:t>联系</w:t>
      </w:r>
      <w:r>
        <w:rPr>
          <w:rFonts w:hint="eastAsia"/>
          <w:b w:val="0"/>
          <w:highlight w:val="none"/>
        </w:rPr>
        <w:t>电话：</w:t>
      </w:r>
      <w:r>
        <w:rPr>
          <w:rFonts w:hint="eastAsia"/>
          <w:b w:val="0"/>
          <w:highlight w:val="none"/>
          <w:u w:val="single"/>
        </w:rPr>
        <w:t xml:space="preserve">           </w:t>
      </w:r>
      <w:r>
        <w:rPr>
          <w:b w:val="0"/>
          <w:highlight w:val="none"/>
          <w:u w:val="single"/>
        </w:rPr>
        <w:t xml:space="preserve">  </w:t>
      </w:r>
    </w:p>
    <w:p w14:paraId="4602340A">
      <w:pPr>
        <w:pStyle w:val="25"/>
        <w:spacing w:before="0" w:after="0" w:line="360" w:lineRule="exact"/>
        <w:ind w:firstLine="480"/>
        <w:rPr>
          <w:rFonts w:hint="eastAsia"/>
          <w:b w:val="0"/>
          <w:highlight w:val="none"/>
        </w:rPr>
      </w:pPr>
      <w:r>
        <w:rPr>
          <w:rFonts w:hint="eastAsia"/>
          <w:b w:val="0"/>
          <w:highlight w:val="none"/>
        </w:rPr>
        <w:t>二、投诉项目基本情况：</w:t>
      </w:r>
    </w:p>
    <w:p w14:paraId="5EBDDE5E">
      <w:pPr>
        <w:pStyle w:val="25"/>
        <w:spacing w:before="0" w:after="0" w:line="360" w:lineRule="exact"/>
        <w:ind w:firstLine="480"/>
        <w:rPr>
          <w:rFonts w:hint="eastAsia"/>
          <w:b w:val="0"/>
          <w:highlight w:val="none"/>
        </w:rPr>
      </w:pPr>
      <w:r>
        <w:rPr>
          <w:rFonts w:hint="eastAsia"/>
          <w:b w:val="0"/>
          <w:highlight w:val="none"/>
        </w:rPr>
        <w:t xml:space="preserve">采购项目的名称： </w:t>
      </w:r>
      <w:r>
        <w:rPr>
          <w:rFonts w:hint="eastAsia"/>
          <w:b w:val="0"/>
          <w:highlight w:val="none"/>
          <w:u w:val="single"/>
        </w:rPr>
        <w:t xml:space="preserve">             </w:t>
      </w:r>
      <w:r>
        <w:rPr>
          <w:b w:val="0"/>
          <w:highlight w:val="none"/>
          <w:u w:val="single"/>
        </w:rPr>
        <w:t xml:space="preserve">                     </w:t>
      </w:r>
    </w:p>
    <w:p w14:paraId="5B79B833">
      <w:pPr>
        <w:pStyle w:val="25"/>
        <w:spacing w:before="0" w:after="0" w:line="360" w:lineRule="exact"/>
        <w:ind w:firstLine="480"/>
        <w:rPr>
          <w:rFonts w:hint="eastAsia"/>
          <w:b w:val="0"/>
          <w:highlight w:val="none"/>
        </w:rPr>
      </w:pPr>
      <w:r>
        <w:rPr>
          <w:rFonts w:hint="eastAsia"/>
          <w:b w:val="0"/>
          <w:highlight w:val="none"/>
        </w:rPr>
        <w:t xml:space="preserve">采购项目的编号： </w:t>
      </w:r>
      <w:r>
        <w:rPr>
          <w:rFonts w:hint="eastAsia"/>
          <w:b w:val="0"/>
          <w:highlight w:val="none"/>
          <w:u w:val="single"/>
        </w:rPr>
        <w:t xml:space="preserve">             </w:t>
      </w:r>
      <w:r>
        <w:rPr>
          <w:b w:val="0"/>
          <w:highlight w:val="none"/>
          <w:u w:val="single"/>
        </w:rPr>
        <w:t xml:space="preserve">                     </w:t>
      </w:r>
      <w:r>
        <w:rPr>
          <w:rFonts w:hint="eastAsia"/>
          <w:b w:val="0"/>
          <w:highlight w:val="none"/>
        </w:rPr>
        <w:t xml:space="preserve">       </w:t>
      </w:r>
    </w:p>
    <w:p w14:paraId="3F31CDDE">
      <w:pPr>
        <w:pStyle w:val="25"/>
        <w:spacing w:before="0" w:after="0" w:line="360" w:lineRule="exact"/>
        <w:ind w:firstLine="480"/>
        <w:rPr>
          <w:rFonts w:hint="eastAsia"/>
          <w:b w:val="0"/>
          <w:highlight w:val="none"/>
        </w:rPr>
      </w:pPr>
      <w:r>
        <w:rPr>
          <w:rFonts w:hint="eastAsia"/>
          <w:b w:val="0"/>
          <w:highlight w:val="none"/>
        </w:rPr>
        <w:t>采购人名称：</w:t>
      </w:r>
      <w:r>
        <w:rPr>
          <w:rFonts w:hint="eastAsia"/>
          <w:b w:val="0"/>
          <w:highlight w:val="none"/>
          <w:u w:val="single"/>
        </w:rPr>
        <w:t xml:space="preserve">             </w:t>
      </w:r>
      <w:r>
        <w:rPr>
          <w:b w:val="0"/>
          <w:highlight w:val="none"/>
          <w:u w:val="single"/>
        </w:rPr>
        <w:t xml:space="preserve">                     </w:t>
      </w:r>
    </w:p>
    <w:p w14:paraId="5E39733C">
      <w:pPr>
        <w:pStyle w:val="25"/>
        <w:spacing w:before="0" w:after="0" w:line="360" w:lineRule="exact"/>
        <w:ind w:firstLine="480"/>
        <w:rPr>
          <w:rFonts w:hint="eastAsia"/>
          <w:b w:val="0"/>
          <w:highlight w:val="none"/>
        </w:rPr>
      </w:pPr>
      <w:r>
        <w:rPr>
          <w:rFonts w:hint="eastAsia"/>
          <w:b w:val="0"/>
          <w:highlight w:val="none"/>
        </w:rPr>
        <w:t>代理机构名称：</w:t>
      </w:r>
      <w:r>
        <w:rPr>
          <w:rFonts w:hint="eastAsia"/>
          <w:b w:val="0"/>
          <w:highlight w:val="none"/>
          <w:u w:val="single"/>
        </w:rPr>
        <w:t xml:space="preserve">             </w:t>
      </w:r>
      <w:r>
        <w:rPr>
          <w:b w:val="0"/>
          <w:highlight w:val="none"/>
          <w:u w:val="single"/>
        </w:rPr>
        <w:t xml:space="preserve">                     </w:t>
      </w:r>
    </w:p>
    <w:p w14:paraId="61A51DC9">
      <w:pPr>
        <w:pStyle w:val="25"/>
        <w:spacing w:before="0" w:after="0" w:line="360" w:lineRule="exact"/>
        <w:ind w:firstLine="480"/>
        <w:rPr>
          <w:rFonts w:hint="eastAsia"/>
          <w:b w:val="0"/>
          <w:highlight w:val="none"/>
        </w:rPr>
      </w:pPr>
      <w:r>
        <w:rPr>
          <w:rFonts w:hint="eastAsia"/>
          <w:b w:val="0"/>
          <w:highlight w:val="none"/>
        </w:rPr>
        <w:t>招标文件公告：是/否公告期限：</w:t>
      </w:r>
      <w:r>
        <w:rPr>
          <w:rFonts w:hint="eastAsia"/>
          <w:b w:val="0"/>
          <w:highlight w:val="none"/>
          <w:u w:val="single"/>
        </w:rPr>
        <w:t xml:space="preserve">             </w:t>
      </w:r>
      <w:r>
        <w:rPr>
          <w:b w:val="0"/>
          <w:highlight w:val="none"/>
          <w:u w:val="single"/>
        </w:rPr>
        <w:t xml:space="preserve">                     </w:t>
      </w:r>
    </w:p>
    <w:p w14:paraId="1DE0AC48">
      <w:pPr>
        <w:pStyle w:val="25"/>
        <w:spacing w:before="0" w:after="0" w:line="360" w:lineRule="exact"/>
        <w:ind w:firstLine="480"/>
        <w:rPr>
          <w:rFonts w:hint="eastAsia"/>
          <w:b w:val="0"/>
          <w:highlight w:val="none"/>
        </w:rPr>
      </w:pPr>
      <w:r>
        <w:rPr>
          <w:rFonts w:hint="eastAsia"/>
          <w:b w:val="0"/>
          <w:highlight w:val="none"/>
        </w:rPr>
        <w:t>采购结果公告：是/否公告期限：</w:t>
      </w:r>
      <w:r>
        <w:rPr>
          <w:rFonts w:hint="eastAsia"/>
          <w:b w:val="0"/>
          <w:highlight w:val="none"/>
          <w:u w:val="single"/>
        </w:rPr>
        <w:t xml:space="preserve">             </w:t>
      </w:r>
      <w:r>
        <w:rPr>
          <w:b w:val="0"/>
          <w:highlight w:val="none"/>
          <w:u w:val="single"/>
        </w:rPr>
        <w:t xml:space="preserve">                     </w:t>
      </w:r>
    </w:p>
    <w:p w14:paraId="053CB5DA">
      <w:pPr>
        <w:pStyle w:val="25"/>
        <w:spacing w:before="0" w:after="0" w:line="360" w:lineRule="exact"/>
        <w:ind w:firstLine="480"/>
        <w:rPr>
          <w:rFonts w:hint="eastAsia"/>
          <w:b w:val="0"/>
          <w:highlight w:val="none"/>
        </w:rPr>
      </w:pPr>
      <w:r>
        <w:rPr>
          <w:rFonts w:hint="eastAsia"/>
          <w:b w:val="0"/>
          <w:highlight w:val="none"/>
        </w:rPr>
        <w:t>三、质疑基本情况</w:t>
      </w:r>
    </w:p>
    <w:p w14:paraId="44E735F7">
      <w:pPr>
        <w:pStyle w:val="25"/>
        <w:spacing w:before="0" w:after="0" w:line="360" w:lineRule="exact"/>
        <w:ind w:firstLine="480"/>
        <w:rPr>
          <w:rFonts w:hint="eastAsia"/>
          <w:b w:val="0"/>
          <w:highlight w:val="none"/>
          <w:u w:val="single"/>
        </w:rPr>
      </w:pPr>
      <w:r>
        <w:rPr>
          <w:rFonts w:hint="eastAsia"/>
          <w:b w:val="0"/>
          <w:highlight w:val="none"/>
        </w:rPr>
        <w:t>投诉人于</w:t>
      </w:r>
      <w:r>
        <w:rPr>
          <w:b w:val="0"/>
          <w:highlight w:val="none"/>
          <w:u w:val="single"/>
        </w:rPr>
        <w:t xml:space="preserve">     </w:t>
      </w:r>
      <w:r>
        <w:rPr>
          <w:rFonts w:hint="eastAsia"/>
          <w:b w:val="0"/>
          <w:highlight w:val="none"/>
        </w:rPr>
        <w:t>年</w:t>
      </w:r>
      <w:r>
        <w:rPr>
          <w:b w:val="0"/>
          <w:highlight w:val="none"/>
          <w:u w:val="single"/>
        </w:rPr>
        <w:t xml:space="preserve">    </w:t>
      </w:r>
      <w:r>
        <w:rPr>
          <w:rFonts w:hint="eastAsia"/>
          <w:b w:val="0"/>
          <w:highlight w:val="none"/>
        </w:rPr>
        <w:t>月</w:t>
      </w:r>
      <w:r>
        <w:rPr>
          <w:b w:val="0"/>
          <w:highlight w:val="none"/>
          <w:u w:val="single"/>
        </w:rPr>
        <w:t xml:space="preserve">   </w:t>
      </w:r>
      <w:r>
        <w:rPr>
          <w:rFonts w:hint="eastAsia"/>
          <w:b w:val="0"/>
          <w:highlight w:val="none"/>
        </w:rPr>
        <w:t>日，向</w:t>
      </w:r>
      <w:r>
        <w:rPr>
          <w:b w:val="0"/>
          <w:highlight w:val="none"/>
          <w:u w:val="single"/>
        </w:rPr>
        <w:t xml:space="preserve">         </w:t>
      </w:r>
      <w:r>
        <w:rPr>
          <w:rFonts w:hint="eastAsia"/>
          <w:b w:val="0"/>
          <w:highlight w:val="none"/>
        </w:rPr>
        <w:t>提出质疑，质疑事项为：</w:t>
      </w:r>
      <w:r>
        <w:rPr>
          <w:b w:val="0"/>
          <w:highlight w:val="none"/>
          <w:u w:val="single"/>
        </w:rPr>
        <w:t xml:space="preserve">                </w:t>
      </w:r>
    </w:p>
    <w:p w14:paraId="51A31292">
      <w:pPr>
        <w:pStyle w:val="25"/>
        <w:spacing w:before="0" w:after="0" w:line="360" w:lineRule="exact"/>
        <w:ind w:firstLine="0" w:firstLineChars="0"/>
        <w:jc w:val="left"/>
        <w:rPr>
          <w:rFonts w:hint="eastAsia"/>
          <w:b w:val="0"/>
          <w:highlight w:val="none"/>
          <w:u w:val="single"/>
        </w:rPr>
      </w:pPr>
      <w:r>
        <w:rPr>
          <w:b w:val="0"/>
          <w:highlight w:val="none"/>
          <w:u w:val="single"/>
        </w:rPr>
        <w:t xml:space="preserve">                                                                                 </w:t>
      </w:r>
    </w:p>
    <w:p w14:paraId="5B79F3D4">
      <w:pPr>
        <w:spacing w:line="360" w:lineRule="exact"/>
        <w:rPr>
          <w:highlight w:val="none"/>
        </w:rPr>
      </w:pPr>
      <w:r>
        <w:rPr>
          <w:b/>
          <w:highlight w:val="none"/>
          <w:u w:val="single"/>
        </w:rPr>
        <w:t xml:space="preserve">                                                                                            </w:t>
      </w:r>
    </w:p>
    <w:p w14:paraId="595A7F8E">
      <w:pPr>
        <w:pStyle w:val="25"/>
        <w:spacing w:before="0" w:after="0" w:line="360" w:lineRule="exact"/>
        <w:ind w:firstLine="480"/>
        <w:rPr>
          <w:rFonts w:hint="eastAsia"/>
          <w:b w:val="0"/>
          <w:highlight w:val="none"/>
        </w:rPr>
      </w:pPr>
      <w:r>
        <w:rPr>
          <w:rFonts w:hint="eastAsia"/>
          <w:b w:val="0"/>
          <w:highlight w:val="none"/>
          <w:u w:val="single"/>
        </w:rPr>
        <w:t>采购人/代理机构</w:t>
      </w:r>
      <w:r>
        <w:rPr>
          <w:rFonts w:hint="eastAsia"/>
          <w:b w:val="0"/>
          <w:highlight w:val="none"/>
        </w:rPr>
        <w:t>于</w:t>
      </w:r>
      <w:r>
        <w:rPr>
          <w:rFonts w:hint="eastAsia"/>
          <w:b w:val="0"/>
          <w:highlight w:val="none"/>
          <w:u w:val="single"/>
        </w:rPr>
        <w:t xml:space="preserve">    </w:t>
      </w:r>
      <w:r>
        <w:rPr>
          <w:rFonts w:hint="eastAsia"/>
          <w:b w:val="0"/>
          <w:highlight w:val="none"/>
        </w:rPr>
        <w:t>年</w:t>
      </w:r>
      <w:r>
        <w:rPr>
          <w:rFonts w:hint="eastAsia"/>
          <w:b w:val="0"/>
          <w:highlight w:val="none"/>
          <w:u w:val="single"/>
        </w:rPr>
        <w:t xml:space="preserve">  </w:t>
      </w:r>
      <w:r>
        <w:rPr>
          <w:rFonts w:hint="eastAsia"/>
          <w:b w:val="0"/>
          <w:highlight w:val="none"/>
        </w:rPr>
        <w:t>月</w:t>
      </w:r>
      <w:r>
        <w:rPr>
          <w:rFonts w:hint="eastAsia"/>
          <w:b w:val="0"/>
          <w:highlight w:val="none"/>
          <w:u w:val="single"/>
        </w:rPr>
        <w:t xml:space="preserve">  </w:t>
      </w:r>
      <w:r>
        <w:rPr>
          <w:rFonts w:hint="eastAsia"/>
          <w:b w:val="0"/>
          <w:highlight w:val="none"/>
        </w:rPr>
        <w:t xml:space="preserve">日，就质疑事项作出了答复/没有在法定期限内作出答复。                                                                                             </w:t>
      </w:r>
    </w:p>
    <w:p w14:paraId="3E69D79C">
      <w:pPr>
        <w:pStyle w:val="25"/>
        <w:spacing w:before="0" w:after="0" w:line="360" w:lineRule="exact"/>
        <w:ind w:firstLine="480"/>
        <w:rPr>
          <w:rFonts w:hint="eastAsia"/>
          <w:b w:val="0"/>
          <w:highlight w:val="none"/>
        </w:rPr>
      </w:pPr>
      <w:r>
        <w:rPr>
          <w:rFonts w:hint="eastAsia"/>
          <w:b w:val="0"/>
          <w:highlight w:val="none"/>
        </w:rPr>
        <w:t>四、投诉事项具体内容</w:t>
      </w:r>
    </w:p>
    <w:p w14:paraId="5A0CA965">
      <w:pPr>
        <w:pStyle w:val="25"/>
        <w:spacing w:before="0" w:after="0" w:line="360" w:lineRule="exact"/>
        <w:ind w:firstLine="480"/>
        <w:rPr>
          <w:rFonts w:hint="eastAsia"/>
          <w:b w:val="0"/>
          <w:highlight w:val="none"/>
        </w:rPr>
      </w:pPr>
      <w:r>
        <w:rPr>
          <w:rFonts w:hint="eastAsia"/>
          <w:b w:val="0"/>
          <w:highlight w:val="none"/>
        </w:rPr>
        <w:t>投诉事项1：</w:t>
      </w:r>
      <w:r>
        <w:rPr>
          <w:b w:val="0"/>
          <w:highlight w:val="none"/>
          <w:u w:val="single"/>
        </w:rPr>
        <w:t xml:space="preserve">                                                          </w:t>
      </w:r>
    </w:p>
    <w:p w14:paraId="2CC116C1">
      <w:pPr>
        <w:pStyle w:val="25"/>
        <w:spacing w:before="0" w:after="0" w:line="360" w:lineRule="exact"/>
        <w:ind w:firstLine="480"/>
        <w:rPr>
          <w:rFonts w:hint="eastAsia"/>
          <w:b w:val="0"/>
          <w:highlight w:val="none"/>
        </w:rPr>
      </w:pPr>
      <w:r>
        <w:rPr>
          <w:rFonts w:hint="eastAsia"/>
          <w:b w:val="0"/>
          <w:highlight w:val="none"/>
        </w:rPr>
        <w:t>事实依据：</w:t>
      </w:r>
      <w:r>
        <w:rPr>
          <w:b w:val="0"/>
          <w:highlight w:val="none"/>
          <w:u w:val="single"/>
        </w:rPr>
        <w:t xml:space="preserve">                                                          </w:t>
      </w:r>
    </w:p>
    <w:p w14:paraId="7E7E689D">
      <w:pPr>
        <w:pStyle w:val="25"/>
        <w:spacing w:before="0" w:after="0" w:line="360" w:lineRule="exact"/>
        <w:ind w:firstLine="480"/>
        <w:rPr>
          <w:rFonts w:hint="eastAsia"/>
          <w:b w:val="0"/>
          <w:highlight w:val="none"/>
        </w:rPr>
      </w:pPr>
      <w:r>
        <w:rPr>
          <w:rFonts w:hint="eastAsia"/>
          <w:b w:val="0"/>
          <w:highlight w:val="none"/>
        </w:rPr>
        <w:t>法律依据：</w:t>
      </w:r>
      <w:r>
        <w:rPr>
          <w:b w:val="0"/>
          <w:highlight w:val="none"/>
          <w:u w:val="single"/>
        </w:rPr>
        <w:t xml:space="preserve">                                                          </w:t>
      </w:r>
    </w:p>
    <w:p w14:paraId="0E615B14">
      <w:pPr>
        <w:pStyle w:val="25"/>
        <w:spacing w:before="0" w:after="0" w:line="360" w:lineRule="exact"/>
        <w:ind w:firstLine="480"/>
        <w:rPr>
          <w:rFonts w:hint="eastAsia"/>
          <w:b w:val="0"/>
          <w:bCs/>
          <w:highlight w:val="none"/>
        </w:rPr>
      </w:pPr>
      <w:r>
        <w:rPr>
          <w:rFonts w:hint="eastAsia"/>
          <w:b w:val="0"/>
          <w:highlight w:val="none"/>
        </w:rPr>
        <w:t xml:space="preserve">投诉事项2  </w:t>
      </w:r>
      <w:r>
        <w:rPr>
          <w:rFonts w:hint="eastAsia"/>
          <w:b w:val="0"/>
          <w:bCs/>
          <w:highlight w:val="none"/>
        </w:rPr>
        <w:t xml:space="preserve"> </w:t>
      </w:r>
    </w:p>
    <w:p w14:paraId="24AA287E">
      <w:pPr>
        <w:pStyle w:val="25"/>
        <w:spacing w:before="0" w:after="0" w:line="360" w:lineRule="exact"/>
        <w:ind w:firstLine="480"/>
        <w:rPr>
          <w:rFonts w:hint="eastAsia"/>
          <w:b w:val="0"/>
          <w:highlight w:val="none"/>
        </w:rPr>
      </w:pPr>
      <w:r>
        <w:rPr>
          <w:b w:val="0"/>
          <w:highlight w:val="none"/>
        </w:rPr>
        <w:t>……</w:t>
      </w:r>
    </w:p>
    <w:p w14:paraId="09FFCD00">
      <w:pPr>
        <w:pStyle w:val="25"/>
        <w:spacing w:before="0" w:after="0" w:line="360" w:lineRule="exact"/>
        <w:ind w:firstLine="480"/>
        <w:rPr>
          <w:rFonts w:hint="eastAsia"/>
          <w:b w:val="0"/>
          <w:highlight w:val="none"/>
        </w:rPr>
      </w:pPr>
      <w:r>
        <w:rPr>
          <w:rFonts w:hint="eastAsia"/>
          <w:b w:val="0"/>
          <w:highlight w:val="none"/>
        </w:rPr>
        <w:t>五、与投诉事项相关的投诉请求：</w:t>
      </w:r>
    </w:p>
    <w:p w14:paraId="146B986A">
      <w:pPr>
        <w:pStyle w:val="25"/>
        <w:spacing w:before="0" w:after="0" w:line="360" w:lineRule="exact"/>
        <w:ind w:firstLine="480"/>
        <w:rPr>
          <w:rFonts w:hint="eastAsia"/>
          <w:b w:val="0"/>
          <w:highlight w:val="none"/>
        </w:rPr>
      </w:pPr>
      <w:r>
        <w:rPr>
          <w:rFonts w:hint="eastAsia"/>
          <w:b w:val="0"/>
          <w:highlight w:val="none"/>
        </w:rPr>
        <w:t>请求：</w:t>
      </w:r>
      <w:r>
        <w:rPr>
          <w:b w:val="0"/>
          <w:highlight w:val="none"/>
          <w:u w:val="single"/>
        </w:rPr>
        <w:t xml:space="preserve">                                                          </w:t>
      </w:r>
    </w:p>
    <w:p w14:paraId="2D7948D7">
      <w:pPr>
        <w:pStyle w:val="25"/>
        <w:spacing w:before="0" w:after="0" w:line="360" w:lineRule="exact"/>
        <w:ind w:firstLine="480"/>
        <w:rPr>
          <w:rFonts w:hint="eastAsia"/>
          <w:b w:val="0"/>
          <w:highlight w:val="none"/>
        </w:rPr>
      </w:pPr>
    </w:p>
    <w:p w14:paraId="25F436F1">
      <w:pPr>
        <w:pStyle w:val="25"/>
        <w:spacing w:before="0" w:after="0" w:line="360" w:lineRule="exact"/>
        <w:ind w:firstLine="480"/>
        <w:rPr>
          <w:rFonts w:hint="eastAsia"/>
          <w:b w:val="0"/>
          <w:highlight w:val="none"/>
        </w:rPr>
      </w:pPr>
      <w:r>
        <w:rPr>
          <w:rFonts w:hint="eastAsia"/>
          <w:b w:val="0"/>
          <w:highlight w:val="none"/>
        </w:rPr>
        <w:t>签字（签章）：</w:t>
      </w:r>
      <w:r>
        <w:rPr>
          <w:b w:val="0"/>
          <w:highlight w:val="none"/>
          <w:u w:val="single"/>
        </w:rPr>
        <w:t xml:space="preserve">            </w:t>
      </w:r>
      <w:r>
        <w:rPr>
          <w:rFonts w:hint="eastAsia"/>
          <w:b w:val="0"/>
          <w:highlight w:val="none"/>
        </w:rPr>
        <w:t xml:space="preserve">  </w:t>
      </w:r>
    </w:p>
    <w:p w14:paraId="29D944FC">
      <w:pPr>
        <w:pStyle w:val="25"/>
        <w:spacing w:before="0" w:after="0" w:line="360" w:lineRule="exact"/>
        <w:ind w:firstLine="480"/>
        <w:rPr>
          <w:rFonts w:hint="eastAsia"/>
          <w:b w:val="0"/>
          <w:highlight w:val="none"/>
        </w:rPr>
      </w:pPr>
      <w:r>
        <w:rPr>
          <w:rFonts w:hint="eastAsia"/>
          <w:b w:val="0"/>
          <w:highlight w:val="none"/>
        </w:rPr>
        <w:t>公章：</w:t>
      </w:r>
      <w:r>
        <w:rPr>
          <w:b w:val="0"/>
          <w:highlight w:val="none"/>
          <w:u w:val="single"/>
        </w:rPr>
        <w:t xml:space="preserve">                  </w:t>
      </w:r>
    </w:p>
    <w:p w14:paraId="6AE546C2">
      <w:pPr>
        <w:pStyle w:val="25"/>
        <w:spacing w:before="0" w:after="0" w:line="360" w:lineRule="exact"/>
        <w:ind w:firstLine="480"/>
        <w:rPr>
          <w:rFonts w:hint="eastAsia"/>
          <w:b w:val="0"/>
          <w:highlight w:val="none"/>
        </w:rPr>
      </w:pPr>
      <w:r>
        <w:rPr>
          <w:rFonts w:hint="eastAsia"/>
          <w:b w:val="0"/>
          <w:highlight w:val="none"/>
        </w:rPr>
        <w:t>日期：</w:t>
      </w:r>
      <w:r>
        <w:rPr>
          <w:b w:val="0"/>
          <w:highlight w:val="none"/>
          <w:u w:val="single"/>
        </w:rPr>
        <w:t xml:space="preserve">                  </w:t>
      </w:r>
    </w:p>
    <w:p w14:paraId="2D5F6EE6">
      <w:pPr>
        <w:pStyle w:val="25"/>
        <w:spacing w:before="0" w:after="0" w:line="320" w:lineRule="exact"/>
        <w:ind w:firstLine="480"/>
        <w:rPr>
          <w:rFonts w:hint="eastAsia"/>
          <w:b w:val="0"/>
          <w:highlight w:val="none"/>
        </w:rPr>
      </w:pPr>
    </w:p>
    <w:p w14:paraId="0D5EDD9A">
      <w:pPr>
        <w:pStyle w:val="25"/>
        <w:spacing w:before="0" w:after="0" w:line="320" w:lineRule="exact"/>
        <w:ind w:firstLine="480"/>
        <w:rPr>
          <w:rFonts w:hint="eastAsia"/>
          <w:b w:val="0"/>
          <w:highlight w:val="none"/>
        </w:rPr>
      </w:pPr>
      <w:r>
        <w:rPr>
          <w:rFonts w:hint="eastAsia"/>
          <w:b w:val="0"/>
          <w:highlight w:val="none"/>
        </w:rPr>
        <w:t>说明：</w:t>
      </w:r>
    </w:p>
    <w:p w14:paraId="6900ED44">
      <w:pPr>
        <w:pStyle w:val="25"/>
        <w:spacing w:before="0" w:after="0" w:line="320" w:lineRule="exact"/>
        <w:ind w:firstLine="480"/>
        <w:rPr>
          <w:rFonts w:hint="eastAsia"/>
          <w:b w:val="0"/>
          <w:bCs/>
          <w:highlight w:val="none"/>
        </w:rPr>
      </w:pPr>
      <w:r>
        <w:rPr>
          <w:rFonts w:hint="eastAsia"/>
          <w:b w:val="0"/>
          <w:highlight w:val="none"/>
        </w:rPr>
        <w:t>1.投诉人提起投诉时，应当提交投诉书和必要的证明材料，并按照被投诉人和与投诉事项有关的供应商数量提供投诉书副本</w:t>
      </w:r>
      <w:r>
        <w:rPr>
          <w:rFonts w:hint="eastAsia"/>
          <w:b w:val="0"/>
          <w:bCs/>
          <w:highlight w:val="none"/>
        </w:rPr>
        <w:t>。</w:t>
      </w:r>
    </w:p>
    <w:p w14:paraId="5557D37A">
      <w:pPr>
        <w:pStyle w:val="25"/>
        <w:spacing w:before="0" w:after="0" w:line="320" w:lineRule="exact"/>
        <w:ind w:firstLine="480"/>
        <w:rPr>
          <w:rFonts w:hint="eastAsia"/>
          <w:b w:val="0"/>
          <w:highlight w:val="none"/>
        </w:rPr>
      </w:pPr>
      <w:r>
        <w:rPr>
          <w:rFonts w:hint="eastAsia"/>
          <w:b w:val="0"/>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F710AC3">
      <w:pPr>
        <w:pStyle w:val="25"/>
        <w:spacing w:before="0" w:after="0" w:line="320" w:lineRule="exact"/>
        <w:ind w:firstLine="480"/>
        <w:rPr>
          <w:rFonts w:hint="eastAsia"/>
          <w:b w:val="0"/>
          <w:highlight w:val="none"/>
        </w:rPr>
      </w:pPr>
      <w:r>
        <w:rPr>
          <w:rFonts w:hint="eastAsia"/>
          <w:b w:val="0"/>
          <w:highlight w:val="none"/>
        </w:rPr>
        <w:t>3.投诉书应简要列明质疑事项，质疑函、质疑答复等作为附件材料提供。</w:t>
      </w:r>
    </w:p>
    <w:p w14:paraId="589E3667">
      <w:pPr>
        <w:pStyle w:val="25"/>
        <w:spacing w:before="0" w:after="0" w:line="320" w:lineRule="exact"/>
        <w:ind w:firstLine="480"/>
        <w:rPr>
          <w:rFonts w:hint="eastAsia"/>
          <w:b w:val="0"/>
          <w:highlight w:val="none"/>
        </w:rPr>
      </w:pPr>
      <w:r>
        <w:rPr>
          <w:rFonts w:hint="eastAsia"/>
          <w:b w:val="0"/>
          <w:highlight w:val="none"/>
        </w:rPr>
        <w:t>4.投诉书的投诉事项应具体、明确，并有必要的事实依据和法律依据。</w:t>
      </w:r>
    </w:p>
    <w:p w14:paraId="4DD2DED2">
      <w:pPr>
        <w:pStyle w:val="25"/>
        <w:spacing w:before="0" w:after="0" w:line="320" w:lineRule="exact"/>
        <w:ind w:firstLine="480"/>
        <w:rPr>
          <w:rFonts w:hint="eastAsia"/>
          <w:b w:val="0"/>
          <w:highlight w:val="none"/>
        </w:rPr>
      </w:pPr>
      <w:r>
        <w:rPr>
          <w:rFonts w:hint="eastAsia"/>
          <w:b w:val="0"/>
          <w:highlight w:val="none"/>
        </w:rPr>
        <w:t>5.投诉书的投诉请求应与投诉事项相关。</w:t>
      </w:r>
    </w:p>
    <w:p w14:paraId="335C6E05">
      <w:pPr>
        <w:pStyle w:val="25"/>
        <w:spacing w:before="0" w:after="0" w:line="320" w:lineRule="exact"/>
        <w:ind w:firstLine="480"/>
        <w:rPr>
          <w:rFonts w:hint="eastAsia"/>
          <w:b w:val="0"/>
          <w:highlight w:val="none"/>
        </w:rPr>
      </w:pPr>
      <w:r>
        <w:rPr>
          <w:rFonts w:hint="eastAsia"/>
          <w:b w:val="0"/>
          <w:highlight w:val="none"/>
        </w:rPr>
        <w:t>6.投诉人为法人或者其他组织的，投诉书应由法定代表人、主要负责人，或者其授权代表</w:t>
      </w:r>
      <w:r>
        <w:rPr>
          <w:rFonts w:hint="eastAsia"/>
          <w:b w:val="0"/>
          <w:highlight w:val="none"/>
          <w:lang w:eastAsia="zh-CN"/>
        </w:rPr>
        <w:t>签字或者盖章</w:t>
      </w:r>
      <w:r>
        <w:rPr>
          <w:rFonts w:hint="eastAsia"/>
          <w:b w:val="0"/>
          <w:highlight w:val="none"/>
        </w:rPr>
        <w:t>，并加</w:t>
      </w:r>
      <w:r>
        <w:rPr>
          <w:rFonts w:hint="eastAsia"/>
          <w:b w:val="0"/>
          <w:highlight w:val="none"/>
          <w:lang w:eastAsia="zh-CN"/>
        </w:rPr>
        <w:t>盖公章</w:t>
      </w:r>
      <w:r>
        <w:rPr>
          <w:rFonts w:hint="eastAsia"/>
          <w:b w:val="0"/>
          <w:highlight w:val="none"/>
        </w:rPr>
        <w:t>。</w:t>
      </w:r>
    </w:p>
    <w:sectPr>
      <w:footerReference r:id="rId12" w:type="first"/>
      <w:headerReference r:id="rId9" w:type="default"/>
      <w:footerReference r:id="rId10" w:type="default"/>
      <w:footerReference r:id="rId11" w:type="even"/>
      <w:pgSz w:w="11906" w:h="16838"/>
      <w:pgMar w:top="993" w:right="1080" w:bottom="993" w:left="1080" w:header="851" w:footer="510" w:gutter="0"/>
      <w:pgNumType w:fmt="numberInDash"/>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716DFAF-A4FC-4D57-9A1C-3077DF19413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377C82C4-F6FA-4020-AAC8-B091C3B5C45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C0A5351-E464-4BAB-AC92-2D1B29646E88}"/>
  </w:font>
  <w:font w:name="Arial">
    <w:panose1 w:val="020B0604020202020204"/>
    <w:charset w:val="00"/>
    <w:family w:val="auto"/>
    <w:pitch w:val="default"/>
    <w:sig w:usb0="E0002EFF" w:usb1="C000785B" w:usb2="00000009" w:usb3="00000000" w:csb0="400001FF" w:csb1="FFFF0000"/>
    <w:embedRegular r:id="rId4" w:fontKey="{89B936C8-6B02-4349-B81A-FA6F4AEFDCAB}"/>
  </w:font>
  <w:font w:name="等线">
    <w:panose1 w:val="02010600030101010101"/>
    <w:charset w:val="86"/>
    <w:family w:val="auto"/>
    <w:pitch w:val="default"/>
    <w:sig w:usb0="A00002BF" w:usb1="38CF7CFA" w:usb2="00000016" w:usb3="00000000" w:csb0="0004000F" w:csb1="00000000"/>
    <w:embedRegular r:id="rId5" w:fontKey="{9AAD5D7D-5B01-40DD-A84C-155A09FB577F}"/>
  </w:font>
  <w:font w:name="仿宋">
    <w:panose1 w:val="02010609060101010101"/>
    <w:charset w:val="86"/>
    <w:family w:val="modern"/>
    <w:pitch w:val="default"/>
    <w:sig w:usb0="800002BF" w:usb1="38CF7CFA" w:usb2="00000016" w:usb3="00000000" w:csb0="00040001" w:csb1="00000000"/>
    <w:embedRegular r:id="rId6" w:fontKey="{E78C4CF8-0A00-435E-8480-3E466D37ACFA}"/>
  </w:font>
  <w:font w:name="仿宋_GB2312">
    <w:altName w:val="仿宋"/>
    <w:panose1 w:val="02010609030101010101"/>
    <w:charset w:val="86"/>
    <w:family w:val="modern"/>
    <w:pitch w:val="default"/>
    <w:sig w:usb0="00000000" w:usb1="00000000" w:usb2="00000000" w:usb3="00000000" w:csb0="00000000" w:csb1="00000000"/>
    <w:embedRegular r:id="rId7" w:fontKey="{04AB28C8-1DB7-4E08-829D-8E5F9A10943E}"/>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Arial"/>
    <w:panose1 w:val="020B0604020202020204"/>
    <w:charset w:val="80"/>
    <w:family w:val="swiss"/>
    <w:pitch w:val="default"/>
    <w:sig w:usb0="00000000" w:usb1="00000000" w:usb2="0000003F" w:usb3="00000000" w:csb0="603F01FF" w:csb1="FFFF0000"/>
    <w:embedRegular r:id="rId8" w:fontKey="{85F0D2FB-88ED-473F-A533-89FD2CCECE83}"/>
  </w:font>
  <w:font w:name="微软雅黑">
    <w:panose1 w:val="020B0503020204020204"/>
    <w:charset w:val="86"/>
    <w:family w:val="swiss"/>
    <w:pitch w:val="default"/>
    <w:sig w:usb0="80000287" w:usb1="2ACF3C50" w:usb2="00000016" w:usb3="00000000" w:csb0="0004001F" w:csb1="00000000"/>
    <w:embedRegular r:id="rId9" w:fontKey="{42A35A13-D570-49B0-A9E0-9F7B4F4AA804}"/>
  </w:font>
  <w:font w:name="Helvetica">
    <w:altName w:val="Arial"/>
    <w:panose1 w:val="020B0604020202020204"/>
    <w:charset w:val="00"/>
    <w:family w:val="swiss"/>
    <w:pitch w:val="default"/>
    <w:sig w:usb0="00000000" w:usb1="00000000" w:usb2="00000009" w:usb3="00000000" w:csb0="000001FF" w:csb1="00000000"/>
    <w:embedRegular r:id="rId10" w:fontKey="{90BF8A4B-9C48-4293-B8F4-04E0CD55BB52}"/>
  </w:font>
  <w:font w:name="Segoe UI Symbol">
    <w:panose1 w:val="020B0502040204020203"/>
    <w:charset w:val="00"/>
    <w:family w:val="swiss"/>
    <w:pitch w:val="default"/>
    <w:sig w:usb0="800001E3" w:usb1="1200FFEF" w:usb2="00040000" w:usb3="04000000" w:csb0="00000001" w:csb1="40000000"/>
    <w:embedRegular r:id="rId11" w:fontKey="{FDE3EDB7-277C-4F79-97DC-D462BEA9D831}"/>
  </w:font>
  <w:font w:name="方正小标宋简体">
    <w:panose1 w:val="03000509000000000000"/>
    <w:charset w:val="86"/>
    <w:family w:val="script"/>
    <w:pitch w:val="default"/>
    <w:sig w:usb0="00000001" w:usb1="080E0000" w:usb2="00000000" w:usb3="00000000" w:csb0="00040000" w:csb1="00000000"/>
    <w:embedRegular r:id="rId12" w:fontKey="{7ED3703F-25EC-499E-A359-A896B2710CB4}"/>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A7C3A">
    <w:pPr>
      <w:pStyle w:val="31"/>
      <w:framePr w:wrap="around" w:vAnchor="text" w:hAnchor="margin" w:xAlign="center" w:y="1"/>
      <w:rPr>
        <w:rStyle w:val="53"/>
      </w:rPr>
    </w:pPr>
    <w:r>
      <w:fldChar w:fldCharType="begin"/>
    </w:r>
    <w:r>
      <w:rPr>
        <w:rStyle w:val="53"/>
      </w:rPr>
      <w:instrText xml:space="preserve">PAGE  </w:instrText>
    </w:r>
    <w:r>
      <w:fldChar w:fldCharType="end"/>
    </w:r>
  </w:p>
  <w:p w14:paraId="7AFDBEA2">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C3328">
    <w:pPr>
      <w:pStyle w:val="31"/>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CF55B">
    <w:pPr>
      <w:pStyle w:val="31"/>
      <w:rPr>
        <w:rFonts w:hint="eastAsia" w:ascii="仿宋" w:hAnsi="仿宋" w:eastAsia="仿宋"/>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3BF5A">
                          <w:pPr>
                            <w:pStyle w:val="3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D43BF5A">
                    <w:pPr>
                      <w:pStyle w:val="31"/>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EAD4E">
    <w:pPr>
      <w:pStyle w:val="3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0E9C1">
                          <w:pPr>
                            <w:pStyle w:val="31"/>
                          </w:pPr>
                          <w:r>
                            <w:fldChar w:fldCharType="begin"/>
                          </w:r>
                          <w:r>
                            <w:instrText xml:space="preserve"> PAGE  \* MERGEFORMAT </w:instrText>
                          </w:r>
                          <w:r>
                            <w:fldChar w:fldCharType="separate"/>
                          </w:r>
                          <w:r>
                            <w:t>- 92 -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D90E9C1">
                    <w:pPr>
                      <w:pStyle w:val="31"/>
                    </w:pPr>
                    <w:r>
                      <w:fldChar w:fldCharType="begin"/>
                    </w:r>
                    <w:r>
                      <w:instrText xml:space="preserve"> PAGE  \* MERGEFORMAT </w:instrText>
                    </w:r>
                    <w:r>
                      <w:fldChar w:fldCharType="separate"/>
                    </w:r>
                    <w:r>
                      <w:t>- 92 -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5D2C">
    <w:pPr>
      <w:pStyle w:val="31"/>
      <w:framePr w:wrap="around" w:vAnchor="text" w:hAnchor="margin" w:xAlign="center" w:y="1"/>
      <w:rPr>
        <w:rStyle w:val="53"/>
      </w:rPr>
    </w:pPr>
    <w:r>
      <w:fldChar w:fldCharType="begin"/>
    </w:r>
    <w:r>
      <w:rPr>
        <w:rStyle w:val="53"/>
      </w:rPr>
      <w:instrText xml:space="preserve">PAGE  </w:instrText>
    </w:r>
    <w:r>
      <w:fldChar w:fldCharType="end"/>
    </w:r>
  </w:p>
  <w:p w14:paraId="10C0869E">
    <w:pPr>
      <w:pStyle w:val="3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C45BE">
    <w:pPr>
      <w:pStyle w:val="31"/>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973E1">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F6619">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A5DC7"/>
    <w:multiLevelType w:val="singleLevel"/>
    <w:tmpl w:val="897A5DC7"/>
    <w:lvl w:ilvl="0" w:tentative="0">
      <w:start w:val="6"/>
      <w:numFmt w:val="decimal"/>
      <w:lvlText w:val="%1."/>
      <w:lvlJc w:val="left"/>
      <w:pPr>
        <w:tabs>
          <w:tab w:val="left" w:pos="312"/>
        </w:tabs>
      </w:pPr>
    </w:lvl>
  </w:abstractNum>
  <w:abstractNum w:abstractNumId="1">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2">
    <w:nsid w:val="0BBBCFE3"/>
    <w:multiLevelType w:val="multilevel"/>
    <w:tmpl w:val="0BBBCFE3"/>
    <w:lvl w:ilvl="0" w:tentative="0">
      <w:start w:val="1"/>
      <w:numFmt w:val="chineseCounting"/>
      <w:suff w:val="nothing"/>
      <w:lvlText w:val="        第%1章  "/>
      <w:lvlJc w:val="left"/>
      <w:pPr>
        <w:tabs>
          <w:tab w:val="left" w:pos="0"/>
        </w:tabs>
        <w:ind w:left="0" w:firstLine="0"/>
      </w:pPr>
      <w:rPr>
        <w:rFonts w:hint="eastAsia" w:ascii="仿宋" w:hAnsi="仿宋" w:eastAsia="仿宋" w:cs="仿宋"/>
        <w:b/>
        <w:sz w:val="32"/>
        <w:szCs w:val="32"/>
      </w:rPr>
    </w:lvl>
    <w:lvl w:ilvl="1" w:tentative="0">
      <w:start w:val="1"/>
      <w:numFmt w:val="decimal"/>
      <w:isLgl/>
      <w:lvlText w:val="%1.%2 "/>
      <w:lvlJc w:val="left"/>
      <w:pPr>
        <w:tabs>
          <w:tab w:val="left" w:pos="420"/>
        </w:tabs>
        <w:ind w:left="575" w:hanging="575"/>
      </w:pPr>
      <w:rPr>
        <w:rFonts w:hint="eastAsia" w:ascii="宋体" w:hAnsi="宋体" w:eastAsia="宋体" w:cs="宋体"/>
        <w:sz w:val="24"/>
      </w:rPr>
    </w:lvl>
    <w:lvl w:ilvl="2" w:tentative="0">
      <w:start w:val="1"/>
      <w:numFmt w:val="decimal"/>
      <w:isLgl/>
      <w:lvlText w:val="%1.%2.%3"/>
      <w:lvlJc w:val="left"/>
      <w:pPr>
        <w:ind w:left="720" w:hanging="720"/>
      </w:pPr>
      <w:rPr>
        <w:rFonts w:hint="eastAsia" w:ascii="宋体" w:hAnsi="宋体" w:eastAsia="宋体" w:cs="宋体"/>
      </w:rPr>
    </w:lvl>
    <w:lvl w:ilvl="3" w:tentative="0">
      <w:start w:val="1"/>
      <w:numFmt w:val="decimal"/>
      <w:pStyle w:val="5"/>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4">
    <w:nsid w:val="4C601917"/>
    <w:multiLevelType w:val="singleLevel"/>
    <w:tmpl w:val="4C601917"/>
    <w:lvl w:ilvl="0" w:tentative="0">
      <w:start w:val="1"/>
      <w:numFmt w:val="decimal"/>
      <w:suff w:val="nothing"/>
      <w:lvlText w:val="（%1）"/>
      <w:lvlJc w:val="left"/>
      <w:pPr>
        <w:ind w:left="-2"/>
      </w:pPr>
    </w:lvl>
  </w:abstractNum>
  <w:abstractNum w:abstractNumId="5">
    <w:nsid w:val="5FABD14B"/>
    <w:multiLevelType w:val="singleLevel"/>
    <w:tmpl w:val="5FABD14B"/>
    <w:lvl w:ilvl="0" w:tentative="0">
      <w:start w:val="1"/>
      <w:numFmt w:val="decimal"/>
      <w:suff w:val="nothing"/>
      <w:lvlText w:val="（%1）"/>
      <w:lvlJc w:val="left"/>
    </w:lvl>
  </w:abstractNum>
  <w:abstractNum w:abstractNumId="6">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3"/>
  </w:num>
  <w:num w:numId="3">
    <w:abstractNumId w:val="1"/>
  </w:num>
  <w:num w:numId="4">
    <w:abstractNumId w:val="0"/>
  </w:num>
  <w:num w:numId="5">
    <w:abstractNumId w:val="4"/>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hideSpellingErrors/>
  <w:hideGrammaticalErrors/>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RmNTY2MTJjMDRkYzdhZTA3ZTViOGRlNjk0Y2NmNzgifQ=="/>
  </w:docVars>
  <w:rsids>
    <w:rsidRoot w:val="00F9008B"/>
    <w:rsid w:val="0000010C"/>
    <w:rsid w:val="000004FE"/>
    <w:rsid w:val="00000FE0"/>
    <w:rsid w:val="00001068"/>
    <w:rsid w:val="0000114A"/>
    <w:rsid w:val="00001417"/>
    <w:rsid w:val="00001731"/>
    <w:rsid w:val="00001C2D"/>
    <w:rsid w:val="00001C55"/>
    <w:rsid w:val="00001CA8"/>
    <w:rsid w:val="00001ED4"/>
    <w:rsid w:val="00001FAE"/>
    <w:rsid w:val="00002291"/>
    <w:rsid w:val="00002DBF"/>
    <w:rsid w:val="00002EC0"/>
    <w:rsid w:val="00003224"/>
    <w:rsid w:val="000033F5"/>
    <w:rsid w:val="0000358C"/>
    <w:rsid w:val="0000361D"/>
    <w:rsid w:val="00003BEF"/>
    <w:rsid w:val="00004130"/>
    <w:rsid w:val="0000431F"/>
    <w:rsid w:val="00004369"/>
    <w:rsid w:val="00004634"/>
    <w:rsid w:val="000046FA"/>
    <w:rsid w:val="00004D8B"/>
    <w:rsid w:val="000059E2"/>
    <w:rsid w:val="00005E6D"/>
    <w:rsid w:val="000061EA"/>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2137"/>
    <w:rsid w:val="000121FF"/>
    <w:rsid w:val="00012456"/>
    <w:rsid w:val="000125B8"/>
    <w:rsid w:val="00012692"/>
    <w:rsid w:val="00012705"/>
    <w:rsid w:val="00013446"/>
    <w:rsid w:val="00013509"/>
    <w:rsid w:val="000135BC"/>
    <w:rsid w:val="000135DC"/>
    <w:rsid w:val="000136D6"/>
    <w:rsid w:val="00014085"/>
    <w:rsid w:val="0001483A"/>
    <w:rsid w:val="00014D89"/>
    <w:rsid w:val="00014DD9"/>
    <w:rsid w:val="00014EE0"/>
    <w:rsid w:val="000151E4"/>
    <w:rsid w:val="00015577"/>
    <w:rsid w:val="000156E4"/>
    <w:rsid w:val="000159A7"/>
    <w:rsid w:val="00015EA2"/>
    <w:rsid w:val="00015FB8"/>
    <w:rsid w:val="0001609F"/>
    <w:rsid w:val="0001611C"/>
    <w:rsid w:val="0001635B"/>
    <w:rsid w:val="00016549"/>
    <w:rsid w:val="00016814"/>
    <w:rsid w:val="00016BF7"/>
    <w:rsid w:val="000171A4"/>
    <w:rsid w:val="0001720C"/>
    <w:rsid w:val="0001767E"/>
    <w:rsid w:val="0001776D"/>
    <w:rsid w:val="00017F31"/>
    <w:rsid w:val="00020252"/>
    <w:rsid w:val="00020607"/>
    <w:rsid w:val="00020CBB"/>
    <w:rsid w:val="0002103A"/>
    <w:rsid w:val="000217E4"/>
    <w:rsid w:val="00021852"/>
    <w:rsid w:val="00021A12"/>
    <w:rsid w:val="000223BF"/>
    <w:rsid w:val="00022622"/>
    <w:rsid w:val="00023363"/>
    <w:rsid w:val="000235F3"/>
    <w:rsid w:val="00023644"/>
    <w:rsid w:val="00023712"/>
    <w:rsid w:val="00023856"/>
    <w:rsid w:val="00024E3C"/>
    <w:rsid w:val="00024EB0"/>
    <w:rsid w:val="00025471"/>
    <w:rsid w:val="00025604"/>
    <w:rsid w:val="00025DAF"/>
    <w:rsid w:val="0002646A"/>
    <w:rsid w:val="0002651D"/>
    <w:rsid w:val="00026C90"/>
    <w:rsid w:val="00026CFD"/>
    <w:rsid w:val="00027C8B"/>
    <w:rsid w:val="00027CD9"/>
    <w:rsid w:val="00027E96"/>
    <w:rsid w:val="00030242"/>
    <w:rsid w:val="00030422"/>
    <w:rsid w:val="00030B06"/>
    <w:rsid w:val="0003183A"/>
    <w:rsid w:val="00031CDC"/>
    <w:rsid w:val="00032416"/>
    <w:rsid w:val="00032461"/>
    <w:rsid w:val="0003263B"/>
    <w:rsid w:val="0003282C"/>
    <w:rsid w:val="000329E7"/>
    <w:rsid w:val="00032F6D"/>
    <w:rsid w:val="0003304A"/>
    <w:rsid w:val="0003317E"/>
    <w:rsid w:val="00033413"/>
    <w:rsid w:val="000337F3"/>
    <w:rsid w:val="00033DDB"/>
    <w:rsid w:val="00034499"/>
    <w:rsid w:val="000345AB"/>
    <w:rsid w:val="00034B24"/>
    <w:rsid w:val="00034C27"/>
    <w:rsid w:val="00034E2A"/>
    <w:rsid w:val="0003577F"/>
    <w:rsid w:val="00035B29"/>
    <w:rsid w:val="00035DFD"/>
    <w:rsid w:val="000363B6"/>
    <w:rsid w:val="00036466"/>
    <w:rsid w:val="0003675E"/>
    <w:rsid w:val="00036ED3"/>
    <w:rsid w:val="00037F87"/>
    <w:rsid w:val="00037FA2"/>
    <w:rsid w:val="000400D0"/>
    <w:rsid w:val="000402BE"/>
    <w:rsid w:val="00040343"/>
    <w:rsid w:val="000425AC"/>
    <w:rsid w:val="000427B8"/>
    <w:rsid w:val="000429F6"/>
    <w:rsid w:val="00042F4A"/>
    <w:rsid w:val="00043AC8"/>
    <w:rsid w:val="00043BE5"/>
    <w:rsid w:val="00044003"/>
    <w:rsid w:val="00044527"/>
    <w:rsid w:val="000447E8"/>
    <w:rsid w:val="00044897"/>
    <w:rsid w:val="00044ACF"/>
    <w:rsid w:val="00045465"/>
    <w:rsid w:val="000454F4"/>
    <w:rsid w:val="00045789"/>
    <w:rsid w:val="00045D1E"/>
    <w:rsid w:val="00045E69"/>
    <w:rsid w:val="00045E97"/>
    <w:rsid w:val="00045EF4"/>
    <w:rsid w:val="00046547"/>
    <w:rsid w:val="000466D7"/>
    <w:rsid w:val="00046753"/>
    <w:rsid w:val="00047103"/>
    <w:rsid w:val="00047254"/>
    <w:rsid w:val="00047E41"/>
    <w:rsid w:val="0005022B"/>
    <w:rsid w:val="00050450"/>
    <w:rsid w:val="00050771"/>
    <w:rsid w:val="000509BA"/>
    <w:rsid w:val="0005137A"/>
    <w:rsid w:val="000513F3"/>
    <w:rsid w:val="00052287"/>
    <w:rsid w:val="000522E0"/>
    <w:rsid w:val="00052FED"/>
    <w:rsid w:val="000532F4"/>
    <w:rsid w:val="000535A9"/>
    <w:rsid w:val="000536AE"/>
    <w:rsid w:val="00054C2F"/>
    <w:rsid w:val="00054CD5"/>
    <w:rsid w:val="00054D03"/>
    <w:rsid w:val="000550AC"/>
    <w:rsid w:val="0005584D"/>
    <w:rsid w:val="00055CC3"/>
    <w:rsid w:val="00055CEE"/>
    <w:rsid w:val="00055FB7"/>
    <w:rsid w:val="000566FA"/>
    <w:rsid w:val="00056A2B"/>
    <w:rsid w:val="00056DA8"/>
    <w:rsid w:val="00056E37"/>
    <w:rsid w:val="00056EE2"/>
    <w:rsid w:val="00056F27"/>
    <w:rsid w:val="00056FE2"/>
    <w:rsid w:val="000570FB"/>
    <w:rsid w:val="000575B8"/>
    <w:rsid w:val="00060131"/>
    <w:rsid w:val="0006026B"/>
    <w:rsid w:val="00060293"/>
    <w:rsid w:val="00061341"/>
    <w:rsid w:val="00061AA1"/>
    <w:rsid w:val="00061B7F"/>
    <w:rsid w:val="00061BD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5EB1"/>
    <w:rsid w:val="000661CA"/>
    <w:rsid w:val="0006668D"/>
    <w:rsid w:val="000667B3"/>
    <w:rsid w:val="00066896"/>
    <w:rsid w:val="00067002"/>
    <w:rsid w:val="00067993"/>
    <w:rsid w:val="00067B1C"/>
    <w:rsid w:val="00067CED"/>
    <w:rsid w:val="00067F66"/>
    <w:rsid w:val="0007041A"/>
    <w:rsid w:val="00070634"/>
    <w:rsid w:val="0007063F"/>
    <w:rsid w:val="00070883"/>
    <w:rsid w:val="00070C3F"/>
    <w:rsid w:val="0007102C"/>
    <w:rsid w:val="00071D68"/>
    <w:rsid w:val="00071FCE"/>
    <w:rsid w:val="00072661"/>
    <w:rsid w:val="00072CCC"/>
    <w:rsid w:val="0007308C"/>
    <w:rsid w:val="0007315D"/>
    <w:rsid w:val="00073549"/>
    <w:rsid w:val="000737BE"/>
    <w:rsid w:val="0007483E"/>
    <w:rsid w:val="000751DB"/>
    <w:rsid w:val="0007542D"/>
    <w:rsid w:val="0007578F"/>
    <w:rsid w:val="000758C2"/>
    <w:rsid w:val="00075E43"/>
    <w:rsid w:val="00077706"/>
    <w:rsid w:val="00077878"/>
    <w:rsid w:val="00077E81"/>
    <w:rsid w:val="000804EF"/>
    <w:rsid w:val="00080558"/>
    <w:rsid w:val="0008069D"/>
    <w:rsid w:val="00080DCC"/>
    <w:rsid w:val="00081230"/>
    <w:rsid w:val="000812A8"/>
    <w:rsid w:val="000814E2"/>
    <w:rsid w:val="000818C9"/>
    <w:rsid w:val="00081CBB"/>
    <w:rsid w:val="00081D42"/>
    <w:rsid w:val="000822EF"/>
    <w:rsid w:val="0008241E"/>
    <w:rsid w:val="000826F5"/>
    <w:rsid w:val="000829B1"/>
    <w:rsid w:val="00082AAB"/>
    <w:rsid w:val="0008307D"/>
    <w:rsid w:val="000831E9"/>
    <w:rsid w:val="000833BB"/>
    <w:rsid w:val="000839FD"/>
    <w:rsid w:val="00083F72"/>
    <w:rsid w:val="0008452D"/>
    <w:rsid w:val="0008467B"/>
    <w:rsid w:val="000850FA"/>
    <w:rsid w:val="000857A6"/>
    <w:rsid w:val="00085C12"/>
    <w:rsid w:val="00085DA0"/>
    <w:rsid w:val="00085F82"/>
    <w:rsid w:val="00086506"/>
    <w:rsid w:val="00086B6E"/>
    <w:rsid w:val="00086C2F"/>
    <w:rsid w:val="00086C64"/>
    <w:rsid w:val="000874BB"/>
    <w:rsid w:val="0008781A"/>
    <w:rsid w:val="00087FF8"/>
    <w:rsid w:val="00090951"/>
    <w:rsid w:val="00090A61"/>
    <w:rsid w:val="000918F5"/>
    <w:rsid w:val="000919B5"/>
    <w:rsid w:val="00091C1D"/>
    <w:rsid w:val="00091E08"/>
    <w:rsid w:val="00092100"/>
    <w:rsid w:val="000922D8"/>
    <w:rsid w:val="000932E7"/>
    <w:rsid w:val="0009333A"/>
    <w:rsid w:val="000933C3"/>
    <w:rsid w:val="00093459"/>
    <w:rsid w:val="00093A93"/>
    <w:rsid w:val="00093B4E"/>
    <w:rsid w:val="00093B8B"/>
    <w:rsid w:val="000944C3"/>
    <w:rsid w:val="000951E7"/>
    <w:rsid w:val="00095B82"/>
    <w:rsid w:val="00096098"/>
    <w:rsid w:val="000961B2"/>
    <w:rsid w:val="000969D9"/>
    <w:rsid w:val="00096F37"/>
    <w:rsid w:val="00097FE5"/>
    <w:rsid w:val="000A0354"/>
    <w:rsid w:val="000A091F"/>
    <w:rsid w:val="000A0958"/>
    <w:rsid w:val="000A0FCC"/>
    <w:rsid w:val="000A1033"/>
    <w:rsid w:val="000A2712"/>
    <w:rsid w:val="000A2877"/>
    <w:rsid w:val="000A355D"/>
    <w:rsid w:val="000A35DA"/>
    <w:rsid w:val="000A371E"/>
    <w:rsid w:val="000A3B88"/>
    <w:rsid w:val="000A3DE5"/>
    <w:rsid w:val="000A4011"/>
    <w:rsid w:val="000A45D5"/>
    <w:rsid w:val="000A46CD"/>
    <w:rsid w:val="000A490E"/>
    <w:rsid w:val="000A4B64"/>
    <w:rsid w:val="000A529E"/>
    <w:rsid w:val="000A57C9"/>
    <w:rsid w:val="000A5B49"/>
    <w:rsid w:val="000A5FE5"/>
    <w:rsid w:val="000A62C4"/>
    <w:rsid w:val="000A6684"/>
    <w:rsid w:val="000A7194"/>
    <w:rsid w:val="000A7218"/>
    <w:rsid w:val="000A740A"/>
    <w:rsid w:val="000A7446"/>
    <w:rsid w:val="000A7E7F"/>
    <w:rsid w:val="000A7ECD"/>
    <w:rsid w:val="000B04DD"/>
    <w:rsid w:val="000B09EE"/>
    <w:rsid w:val="000B0F01"/>
    <w:rsid w:val="000B1346"/>
    <w:rsid w:val="000B1914"/>
    <w:rsid w:val="000B19DC"/>
    <w:rsid w:val="000B1B44"/>
    <w:rsid w:val="000B1CA2"/>
    <w:rsid w:val="000B202E"/>
    <w:rsid w:val="000B2293"/>
    <w:rsid w:val="000B24A4"/>
    <w:rsid w:val="000B255C"/>
    <w:rsid w:val="000B395E"/>
    <w:rsid w:val="000B39C3"/>
    <w:rsid w:val="000B3A00"/>
    <w:rsid w:val="000B3A65"/>
    <w:rsid w:val="000B3D8D"/>
    <w:rsid w:val="000B4840"/>
    <w:rsid w:val="000B4D79"/>
    <w:rsid w:val="000B53E8"/>
    <w:rsid w:val="000B5627"/>
    <w:rsid w:val="000B5671"/>
    <w:rsid w:val="000B5A2F"/>
    <w:rsid w:val="000B6BF0"/>
    <w:rsid w:val="000B6CE8"/>
    <w:rsid w:val="000B7DAF"/>
    <w:rsid w:val="000C005F"/>
    <w:rsid w:val="000C006F"/>
    <w:rsid w:val="000C071C"/>
    <w:rsid w:val="000C0931"/>
    <w:rsid w:val="000C0BB4"/>
    <w:rsid w:val="000C0BEE"/>
    <w:rsid w:val="000C11BE"/>
    <w:rsid w:val="000C1CB9"/>
    <w:rsid w:val="000C2159"/>
    <w:rsid w:val="000C21BB"/>
    <w:rsid w:val="000C289B"/>
    <w:rsid w:val="000C2EB4"/>
    <w:rsid w:val="000C352F"/>
    <w:rsid w:val="000C3895"/>
    <w:rsid w:val="000C3F01"/>
    <w:rsid w:val="000C410D"/>
    <w:rsid w:val="000C420D"/>
    <w:rsid w:val="000C4773"/>
    <w:rsid w:val="000C4944"/>
    <w:rsid w:val="000C4E24"/>
    <w:rsid w:val="000C52D0"/>
    <w:rsid w:val="000C5851"/>
    <w:rsid w:val="000C591E"/>
    <w:rsid w:val="000C5C4A"/>
    <w:rsid w:val="000C5F01"/>
    <w:rsid w:val="000C63C4"/>
    <w:rsid w:val="000C66C1"/>
    <w:rsid w:val="000C69CE"/>
    <w:rsid w:val="000C6F0B"/>
    <w:rsid w:val="000C6F32"/>
    <w:rsid w:val="000C6FEF"/>
    <w:rsid w:val="000C7084"/>
    <w:rsid w:val="000C7324"/>
    <w:rsid w:val="000C778C"/>
    <w:rsid w:val="000C7833"/>
    <w:rsid w:val="000C7E1B"/>
    <w:rsid w:val="000C7E73"/>
    <w:rsid w:val="000D001B"/>
    <w:rsid w:val="000D0A45"/>
    <w:rsid w:val="000D136E"/>
    <w:rsid w:val="000D14AC"/>
    <w:rsid w:val="000D15BA"/>
    <w:rsid w:val="000D15BE"/>
    <w:rsid w:val="000D1C25"/>
    <w:rsid w:val="000D252B"/>
    <w:rsid w:val="000D2BCC"/>
    <w:rsid w:val="000D2C9B"/>
    <w:rsid w:val="000D2CCB"/>
    <w:rsid w:val="000D35FD"/>
    <w:rsid w:val="000D3D2D"/>
    <w:rsid w:val="000D3D99"/>
    <w:rsid w:val="000D451B"/>
    <w:rsid w:val="000D4653"/>
    <w:rsid w:val="000D4696"/>
    <w:rsid w:val="000D4817"/>
    <w:rsid w:val="000D4D0C"/>
    <w:rsid w:val="000D4FB9"/>
    <w:rsid w:val="000D54B4"/>
    <w:rsid w:val="000D584B"/>
    <w:rsid w:val="000D5EE9"/>
    <w:rsid w:val="000D5F55"/>
    <w:rsid w:val="000D6372"/>
    <w:rsid w:val="000D6979"/>
    <w:rsid w:val="000D69DF"/>
    <w:rsid w:val="000D6CE7"/>
    <w:rsid w:val="000D6E38"/>
    <w:rsid w:val="000D6E63"/>
    <w:rsid w:val="000D711C"/>
    <w:rsid w:val="000D7B6E"/>
    <w:rsid w:val="000E0644"/>
    <w:rsid w:val="000E076D"/>
    <w:rsid w:val="000E087C"/>
    <w:rsid w:val="000E1300"/>
    <w:rsid w:val="000E187C"/>
    <w:rsid w:val="000E1AF6"/>
    <w:rsid w:val="000E1B28"/>
    <w:rsid w:val="000E1E8D"/>
    <w:rsid w:val="000E1EBC"/>
    <w:rsid w:val="000E2173"/>
    <w:rsid w:val="000E220B"/>
    <w:rsid w:val="000E2266"/>
    <w:rsid w:val="000E2A50"/>
    <w:rsid w:val="000E30F2"/>
    <w:rsid w:val="000E316B"/>
    <w:rsid w:val="000E372D"/>
    <w:rsid w:val="000E3D08"/>
    <w:rsid w:val="000E4728"/>
    <w:rsid w:val="000E4D1F"/>
    <w:rsid w:val="000E5658"/>
    <w:rsid w:val="000E5698"/>
    <w:rsid w:val="000E5723"/>
    <w:rsid w:val="000E581B"/>
    <w:rsid w:val="000E64B2"/>
    <w:rsid w:val="000E65D2"/>
    <w:rsid w:val="000E6919"/>
    <w:rsid w:val="000E6B1B"/>
    <w:rsid w:val="000E6F0C"/>
    <w:rsid w:val="000E7215"/>
    <w:rsid w:val="000E732D"/>
    <w:rsid w:val="000F07ED"/>
    <w:rsid w:val="000F0CF2"/>
    <w:rsid w:val="000F1401"/>
    <w:rsid w:val="000F1A32"/>
    <w:rsid w:val="000F1CC2"/>
    <w:rsid w:val="000F1D15"/>
    <w:rsid w:val="000F270A"/>
    <w:rsid w:val="000F2FA3"/>
    <w:rsid w:val="000F34C8"/>
    <w:rsid w:val="000F38BC"/>
    <w:rsid w:val="000F3BF8"/>
    <w:rsid w:val="000F3E2A"/>
    <w:rsid w:val="000F46AF"/>
    <w:rsid w:val="000F4D26"/>
    <w:rsid w:val="000F5639"/>
    <w:rsid w:val="000F5645"/>
    <w:rsid w:val="000F58A4"/>
    <w:rsid w:val="000F5CD6"/>
    <w:rsid w:val="000F5F99"/>
    <w:rsid w:val="000F6833"/>
    <w:rsid w:val="000F6A24"/>
    <w:rsid w:val="000F7502"/>
    <w:rsid w:val="000F7616"/>
    <w:rsid w:val="000F767F"/>
    <w:rsid w:val="000F7DE9"/>
    <w:rsid w:val="000F7F7A"/>
    <w:rsid w:val="001002F4"/>
    <w:rsid w:val="001004C7"/>
    <w:rsid w:val="0010050C"/>
    <w:rsid w:val="001006CB"/>
    <w:rsid w:val="001011FC"/>
    <w:rsid w:val="0010165F"/>
    <w:rsid w:val="00101E3C"/>
    <w:rsid w:val="00101E7C"/>
    <w:rsid w:val="001023DC"/>
    <w:rsid w:val="001024A7"/>
    <w:rsid w:val="00102572"/>
    <w:rsid w:val="00102946"/>
    <w:rsid w:val="001029A0"/>
    <w:rsid w:val="00102FBF"/>
    <w:rsid w:val="0010333D"/>
    <w:rsid w:val="0010372A"/>
    <w:rsid w:val="00103F41"/>
    <w:rsid w:val="00104662"/>
    <w:rsid w:val="001047D9"/>
    <w:rsid w:val="00104F34"/>
    <w:rsid w:val="001053C5"/>
    <w:rsid w:val="001055AD"/>
    <w:rsid w:val="00105C14"/>
    <w:rsid w:val="001065A3"/>
    <w:rsid w:val="00106610"/>
    <w:rsid w:val="00106831"/>
    <w:rsid w:val="0010683E"/>
    <w:rsid w:val="0010691D"/>
    <w:rsid w:val="00106931"/>
    <w:rsid w:val="00106B33"/>
    <w:rsid w:val="00106E69"/>
    <w:rsid w:val="00110AC5"/>
    <w:rsid w:val="00110E95"/>
    <w:rsid w:val="00110F0B"/>
    <w:rsid w:val="0011108B"/>
    <w:rsid w:val="00111136"/>
    <w:rsid w:val="00111164"/>
    <w:rsid w:val="00111761"/>
    <w:rsid w:val="00112164"/>
    <w:rsid w:val="0011241F"/>
    <w:rsid w:val="001128BF"/>
    <w:rsid w:val="00112D09"/>
    <w:rsid w:val="00112E8F"/>
    <w:rsid w:val="00112F03"/>
    <w:rsid w:val="00112F38"/>
    <w:rsid w:val="0011374E"/>
    <w:rsid w:val="00113821"/>
    <w:rsid w:val="00114058"/>
    <w:rsid w:val="0011449E"/>
    <w:rsid w:val="00114B4E"/>
    <w:rsid w:val="001153EF"/>
    <w:rsid w:val="00115AEE"/>
    <w:rsid w:val="00115D55"/>
    <w:rsid w:val="00115E45"/>
    <w:rsid w:val="00115F85"/>
    <w:rsid w:val="0011688E"/>
    <w:rsid w:val="00116A8B"/>
    <w:rsid w:val="00116ACD"/>
    <w:rsid w:val="00116AF0"/>
    <w:rsid w:val="00116E19"/>
    <w:rsid w:val="0011718F"/>
    <w:rsid w:val="00117B7D"/>
    <w:rsid w:val="00117D52"/>
    <w:rsid w:val="00117EC7"/>
    <w:rsid w:val="00117EFC"/>
    <w:rsid w:val="00120023"/>
    <w:rsid w:val="001205A8"/>
    <w:rsid w:val="00120792"/>
    <w:rsid w:val="00120D46"/>
    <w:rsid w:val="00121766"/>
    <w:rsid w:val="0012291C"/>
    <w:rsid w:val="00122A64"/>
    <w:rsid w:val="00123694"/>
    <w:rsid w:val="0012388A"/>
    <w:rsid w:val="0012388C"/>
    <w:rsid w:val="00123AFA"/>
    <w:rsid w:val="00123C8C"/>
    <w:rsid w:val="00123E8B"/>
    <w:rsid w:val="00124405"/>
    <w:rsid w:val="00124B43"/>
    <w:rsid w:val="00124DF8"/>
    <w:rsid w:val="001253EA"/>
    <w:rsid w:val="00125B99"/>
    <w:rsid w:val="00126160"/>
    <w:rsid w:val="00126AEC"/>
    <w:rsid w:val="00126DB5"/>
    <w:rsid w:val="0012711C"/>
    <w:rsid w:val="00127178"/>
    <w:rsid w:val="00127700"/>
    <w:rsid w:val="00127F09"/>
    <w:rsid w:val="0013002A"/>
    <w:rsid w:val="001300D8"/>
    <w:rsid w:val="0013013C"/>
    <w:rsid w:val="0013085D"/>
    <w:rsid w:val="0013089C"/>
    <w:rsid w:val="00130A2D"/>
    <w:rsid w:val="00130CEA"/>
    <w:rsid w:val="00130F54"/>
    <w:rsid w:val="00131888"/>
    <w:rsid w:val="00131B07"/>
    <w:rsid w:val="00131F17"/>
    <w:rsid w:val="0013212F"/>
    <w:rsid w:val="00132284"/>
    <w:rsid w:val="001323F9"/>
    <w:rsid w:val="0013251F"/>
    <w:rsid w:val="001328AD"/>
    <w:rsid w:val="00133088"/>
    <w:rsid w:val="00133346"/>
    <w:rsid w:val="001335B1"/>
    <w:rsid w:val="00133668"/>
    <w:rsid w:val="00133B4E"/>
    <w:rsid w:val="0013410F"/>
    <w:rsid w:val="001346AF"/>
    <w:rsid w:val="00134990"/>
    <w:rsid w:val="00134BAD"/>
    <w:rsid w:val="001354D1"/>
    <w:rsid w:val="00135840"/>
    <w:rsid w:val="00135A0A"/>
    <w:rsid w:val="00135BB9"/>
    <w:rsid w:val="0013621D"/>
    <w:rsid w:val="00136354"/>
    <w:rsid w:val="00136674"/>
    <w:rsid w:val="00136B0E"/>
    <w:rsid w:val="00136C3B"/>
    <w:rsid w:val="001376AB"/>
    <w:rsid w:val="0013777C"/>
    <w:rsid w:val="00137D5F"/>
    <w:rsid w:val="00140082"/>
    <w:rsid w:val="001400C5"/>
    <w:rsid w:val="00140175"/>
    <w:rsid w:val="00140757"/>
    <w:rsid w:val="00140D07"/>
    <w:rsid w:val="001415EF"/>
    <w:rsid w:val="00141854"/>
    <w:rsid w:val="00141A3A"/>
    <w:rsid w:val="00141FD4"/>
    <w:rsid w:val="001423FA"/>
    <w:rsid w:val="001427B5"/>
    <w:rsid w:val="001428CF"/>
    <w:rsid w:val="00142D0C"/>
    <w:rsid w:val="00142E3C"/>
    <w:rsid w:val="00143387"/>
    <w:rsid w:val="001439BA"/>
    <w:rsid w:val="00144013"/>
    <w:rsid w:val="0014557F"/>
    <w:rsid w:val="001455C3"/>
    <w:rsid w:val="00145A17"/>
    <w:rsid w:val="00145BBE"/>
    <w:rsid w:val="001460B5"/>
    <w:rsid w:val="0014641F"/>
    <w:rsid w:val="001464A8"/>
    <w:rsid w:val="001467BB"/>
    <w:rsid w:val="00146CA8"/>
    <w:rsid w:val="00146DB9"/>
    <w:rsid w:val="00147884"/>
    <w:rsid w:val="00150827"/>
    <w:rsid w:val="00150B0D"/>
    <w:rsid w:val="00150E10"/>
    <w:rsid w:val="00151A32"/>
    <w:rsid w:val="00151B2C"/>
    <w:rsid w:val="00151E31"/>
    <w:rsid w:val="00151F9B"/>
    <w:rsid w:val="00152289"/>
    <w:rsid w:val="00152425"/>
    <w:rsid w:val="00152BAD"/>
    <w:rsid w:val="00152CE3"/>
    <w:rsid w:val="00153652"/>
    <w:rsid w:val="00153697"/>
    <w:rsid w:val="00153828"/>
    <w:rsid w:val="00153956"/>
    <w:rsid w:val="00153B95"/>
    <w:rsid w:val="00154146"/>
    <w:rsid w:val="00154190"/>
    <w:rsid w:val="00154396"/>
    <w:rsid w:val="001545EA"/>
    <w:rsid w:val="001549BA"/>
    <w:rsid w:val="00154BBF"/>
    <w:rsid w:val="00155099"/>
    <w:rsid w:val="00155C85"/>
    <w:rsid w:val="00156592"/>
    <w:rsid w:val="00156A6C"/>
    <w:rsid w:val="00156B10"/>
    <w:rsid w:val="001576FE"/>
    <w:rsid w:val="00157823"/>
    <w:rsid w:val="0015790D"/>
    <w:rsid w:val="00157C5E"/>
    <w:rsid w:val="00157DD3"/>
    <w:rsid w:val="0016015A"/>
    <w:rsid w:val="0016020E"/>
    <w:rsid w:val="00160503"/>
    <w:rsid w:val="00160BF6"/>
    <w:rsid w:val="00160D7C"/>
    <w:rsid w:val="00160E30"/>
    <w:rsid w:val="0016106D"/>
    <w:rsid w:val="001612E1"/>
    <w:rsid w:val="001614DB"/>
    <w:rsid w:val="00161752"/>
    <w:rsid w:val="00161793"/>
    <w:rsid w:val="0016194E"/>
    <w:rsid w:val="00161B1E"/>
    <w:rsid w:val="0016236C"/>
    <w:rsid w:val="00162625"/>
    <w:rsid w:val="0016280E"/>
    <w:rsid w:val="001630A8"/>
    <w:rsid w:val="00163826"/>
    <w:rsid w:val="00163943"/>
    <w:rsid w:val="00163BA1"/>
    <w:rsid w:val="00163C89"/>
    <w:rsid w:val="00163EB2"/>
    <w:rsid w:val="00163F22"/>
    <w:rsid w:val="0016417B"/>
    <w:rsid w:val="001643A6"/>
    <w:rsid w:val="0016470E"/>
    <w:rsid w:val="001649D3"/>
    <w:rsid w:val="00164E0A"/>
    <w:rsid w:val="001652A9"/>
    <w:rsid w:val="001652D7"/>
    <w:rsid w:val="00165A5F"/>
    <w:rsid w:val="00166223"/>
    <w:rsid w:val="0016793E"/>
    <w:rsid w:val="00167D4D"/>
    <w:rsid w:val="0017054C"/>
    <w:rsid w:val="00170635"/>
    <w:rsid w:val="0017070D"/>
    <w:rsid w:val="00170837"/>
    <w:rsid w:val="00171035"/>
    <w:rsid w:val="001713B7"/>
    <w:rsid w:val="00171ADB"/>
    <w:rsid w:val="00171E2C"/>
    <w:rsid w:val="00172029"/>
    <w:rsid w:val="001721CA"/>
    <w:rsid w:val="0017234A"/>
    <w:rsid w:val="001733A4"/>
    <w:rsid w:val="00173AB9"/>
    <w:rsid w:val="00173BED"/>
    <w:rsid w:val="00173EED"/>
    <w:rsid w:val="00174368"/>
    <w:rsid w:val="001744EA"/>
    <w:rsid w:val="00174731"/>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0CC5"/>
    <w:rsid w:val="00181178"/>
    <w:rsid w:val="0018119E"/>
    <w:rsid w:val="0018152C"/>
    <w:rsid w:val="00181DBA"/>
    <w:rsid w:val="00181EEF"/>
    <w:rsid w:val="00181F3E"/>
    <w:rsid w:val="00182456"/>
    <w:rsid w:val="00182AA4"/>
    <w:rsid w:val="00182FE0"/>
    <w:rsid w:val="00183911"/>
    <w:rsid w:val="00184418"/>
    <w:rsid w:val="001845FB"/>
    <w:rsid w:val="00184B61"/>
    <w:rsid w:val="001857FB"/>
    <w:rsid w:val="00185DA6"/>
    <w:rsid w:val="00185F64"/>
    <w:rsid w:val="00186096"/>
    <w:rsid w:val="001862FE"/>
    <w:rsid w:val="001864AC"/>
    <w:rsid w:val="00187317"/>
    <w:rsid w:val="0018772E"/>
    <w:rsid w:val="00187765"/>
    <w:rsid w:val="00187A4E"/>
    <w:rsid w:val="00187A94"/>
    <w:rsid w:val="0019029E"/>
    <w:rsid w:val="00190804"/>
    <w:rsid w:val="0019088F"/>
    <w:rsid w:val="00190C51"/>
    <w:rsid w:val="00190D98"/>
    <w:rsid w:val="001916BE"/>
    <w:rsid w:val="001922CF"/>
    <w:rsid w:val="0019285F"/>
    <w:rsid w:val="00192F00"/>
    <w:rsid w:val="00193ACC"/>
    <w:rsid w:val="00193BFE"/>
    <w:rsid w:val="001943CA"/>
    <w:rsid w:val="00195062"/>
    <w:rsid w:val="00195322"/>
    <w:rsid w:val="0019560E"/>
    <w:rsid w:val="001958E3"/>
    <w:rsid w:val="00195FFA"/>
    <w:rsid w:val="0019601B"/>
    <w:rsid w:val="00196048"/>
    <w:rsid w:val="00196A82"/>
    <w:rsid w:val="0019769B"/>
    <w:rsid w:val="001978D1"/>
    <w:rsid w:val="001979F9"/>
    <w:rsid w:val="00197FFE"/>
    <w:rsid w:val="001A0D25"/>
    <w:rsid w:val="001A0E14"/>
    <w:rsid w:val="001A1570"/>
    <w:rsid w:val="001A1917"/>
    <w:rsid w:val="001A1C64"/>
    <w:rsid w:val="001A1DFB"/>
    <w:rsid w:val="001A1E7F"/>
    <w:rsid w:val="001A2466"/>
    <w:rsid w:val="001A2918"/>
    <w:rsid w:val="001A2D02"/>
    <w:rsid w:val="001A2DF0"/>
    <w:rsid w:val="001A2FD7"/>
    <w:rsid w:val="001A3076"/>
    <w:rsid w:val="001A3163"/>
    <w:rsid w:val="001A31A5"/>
    <w:rsid w:val="001A389C"/>
    <w:rsid w:val="001A3B75"/>
    <w:rsid w:val="001A403E"/>
    <w:rsid w:val="001A42A3"/>
    <w:rsid w:val="001A46FB"/>
    <w:rsid w:val="001A4EC9"/>
    <w:rsid w:val="001A5482"/>
    <w:rsid w:val="001A5944"/>
    <w:rsid w:val="001A5FB1"/>
    <w:rsid w:val="001A5FD2"/>
    <w:rsid w:val="001A618F"/>
    <w:rsid w:val="001A698A"/>
    <w:rsid w:val="001A6CCC"/>
    <w:rsid w:val="001A6E3B"/>
    <w:rsid w:val="001A70C8"/>
    <w:rsid w:val="001A71C9"/>
    <w:rsid w:val="001A7429"/>
    <w:rsid w:val="001A760C"/>
    <w:rsid w:val="001A76F0"/>
    <w:rsid w:val="001A7977"/>
    <w:rsid w:val="001A799B"/>
    <w:rsid w:val="001A7AC7"/>
    <w:rsid w:val="001A7C38"/>
    <w:rsid w:val="001B011F"/>
    <w:rsid w:val="001B02F8"/>
    <w:rsid w:val="001B2104"/>
    <w:rsid w:val="001B2279"/>
    <w:rsid w:val="001B2729"/>
    <w:rsid w:val="001B2866"/>
    <w:rsid w:val="001B2881"/>
    <w:rsid w:val="001B2B73"/>
    <w:rsid w:val="001B3282"/>
    <w:rsid w:val="001B3675"/>
    <w:rsid w:val="001B37C8"/>
    <w:rsid w:val="001B3B29"/>
    <w:rsid w:val="001B48BA"/>
    <w:rsid w:val="001B4B2C"/>
    <w:rsid w:val="001B4F10"/>
    <w:rsid w:val="001B5154"/>
    <w:rsid w:val="001B5323"/>
    <w:rsid w:val="001B592B"/>
    <w:rsid w:val="001B5AC2"/>
    <w:rsid w:val="001B6DCE"/>
    <w:rsid w:val="001B6E30"/>
    <w:rsid w:val="001B7060"/>
    <w:rsid w:val="001B7BF7"/>
    <w:rsid w:val="001B7C83"/>
    <w:rsid w:val="001B7F9E"/>
    <w:rsid w:val="001C0206"/>
    <w:rsid w:val="001C0246"/>
    <w:rsid w:val="001C04D4"/>
    <w:rsid w:val="001C0B34"/>
    <w:rsid w:val="001C12A3"/>
    <w:rsid w:val="001C1419"/>
    <w:rsid w:val="001C15D8"/>
    <w:rsid w:val="001C17BB"/>
    <w:rsid w:val="001C187E"/>
    <w:rsid w:val="001C1A37"/>
    <w:rsid w:val="001C1C49"/>
    <w:rsid w:val="001C286F"/>
    <w:rsid w:val="001C2B86"/>
    <w:rsid w:val="001C2F54"/>
    <w:rsid w:val="001C3308"/>
    <w:rsid w:val="001C34F5"/>
    <w:rsid w:val="001C3BBB"/>
    <w:rsid w:val="001C40D1"/>
    <w:rsid w:val="001C468A"/>
    <w:rsid w:val="001C4805"/>
    <w:rsid w:val="001C4834"/>
    <w:rsid w:val="001C4A38"/>
    <w:rsid w:val="001C4A9E"/>
    <w:rsid w:val="001C5001"/>
    <w:rsid w:val="001C5103"/>
    <w:rsid w:val="001C52A8"/>
    <w:rsid w:val="001C5ADF"/>
    <w:rsid w:val="001C5E8E"/>
    <w:rsid w:val="001C6120"/>
    <w:rsid w:val="001C6248"/>
    <w:rsid w:val="001C6516"/>
    <w:rsid w:val="001C6B5C"/>
    <w:rsid w:val="001C7155"/>
    <w:rsid w:val="001C7E48"/>
    <w:rsid w:val="001D0190"/>
    <w:rsid w:val="001D039B"/>
    <w:rsid w:val="001D0425"/>
    <w:rsid w:val="001D05A3"/>
    <w:rsid w:val="001D0849"/>
    <w:rsid w:val="001D1258"/>
    <w:rsid w:val="001D18BA"/>
    <w:rsid w:val="001D1AB8"/>
    <w:rsid w:val="001D26F5"/>
    <w:rsid w:val="001D286F"/>
    <w:rsid w:val="001D2C94"/>
    <w:rsid w:val="001D33D9"/>
    <w:rsid w:val="001D36F6"/>
    <w:rsid w:val="001D3C75"/>
    <w:rsid w:val="001D4303"/>
    <w:rsid w:val="001D45E5"/>
    <w:rsid w:val="001D461A"/>
    <w:rsid w:val="001D4A9D"/>
    <w:rsid w:val="001D4AAD"/>
    <w:rsid w:val="001D4E16"/>
    <w:rsid w:val="001D5AFA"/>
    <w:rsid w:val="001D652D"/>
    <w:rsid w:val="001D72D9"/>
    <w:rsid w:val="001D7421"/>
    <w:rsid w:val="001D757E"/>
    <w:rsid w:val="001D784A"/>
    <w:rsid w:val="001E04A4"/>
    <w:rsid w:val="001E07C5"/>
    <w:rsid w:val="001E0B45"/>
    <w:rsid w:val="001E0BF4"/>
    <w:rsid w:val="001E176D"/>
    <w:rsid w:val="001E196E"/>
    <w:rsid w:val="001E1BCE"/>
    <w:rsid w:val="001E1E05"/>
    <w:rsid w:val="001E2086"/>
    <w:rsid w:val="001E339F"/>
    <w:rsid w:val="001E3629"/>
    <w:rsid w:val="001E3785"/>
    <w:rsid w:val="001E3E7D"/>
    <w:rsid w:val="001E40F0"/>
    <w:rsid w:val="001E4172"/>
    <w:rsid w:val="001E4978"/>
    <w:rsid w:val="001E4C01"/>
    <w:rsid w:val="001E4F08"/>
    <w:rsid w:val="001E5366"/>
    <w:rsid w:val="001E5490"/>
    <w:rsid w:val="001E5730"/>
    <w:rsid w:val="001E5D2B"/>
    <w:rsid w:val="001E5E2E"/>
    <w:rsid w:val="001E6352"/>
    <w:rsid w:val="001E6EA5"/>
    <w:rsid w:val="001E700A"/>
    <w:rsid w:val="001E70AD"/>
    <w:rsid w:val="001E7237"/>
    <w:rsid w:val="001E7AF6"/>
    <w:rsid w:val="001F01B8"/>
    <w:rsid w:val="001F0FC3"/>
    <w:rsid w:val="001F1188"/>
    <w:rsid w:val="001F1B8D"/>
    <w:rsid w:val="001F1C50"/>
    <w:rsid w:val="001F274F"/>
    <w:rsid w:val="001F289C"/>
    <w:rsid w:val="001F2BF9"/>
    <w:rsid w:val="001F3AF2"/>
    <w:rsid w:val="001F6008"/>
    <w:rsid w:val="001F604B"/>
    <w:rsid w:val="001F641B"/>
    <w:rsid w:val="001F6D4D"/>
    <w:rsid w:val="001F7F7E"/>
    <w:rsid w:val="0020125C"/>
    <w:rsid w:val="0020130D"/>
    <w:rsid w:val="00201916"/>
    <w:rsid w:val="00201D06"/>
    <w:rsid w:val="00201E9F"/>
    <w:rsid w:val="00202071"/>
    <w:rsid w:val="00202695"/>
    <w:rsid w:val="00202F25"/>
    <w:rsid w:val="002035B3"/>
    <w:rsid w:val="00203929"/>
    <w:rsid w:val="00203CD6"/>
    <w:rsid w:val="00203D01"/>
    <w:rsid w:val="00204460"/>
    <w:rsid w:val="002049B5"/>
    <w:rsid w:val="002051EA"/>
    <w:rsid w:val="00205CBC"/>
    <w:rsid w:val="00206259"/>
    <w:rsid w:val="002074B7"/>
    <w:rsid w:val="0020758D"/>
    <w:rsid w:val="00207C7B"/>
    <w:rsid w:val="002102F4"/>
    <w:rsid w:val="00211470"/>
    <w:rsid w:val="0021168C"/>
    <w:rsid w:val="00211922"/>
    <w:rsid w:val="00211DF3"/>
    <w:rsid w:val="0021213A"/>
    <w:rsid w:val="00212197"/>
    <w:rsid w:val="0021265F"/>
    <w:rsid w:val="00213232"/>
    <w:rsid w:val="00213817"/>
    <w:rsid w:val="00214428"/>
    <w:rsid w:val="002145A8"/>
    <w:rsid w:val="002145EB"/>
    <w:rsid w:val="00214F82"/>
    <w:rsid w:val="00214FE7"/>
    <w:rsid w:val="00215033"/>
    <w:rsid w:val="00215834"/>
    <w:rsid w:val="002158AA"/>
    <w:rsid w:val="00215CC2"/>
    <w:rsid w:val="00215D95"/>
    <w:rsid w:val="00215ED8"/>
    <w:rsid w:val="00215FAF"/>
    <w:rsid w:val="002175F1"/>
    <w:rsid w:val="00217700"/>
    <w:rsid w:val="002177E2"/>
    <w:rsid w:val="0021783B"/>
    <w:rsid w:val="00217B43"/>
    <w:rsid w:val="002200C0"/>
    <w:rsid w:val="002201C3"/>
    <w:rsid w:val="002205F3"/>
    <w:rsid w:val="0022085B"/>
    <w:rsid w:val="00220E53"/>
    <w:rsid w:val="0022176C"/>
    <w:rsid w:val="002225D1"/>
    <w:rsid w:val="002230FA"/>
    <w:rsid w:val="0022319D"/>
    <w:rsid w:val="002232B9"/>
    <w:rsid w:val="00223DF2"/>
    <w:rsid w:val="002249A2"/>
    <w:rsid w:val="00224C0C"/>
    <w:rsid w:val="002256C2"/>
    <w:rsid w:val="002256D0"/>
    <w:rsid w:val="00225C8E"/>
    <w:rsid w:val="00226428"/>
    <w:rsid w:val="002265A9"/>
    <w:rsid w:val="002266CB"/>
    <w:rsid w:val="0022697C"/>
    <w:rsid w:val="00227052"/>
    <w:rsid w:val="002272D5"/>
    <w:rsid w:val="0022738E"/>
    <w:rsid w:val="00227906"/>
    <w:rsid w:val="00227934"/>
    <w:rsid w:val="00227E21"/>
    <w:rsid w:val="0023008A"/>
    <w:rsid w:val="002318EC"/>
    <w:rsid w:val="00231927"/>
    <w:rsid w:val="00231D05"/>
    <w:rsid w:val="0023241A"/>
    <w:rsid w:val="002336E2"/>
    <w:rsid w:val="00233AC2"/>
    <w:rsid w:val="00233BAF"/>
    <w:rsid w:val="00233CD8"/>
    <w:rsid w:val="00233E1B"/>
    <w:rsid w:val="00233F80"/>
    <w:rsid w:val="0023423A"/>
    <w:rsid w:val="0023430F"/>
    <w:rsid w:val="00235420"/>
    <w:rsid w:val="00235700"/>
    <w:rsid w:val="00236DA1"/>
    <w:rsid w:val="0023788D"/>
    <w:rsid w:val="00237E96"/>
    <w:rsid w:val="00240422"/>
    <w:rsid w:val="0024065B"/>
    <w:rsid w:val="002409A6"/>
    <w:rsid w:val="00240C63"/>
    <w:rsid w:val="00240D91"/>
    <w:rsid w:val="00240EA5"/>
    <w:rsid w:val="00241132"/>
    <w:rsid w:val="002411BB"/>
    <w:rsid w:val="00241205"/>
    <w:rsid w:val="002418C5"/>
    <w:rsid w:val="002419CC"/>
    <w:rsid w:val="00241D9D"/>
    <w:rsid w:val="002424CA"/>
    <w:rsid w:val="0024261D"/>
    <w:rsid w:val="00242712"/>
    <w:rsid w:val="00242DFB"/>
    <w:rsid w:val="00243807"/>
    <w:rsid w:val="002440AC"/>
    <w:rsid w:val="00244365"/>
    <w:rsid w:val="00244535"/>
    <w:rsid w:val="0024459A"/>
    <w:rsid w:val="0024459B"/>
    <w:rsid w:val="002446A3"/>
    <w:rsid w:val="00244771"/>
    <w:rsid w:val="00244903"/>
    <w:rsid w:val="00244AFB"/>
    <w:rsid w:val="002453DF"/>
    <w:rsid w:val="0024545D"/>
    <w:rsid w:val="00245A81"/>
    <w:rsid w:val="002462A5"/>
    <w:rsid w:val="00246B86"/>
    <w:rsid w:val="00247335"/>
    <w:rsid w:val="002473EF"/>
    <w:rsid w:val="00247538"/>
    <w:rsid w:val="002477B9"/>
    <w:rsid w:val="00247B69"/>
    <w:rsid w:val="00247CBE"/>
    <w:rsid w:val="00247E69"/>
    <w:rsid w:val="00250A1F"/>
    <w:rsid w:val="00250ADA"/>
    <w:rsid w:val="00250D6E"/>
    <w:rsid w:val="00250F1D"/>
    <w:rsid w:val="00251DB0"/>
    <w:rsid w:val="00251FF1"/>
    <w:rsid w:val="002520BA"/>
    <w:rsid w:val="00252234"/>
    <w:rsid w:val="002528E3"/>
    <w:rsid w:val="00252944"/>
    <w:rsid w:val="00252D55"/>
    <w:rsid w:val="00252D82"/>
    <w:rsid w:val="00252FEA"/>
    <w:rsid w:val="00253006"/>
    <w:rsid w:val="00253165"/>
    <w:rsid w:val="002531EA"/>
    <w:rsid w:val="002533F5"/>
    <w:rsid w:val="00253C60"/>
    <w:rsid w:val="00253F21"/>
    <w:rsid w:val="0025429D"/>
    <w:rsid w:val="002549E9"/>
    <w:rsid w:val="00254FF6"/>
    <w:rsid w:val="00255099"/>
    <w:rsid w:val="002555C6"/>
    <w:rsid w:val="0025597E"/>
    <w:rsid w:val="00255C3E"/>
    <w:rsid w:val="00255E14"/>
    <w:rsid w:val="00255E45"/>
    <w:rsid w:val="00255FF9"/>
    <w:rsid w:val="00256F93"/>
    <w:rsid w:val="00257059"/>
    <w:rsid w:val="002570EF"/>
    <w:rsid w:val="0025712F"/>
    <w:rsid w:val="00257395"/>
    <w:rsid w:val="00257857"/>
    <w:rsid w:val="002578DA"/>
    <w:rsid w:val="00257CBC"/>
    <w:rsid w:val="002602C2"/>
    <w:rsid w:val="002602DA"/>
    <w:rsid w:val="0026040B"/>
    <w:rsid w:val="002604F2"/>
    <w:rsid w:val="00260802"/>
    <w:rsid w:val="002609BB"/>
    <w:rsid w:val="002609E3"/>
    <w:rsid w:val="002611AA"/>
    <w:rsid w:val="00261223"/>
    <w:rsid w:val="00261421"/>
    <w:rsid w:val="002616E6"/>
    <w:rsid w:val="002617AB"/>
    <w:rsid w:val="00261D08"/>
    <w:rsid w:val="00261DCC"/>
    <w:rsid w:val="002624D0"/>
    <w:rsid w:val="002630CE"/>
    <w:rsid w:val="00263CF7"/>
    <w:rsid w:val="00263EC7"/>
    <w:rsid w:val="0026491B"/>
    <w:rsid w:val="00264A36"/>
    <w:rsid w:val="00264B06"/>
    <w:rsid w:val="00264C1B"/>
    <w:rsid w:val="002657FB"/>
    <w:rsid w:val="00265D10"/>
    <w:rsid w:val="00265E2E"/>
    <w:rsid w:val="002661AB"/>
    <w:rsid w:val="0026742B"/>
    <w:rsid w:val="002674FE"/>
    <w:rsid w:val="00267A82"/>
    <w:rsid w:val="00267E59"/>
    <w:rsid w:val="002702F6"/>
    <w:rsid w:val="00270748"/>
    <w:rsid w:val="00270CAB"/>
    <w:rsid w:val="0027117F"/>
    <w:rsid w:val="00271264"/>
    <w:rsid w:val="002712DC"/>
    <w:rsid w:val="00271875"/>
    <w:rsid w:val="002718FF"/>
    <w:rsid w:val="00271955"/>
    <w:rsid w:val="00272278"/>
    <w:rsid w:val="00272432"/>
    <w:rsid w:val="00272633"/>
    <w:rsid w:val="00272D36"/>
    <w:rsid w:val="00272E48"/>
    <w:rsid w:val="00272F1C"/>
    <w:rsid w:val="00272FBF"/>
    <w:rsid w:val="00273599"/>
    <w:rsid w:val="00273A10"/>
    <w:rsid w:val="00273A58"/>
    <w:rsid w:val="00274630"/>
    <w:rsid w:val="00274C6E"/>
    <w:rsid w:val="00274CAB"/>
    <w:rsid w:val="00274E8A"/>
    <w:rsid w:val="002753C3"/>
    <w:rsid w:val="0027550D"/>
    <w:rsid w:val="002755A8"/>
    <w:rsid w:val="00275C21"/>
    <w:rsid w:val="00275FCE"/>
    <w:rsid w:val="0027617B"/>
    <w:rsid w:val="002766B8"/>
    <w:rsid w:val="0027680F"/>
    <w:rsid w:val="00276C2E"/>
    <w:rsid w:val="002777C0"/>
    <w:rsid w:val="0028076D"/>
    <w:rsid w:val="00280C16"/>
    <w:rsid w:val="00280F7D"/>
    <w:rsid w:val="00281006"/>
    <w:rsid w:val="002815B1"/>
    <w:rsid w:val="00281893"/>
    <w:rsid w:val="00281C1F"/>
    <w:rsid w:val="00281EEA"/>
    <w:rsid w:val="00281F88"/>
    <w:rsid w:val="00282250"/>
    <w:rsid w:val="0028240D"/>
    <w:rsid w:val="0028288D"/>
    <w:rsid w:val="00282967"/>
    <w:rsid w:val="002829B7"/>
    <w:rsid w:val="00282B82"/>
    <w:rsid w:val="00282BFB"/>
    <w:rsid w:val="00282C74"/>
    <w:rsid w:val="00282E5B"/>
    <w:rsid w:val="00283995"/>
    <w:rsid w:val="00283B11"/>
    <w:rsid w:val="002841A9"/>
    <w:rsid w:val="00284313"/>
    <w:rsid w:val="00284554"/>
    <w:rsid w:val="002848AD"/>
    <w:rsid w:val="00284DE4"/>
    <w:rsid w:val="00285099"/>
    <w:rsid w:val="00285154"/>
    <w:rsid w:val="00285BF2"/>
    <w:rsid w:val="00285C78"/>
    <w:rsid w:val="002863CE"/>
    <w:rsid w:val="00287E20"/>
    <w:rsid w:val="0029041D"/>
    <w:rsid w:val="0029061D"/>
    <w:rsid w:val="00290AEB"/>
    <w:rsid w:val="0029110F"/>
    <w:rsid w:val="00291492"/>
    <w:rsid w:val="00291527"/>
    <w:rsid w:val="00291574"/>
    <w:rsid w:val="002916B4"/>
    <w:rsid w:val="0029199A"/>
    <w:rsid w:val="00291BBE"/>
    <w:rsid w:val="00291FEB"/>
    <w:rsid w:val="00292E70"/>
    <w:rsid w:val="00293146"/>
    <w:rsid w:val="0029361E"/>
    <w:rsid w:val="00293D68"/>
    <w:rsid w:val="0029408A"/>
    <w:rsid w:val="00294352"/>
    <w:rsid w:val="002944A0"/>
    <w:rsid w:val="00294629"/>
    <w:rsid w:val="002946E4"/>
    <w:rsid w:val="0029495C"/>
    <w:rsid w:val="002957D9"/>
    <w:rsid w:val="0029596F"/>
    <w:rsid w:val="002959D4"/>
    <w:rsid w:val="00295B52"/>
    <w:rsid w:val="00296024"/>
    <w:rsid w:val="00296293"/>
    <w:rsid w:val="002969C7"/>
    <w:rsid w:val="00296AF7"/>
    <w:rsid w:val="00297021"/>
    <w:rsid w:val="002970F3"/>
    <w:rsid w:val="002972F9"/>
    <w:rsid w:val="00297612"/>
    <w:rsid w:val="002977CA"/>
    <w:rsid w:val="00297ED7"/>
    <w:rsid w:val="002A0007"/>
    <w:rsid w:val="002A03AA"/>
    <w:rsid w:val="002A056D"/>
    <w:rsid w:val="002A07FE"/>
    <w:rsid w:val="002A094D"/>
    <w:rsid w:val="002A0CAF"/>
    <w:rsid w:val="002A0DDB"/>
    <w:rsid w:val="002A1316"/>
    <w:rsid w:val="002A1565"/>
    <w:rsid w:val="002A16A9"/>
    <w:rsid w:val="002A2941"/>
    <w:rsid w:val="002A2C69"/>
    <w:rsid w:val="002A2DC4"/>
    <w:rsid w:val="002A3703"/>
    <w:rsid w:val="002A3817"/>
    <w:rsid w:val="002A3E69"/>
    <w:rsid w:val="002A44F9"/>
    <w:rsid w:val="002A4946"/>
    <w:rsid w:val="002A49EF"/>
    <w:rsid w:val="002A4B8B"/>
    <w:rsid w:val="002A5107"/>
    <w:rsid w:val="002A535E"/>
    <w:rsid w:val="002A5DBD"/>
    <w:rsid w:val="002A5EF6"/>
    <w:rsid w:val="002A6406"/>
    <w:rsid w:val="002A6432"/>
    <w:rsid w:val="002A68FB"/>
    <w:rsid w:val="002A6CF0"/>
    <w:rsid w:val="002A6DDE"/>
    <w:rsid w:val="002A6FFC"/>
    <w:rsid w:val="002A7010"/>
    <w:rsid w:val="002A70BA"/>
    <w:rsid w:val="002A7A57"/>
    <w:rsid w:val="002A7BB2"/>
    <w:rsid w:val="002A7CC1"/>
    <w:rsid w:val="002A7DCB"/>
    <w:rsid w:val="002B0685"/>
    <w:rsid w:val="002B0794"/>
    <w:rsid w:val="002B0B53"/>
    <w:rsid w:val="002B1617"/>
    <w:rsid w:val="002B1A90"/>
    <w:rsid w:val="002B1D11"/>
    <w:rsid w:val="002B273B"/>
    <w:rsid w:val="002B29AA"/>
    <w:rsid w:val="002B2A7E"/>
    <w:rsid w:val="002B2F1B"/>
    <w:rsid w:val="002B3332"/>
    <w:rsid w:val="002B34C7"/>
    <w:rsid w:val="002B3F25"/>
    <w:rsid w:val="002B5918"/>
    <w:rsid w:val="002B5AFB"/>
    <w:rsid w:val="002B62DA"/>
    <w:rsid w:val="002B6320"/>
    <w:rsid w:val="002B66AC"/>
    <w:rsid w:val="002B6852"/>
    <w:rsid w:val="002B6923"/>
    <w:rsid w:val="002B74EF"/>
    <w:rsid w:val="002B77E1"/>
    <w:rsid w:val="002C039C"/>
    <w:rsid w:val="002C0656"/>
    <w:rsid w:val="002C0714"/>
    <w:rsid w:val="002C0796"/>
    <w:rsid w:val="002C0A96"/>
    <w:rsid w:val="002C13C6"/>
    <w:rsid w:val="002C1503"/>
    <w:rsid w:val="002C1BF4"/>
    <w:rsid w:val="002C1E0D"/>
    <w:rsid w:val="002C2266"/>
    <w:rsid w:val="002C2356"/>
    <w:rsid w:val="002C238F"/>
    <w:rsid w:val="002C23C2"/>
    <w:rsid w:val="002C276F"/>
    <w:rsid w:val="002C28EB"/>
    <w:rsid w:val="002C316C"/>
    <w:rsid w:val="002C3265"/>
    <w:rsid w:val="002C3AED"/>
    <w:rsid w:val="002C3E56"/>
    <w:rsid w:val="002C414C"/>
    <w:rsid w:val="002C49F8"/>
    <w:rsid w:val="002C4C2F"/>
    <w:rsid w:val="002C5776"/>
    <w:rsid w:val="002C5EED"/>
    <w:rsid w:val="002C66DE"/>
    <w:rsid w:val="002C7193"/>
    <w:rsid w:val="002C7699"/>
    <w:rsid w:val="002C7A49"/>
    <w:rsid w:val="002D0128"/>
    <w:rsid w:val="002D0E85"/>
    <w:rsid w:val="002D0FA7"/>
    <w:rsid w:val="002D12FB"/>
    <w:rsid w:val="002D1603"/>
    <w:rsid w:val="002D19D1"/>
    <w:rsid w:val="002D1B26"/>
    <w:rsid w:val="002D1F35"/>
    <w:rsid w:val="002D1FA3"/>
    <w:rsid w:val="002D20CD"/>
    <w:rsid w:val="002D22DA"/>
    <w:rsid w:val="002D23C6"/>
    <w:rsid w:val="002D24F0"/>
    <w:rsid w:val="002D25EB"/>
    <w:rsid w:val="002D29F3"/>
    <w:rsid w:val="002D3126"/>
    <w:rsid w:val="002D3529"/>
    <w:rsid w:val="002D37C1"/>
    <w:rsid w:val="002D3D0A"/>
    <w:rsid w:val="002D3EF0"/>
    <w:rsid w:val="002D478E"/>
    <w:rsid w:val="002D4799"/>
    <w:rsid w:val="002D47AE"/>
    <w:rsid w:val="002D4A94"/>
    <w:rsid w:val="002D4AFE"/>
    <w:rsid w:val="002D55BB"/>
    <w:rsid w:val="002D5D85"/>
    <w:rsid w:val="002D65FF"/>
    <w:rsid w:val="002D6C1F"/>
    <w:rsid w:val="002D6D10"/>
    <w:rsid w:val="002D71E2"/>
    <w:rsid w:val="002D79C9"/>
    <w:rsid w:val="002D7B6A"/>
    <w:rsid w:val="002E0026"/>
    <w:rsid w:val="002E08E8"/>
    <w:rsid w:val="002E0918"/>
    <w:rsid w:val="002E0BAA"/>
    <w:rsid w:val="002E0D96"/>
    <w:rsid w:val="002E0EA5"/>
    <w:rsid w:val="002E0F1C"/>
    <w:rsid w:val="002E16BE"/>
    <w:rsid w:val="002E1BF0"/>
    <w:rsid w:val="002E1E19"/>
    <w:rsid w:val="002E1FAC"/>
    <w:rsid w:val="002E2572"/>
    <w:rsid w:val="002E283F"/>
    <w:rsid w:val="002E2854"/>
    <w:rsid w:val="002E2E74"/>
    <w:rsid w:val="002E32D2"/>
    <w:rsid w:val="002E361B"/>
    <w:rsid w:val="002E37AB"/>
    <w:rsid w:val="002E3A80"/>
    <w:rsid w:val="002E3D4C"/>
    <w:rsid w:val="002E3FE4"/>
    <w:rsid w:val="002E41C7"/>
    <w:rsid w:val="002E51DF"/>
    <w:rsid w:val="002E57B9"/>
    <w:rsid w:val="002E5A56"/>
    <w:rsid w:val="002E6127"/>
    <w:rsid w:val="002E6885"/>
    <w:rsid w:val="002E6E86"/>
    <w:rsid w:val="002E72E4"/>
    <w:rsid w:val="002E739D"/>
    <w:rsid w:val="002F0F36"/>
    <w:rsid w:val="002F1276"/>
    <w:rsid w:val="002F1986"/>
    <w:rsid w:val="002F1E5F"/>
    <w:rsid w:val="002F2A49"/>
    <w:rsid w:val="002F3550"/>
    <w:rsid w:val="002F3A5A"/>
    <w:rsid w:val="002F3B63"/>
    <w:rsid w:val="002F3C0E"/>
    <w:rsid w:val="002F3C56"/>
    <w:rsid w:val="002F4271"/>
    <w:rsid w:val="002F46B0"/>
    <w:rsid w:val="002F477E"/>
    <w:rsid w:val="002F4B17"/>
    <w:rsid w:val="002F5086"/>
    <w:rsid w:val="002F5150"/>
    <w:rsid w:val="002F5463"/>
    <w:rsid w:val="002F58C2"/>
    <w:rsid w:val="002F5932"/>
    <w:rsid w:val="002F5C85"/>
    <w:rsid w:val="002F603B"/>
    <w:rsid w:val="002F61A3"/>
    <w:rsid w:val="002F61D4"/>
    <w:rsid w:val="002F6201"/>
    <w:rsid w:val="002F6493"/>
    <w:rsid w:val="002F724B"/>
    <w:rsid w:val="002F72BA"/>
    <w:rsid w:val="002F7F79"/>
    <w:rsid w:val="00300267"/>
    <w:rsid w:val="003004D2"/>
    <w:rsid w:val="00300D6B"/>
    <w:rsid w:val="00301380"/>
    <w:rsid w:val="00301D6A"/>
    <w:rsid w:val="00301E89"/>
    <w:rsid w:val="00302052"/>
    <w:rsid w:val="00302142"/>
    <w:rsid w:val="00302169"/>
    <w:rsid w:val="00302612"/>
    <w:rsid w:val="00303254"/>
    <w:rsid w:val="003044D9"/>
    <w:rsid w:val="00304D8A"/>
    <w:rsid w:val="00305216"/>
    <w:rsid w:val="003053B9"/>
    <w:rsid w:val="0030555B"/>
    <w:rsid w:val="003061F5"/>
    <w:rsid w:val="00306A49"/>
    <w:rsid w:val="00306D27"/>
    <w:rsid w:val="0030731E"/>
    <w:rsid w:val="0030739C"/>
    <w:rsid w:val="00307ABE"/>
    <w:rsid w:val="003103A9"/>
    <w:rsid w:val="003108E8"/>
    <w:rsid w:val="00310A50"/>
    <w:rsid w:val="00310D51"/>
    <w:rsid w:val="00310FFF"/>
    <w:rsid w:val="0031118F"/>
    <w:rsid w:val="00311B36"/>
    <w:rsid w:val="00311C92"/>
    <w:rsid w:val="00313321"/>
    <w:rsid w:val="003133AE"/>
    <w:rsid w:val="0031371B"/>
    <w:rsid w:val="00313E5C"/>
    <w:rsid w:val="00314156"/>
    <w:rsid w:val="00314CF8"/>
    <w:rsid w:val="0031535B"/>
    <w:rsid w:val="003154DD"/>
    <w:rsid w:val="00315FCF"/>
    <w:rsid w:val="003161A6"/>
    <w:rsid w:val="00316B42"/>
    <w:rsid w:val="00316F76"/>
    <w:rsid w:val="003170D7"/>
    <w:rsid w:val="003170F4"/>
    <w:rsid w:val="00317552"/>
    <w:rsid w:val="0031755B"/>
    <w:rsid w:val="0032035D"/>
    <w:rsid w:val="003204EB"/>
    <w:rsid w:val="003205E9"/>
    <w:rsid w:val="00320B28"/>
    <w:rsid w:val="0032123E"/>
    <w:rsid w:val="003216D5"/>
    <w:rsid w:val="003216FF"/>
    <w:rsid w:val="00321866"/>
    <w:rsid w:val="00321A83"/>
    <w:rsid w:val="00321C1A"/>
    <w:rsid w:val="00321F6B"/>
    <w:rsid w:val="003220D3"/>
    <w:rsid w:val="00322389"/>
    <w:rsid w:val="003223CA"/>
    <w:rsid w:val="00322458"/>
    <w:rsid w:val="00322BE5"/>
    <w:rsid w:val="00322E87"/>
    <w:rsid w:val="0032312D"/>
    <w:rsid w:val="00323AA5"/>
    <w:rsid w:val="003242E4"/>
    <w:rsid w:val="0032468D"/>
    <w:rsid w:val="00324887"/>
    <w:rsid w:val="00324926"/>
    <w:rsid w:val="00324B25"/>
    <w:rsid w:val="0032522F"/>
    <w:rsid w:val="003253C4"/>
    <w:rsid w:val="0032550F"/>
    <w:rsid w:val="00325992"/>
    <w:rsid w:val="00325B74"/>
    <w:rsid w:val="0032638F"/>
    <w:rsid w:val="003263EA"/>
    <w:rsid w:val="00326B59"/>
    <w:rsid w:val="00326BD4"/>
    <w:rsid w:val="003272C6"/>
    <w:rsid w:val="00327752"/>
    <w:rsid w:val="00327C7C"/>
    <w:rsid w:val="00330009"/>
    <w:rsid w:val="003301E6"/>
    <w:rsid w:val="003302C5"/>
    <w:rsid w:val="00330411"/>
    <w:rsid w:val="003310AB"/>
    <w:rsid w:val="00331415"/>
    <w:rsid w:val="003314D2"/>
    <w:rsid w:val="00331712"/>
    <w:rsid w:val="00331A3F"/>
    <w:rsid w:val="00331D94"/>
    <w:rsid w:val="00332191"/>
    <w:rsid w:val="00332720"/>
    <w:rsid w:val="00332EBD"/>
    <w:rsid w:val="00332EED"/>
    <w:rsid w:val="00333195"/>
    <w:rsid w:val="003334A7"/>
    <w:rsid w:val="003336E8"/>
    <w:rsid w:val="003337E8"/>
    <w:rsid w:val="00333A14"/>
    <w:rsid w:val="00333B2A"/>
    <w:rsid w:val="00333FD5"/>
    <w:rsid w:val="00334649"/>
    <w:rsid w:val="003350E9"/>
    <w:rsid w:val="003351BA"/>
    <w:rsid w:val="0033520F"/>
    <w:rsid w:val="0033596B"/>
    <w:rsid w:val="00335A93"/>
    <w:rsid w:val="0033650E"/>
    <w:rsid w:val="00336907"/>
    <w:rsid w:val="003369DF"/>
    <w:rsid w:val="00336AD1"/>
    <w:rsid w:val="00336C71"/>
    <w:rsid w:val="00336D96"/>
    <w:rsid w:val="00336DFC"/>
    <w:rsid w:val="00337230"/>
    <w:rsid w:val="003377D0"/>
    <w:rsid w:val="003378EC"/>
    <w:rsid w:val="00337D75"/>
    <w:rsid w:val="00340020"/>
    <w:rsid w:val="00340AFD"/>
    <w:rsid w:val="00341162"/>
    <w:rsid w:val="00341181"/>
    <w:rsid w:val="00341866"/>
    <w:rsid w:val="00341DAF"/>
    <w:rsid w:val="003420F2"/>
    <w:rsid w:val="00342181"/>
    <w:rsid w:val="00342B37"/>
    <w:rsid w:val="00343560"/>
    <w:rsid w:val="00343A20"/>
    <w:rsid w:val="0034402B"/>
    <w:rsid w:val="0034449E"/>
    <w:rsid w:val="003449F4"/>
    <w:rsid w:val="00344D46"/>
    <w:rsid w:val="00344E22"/>
    <w:rsid w:val="00345337"/>
    <w:rsid w:val="003465A5"/>
    <w:rsid w:val="00346817"/>
    <w:rsid w:val="00347440"/>
    <w:rsid w:val="003475EA"/>
    <w:rsid w:val="00347A27"/>
    <w:rsid w:val="00347CD4"/>
    <w:rsid w:val="00347E2E"/>
    <w:rsid w:val="00350A55"/>
    <w:rsid w:val="00350DF8"/>
    <w:rsid w:val="0035189D"/>
    <w:rsid w:val="00351A8A"/>
    <w:rsid w:val="003523FD"/>
    <w:rsid w:val="003524B2"/>
    <w:rsid w:val="0035266A"/>
    <w:rsid w:val="0035279C"/>
    <w:rsid w:val="003535D2"/>
    <w:rsid w:val="0035384D"/>
    <w:rsid w:val="0035396D"/>
    <w:rsid w:val="00353C0B"/>
    <w:rsid w:val="00353EE5"/>
    <w:rsid w:val="00354472"/>
    <w:rsid w:val="00354AE4"/>
    <w:rsid w:val="00354B0A"/>
    <w:rsid w:val="00355350"/>
    <w:rsid w:val="0035551B"/>
    <w:rsid w:val="003555ED"/>
    <w:rsid w:val="00355756"/>
    <w:rsid w:val="00355911"/>
    <w:rsid w:val="00355BFC"/>
    <w:rsid w:val="00355FE2"/>
    <w:rsid w:val="0035636B"/>
    <w:rsid w:val="003564CC"/>
    <w:rsid w:val="003568D7"/>
    <w:rsid w:val="0035690F"/>
    <w:rsid w:val="00356D16"/>
    <w:rsid w:val="00357424"/>
    <w:rsid w:val="00357BE9"/>
    <w:rsid w:val="003601A2"/>
    <w:rsid w:val="00360D1B"/>
    <w:rsid w:val="00361474"/>
    <w:rsid w:val="00361789"/>
    <w:rsid w:val="0036196D"/>
    <w:rsid w:val="00361A59"/>
    <w:rsid w:val="00361AA1"/>
    <w:rsid w:val="00362136"/>
    <w:rsid w:val="00362336"/>
    <w:rsid w:val="003627BD"/>
    <w:rsid w:val="00362997"/>
    <w:rsid w:val="00362C59"/>
    <w:rsid w:val="00363040"/>
    <w:rsid w:val="003630B7"/>
    <w:rsid w:val="00363786"/>
    <w:rsid w:val="003638A4"/>
    <w:rsid w:val="003639BF"/>
    <w:rsid w:val="00363E41"/>
    <w:rsid w:val="00363FD2"/>
    <w:rsid w:val="00364653"/>
    <w:rsid w:val="00364D36"/>
    <w:rsid w:val="003653EC"/>
    <w:rsid w:val="0036572E"/>
    <w:rsid w:val="00366168"/>
    <w:rsid w:val="003663D9"/>
    <w:rsid w:val="003666BF"/>
    <w:rsid w:val="00366707"/>
    <w:rsid w:val="00366BD3"/>
    <w:rsid w:val="00366FA9"/>
    <w:rsid w:val="00367B19"/>
    <w:rsid w:val="00367E49"/>
    <w:rsid w:val="003700E6"/>
    <w:rsid w:val="0037017C"/>
    <w:rsid w:val="00370490"/>
    <w:rsid w:val="003712A9"/>
    <w:rsid w:val="00371C86"/>
    <w:rsid w:val="0037236C"/>
    <w:rsid w:val="003729DE"/>
    <w:rsid w:val="00372EA2"/>
    <w:rsid w:val="003735D3"/>
    <w:rsid w:val="0037386D"/>
    <w:rsid w:val="00373956"/>
    <w:rsid w:val="00373BE1"/>
    <w:rsid w:val="00374153"/>
    <w:rsid w:val="003741BC"/>
    <w:rsid w:val="00374671"/>
    <w:rsid w:val="003750E0"/>
    <w:rsid w:val="00375AF1"/>
    <w:rsid w:val="00375C2F"/>
    <w:rsid w:val="00375FC5"/>
    <w:rsid w:val="003769BA"/>
    <w:rsid w:val="00377871"/>
    <w:rsid w:val="003778B2"/>
    <w:rsid w:val="00377E58"/>
    <w:rsid w:val="003805E3"/>
    <w:rsid w:val="00380618"/>
    <w:rsid w:val="0038062E"/>
    <w:rsid w:val="003806D7"/>
    <w:rsid w:val="003807F7"/>
    <w:rsid w:val="00381610"/>
    <w:rsid w:val="00381C9E"/>
    <w:rsid w:val="00381CA8"/>
    <w:rsid w:val="00382106"/>
    <w:rsid w:val="00382579"/>
    <w:rsid w:val="00382657"/>
    <w:rsid w:val="00382708"/>
    <w:rsid w:val="00382B82"/>
    <w:rsid w:val="00382C37"/>
    <w:rsid w:val="00383446"/>
    <w:rsid w:val="003844BF"/>
    <w:rsid w:val="003854D5"/>
    <w:rsid w:val="0038552A"/>
    <w:rsid w:val="003859EA"/>
    <w:rsid w:val="0038709E"/>
    <w:rsid w:val="00387623"/>
    <w:rsid w:val="00387D30"/>
    <w:rsid w:val="003909BE"/>
    <w:rsid w:val="00391753"/>
    <w:rsid w:val="00391C7F"/>
    <w:rsid w:val="00392454"/>
    <w:rsid w:val="00392C85"/>
    <w:rsid w:val="00392FD8"/>
    <w:rsid w:val="00393923"/>
    <w:rsid w:val="00393E11"/>
    <w:rsid w:val="00393FE3"/>
    <w:rsid w:val="00394475"/>
    <w:rsid w:val="00394514"/>
    <w:rsid w:val="0039517A"/>
    <w:rsid w:val="003954FE"/>
    <w:rsid w:val="00395B51"/>
    <w:rsid w:val="003961D4"/>
    <w:rsid w:val="00396796"/>
    <w:rsid w:val="00396EC6"/>
    <w:rsid w:val="003970BA"/>
    <w:rsid w:val="0039746C"/>
    <w:rsid w:val="00397C31"/>
    <w:rsid w:val="00397DC6"/>
    <w:rsid w:val="003A0E82"/>
    <w:rsid w:val="003A0FAC"/>
    <w:rsid w:val="003A184D"/>
    <w:rsid w:val="003A1FB7"/>
    <w:rsid w:val="003A2773"/>
    <w:rsid w:val="003A371E"/>
    <w:rsid w:val="003A3957"/>
    <w:rsid w:val="003A3E29"/>
    <w:rsid w:val="003A439B"/>
    <w:rsid w:val="003A462A"/>
    <w:rsid w:val="003A595F"/>
    <w:rsid w:val="003A5EEC"/>
    <w:rsid w:val="003A6AB9"/>
    <w:rsid w:val="003A6B7A"/>
    <w:rsid w:val="003A748F"/>
    <w:rsid w:val="003A79AE"/>
    <w:rsid w:val="003A7BB0"/>
    <w:rsid w:val="003A7CA3"/>
    <w:rsid w:val="003B00B6"/>
    <w:rsid w:val="003B01C4"/>
    <w:rsid w:val="003B0BB0"/>
    <w:rsid w:val="003B11EE"/>
    <w:rsid w:val="003B15F8"/>
    <w:rsid w:val="003B166F"/>
    <w:rsid w:val="003B1B60"/>
    <w:rsid w:val="003B207E"/>
    <w:rsid w:val="003B230B"/>
    <w:rsid w:val="003B23BC"/>
    <w:rsid w:val="003B28BA"/>
    <w:rsid w:val="003B28F6"/>
    <w:rsid w:val="003B2DB5"/>
    <w:rsid w:val="003B2F05"/>
    <w:rsid w:val="003B3966"/>
    <w:rsid w:val="003B39B7"/>
    <w:rsid w:val="003B4754"/>
    <w:rsid w:val="003B4EB0"/>
    <w:rsid w:val="003B5094"/>
    <w:rsid w:val="003B57FD"/>
    <w:rsid w:val="003B5E21"/>
    <w:rsid w:val="003B5F6A"/>
    <w:rsid w:val="003B6049"/>
    <w:rsid w:val="003B6B7F"/>
    <w:rsid w:val="003B7820"/>
    <w:rsid w:val="003C01A4"/>
    <w:rsid w:val="003C0219"/>
    <w:rsid w:val="003C0941"/>
    <w:rsid w:val="003C0C12"/>
    <w:rsid w:val="003C0E6B"/>
    <w:rsid w:val="003C16EE"/>
    <w:rsid w:val="003C1C87"/>
    <w:rsid w:val="003C1D4D"/>
    <w:rsid w:val="003C2927"/>
    <w:rsid w:val="003C2C85"/>
    <w:rsid w:val="003C2F61"/>
    <w:rsid w:val="003C345E"/>
    <w:rsid w:val="003C4409"/>
    <w:rsid w:val="003C4997"/>
    <w:rsid w:val="003C4DA5"/>
    <w:rsid w:val="003C502A"/>
    <w:rsid w:val="003C5666"/>
    <w:rsid w:val="003C60CC"/>
    <w:rsid w:val="003C6193"/>
    <w:rsid w:val="003C64F4"/>
    <w:rsid w:val="003C6D4E"/>
    <w:rsid w:val="003C724B"/>
    <w:rsid w:val="003C73DB"/>
    <w:rsid w:val="003D0185"/>
    <w:rsid w:val="003D02CB"/>
    <w:rsid w:val="003D0382"/>
    <w:rsid w:val="003D069C"/>
    <w:rsid w:val="003D18F6"/>
    <w:rsid w:val="003D191E"/>
    <w:rsid w:val="003D1A19"/>
    <w:rsid w:val="003D2027"/>
    <w:rsid w:val="003D22A5"/>
    <w:rsid w:val="003D23A4"/>
    <w:rsid w:val="003D2B82"/>
    <w:rsid w:val="003D2DF6"/>
    <w:rsid w:val="003D2F93"/>
    <w:rsid w:val="003D3414"/>
    <w:rsid w:val="003D3426"/>
    <w:rsid w:val="003D3654"/>
    <w:rsid w:val="003D3721"/>
    <w:rsid w:val="003D413A"/>
    <w:rsid w:val="003D643B"/>
    <w:rsid w:val="003D6722"/>
    <w:rsid w:val="003D7428"/>
    <w:rsid w:val="003D77F2"/>
    <w:rsid w:val="003D78CC"/>
    <w:rsid w:val="003D7D01"/>
    <w:rsid w:val="003D7ED8"/>
    <w:rsid w:val="003E0003"/>
    <w:rsid w:val="003E0099"/>
    <w:rsid w:val="003E08C7"/>
    <w:rsid w:val="003E122B"/>
    <w:rsid w:val="003E1427"/>
    <w:rsid w:val="003E1A72"/>
    <w:rsid w:val="003E1DDC"/>
    <w:rsid w:val="003E27B8"/>
    <w:rsid w:val="003E283C"/>
    <w:rsid w:val="003E2880"/>
    <w:rsid w:val="003E28FB"/>
    <w:rsid w:val="003E2A00"/>
    <w:rsid w:val="003E2ECC"/>
    <w:rsid w:val="003E334A"/>
    <w:rsid w:val="003E382C"/>
    <w:rsid w:val="003E3B8C"/>
    <w:rsid w:val="003E3D00"/>
    <w:rsid w:val="003E4487"/>
    <w:rsid w:val="003E4531"/>
    <w:rsid w:val="003E4771"/>
    <w:rsid w:val="003E52E3"/>
    <w:rsid w:val="003E541C"/>
    <w:rsid w:val="003E54A8"/>
    <w:rsid w:val="003E5833"/>
    <w:rsid w:val="003E5DA8"/>
    <w:rsid w:val="003E7059"/>
    <w:rsid w:val="003E7109"/>
    <w:rsid w:val="003E77DC"/>
    <w:rsid w:val="003E7BC1"/>
    <w:rsid w:val="003F0453"/>
    <w:rsid w:val="003F0A07"/>
    <w:rsid w:val="003F0C9F"/>
    <w:rsid w:val="003F0F83"/>
    <w:rsid w:val="003F1359"/>
    <w:rsid w:val="003F144A"/>
    <w:rsid w:val="003F1B02"/>
    <w:rsid w:val="003F1EFE"/>
    <w:rsid w:val="003F221B"/>
    <w:rsid w:val="003F2240"/>
    <w:rsid w:val="003F2460"/>
    <w:rsid w:val="003F2E7B"/>
    <w:rsid w:val="003F3CD5"/>
    <w:rsid w:val="003F3E0C"/>
    <w:rsid w:val="003F3ED4"/>
    <w:rsid w:val="003F4473"/>
    <w:rsid w:val="003F4CF5"/>
    <w:rsid w:val="003F4E31"/>
    <w:rsid w:val="003F51EE"/>
    <w:rsid w:val="003F574E"/>
    <w:rsid w:val="003F60D6"/>
    <w:rsid w:val="003F6244"/>
    <w:rsid w:val="003F68E9"/>
    <w:rsid w:val="003F728C"/>
    <w:rsid w:val="003F7704"/>
    <w:rsid w:val="003F7E15"/>
    <w:rsid w:val="003F7FDA"/>
    <w:rsid w:val="004008BC"/>
    <w:rsid w:val="00400B19"/>
    <w:rsid w:val="00400E65"/>
    <w:rsid w:val="00400EED"/>
    <w:rsid w:val="004013AD"/>
    <w:rsid w:val="00401E20"/>
    <w:rsid w:val="00401E9C"/>
    <w:rsid w:val="004021C0"/>
    <w:rsid w:val="004024F9"/>
    <w:rsid w:val="004028CE"/>
    <w:rsid w:val="0040313D"/>
    <w:rsid w:val="004043FA"/>
    <w:rsid w:val="00404970"/>
    <w:rsid w:val="00405181"/>
    <w:rsid w:val="0040567F"/>
    <w:rsid w:val="00405727"/>
    <w:rsid w:val="00405873"/>
    <w:rsid w:val="00405F09"/>
    <w:rsid w:val="004066F4"/>
    <w:rsid w:val="00406A32"/>
    <w:rsid w:val="0040760B"/>
    <w:rsid w:val="00410117"/>
    <w:rsid w:val="00410C32"/>
    <w:rsid w:val="0041108F"/>
    <w:rsid w:val="00411237"/>
    <w:rsid w:val="0041152F"/>
    <w:rsid w:val="00411557"/>
    <w:rsid w:val="0041192A"/>
    <w:rsid w:val="00411994"/>
    <w:rsid w:val="00411D74"/>
    <w:rsid w:val="00411DDE"/>
    <w:rsid w:val="00411F84"/>
    <w:rsid w:val="00412069"/>
    <w:rsid w:val="004121A1"/>
    <w:rsid w:val="00412477"/>
    <w:rsid w:val="00412570"/>
    <w:rsid w:val="004127A2"/>
    <w:rsid w:val="0041280A"/>
    <w:rsid w:val="00412850"/>
    <w:rsid w:val="00412A9D"/>
    <w:rsid w:val="00412CB1"/>
    <w:rsid w:val="004133A5"/>
    <w:rsid w:val="00413D45"/>
    <w:rsid w:val="00414197"/>
    <w:rsid w:val="004144D7"/>
    <w:rsid w:val="00414D68"/>
    <w:rsid w:val="00414FD9"/>
    <w:rsid w:val="004150F8"/>
    <w:rsid w:val="004151D4"/>
    <w:rsid w:val="00415773"/>
    <w:rsid w:val="00415CAE"/>
    <w:rsid w:val="00415EE7"/>
    <w:rsid w:val="00415FD6"/>
    <w:rsid w:val="00415FE9"/>
    <w:rsid w:val="004160FA"/>
    <w:rsid w:val="0041669E"/>
    <w:rsid w:val="00416ACA"/>
    <w:rsid w:val="00416C56"/>
    <w:rsid w:val="00417294"/>
    <w:rsid w:val="00417416"/>
    <w:rsid w:val="004176B8"/>
    <w:rsid w:val="00417B99"/>
    <w:rsid w:val="00417CE0"/>
    <w:rsid w:val="0042002F"/>
    <w:rsid w:val="004209D5"/>
    <w:rsid w:val="00420FAF"/>
    <w:rsid w:val="00421184"/>
    <w:rsid w:val="004212C1"/>
    <w:rsid w:val="004214B7"/>
    <w:rsid w:val="00421510"/>
    <w:rsid w:val="00421892"/>
    <w:rsid w:val="00421EA6"/>
    <w:rsid w:val="00421FB5"/>
    <w:rsid w:val="004226ED"/>
    <w:rsid w:val="00422AF4"/>
    <w:rsid w:val="00422F3B"/>
    <w:rsid w:val="004235F4"/>
    <w:rsid w:val="004236C9"/>
    <w:rsid w:val="00423CF3"/>
    <w:rsid w:val="00423E18"/>
    <w:rsid w:val="0042454E"/>
    <w:rsid w:val="004245E4"/>
    <w:rsid w:val="00424B7C"/>
    <w:rsid w:val="0042500C"/>
    <w:rsid w:val="00425514"/>
    <w:rsid w:val="004256BD"/>
    <w:rsid w:val="004256E9"/>
    <w:rsid w:val="00425863"/>
    <w:rsid w:val="00425D02"/>
    <w:rsid w:val="00425EDC"/>
    <w:rsid w:val="00426C3E"/>
    <w:rsid w:val="00426CF3"/>
    <w:rsid w:val="00426E85"/>
    <w:rsid w:val="004275CD"/>
    <w:rsid w:val="00427CC6"/>
    <w:rsid w:val="00427E74"/>
    <w:rsid w:val="00427FEB"/>
    <w:rsid w:val="00427FF2"/>
    <w:rsid w:val="004305C0"/>
    <w:rsid w:val="00430B20"/>
    <w:rsid w:val="00430B6C"/>
    <w:rsid w:val="0043227C"/>
    <w:rsid w:val="00432E94"/>
    <w:rsid w:val="004330B1"/>
    <w:rsid w:val="004335C0"/>
    <w:rsid w:val="00433B34"/>
    <w:rsid w:val="00434046"/>
    <w:rsid w:val="00434B9D"/>
    <w:rsid w:val="00435121"/>
    <w:rsid w:val="00435715"/>
    <w:rsid w:val="0043571B"/>
    <w:rsid w:val="00435EE0"/>
    <w:rsid w:val="00435F29"/>
    <w:rsid w:val="0043610C"/>
    <w:rsid w:val="004366AA"/>
    <w:rsid w:val="004366FF"/>
    <w:rsid w:val="00437D83"/>
    <w:rsid w:val="004401DD"/>
    <w:rsid w:val="00440344"/>
    <w:rsid w:val="00440790"/>
    <w:rsid w:val="0044083D"/>
    <w:rsid w:val="00441264"/>
    <w:rsid w:val="00441B0F"/>
    <w:rsid w:val="00441F06"/>
    <w:rsid w:val="004425C6"/>
    <w:rsid w:val="0044395E"/>
    <w:rsid w:val="00443D5D"/>
    <w:rsid w:val="004445C6"/>
    <w:rsid w:val="00445CBA"/>
    <w:rsid w:val="004463CB"/>
    <w:rsid w:val="004466F7"/>
    <w:rsid w:val="00446858"/>
    <w:rsid w:val="00447304"/>
    <w:rsid w:val="004476F6"/>
    <w:rsid w:val="00447CDD"/>
    <w:rsid w:val="00450127"/>
    <w:rsid w:val="0045075F"/>
    <w:rsid w:val="004516AD"/>
    <w:rsid w:val="00451E84"/>
    <w:rsid w:val="00451EA3"/>
    <w:rsid w:val="00451F01"/>
    <w:rsid w:val="004533E2"/>
    <w:rsid w:val="00454660"/>
    <w:rsid w:val="004546A7"/>
    <w:rsid w:val="00454831"/>
    <w:rsid w:val="004548DF"/>
    <w:rsid w:val="00454937"/>
    <w:rsid w:val="00455407"/>
    <w:rsid w:val="00456CC0"/>
    <w:rsid w:val="00457933"/>
    <w:rsid w:val="00457C78"/>
    <w:rsid w:val="0046068D"/>
    <w:rsid w:val="00460735"/>
    <w:rsid w:val="00460AD5"/>
    <w:rsid w:val="00460D6A"/>
    <w:rsid w:val="00460E4C"/>
    <w:rsid w:val="00460EB8"/>
    <w:rsid w:val="00461090"/>
    <w:rsid w:val="0046112B"/>
    <w:rsid w:val="00461952"/>
    <w:rsid w:val="00461991"/>
    <w:rsid w:val="00461ACB"/>
    <w:rsid w:val="00461C43"/>
    <w:rsid w:val="00461FF2"/>
    <w:rsid w:val="00462125"/>
    <w:rsid w:val="00463216"/>
    <w:rsid w:val="0046334D"/>
    <w:rsid w:val="00463911"/>
    <w:rsid w:val="00463C95"/>
    <w:rsid w:val="00463E1C"/>
    <w:rsid w:val="00464052"/>
    <w:rsid w:val="00465153"/>
    <w:rsid w:val="00465602"/>
    <w:rsid w:val="004656A4"/>
    <w:rsid w:val="0046616F"/>
    <w:rsid w:val="00466A4A"/>
    <w:rsid w:val="00466AFD"/>
    <w:rsid w:val="00466D18"/>
    <w:rsid w:val="004704DE"/>
    <w:rsid w:val="00470696"/>
    <w:rsid w:val="004713A5"/>
    <w:rsid w:val="0047162F"/>
    <w:rsid w:val="00471B47"/>
    <w:rsid w:val="00472177"/>
    <w:rsid w:val="00472234"/>
    <w:rsid w:val="004724C9"/>
    <w:rsid w:val="00472515"/>
    <w:rsid w:val="00472585"/>
    <w:rsid w:val="00473036"/>
    <w:rsid w:val="00474130"/>
    <w:rsid w:val="004746D5"/>
    <w:rsid w:val="00474EDD"/>
    <w:rsid w:val="00475A6C"/>
    <w:rsid w:val="004761F5"/>
    <w:rsid w:val="004764AF"/>
    <w:rsid w:val="00476D04"/>
    <w:rsid w:val="00476F58"/>
    <w:rsid w:val="0047775E"/>
    <w:rsid w:val="00477AAE"/>
    <w:rsid w:val="00477AF6"/>
    <w:rsid w:val="00477B3B"/>
    <w:rsid w:val="00477BCB"/>
    <w:rsid w:val="004801A7"/>
    <w:rsid w:val="004807CA"/>
    <w:rsid w:val="00480C45"/>
    <w:rsid w:val="00480E47"/>
    <w:rsid w:val="00481666"/>
    <w:rsid w:val="0048180C"/>
    <w:rsid w:val="0048181B"/>
    <w:rsid w:val="00481F2B"/>
    <w:rsid w:val="004820C5"/>
    <w:rsid w:val="00482198"/>
    <w:rsid w:val="004823D8"/>
    <w:rsid w:val="0048252D"/>
    <w:rsid w:val="00482F20"/>
    <w:rsid w:val="00483086"/>
    <w:rsid w:val="00483196"/>
    <w:rsid w:val="0048340F"/>
    <w:rsid w:val="0048423C"/>
    <w:rsid w:val="00484449"/>
    <w:rsid w:val="0048500B"/>
    <w:rsid w:val="004850BD"/>
    <w:rsid w:val="004852CE"/>
    <w:rsid w:val="0048540C"/>
    <w:rsid w:val="00485F92"/>
    <w:rsid w:val="004860BD"/>
    <w:rsid w:val="004866E1"/>
    <w:rsid w:val="00486C72"/>
    <w:rsid w:val="00486F9C"/>
    <w:rsid w:val="00487639"/>
    <w:rsid w:val="00487D3A"/>
    <w:rsid w:val="00487F7F"/>
    <w:rsid w:val="00490954"/>
    <w:rsid w:val="00490F94"/>
    <w:rsid w:val="0049102F"/>
    <w:rsid w:val="00491754"/>
    <w:rsid w:val="00491A90"/>
    <w:rsid w:val="0049277A"/>
    <w:rsid w:val="00492B38"/>
    <w:rsid w:val="00492FE4"/>
    <w:rsid w:val="00493035"/>
    <w:rsid w:val="0049330F"/>
    <w:rsid w:val="00493321"/>
    <w:rsid w:val="004936DE"/>
    <w:rsid w:val="004949B0"/>
    <w:rsid w:val="00494A50"/>
    <w:rsid w:val="00494E6C"/>
    <w:rsid w:val="00494F03"/>
    <w:rsid w:val="0049544E"/>
    <w:rsid w:val="00495670"/>
    <w:rsid w:val="0049567B"/>
    <w:rsid w:val="0049604B"/>
    <w:rsid w:val="00496666"/>
    <w:rsid w:val="00496AC9"/>
    <w:rsid w:val="00496B28"/>
    <w:rsid w:val="00496D27"/>
    <w:rsid w:val="004A040E"/>
    <w:rsid w:val="004A042D"/>
    <w:rsid w:val="004A0ECB"/>
    <w:rsid w:val="004A11E0"/>
    <w:rsid w:val="004A18B3"/>
    <w:rsid w:val="004A1953"/>
    <w:rsid w:val="004A1FC5"/>
    <w:rsid w:val="004A2158"/>
    <w:rsid w:val="004A29A5"/>
    <w:rsid w:val="004A3225"/>
    <w:rsid w:val="004A374A"/>
    <w:rsid w:val="004A395B"/>
    <w:rsid w:val="004A3C59"/>
    <w:rsid w:val="004A3F68"/>
    <w:rsid w:val="004A3FE2"/>
    <w:rsid w:val="004A4195"/>
    <w:rsid w:val="004A480D"/>
    <w:rsid w:val="004A48F4"/>
    <w:rsid w:val="004A4D76"/>
    <w:rsid w:val="004A5851"/>
    <w:rsid w:val="004A5A91"/>
    <w:rsid w:val="004A5B0F"/>
    <w:rsid w:val="004A5CF1"/>
    <w:rsid w:val="004A66E0"/>
    <w:rsid w:val="004A7045"/>
    <w:rsid w:val="004A7A9F"/>
    <w:rsid w:val="004A7AAE"/>
    <w:rsid w:val="004A7D49"/>
    <w:rsid w:val="004A7E52"/>
    <w:rsid w:val="004A7F21"/>
    <w:rsid w:val="004B08DB"/>
    <w:rsid w:val="004B0D73"/>
    <w:rsid w:val="004B1422"/>
    <w:rsid w:val="004B15C5"/>
    <w:rsid w:val="004B176D"/>
    <w:rsid w:val="004B1DF2"/>
    <w:rsid w:val="004B24EB"/>
    <w:rsid w:val="004B29AC"/>
    <w:rsid w:val="004B322B"/>
    <w:rsid w:val="004B3C8B"/>
    <w:rsid w:val="004B44A9"/>
    <w:rsid w:val="004B4509"/>
    <w:rsid w:val="004B452A"/>
    <w:rsid w:val="004B4871"/>
    <w:rsid w:val="004B4ADF"/>
    <w:rsid w:val="004B4C00"/>
    <w:rsid w:val="004B4E06"/>
    <w:rsid w:val="004B5493"/>
    <w:rsid w:val="004B5914"/>
    <w:rsid w:val="004B6C77"/>
    <w:rsid w:val="004B6D0A"/>
    <w:rsid w:val="004B6DA4"/>
    <w:rsid w:val="004B794C"/>
    <w:rsid w:val="004B7995"/>
    <w:rsid w:val="004C02B3"/>
    <w:rsid w:val="004C098E"/>
    <w:rsid w:val="004C0BBE"/>
    <w:rsid w:val="004C0E2F"/>
    <w:rsid w:val="004C1705"/>
    <w:rsid w:val="004C172A"/>
    <w:rsid w:val="004C222E"/>
    <w:rsid w:val="004C2561"/>
    <w:rsid w:val="004C25B4"/>
    <w:rsid w:val="004C2806"/>
    <w:rsid w:val="004C2F87"/>
    <w:rsid w:val="004C3386"/>
    <w:rsid w:val="004C3A7A"/>
    <w:rsid w:val="004C3ADD"/>
    <w:rsid w:val="004C3CB1"/>
    <w:rsid w:val="004C428E"/>
    <w:rsid w:val="004C441A"/>
    <w:rsid w:val="004C4775"/>
    <w:rsid w:val="004C483D"/>
    <w:rsid w:val="004C48A9"/>
    <w:rsid w:val="004C49B3"/>
    <w:rsid w:val="004C4D05"/>
    <w:rsid w:val="004C4FF6"/>
    <w:rsid w:val="004C590B"/>
    <w:rsid w:val="004C6017"/>
    <w:rsid w:val="004C63C7"/>
    <w:rsid w:val="004C6D39"/>
    <w:rsid w:val="004C6D98"/>
    <w:rsid w:val="004C7217"/>
    <w:rsid w:val="004C7743"/>
    <w:rsid w:val="004C77A7"/>
    <w:rsid w:val="004D039E"/>
    <w:rsid w:val="004D04A3"/>
    <w:rsid w:val="004D08B7"/>
    <w:rsid w:val="004D0C9F"/>
    <w:rsid w:val="004D15FD"/>
    <w:rsid w:val="004D1A0A"/>
    <w:rsid w:val="004D2369"/>
    <w:rsid w:val="004D2485"/>
    <w:rsid w:val="004D25D5"/>
    <w:rsid w:val="004D2C9C"/>
    <w:rsid w:val="004D3A57"/>
    <w:rsid w:val="004D3AED"/>
    <w:rsid w:val="004D47FF"/>
    <w:rsid w:val="004D4D35"/>
    <w:rsid w:val="004D518F"/>
    <w:rsid w:val="004D54D7"/>
    <w:rsid w:val="004D5BB7"/>
    <w:rsid w:val="004D6053"/>
    <w:rsid w:val="004D68FE"/>
    <w:rsid w:val="004D6FA4"/>
    <w:rsid w:val="004D715B"/>
    <w:rsid w:val="004D7C23"/>
    <w:rsid w:val="004E01C6"/>
    <w:rsid w:val="004E0212"/>
    <w:rsid w:val="004E0ADC"/>
    <w:rsid w:val="004E0C4E"/>
    <w:rsid w:val="004E0FB1"/>
    <w:rsid w:val="004E1043"/>
    <w:rsid w:val="004E14C8"/>
    <w:rsid w:val="004E1DCA"/>
    <w:rsid w:val="004E1E38"/>
    <w:rsid w:val="004E21B4"/>
    <w:rsid w:val="004E22AE"/>
    <w:rsid w:val="004E252B"/>
    <w:rsid w:val="004E2861"/>
    <w:rsid w:val="004E2A85"/>
    <w:rsid w:val="004E2CE4"/>
    <w:rsid w:val="004E3F72"/>
    <w:rsid w:val="004E4A78"/>
    <w:rsid w:val="004E551E"/>
    <w:rsid w:val="004E584D"/>
    <w:rsid w:val="004E58F6"/>
    <w:rsid w:val="004E5E37"/>
    <w:rsid w:val="004E5E4C"/>
    <w:rsid w:val="004E5F79"/>
    <w:rsid w:val="004E623E"/>
    <w:rsid w:val="004E6589"/>
    <w:rsid w:val="004E6A74"/>
    <w:rsid w:val="004E6CF9"/>
    <w:rsid w:val="004E7152"/>
    <w:rsid w:val="004E734E"/>
    <w:rsid w:val="004E7EC0"/>
    <w:rsid w:val="004E7F48"/>
    <w:rsid w:val="004F014E"/>
    <w:rsid w:val="004F01EA"/>
    <w:rsid w:val="004F023B"/>
    <w:rsid w:val="004F042D"/>
    <w:rsid w:val="004F0BC6"/>
    <w:rsid w:val="004F1123"/>
    <w:rsid w:val="004F12D3"/>
    <w:rsid w:val="004F1715"/>
    <w:rsid w:val="004F17DA"/>
    <w:rsid w:val="004F2F17"/>
    <w:rsid w:val="004F355B"/>
    <w:rsid w:val="004F39D2"/>
    <w:rsid w:val="004F3BD2"/>
    <w:rsid w:val="004F4372"/>
    <w:rsid w:val="004F43E0"/>
    <w:rsid w:val="004F45EB"/>
    <w:rsid w:val="004F5079"/>
    <w:rsid w:val="004F50F4"/>
    <w:rsid w:val="004F521B"/>
    <w:rsid w:val="004F52BB"/>
    <w:rsid w:val="004F5582"/>
    <w:rsid w:val="004F56B1"/>
    <w:rsid w:val="004F59B8"/>
    <w:rsid w:val="004F62A7"/>
    <w:rsid w:val="004F62F9"/>
    <w:rsid w:val="004F66B3"/>
    <w:rsid w:val="004F696B"/>
    <w:rsid w:val="004F6A72"/>
    <w:rsid w:val="004F6AC3"/>
    <w:rsid w:val="004F6FA7"/>
    <w:rsid w:val="004F71EF"/>
    <w:rsid w:val="004F72DA"/>
    <w:rsid w:val="004F7352"/>
    <w:rsid w:val="004F7889"/>
    <w:rsid w:val="0050015C"/>
    <w:rsid w:val="00500418"/>
    <w:rsid w:val="0050042C"/>
    <w:rsid w:val="00500CCF"/>
    <w:rsid w:val="00500E62"/>
    <w:rsid w:val="005010DE"/>
    <w:rsid w:val="005011FD"/>
    <w:rsid w:val="0050164B"/>
    <w:rsid w:val="00501AA5"/>
    <w:rsid w:val="00502958"/>
    <w:rsid w:val="00502BD2"/>
    <w:rsid w:val="00502DA4"/>
    <w:rsid w:val="00503790"/>
    <w:rsid w:val="005038F3"/>
    <w:rsid w:val="00503F83"/>
    <w:rsid w:val="0050421C"/>
    <w:rsid w:val="005048FF"/>
    <w:rsid w:val="00504A9B"/>
    <w:rsid w:val="00504E9A"/>
    <w:rsid w:val="00504F83"/>
    <w:rsid w:val="005059B9"/>
    <w:rsid w:val="00505F64"/>
    <w:rsid w:val="00506DCD"/>
    <w:rsid w:val="00507325"/>
    <w:rsid w:val="00507583"/>
    <w:rsid w:val="00507C56"/>
    <w:rsid w:val="00507F13"/>
    <w:rsid w:val="005109D4"/>
    <w:rsid w:val="00510CF4"/>
    <w:rsid w:val="00510FE1"/>
    <w:rsid w:val="0051160A"/>
    <w:rsid w:val="005118BA"/>
    <w:rsid w:val="00511C56"/>
    <w:rsid w:val="00512385"/>
    <w:rsid w:val="005128B7"/>
    <w:rsid w:val="00512A4D"/>
    <w:rsid w:val="00512D87"/>
    <w:rsid w:val="005130DA"/>
    <w:rsid w:val="00513DDA"/>
    <w:rsid w:val="00513E19"/>
    <w:rsid w:val="005148B4"/>
    <w:rsid w:val="00514B29"/>
    <w:rsid w:val="00514E8C"/>
    <w:rsid w:val="00514F52"/>
    <w:rsid w:val="005152B1"/>
    <w:rsid w:val="005152F0"/>
    <w:rsid w:val="0051532D"/>
    <w:rsid w:val="00515856"/>
    <w:rsid w:val="00515CD7"/>
    <w:rsid w:val="00515FD2"/>
    <w:rsid w:val="005163E6"/>
    <w:rsid w:val="00516D23"/>
    <w:rsid w:val="005172EC"/>
    <w:rsid w:val="0051740D"/>
    <w:rsid w:val="005178CE"/>
    <w:rsid w:val="00517CA0"/>
    <w:rsid w:val="00521356"/>
    <w:rsid w:val="00521583"/>
    <w:rsid w:val="00521CAB"/>
    <w:rsid w:val="00521DFB"/>
    <w:rsid w:val="005224EF"/>
    <w:rsid w:val="00522654"/>
    <w:rsid w:val="00522835"/>
    <w:rsid w:val="0052293D"/>
    <w:rsid w:val="00522AF4"/>
    <w:rsid w:val="00523499"/>
    <w:rsid w:val="00523BC7"/>
    <w:rsid w:val="00523C08"/>
    <w:rsid w:val="00523C10"/>
    <w:rsid w:val="00523E23"/>
    <w:rsid w:val="005241C4"/>
    <w:rsid w:val="005242F0"/>
    <w:rsid w:val="005245D5"/>
    <w:rsid w:val="005247FE"/>
    <w:rsid w:val="00524889"/>
    <w:rsid w:val="00524E6D"/>
    <w:rsid w:val="0052575D"/>
    <w:rsid w:val="00525773"/>
    <w:rsid w:val="0052582C"/>
    <w:rsid w:val="005259FC"/>
    <w:rsid w:val="00525A0E"/>
    <w:rsid w:val="00525A53"/>
    <w:rsid w:val="00525DDA"/>
    <w:rsid w:val="005260F1"/>
    <w:rsid w:val="00526569"/>
    <w:rsid w:val="00526726"/>
    <w:rsid w:val="00526DB5"/>
    <w:rsid w:val="00526F91"/>
    <w:rsid w:val="00527256"/>
    <w:rsid w:val="00527934"/>
    <w:rsid w:val="00527B57"/>
    <w:rsid w:val="00527C8D"/>
    <w:rsid w:val="00527C9C"/>
    <w:rsid w:val="00530217"/>
    <w:rsid w:val="00530AC4"/>
    <w:rsid w:val="00531F7B"/>
    <w:rsid w:val="00532064"/>
    <w:rsid w:val="0053268A"/>
    <w:rsid w:val="0053309E"/>
    <w:rsid w:val="00533169"/>
    <w:rsid w:val="00533194"/>
    <w:rsid w:val="005332C8"/>
    <w:rsid w:val="00534021"/>
    <w:rsid w:val="0053464E"/>
    <w:rsid w:val="00534CBD"/>
    <w:rsid w:val="00534EA3"/>
    <w:rsid w:val="005352C8"/>
    <w:rsid w:val="005354C1"/>
    <w:rsid w:val="00535CAE"/>
    <w:rsid w:val="00535F99"/>
    <w:rsid w:val="005361DE"/>
    <w:rsid w:val="005362E9"/>
    <w:rsid w:val="00536356"/>
    <w:rsid w:val="00536C03"/>
    <w:rsid w:val="00536CBB"/>
    <w:rsid w:val="00536DDD"/>
    <w:rsid w:val="00537033"/>
    <w:rsid w:val="00540847"/>
    <w:rsid w:val="00540A37"/>
    <w:rsid w:val="00540B49"/>
    <w:rsid w:val="005418DB"/>
    <w:rsid w:val="0054230B"/>
    <w:rsid w:val="005426B9"/>
    <w:rsid w:val="005434EA"/>
    <w:rsid w:val="00544ABA"/>
    <w:rsid w:val="00544C06"/>
    <w:rsid w:val="00545D55"/>
    <w:rsid w:val="005461AB"/>
    <w:rsid w:val="00546C6A"/>
    <w:rsid w:val="00546FBA"/>
    <w:rsid w:val="0054753B"/>
    <w:rsid w:val="00547F04"/>
    <w:rsid w:val="00550924"/>
    <w:rsid w:val="00550D63"/>
    <w:rsid w:val="00550EF1"/>
    <w:rsid w:val="00551075"/>
    <w:rsid w:val="005513C8"/>
    <w:rsid w:val="00551846"/>
    <w:rsid w:val="00551D0E"/>
    <w:rsid w:val="0055236E"/>
    <w:rsid w:val="0055352C"/>
    <w:rsid w:val="005538A6"/>
    <w:rsid w:val="00554536"/>
    <w:rsid w:val="00554F94"/>
    <w:rsid w:val="00555016"/>
    <w:rsid w:val="00555161"/>
    <w:rsid w:val="005551D2"/>
    <w:rsid w:val="00555A59"/>
    <w:rsid w:val="00555DE6"/>
    <w:rsid w:val="00555EB3"/>
    <w:rsid w:val="005567F6"/>
    <w:rsid w:val="00556E29"/>
    <w:rsid w:val="00557474"/>
    <w:rsid w:val="00557C6F"/>
    <w:rsid w:val="00557DAA"/>
    <w:rsid w:val="00557DAD"/>
    <w:rsid w:val="005604AD"/>
    <w:rsid w:val="005607F0"/>
    <w:rsid w:val="00561138"/>
    <w:rsid w:val="00561699"/>
    <w:rsid w:val="0056194F"/>
    <w:rsid w:val="005619E1"/>
    <w:rsid w:val="00561A8B"/>
    <w:rsid w:val="00562629"/>
    <w:rsid w:val="005628FE"/>
    <w:rsid w:val="005629C4"/>
    <w:rsid w:val="0056364B"/>
    <w:rsid w:val="00563D49"/>
    <w:rsid w:val="00564191"/>
    <w:rsid w:val="00564557"/>
    <w:rsid w:val="0056458C"/>
    <w:rsid w:val="00564628"/>
    <w:rsid w:val="0056465D"/>
    <w:rsid w:val="005648B9"/>
    <w:rsid w:val="00564A3C"/>
    <w:rsid w:val="00564F82"/>
    <w:rsid w:val="00564FF6"/>
    <w:rsid w:val="0056538E"/>
    <w:rsid w:val="005653AE"/>
    <w:rsid w:val="005653AF"/>
    <w:rsid w:val="00565501"/>
    <w:rsid w:val="00565755"/>
    <w:rsid w:val="00565FB7"/>
    <w:rsid w:val="0056601E"/>
    <w:rsid w:val="00566406"/>
    <w:rsid w:val="005664A6"/>
    <w:rsid w:val="00566538"/>
    <w:rsid w:val="005667CE"/>
    <w:rsid w:val="00566C9E"/>
    <w:rsid w:val="0056725A"/>
    <w:rsid w:val="005672D9"/>
    <w:rsid w:val="0056741F"/>
    <w:rsid w:val="00567647"/>
    <w:rsid w:val="0056781B"/>
    <w:rsid w:val="00567BE2"/>
    <w:rsid w:val="00570102"/>
    <w:rsid w:val="00570505"/>
    <w:rsid w:val="0057106A"/>
    <w:rsid w:val="005712E6"/>
    <w:rsid w:val="00571F80"/>
    <w:rsid w:val="00572942"/>
    <w:rsid w:val="005730DB"/>
    <w:rsid w:val="00573251"/>
    <w:rsid w:val="005733A8"/>
    <w:rsid w:val="005734F9"/>
    <w:rsid w:val="00573B5B"/>
    <w:rsid w:val="00573F55"/>
    <w:rsid w:val="00574070"/>
    <w:rsid w:val="00574E16"/>
    <w:rsid w:val="00574FD2"/>
    <w:rsid w:val="00575148"/>
    <w:rsid w:val="0057540E"/>
    <w:rsid w:val="005757B6"/>
    <w:rsid w:val="005761E2"/>
    <w:rsid w:val="0058000F"/>
    <w:rsid w:val="00580557"/>
    <w:rsid w:val="0058074F"/>
    <w:rsid w:val="00580A76"/>
    <w:rsid w:val="00581042"/>
    <w:rsid w:val="005816AE"/>
    <w:rsid w:val="00581703"/>
    <w:rsid w:val="00581B15"/>
    <w:rsid w:val="005821DD"/>
    <w:rsid w:val="00582D5C"/>
    <w:rsid w:val="00583908"/>
    <w:rsid w:val="00583C9C"/>
    <w:rsid w:val="00584757"/>
    <w:rsid w:val="00584E21"/>
    <w:rsid w:val="0058608B"/>
    <w:rsid w:val="005863C1"/>
    <w:rsid w:val="0058654D"/>
    <w:rsid w:val="00586786"/>
    <w:rsid w:val="0058759C"/>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3E3F"/>
    <w:rsid w:val="005941E1"/>
    <w:rsid w:val="005943E2"/>
    <w:rsid w:val="005946E1"/>
    <w:rsid w:val="00594B8A"/>
    <w:rsid w:val="00595009"/>
    <w:rsid w:val="005954B7"/>
    <w:rsid w:val="00595A05"/>
    <w:rsid w:val="00595AA4"/>
    <w:rsid w:val="00595CBC"/>
    <w:rsid w:val="00595F17"/>
    <w:rsid w:val="00595F3D"/>
    <w:rsid w:val="00595F89"/>
    <w:rsid w:val="005960C7"/>
    <w:rsid w:val="005963FB"/>
    <w:rsid w:val="00596873"/>
    <w:rsid w:val="00596B85"/>
    <w:rsid w:val="00596BB3"/>
    <w:rsid w:val="00596BD4"/>
    <w:rsid w:val="00596FA8"/>
    <w:rsid w:val="005971A7"/>
    <w:rsid w:val="00597310"/>
    <w:rsid w:val="005977AB"/>
    <w:rsid w:val="005A01C5"/>
    <w:rsid w:val="005A0532"/>
    <w:rsid w:val="005A071C"/>
    <w:rsid w:val="005A07E7"/>
    <w:rsid w:val="005A0A26"/>
    <w:rsid w:val="005A0A57"/>
    <w:rsid w:val="005A0B9F"/>
    <w:rsid w:val="005A0DBB"/>
    <w:rsid w:val="005A0EBD"/>
    <w:rsid w:val="005A1270"/>
    <w:rsid w:val="005A1295"/>
    <w:rsid w:val="005A1370"/>
    <w:rsid w:val="005A1711"/>
    <w:rsid w:val="005A1F08"/>
    <w:rsid w:val="005A1FBF"/>
    <w:rsid w:val="005A1FD5"/>
    <w:rsid w:val="005A24B2"/>
    <w:rsid w:val="005A29B1"/>
    <w:rsid w:val="005A2EBF"/>
    <w:rsid w:val="005A3750"/>
    <w:rsid w:val="005A380B"/>
    <w:rsid w:val="005A4890"/>
    <w:rsid w:val="005A49D4"/>
    <w:rsid w:val="005A4D7C"/>
    <w:rsid w:val="005A51C9"/>
    <w:rsid w:val="005A5A96"/>
    <w:rsid w:val="005A5D7F"/>
    <w:rsid w:val="005A5DC0"/>
    <w:rsid w:val="005A643E"/>
    <w:rsid w:val="005A65C3"/>
    <w:rsid w:val="005A6B6D"/>
    <w:rsid w:val="005A6ED5"/>
    <w:rsid w:val="005A6F0E"/>
    <w:rsid w:val="005A6F57"/>
    <w:rsid w:val="005A7213"/>
    <w:rsid w:val="005A7235"/>
    <w:rsid w:val="005A795B"/>
    <w:rsid w:val="005A7BAF"/>
    <w:rsid w:val="005B05FA"/>
    <w:rsid w:val="005B0652"/>
    <w:rsid w:val="005B1213"/>
    <w:rsid w:val="005B1B55"/>
    <w:rsid w:val="005B1DBD"/>
    <w:rsid w:val="005B26B0"/>
    <w:rsid w:val="005B3937"/>
    <w:rsid w:val="005B3EBD"/>
    <w:rsid w:val="005B3F0C"/>
    <w:rsid w:val="005B3F56"/>
    <w:rsid w:val="005B48E8"/>
    <w:rsid w:val="005B4E38"/>
    <w:rsid w:val="005B564F"/>
    <w:rsid w:val="005B56D9"/>
    <w:rsid w:val="005B5BA3"/>
    <w:rsid w:val="005B5E62"/>
    <w:rsid w:val="005B6BE5"/>
    <w:rsid w:val="005B6DBE"/>
    <w:rsid w:val="005B787D"/>
    <w:rsid w:val="005B7E97"/>
    <w:rsid w:val="005B7F46"/>
    <w:rsid w:val="005C059E"/>
    <w:rsid w:val="005C060F"/>
    <w:rsid w:val="005C07D2"/>
    <w:rsid w:val="005C09A7"/>
    <w:rsid w:val="005C0EA8"/>
    <w:rsid w:val="005C102D"/>
    <w:rsid w:val="005C106A"/>
    <w:rsid w:val="005C132C"/>
    <w:rsid w:val="005C17FB"/>
    <w:rsid w:val="005C1833"/>
    <w:rsid w:val="005C1838"/>
    <w:rsid w:val="005C18C2"/>
    <w:rsid w:val="005C1E72"/>
    <w:rsid w:val="005C2063"/>
    <w:rsid w:val="005C244F"/>
    <w:rsid w:val="005C2767"/>
    <w:rsid w:val="005C2922"/>
    <w:rsid w:val="005C2C01"/>
    <w:rsid w:val="005C2F60"/>
    <w:rsid w:val="005C323D"/>
    <w:rsid w:val="005C3772"/>
    <w:rsid w:val="005C39C3"/>
    <w:rsid w:val="005C4229"/>
    <w:rsid w:val="005C4580"/>
    <w:rsid w:val="005C5065"/>
    <w:rsid w:val="005C52F3"/>
    <w:rsid w:val="005C564C"/>
    <w:rsid w:val="005C6234"/>
    <w:rsid w:val="005C64DC"/>
    <w:rsid w:val="005C6605"/>
    <w:rsid w:val="005C6CCB"/>
    <w:rsid w:val="005C71A0"/>
    <w:rsid w:val="005C7802"/>
    <w:rsid w:val="005C7B50"/>
    <w:rsid w:val="005C7F44"/>
    <w:rsid w:val="005D029E"/>
    <w:rsid w:val="005D0427"/>
    <w:rsid w:val="005D0776"/>
    <w:rsid w:val="005D07AE"/>
    <w:rsid w:val="005D08FD"/>
    <w:rsid w:val="005D0C83"/>
    <w:rsid w:val="005D113B"/>
    <w:rsid w:val="005D1732"/>
    <w:rsid w:val="005D19C7"/>
    <w:rsid w:val="005D2856"/>
    <w:rsid w:val="005D2D9A"/>
    <w:rsid w:val="005D3A6E"/>
    <w:rsid w:val="005D3B21"/>
    <w:rsid w:val="005D4019"/>
    <w:rsid w:val="005D4050"/>
    <w:rsid w:val="005D41DC"/>
    <w:rsid w:val="005D460F"/>
    <w:rsid w:val="005D4DC5"/>
    <w:rsid w:val="005D5442"/>
    <w:rsid w:val="005D5C22"/>
    <w:rsid w:val="005D5E6C"/>
    <w:rsid w:val="005D63A9"/>
    <w:rsid w:val="005D65AF"/>
    <w:rsid w:val="005D65D5"/>
    <w:rsid w:val="005D6AD4"/>
    <w:rsid w:val="005D6C56"/>
    <w:rsid w:val="005D6CED"/>
    <w:rsid w:val="005D6F49"/>
    <w:rsid w:val="005D7E8A"/>
    <w:rsid w:val="005E0687"/>
    <w:rsid w:val="005E06FA"/>
    <w:rsid w:val="005E07F6"/>
    <w:rsid w:val="005E11A5"/>
    <w:rsid w:val="005E13D4"/>
    <w:rsid w:val="005E1435"/>
    <w:rsid w:val="005E21F3"/>
    <w:rsid w:val="005E235C"/>
    <w:rsid w:val="005E2703"/>
    <w:rsid w:val="005E2DA0"/>
    <w:rsid w:val="005E3078"/>
    <w:rsid w:val="005E34C0"/>
    <w:rsid w:val="005E45F3"/>
    <w:rsid w:val="005E4757"/>
    <w:rsid w:val="005E4785"/>
    <w:rsid w:val="005E49CA"/>
    <w:rsid w:val="005E5384"/>
    <w:rsid w:val="005E5427"/>
    <w:rsid w:val="005E5428"/>
    <w:rsid w:val="005E5A7C"/>
    <w:rsid w:val="005E5C33"/>
    <w:rsid w:val="005E6976"/>
    <w:rsid w:val="005E703B"/>
    <w:rsid w:val="005E721A"/>
    <w:rsid w:val="005E74EC"/>
    <w:rsid w:val="005E7917"/>
    <w:rsid w:val="005E7AB6"/>
    <w:rsid w:val="005E7B1E"/>
    <w:rsid w:val="005E7CBC"/>
    <w:rsid w:val="005E7DB0"/>
    <w:rsid w:val="005F0A62"/>
    <w:rsid w:val="005F0FA8"/>
    <w:rsid w:val="005F1C5D"/>
    <w:rsid w:val="005F2317"/>
    <w:rsid w:val="005F2550"/>
    <w:rsid w:val="005F2B2D"/>
    <w:rsid w:val="005F2FD5"/>
    <w:rsid w:val="005F340A"/>
    <w:rsid w:val="005F359B"/>
    <w:rsid w:val="005F3869"/>
    <w:rsid w:val="005F3AE8"/>
    <w:rsid w:val="005F3B09"/>
    <w:rsid w:val="005F3B47"/>
    <w:rsid w:val="005F42B2"/>
    <w:rsid w:val="005F47C1"/>
    <w:rsid w:val="005F4926"/>
    <w:rsid w:val="005F4B6F"/>
    <w:rsid w:val="005F5009"/>
    <w:rsid w:val="005F5054"/>
    <w:rsid w:val="005F530F"/>
    <w:rsid w:val="005F5D2A"/>
    <w:rsid w:val="005F5FE6"/>
    <w:rsid w:val="005F65D9"/>
    <w:rsid w:val="005F6768"/>
    <w:rsid w:val="005F69CF"/>
    <w:rsid w:val="005F6E39"/>
    <w:rsid w:val="005F6E58"/>
    <w:rsid w:val="005F7031"/>
    <w:rsid w:val="005F704C"/>
    <w:rsid w:val="005F7A22"/>
    <w:rsid w:val="005F7B9D"/>
    <w:rsid w:val="00600501"/>
    <w:rsid w:val="00600B0C"/>
    <w:rsid w:val="00602440"/>
    <w:rsid w:val="00602DFA"/>
    <w:rsid w:val="006031D1"/>
    <w:rsid w:val="006033BF"/>
    <w:rsid w:val="00603702"/>
    <w:rsid w:val="00603B4B"/>
    <w:rsid w:val="00603F20"/>
    <w:rsid w:val="006046A9"/>
    <w:rsid w:val="0060471B"/>
    <w:rsid w:val="00604F37"/>
    <w:rsid w:val="0060508A"/>
    <w:rsid w:val="006055AF"/>
    <w:rsid w:val="00605942"/>
    <w:rsid w:val="00605C9F"/>
    <w:rsid w:val="00605F43"/>
    <w:rsid w:val="00605F95"/>
    <w:rsid w:val="006068E8"/>
    <w:rsid w:val="00606ADB"/>
    <w:rsid w:val="006072DE"/>
    <w:rsid w:val="006075F4"/>
    <w:rsid w:val="006078A8"/>
    <w:rsid w:val="00607BAD"/>
    <w:rsid w:val="00607EC7"/>
    <w:rsid w:val="006102BC"/>
    <w:rsid w:val="0061048A"/>
    <w:rsid w:val="00610AE7"/>
    <w:rsid w:val="00611178"/>
    <w:rsid w:val="0061148D"/>
    <w:rsid w:val="00611CFC"/>
    <w:rsid w:val="00611D01"/>
    <w:rsid w:val="006122EC"/>
    <w:rsid w:val="006124B3"/>
    <w:rsid w:val="00612611"/>
    <w:rsid w:val="0061279A"/>
    <w:rsid w:val="00612A10"/>
    <w:rsid w:val="00613009"/>
    <w:rsid w:val="006132EA"/>
    <w:rsid w:val="00613481"/>
    <w:rsid w:val="006134F0"/>
    <w:rsid w:val="00613BB0"/>
    <w:rsid w:val="00613CA5"/>
    <w:rsid w:val="0061401C"/>
    <w:rsid w:val="0061420B"/>
    <w:rsid w:val="00614A59"/>
    <w:rsid w:val="00614BD4"/>
    <w:rsid w:val="00614D33"/>
    <w:rsid w:val="00614E7E"/>
    <w:rsid w:val="0061537D"/>
    <w:rsid w:val="0061537F"/>
    <w:rsid w:val="006156D7"/>
    <w:rsid w:val="00615CF1"/>
    <w:rsid w:val="00615DEA"/>
    <w:rsid w:val="0061652F"/>
    <w:rsid w:val="006165A4"/>
    <w:rsid w:val="00616A60"/>
    <w:rsid w:val="00616D0C"/>
    <w:rsid w:val="00616D43"/>
    <w:rsid w:val="00616EE6"/>
    <w:rsid w:val="006171FB"/>
    <w:rsid w:val="00617283"/>
    <w:rsid w:val="0061747F"/>
    <w:rsid w:val="00617488"/>
    <w:rsid w:val="00617A2A"/>
    <w:rsid w:val="006206F3"/>
    <w:rsid w:val="006207F4"/>
    <w:rsid w:val="00620C67"/>
    <w:rsid w:val="00620CD9"/>
    <w:rsid w:val="00621451"/>
    <w:rsid w:val="006214E3"/>
    <w:rsid w:val="00621646"/>
    <w:rsid w:val="00621803"/>
    <w:rsid w:val="00621A34"/>
    <w:rsid w:val="006220F1"/>
    <w:rsid w:val="006222C3"/>
    <w:rsid w:val="00623E46"/>
    <w:rsid w:val="00624604"/>
    <w:rsid w:val="00624A9E"/>
    <w:rsid w:val="00624D2C"/>
    <w:rsid w:val="00624F7F"/>
    <w:rsid w:val="00625142"/>
    <w:rsid w:val="00625145"/>
    <w:rsid w:val="00625FC9"/>
    <w:rsid w:val="00626768"/>
    <w:rsid w:val="00626F9D"/>
    <w:rsid w:val="00627402"/>
    <w:rsid w:val="00627403"/>
    <w:rsid w:val="00627474"/>
    <w:rsid w:val="0062759B"/>
    <w:rsid w:val="00627AE2"/>
    <w:rsid w:val="00627CEA"/>
    <w:rsid w:val="00627E37"/>
    <w:rsid w:val="00630480"/>
    <w:rsid w:val="0063058E"/>
    <w:rsid w:val="006305F8"/>
    <w:rsid w:val="0063197B"/>
    <w:rsid w:val="006319D0"/>
    <w:rsid w:val="00631DA7"/>
    <w:rsid w:val="006327BB"/>
    <w:rsid w:val="00632B9C"/>
    <w:rsid w:val="00632F18"/>
    <w:rsid w:val="006332D7"/>
    <w:rsid w:val="0063333D"/>
    <w:rsid w:val="00634225"/>
    <w:rsid w:val="00635003"/>
    <w:rsid w:val="006351CE"/>
    <w:rsid w:val="006352FD"/>
    <w:rsid w:val="00635669"/>
    <w:rsid w:val="00635B15"/>
    <w:rsid w:val="00636037"/>
    <w:rsid w:val="00636269"/>
    <w:rsid w:val="006362E1"/>
    <w:rsid w:val="006367DA"/>
    <w:rsid w:val="00636F62"/>
    <w:rsid w:val="006370E1"/>
    <w:rsid w:val="00637382"/>
    <w:rsid w:val="006375B2"/>
    <w:rsid w:val="006375BB"/>
    <w:rsid w:val="006409EE"/>
    <w:rsid w:val="00640BF7"/>
    <w:rsid w:val="00640C5F"/>
    <w:rsid w:val="00640FFF"/>
    <w:rsid w:val="00641761"/>
    <w:rsid w:val="006419AF"/>
    <w:rsid w:val="006425FC"/>
    <w:rsid w:val="00642631"/>
    <w:rsid w:val="00642DF5"/>
    <w:rsid w:val="0064304A"/>
    <w:rsid w:val="0064380B"/>
    <w:rsid w:val="00643A4F"/>
    <w:rsid w:val="00643F2A"/>
    <w:rsid w:val="00643FF5"/>
    <w:rsid w:val="006441FD"/>
    <w:rsid w:val="00644E5A"/>
    <w:rsid w:val="00644F2C"/>
    <w:rsid w:val="00645065"/>
    <w:rsid w:val="006450DD"/>
    <w:rsid w:val="00645107"/>
    <w:rsid w:val="00645141"/>
    <w:rsid w:val="00645AEE"/>
    <w:rsid w:val="00645F2F"/>
    <w:rsid w:val="00646428"/>
    <w:rsid w:val="00646AFD"/>
    <w:rsid w:val="0064707F"/>
    <w:rsid w:val="006471E8"/>
    <w:rsid w:val="00647E90"/>
    <w:rsid w:val="00647FA3"/>
    <w:rsid w:val="006500F7"/>
    <w:rsid w:val="00650769"/>
    <w:rsid w:val="0065106D"/>
    <w:rsid w:val="00651555"/>
    <w:rsid w:val="006516B7"/>
    <w:rsid w:val="006518E4"/>
    <w:rsid w:val="006519F4"/>
    <w:rsid w:val="00651FB8"/>
    <w:rsid w:val="00652036"/>
    <w:rsid w:val="0065203F"/>
    <w:rsid w:val="006520D5"/>
    <w:rsid w:val="0065239B"/>
    <w:rsid w:val="006527DD"/>
    <w:rsid w:val="00652BA0"/>
    <w:rsid w:val="00653045"/>
    <w:rsid w:val="0065349A"/>
    <w:rsid w:val="00653A25"/>
    <w:rsid w:val="00653D93"/>
    <w:rsid w:val="00653FDA"/>
    <w:rsid w:val="00654079"/>
    <w:rsid w:val="006541A0"/>
    <w:rsid w:val="00654E99"/>
    <w:rsid w:val="00655104"/>
    <w:rsid w:val="0065548F"/>
    <w:rsid w:val="0065552E"/>
    <w:rsid w:val="00655633"/>
    <w:rsid w:val="006557BB"/>
    <w:rsid w:val="006559BB"/>
    <w:rsid w:val="00655D93"/>
    <w:rsid w:val="00655E86"/>
    <w:rsid w:val="00655ED0"/>
    <w:rsid w:val="00656044"/>
    <w:rsid w:val="00656614"/>
    <w:rsid w:val="00656C4D"/>
    <w:rsid w:val="006577CD"/>
    <w:rsid w:val="00657C69"/>
    <w:rsid w:val="00657CCC"/>
    <w:rsid w:val="00660162"/>
    <w:rsid w:val="0066036D"/>
    <w:rsid w:val="006604FA"/>
    <w:rsid w:val="00660879"/>
    <w:rsid w:val="00660B3F"/>
    <w:rsid w:val="006610B1"/>
    <w:rsid w:val="00661639"/>
    <w:rsid w:val="00661655"/>
    <w:rsid w:val="0066174D"/>
    <w:rsid w:val="006618D9"/>
    <w:rsid w:val="00661E36"/>
    <w:rsid w:val="00662254"/>
    <w:rsid w:val="0066263D"/>
    <w:rsid w:val="0066288A"/>
    <w:rsid w:val="0066318A"/>
    <w:rsid w:val="006631D3"/>
    <w:rsid w:val="00663D0F"/>
    <w:rsid w:val="00664525"/>
    <w:rsid w:val="0066465B"/>
    <w:rsid w:val="00664C81"/>
    <w:rsid w:val="0066521A"/>
    <w:rsid w:val="0066540C"/>
    <w:rsid w:val="006656E2"/>
    <w:rsid w:val="00665EAE"/>
    <w:rsid w:val="00666123"/>
    <w:rsid w:val="006661EA"/>
    <w:rsid w:val="0066655C"/>
    <w:rsid w:val="00666909"/>
    <w:rsid w:val="00666EBC"/>
    <w:rsid w:val="00667189"/>
    <w:rsid w:val="0066749E"/>
    <w:rsid w:val="00667CCB"/>
    <w:rsid w:val="00667EFD"/>
    <w:rsid w:val="00670475"/>
    <w:rsid w:val="00670725"/>
    <w:rsid w:val="00670B8C"/>
    <w:rsid w:val="00670C4A"/>
    <w:rsid w:val="006712FE"/>
    <w:rsid w:val="00671F3E"/>
    <w:rsid w:val="00672482"/>
    <w:rsid w:val="00672A18"/>
    <w:rsid w:val="006735D0"/>
    <w:rsid w:val="00673954"/>
    <w:rsid w:val="006739E9"/>
    <w:rsid w:val="00674D52"/>
    <w:rsid w:val="00674F93"/>
    <w:rsid w:val="0067546F"/>
    <w:rsid w:val="00676287"/>
    <w:rsid w:val="00676CE4"/>
    <w:rsid w:val="00676EC2"/>
    <w:rsid w:val="00676F61"/>
    <w:rsid w:val="00676FA5"/>
    <w:rsid w:val="006771A4"/>
    <w:rsid w:val="006771AD"/>
    <w:rsid w:val="006774A8"/>
    <w:rsid w:val="00677572"/>
    <w:rsid w:val="00677885"/>
    <w:rsid w:val="00677F2E"/>
    <w:rsid w:val="00681156"/>
    <w:rsid w:val="00681229"/>
    <w:rsid w:val="0068122F"/>
    <w:rsid w:val="00681514"/>
    <w:rsid w:val="0068185E"/>
    <w:rsid w:val="00681BE5"/>
    <w:rsid w:val="00681E30"/>
    <w:rsid w:val="00682B8F"/>
    <w:rsid w:val="0068379B"/>
    <w:rsid w:val="00683C54"/>
    <w:rsid w:val="00683D98"/>
    <w:rsid w:val="00683D99"/>
    <w:rsid w:val="00684079"/>
    <w:rsid w:val="006848EE"/>
    <w:rsid w:val="00685336"/>
    <w:rsid w:val="006860E2"/>
    <w:rsid w:val="0068629B"/>
    <w:rsid w:val="00686425"/>
    <w:rsid w:val="00686C12"/>
    <w:rsid w:val="00686D75"/>
    <w:rsid w:val="0068736A"/>
    <w:rsid w:val="00687D17"/>
    <w:rsid w:val="00690024"/>
    <w:rsid w:val="006903A4"/>
    <w:rsid w:val="00690CAA"/>
    <w:rsid w:val="00690EFB"/>
    <w:rsid w:val="00690F28"/>
    <w:rsid w:val="0069137B"/>
    <w:rsid w:val="006913EC"/>
    <w:rsid w:val="006914B7"/>
    <w:rsid w:val="00691742"/>
    <w:rsid w:val="00691DEE"/>
    <w:rsid w:val="00692242"/>
    <w:rsid w:val="0069236E"/>
    <w:rsid w:val="00692704"/>
    <w:rsid w:val="00692755"/>
    <w:rsid w:val="00692E67"/>
    <w:rsid w:val="0069381A"/>
    <w:rsid w:val="00693ACF"/>
    <w:rsid w:val="00693EE5"/>
    <w:rsid w:val="00694314"/>
    <w:rsid w:val="006944C5"/>
    <w:rsid w:val="00694B8D"/>
    <w:rsid w:val="0069532F"/>
    <w:rsid w:val="0069561C"/>
    <w:rsid w:val="00695634"/>
    <w:rsid w:val="00695768"/>
    <w:rsid w:val="0069600D"/>
    <w:rsid w:val="00696016"/>
    <w:rsid w:val="006963AE"/>
    <w:rsid w:val="006965AC"/>
    <w:rsid w:val="0069689C"/>
    <w:rsid w:val="00697053"/>
    <w:rsid w:val="006A066A"/>
    <w:rsid w:val="006A06CA"/>
    <w:rsid w:val="006A083E"/>
    <w:rsid w:val="006A0FFD"/>
    <w:rsid w:val="006A1170"/>
    <w:rsid w:val="006A12CA"/>
    <w:rsid w:val="006A14A3"/>
    <w:rsid w:val="006A159D"/>
    <w:rsid w:val="006A1819"/>
    <w:rsid w:val="006A18BF"/>
    <w:rsid w:val="006A1F58"/>
    <w:rsid w:val="006A242E"/>
    <w:rsid w:val="006A26AB"/>
    <w:rsid w:val="006A298D"/>
    <w:rsid w:val="006A2F80"/>
    <w:rsid w:val="006A347A"/>
    <w:rsid w:val="006A3809"/>
    <w:rsid w:val="006A3A48"/>
    <w:rsid w:val="006A3FD6"/>
    <w:rsid w:val="006A4076"/>
    <w:rsid w:val="006A436F"/>
    <w:rsid w:val="006A4E5B"/>
    <w:rsid w:val="006A5675"/>
    <w:rsid w:val="006A59D8"/>
    <w:rsid w:val="006A6B7B"/>
    <w:rsid w:val="006A78F8"/>
    <w:rsid w:val="006A7C26"/>
    <w:rsid w:val="006A7E27"/>
    <w:rsid w:val="006B010E"/>
    <w:rsid w:val="006B03CA"/>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106"/>
    <w:rsid w:val="006B53DC"/>
    <w:rsid w:val="006B5423"/>
    <w:rsid w:val="006B5855"/>
    <w:rsid w:val="006B5AB2"/>
    <w:rsid w:val="006B5C67"/>
    <w:rsid w:val="006B6B5D"/>
    <w:rsid w:val="006B6BF6"/>
    <w:rsid w:val="006B6C0D"/>
    <w:rsid w:val="006B7657"/>
    <w:rsid w:val="006C04BD"/>
    <w:rsid w:val="006C0B49"/>
    <w:rsid w:val="006C11D4"/>
    <w:rsid w:val="006C166D"/>
    <w:rsid w:val="006C1818"/>
    <w:rsid w:val="006C1C4F"/>
    <w:rsid w:val="006C1F8B"/>
    <w:rsid w:val="006C2633"/>
    <w:rsid w:val="006C2721"/>
    <w:rsid w:val="006C2BE5"/>
    <w:rsid w:val="006C377A"/>
    <w:rsid w:val="006C3868"/>
    <w:rsid w:val="006C38FF"/>
    <w:rsid w:val="006C3E6E"/>
    <w:rsid w:val="006C3EEA"/>
    <w:rsid w:val="006C3F92"/>
    <w:rsid w:val="006C43A6"/>
    <w:rsid w:val="006C4A4A"/>
    <w:rsid w:val="006C4E89"/>
    <w:rsid w:val="006C53EB"/>
    <w:rsid w:val="006C5434"/>
    <w:rsid w:val="006C5D29"/>
    <w:rsid w:val="006C650D"/>
    <w:rsid w:val="006C67EF"/>
    <w:rsid w:val="006C69A5"/>
    <w:rsid w:val="006C7740"/>
    <w:rsid w:val="006D0389"/>
    <w:rsid w:val="006D0848"/>
    <w:rsid w:val="006D0BA5"/>
    <w:rsid w:val="006D0C15"/>
    <w:rsid w:val="006D0D8B"/>
    <w:rsid w:val="006D0FBF"/>
    <w:rsid w:val="006D10DC"/>
    <w:rsid w:val="006D1586"/>
    <w:rsid w:val="006D19C1"/>
    <w:rsid w:val="006D222C"/>
    <w:rsid w:val="006D2538"/>
    <w:rsid w:val="006D2827"/>
    <w:rsid w:val="006D2848"/>
    <w:rsid w:val="006D2B19"/>
    <w:rsid w:val="006D2EC9"/>
    <w:rsid w:val="006D3A05"/>
    <w:rsid w:val="006D3B62"/>
    <w:rsid w:val="006D3FDF"/>
    <w:rsid w:val="006D4527"/>
    <w:rsid w:val="006D4B05"/>
    <w:rsid w:val="006D4F86"/>
    <w:rsid w:val="006D5464"/>
    <w:rsid w:val="006D5F98"/>
    <w:rsid w:val="006D6665"/>
    <w:rsid w:val="006D7098"/>
    <w:rsid w:val="006D740E"/>
    <w:rsid w:val="006D767A"/>
    <w:rsid w:val="006D7AA0"/>
    <w:rsid w:val="006D7F72"/>
    <w:rsid w:val="006E00B7"/>
    <w:rsid w:val="006E0767"/>
    <w:rsid w:val="006E0E5B"/>
    <w:rsid w:val="006E228A"/>
    <w:rsid w:val="006E2562"/>
    <w:rsid w:val="006E2F3F"/>
    <w:rsid w:val="006E3023"/>
    <w:rsid w:val="006E31AB"/>
    <w:rsid w:val="006E3369"/>
    <w:rsid w:val="006E3C34"/>
    <w:rsid w:val="006E3D00"/>
    <w:rsid w:val="006E3D12"/>
    <w:rsid w:val="006E449C"/>
    <w:rsid w:val="006E4726"/>
    <w:rsid w:val="006E4E72"/>
    <w:rsid w:val="006E50D0"/>
    <w:rsid w:val="006E5976"/>
    <w:rsid w:val="006E5EDA"/>
    <w:rsid w:val="006E663E"/>
    <w:rsid w:val="006E6994"/>
    <w:rsid w:val="006E6EDF"/>
    <w:rsid w:val="006E7A77"/>
    <w:rsid w:val="006E7BA5"/>
    <w:rsid w:val="006E7E85"/>
    <w:rsid w:val="006F01E8"/>
    <w:rsid w:val="006F02D7"/>
    <w:rsid w:val="006F03EC"/>
    <w:rsid w:val="006F059F"/>
    <w:rsid w:val="006F0EBB"/>
    <w:rsid w:val="006F1E96"/>
    <w:rsid w:val="006F1F7D"/>
    <w:rsid w:val="006F2D24"/>
    <w:rsid w:val="006F3117"/>
    <w:rsid w:val="006F352A"/>
    <w:rsid w:val="006F37F7"/>
    <w:rsid w:val="006F3909"/>
    <w:rsid w:val="006F4036"/>
    <w:rsid w:val="006F428E"/>
    <w:rsid w:val="006F48E1"/>
    <w:rsid w:val="006F4FA0"/>
    <w:rsid w:val="006F5096"/>
    <w:rsid w:val="006F5160"/>
    <w:rsid w:val="006F5374"/>
    <w:rsid w:val="006F5534"/>
    <w:rsid w:val="006F57D7"/>
    <w:rsid w:val="006F5C15"/>
    <w:rsid w:val="006F60DF"/>
    <w:rsid w:val="006F64DE"/>
    <w:rsid w:val="006F6766"/>
    <w:rsid w:val="006F68C1"/>
    <w:rsid w:val="006F6CE2"/>
    <w:rsid w:val="006F6E10"/>
    <w:rsid w:val="007014F8"/>
    <w:rsid w:val="0070150D"/>
    <w:rsid w:val="007016D2"/>
    <w:rsid w:val="007018D8"/>
    <w:rsid w:val="00701979"/>
    <w:rsid w:val="00701C6E"/>
    <w:rsid w:val="007029E8"/>
    <w:rsid w:val="00703107"/>
    <w:rsid w:val="00703138"/>
    <w:rsid w:val="00703277"/>
    <w:rsid w:val="0070356D"/>
    <w:rsid w:val="00703981"/>
    <w:rsid w:val="00703CDF"/>
    <w:rsid w:val="00703D7E"/>
    <w:rsid w:val="00704128"/>
    <w:rsid w:val="0070495F"/>
    <w:rsid w:val="00704B6E"/>
    <w:rsid w:val="00704F73"/>
    <w:rsid w:val="0070508D"/>
    <w:rsid w:val="007050C6"/>
    <w:rsid w:val="0070542E"/>
    <w:rsid w:val="0070604A"/>
    <w:rsid w:val="007060D4"/>
    <w:rsid w:val="0070624C"/>
    <w:rsid w:val="00706451"/>
    <w:rsid w:val="00707E0F"/>
    <w:rsid w:val="0071068A"/>
    <w:rsid w:val="00710E19"/>
    <w:rsid w:val="00710E52"/>
    <w:rsid w:val="0071114B"/>
    <w:rsid w:val="0071122A"/>
    <w:rsid w:val="0071154B"/>
    <w:rsid w:val="0071174F"/>
    <w:rsid w:val="0071196A"/>
    <w:rsid w:val="00711B11"/>
    <w:rsid w:val="0071219C"/>
    <w:rsid w:val="00712385"/>
    <w:rsid w:val="0071277C"/>
    <w:rsid w:val="007131CF"/>
    <w:rsid w:val="007133C0"/>
    <w:rsid w:val="0071342C"/>
    <w:rsid w:val="00713613"/>
    <w:rsid w:val="007137C6"/>
    <w:rsid w:val="007138FC"/>
    <w:rsid w:val="0071393D"/>
    <w:rsid w:val="00713E79"/>
    <w:rsid w:val="00714245"/>
    <w:rsid w:val="00714A14"/>
    <w:rsid w:val="00715441"/>
    <w:rsid w:val="00715739"/>
    <w:rsid w:val="0071576C"/>
    <w:rsid w:val="00715C94"/>
    <w:rsid w:val="007165F0"/>
    <w:rsid w:val="00716A09"/>
    <w:rsid w:val="007170DB"/>
    <w:rsid w:val="0071725B"/>
    <w:rsid w:val="00717880"/>
    <w:rsid w:val="0071791C"/>
    <w:rsid w:val="00717CA8"/>
    <w:rsid w:val="007202CB"/>
    <w:rsid w:val="007205E7"/>
    <w:rsid w:val="007209C4"/>
    <w:rsid w:val="00720A9F"/>
    <w:rsid w:val="00721E9E"/>
    <w:rsid w:val="007227FE"/>
    <w:rsid w:val="00722CD6"/>
    <w:rsid w:val="007233C3"/>
    <w:rsid w:val="00723C95"/>
    <w:rsid w:val="00723E9E"/>
    <w:rsid w:val="007244E7"/>
    <w:rsid w:val="00724F31"/>
    <w:rsid w:val="0072505F"/>
    <w:rsid w:val="00725B00"/>
    <w:rsid w:val="0072680C"/>
    <w:rsid w:val="00726B3D"/>
    <w:rsid w:val="00726C64"/>
    <w:rsid w:val="0072733B"/>
    <w:rsid w:val="00730E71"/>
    <w:rsid w:val="0073108F"/>
    <w:rsid w:val="007310B7"/>
    <w:rsid w:val="00731237"/>
    <w:rsid w:val="00731A22"/>
    <w:rsid w:val="0073207E"/>
    <w:rsid w:val="00732523"/>
    <w:rsid w:val="0073254B"/>
    <w:rsid w:val="00732664"/>
    <w:rsid w:val="00732B9E"/>
    <w:rsid w:val="00732BA7"/>
    <w:rsid w:val="0073318D"/>
    <w:rsid w:val="007333EA"/>
    <w:rsid w:val="00733601"/>
    <w:rsid w:val="00733A57"/>
    <w:rsid w:val="00733F36"/>
    <w:rsid w:val="007340CE"/>
    <w:rsid w:val="00734781"/>
    <w:rsid w:val="007349FC"/>
    <w:rsid w:val="00734B6F"/>
    <w:rsid w:val="007351A5"/>
    <w:rsid w:val="00735293"/>
    <w:rsid w:val="00735376"/>
    <w:rsid w:val="00735D05"/>
    <w:rsid w:val="007363EA"/>
    <w:rsid w:val="007363FF"/>
    <w:rsid w:val="0073668E"/>
    <w:rsid w:val="00736A02"/>
    <w:rsid w:val="00736E06"/>
    <w:rsid w:val="00736E37"/>
    <w:rsid w:val="00737286"/>
    <w:rsid w:val="007373DB"/>
    <w:rsid w:val="00737847"/>
    <w:rsid w:val="00737F27"/>
    <w:rsid w:val="00737FD3"/>
    <w:rsid w:val="00740240"/>
    <w:rsid w:val="007407DB"/>
    <w:rsid w:val="00740BFC"/>
    <w:rsid w:val="00740F76"/>
    <w:rsid w:val="00741032"/>
    <w:rsid w:val="00741037"/>
    <w:rsid w:val="00741D3F"/>
    <w:rsid w:val="007422B3"/>
    <w:rsid w:val="007424BF"/>
    <w:rsid w:val="00742FFB"/>
    <w:rsid w:val="007435F1"/>
    <w:rsid w:val="00743BC1"/>
    <w:rsid w:val="00743DDD"/>
    <w:rsid w:val="00744625"/>
    <w:rsid w:val="007446BB"/>
    <w:rsid w:val="00744AF1"/>
    <w:rsid w:val="00745882"/>
    <w:rsid w:val="00745A04"/>
    <w:rsid w:val="00745A0F"/>
    <w:rsid w:val="00745DFD"/>
    <w:rsid w:val="00745F2E"/>
    <w:rsid w:val="00745F88"/>
    <w:rsid w:val="00746197"/>
    <w:rsid w:val="0074689C"/>
    <w:rsid w:val="00746AC3"/>
    <w:rsid w:val="00746B3F"/>
    <w:rsid w:val="00747117"/>
    <w:rsid w:val="007479C2"/>
    <w:rsid w:val="00747B0D"/>
    <w:rsid w:val="0075001A"/>
    <w:rsid w:val="00751452"/>
    <w:rsid w:val="007521A5"/>
    <w:rsid w:val="007525CB"/>
    <w:rsid w:val="00752B03"/>
    <w:rsid w:val="00752E99"/>
    <w:rsid w:val="00753959"/>
    <w:rsid w:val="00753DD6"/>
    <w:rsid w:val="00754A4A"/>
    <w:rsid w:val="00755BCF"/>
    <w:rsid w:val="00755F9F"/>
    <w:rsid w:val="007566FB"/>
    <w:rsid w:val="007567A8"/>
    <w:rsid w:val="00756D6A"/>
    <w:rsid w:val="00757EE2"/>
    <w:rsid w:val="0076043F"/>
    <w:rsid w:val="00760F66"/>
    <w:rsid w:val="007611F8"/>
    <w:rsid w:val="00761200"/>
    <w:rsid w:val="00761931"/>
    <w:rsid w:val="00761BD1"/>
    <w:rsid w:val="007627BA"/>
    <w:rsid w:val="0076291E"/>
    <w:rsid w:val="00762C76"/>
    <w:rsid w:val="00762D81"/>
    <w:rsid w:val="0076317B"/>
    <w:rsid w:val="007643D5"/>
    <w:rsid w:val="00764F2A"/>
    <w:rsid w:val="00765366"/>
    <w:rsid w:val="00765914"/>
    <w:rsid w:val="00765998"/>
    <w:rsid w:val="00765AC2"/>
    <w:rsid w:val="0076614D"/>
    <w:rsid w:val="0076624C"/>
    <w:rsid w:val="0076627D"/>
    <w:rsid w:val="00766304"/>
    <w:rsid w:val="0076691C"/>
    <w:rsid w:val="00766A02"/>
    <w:rsid w:val="00767A28"/>
    <w:rsid w:val="00767DD2"/>
    <w:rsid w:val="00770264"/>
    <w:rsid w:val="0077082B"/>
    <w:rsid w:val="00770E60"/>
    <w:rsid w:val="007710CB"/>
    <w:rsid w:val="00771324"/>
    <w:rsid w:val="00771C8F"/>
    <w:rsid w:val="0077266E"/>
    <w:rsid w:val="0077292E"/>
    <w:rsid w:val="007737D4"/>
    <w:rsid w:val="007737D8"/>
    <w:rsid w:val="0077391C"/>
    <w:rsid w:val="00773D24"/>
    <w:rsid w:val="00774387"/>
    <w:rsid w:val="00774576"/>
    <w:rsid w:val="007745DA"/>
    <w:rsid w:val="0077508A"/>
    <w:rsid w:val="00775475"/>
    <w:rsid w:val="00775567"/>
    <w:rsid w:val="00775E0D"/>
    <w:rsid w:val="00776343"/>
    <w:rsid w:val="00776416"/>
    <w:rsid w:val="00776C7B"/>
    <w:rsid w:val="00776CEF"/>
    <w:rsid w:val="00776E9C"/>
    <w:rsid w:val="007774AE"/>
    <w:rsid w:val="00777E7E"/>
    <w:rsid w:val="00777EFA"/>
    <w:rsid w:val="007804DD"/>
    <w:rsid w:val="00780EC1"/>
    <w:rsid w:val="00780F3B"/>
    <w:rsid w:val="0078115B"/>
    <w:rsid w:val="007816EE"/>
    <w:rsid w:val="0078180C"/>
    <w:rsid w:val="00782071"/>
    <w:rsid w:val="00782783"/>
    <w:rsid w:val="00782946"/>
    <w:rsid w:val="00782E6F"/>
    <w:rsid w:val="00782ECD"/>
    <w:rsid w:val="00782F44"/>
    <w:rsid w:val="007830C6"/>
    <w:rsid w:val="0078363B"/>
    <w:rsid w:val="00783CCF"/>
    <w:rsid w:val="00783F5B"/>
    <w:rsid w:val="007842AE"/>
    <w:rsid w:val="00784609"/>
    <w:rsid w:val="00784720"/>
    <w:rsid w:val="0078481D"/>
    <w:rsid w:val="007859FC"/>
    <w:rsid w:val="00785F1E"/>
    <w:rsid w:val="00785F4C"/>
    <w:rsid w:val="00785F85"/>
    <w:rsid w:val="0078609C"/>
    <w:rsid w:val="00786355"/>
    <w:rsid w:val="00786932"/>
    <w:rsid w:val="00787370"/>
    <w:rsid w:val="007874AE"/>
    <w:rsid w:val="0078750B"/>
    <w:rsid w:val="00787F5E"/>
    <w:rsid w:val="0079024D"/>
    <w:rsid w:val="00790925"/>
    <w:rsid w:val="00790EB4"/>
    <w:rsid w:val="00791069"/>
    <w:rsid w:val="007911B8"/>
    <w:rsid w:val="0079129C"/>
    <w:rsid w:val="007917FF"/>
    <w:rsid w:val="00791DAE"/>
    <w:rsid w:val="007930E8"/>
    <w:rsid w:val="00793A57"/>
    <w:rsid w:val="00793A9C"/>
    <w:rsid w:val="00793AA3"/>
    <w:rsid w:val="00793F28"/>
    <w:rsid w:val="007944D2"/>
    <w:rsid w:val="00794B19"/>
    <w:rsid w:val="00794FFA"/>
    <w:rsid w:val="00795ABD"/>
    <w:rsid w:val="00795B8D"/>
    <w:rsid w:val="00795E34"/>
    <w:rsid w:val="00795F0E"/>
    <w:rsid w:val="00796168"/>
    <w:rsid w:val="00796495"/>
    <w:rsid w:val="00797063"/>
    <w:rsid w:val="00797D8F"/>
    <w:rsid w:val="007A0C00"/>
    <w:rsid w:val="007A0E15"/>
    <w:rsid w:val="007A176E"/>
    <w:rsid w:val="007A19BF"/>
    <w:rsid w:val="007A2A69"/>
    <w:rsid w:val="007A2CF1"/>
    <w:rsid w:val="007A355F"/>
    <w:rsid w:val="007A384E"/>
    <w:rsid w:val="007A41B5"/>
    <w:rsid w:val="007A4486"/>
    <w:rsid w:val="007A4682"/>
    <w:rsid w:val="007A4F27"/>
    <w:rsid w:val="007A5879"/>
    <w:rsid w:val="007A58A8"/>
    <w:rsid w:val="007A5BDC"/>
    <w:rsid w:val="007A6047"/>
    <w:rsid w:val="007A629D"/>
    <w:rsid w:val="007A6610"/>
    <w:rsid w:val="007A6D51"/>
    <w:rsid w:val="007A6DD3"/>
    <w:rsid w:val="007A6FF3"/>
    <w:rsid w:val="007A7169"/>
    <w:rsid w:val="007A71DC"/>
    <w:rsid w:val="007A7A04"/>
    <w:rsid w:val="007B04FF"/>
    <w:rsid w:val="007B0976"/>
    <w:rsid w:val="007B0CAC"/>
    <w:rsid w:val="007B15F3"/>
    <w:rsid w:val="007B1701"/>
    <w:rsid w:val="007B1C32"/>
    <w:rsid w:val="007B1D32"/>
    <w:rsid w:val="007B1DBB"/>
    <w:rsid w:val="007B2319"/>
    <w:rsid w:val="007B2FBF"/>
    <w:rsid w:val="007B3E13"/>
    <w:rsid w:val="007B4044"/>
    <w:rsid w:val="007B4046"/>
    <w:rsid w:val="007B4300"/>
    <w:rsid w:val="007B565C"/>
    <w:rsid w:val="007B595F"/>
    <w:rsid w:val="007B5B7E"/>
    <w:rsid w:val="007B5D75"/>
    <w:rsid w:val="007B5EA7"/>
    <w:rsid w:val="007B6D5E"/>
    <w:rsid w:val="007B7115"/>
    <w:rsid w:val="007B736B"/>
    <w:rsid w:val="007B78AD"/>
    <w:rsid w:val="007B79BE"/>
    <w:rsid w:val="007B7AE1"/>
    <w:rsid w:val="007C012E"/>
    <w:rsid w:val="007C055A"/>
    <w:rsid w:val="007C0853"/>
    <w:rsid w:val="007C0C90"/>
    <w:rsid w:val="007C0E07"/>
    <w:rsid w:val="007C0E86"/>
    <w:rsid w:val="007C192C"/>
    <w:rsid w:val="007C249E"/>
    <w:rsid w:val="007C26CF"/>
    <w:rsid w:val="007C271B"/>
    <w:rsid w:val="007C2C14"/>
    <w:rsid w:val="007C39F1"/>
    <w:rsid w:val="007C3A55"/>
    <w:rsid w:val="007C404B"/>
    <w:rsid w:val="007C4166"/>
    <w:rsid w:val="007C44E1"/>
    <w:rsid w:val="007C48DD"/>
    <w:rsid w:val="007C4A05"/>
    <w:rsid w:val="007C5711"/>
    <w:rsid w:val="007C57B9"/>
    <w:rsid w:val="007C6325"/>
    <w:rsid w:val="007C73A3"/>
    <w:rsid w:val="007C7975"/>
    <w:rsid w:val="007C7EF5"/>
    <w:rsid w:val="007D06AC"/>
    <w:rsid w:val="007D0741"/>
    <w:rsid w:val="007D0997"/>
    <w:rsid w:val="007D0A53"/>
    <w:rsid w:val="007D0FFC"/>
    <w:rsid w:val="007D1013"/>
    <w:rsid w:val="007D1933"/>
    <w:rsid w:val="007D19EC"/>
    <w:rsid w:val="007D2608"/>
    <w:rsid w:val="007D30C3"/>
    <w:rsid w:val="007D316C"/>
    <w:rsid w:val="007D35AC"/>
    <w:rsid w:val="007D36B1"/>
    <w:rsid w:val="007D36D7"/>
    <w:rsid w:val="007D3BA1"/>
    <w:rsid w:val="007D3BBB"/>
    <w:rsid w:val="007D3EC8"/>
    <w:rsid w:val="007D40AC"/>
    <w:rsid w:val="007D4317"/>
    <w:rsid w:val="007D4C12"/>
    <w:rsid w:val="007D555C"/>
    <w:rsid w:val="007D57E0"/>
    <w:rsid w:val="007D5946"/>
    <w:rsid w:val="007D5962"/>
    <w:rsid w:val="007D5A2B"/>
    <w:rsid w:val="007D5E79"/>
    <w:rsid w:val="007D6213"/>
    <w:rsid w:val="007D63B2"/>
    <w:rsid w:val="007D651D"/>
    <w:rsid w:val="007D69E5"/>
    <w:rsid w:val="007D6F49"/>
    <w:rsid w:val="007D71B7"/>
    <w:rsid w:val="007D7C66"/>
    <w:rsid w:val="007D7CF3"/>
    <w:rsid w:val="007E0274"/>
    <w:rsid w:val="007E02A7"/>
    <w:rsid w:val="007E0415"/>
    <w:rsid w:val="007E0991"/>
    <w:rsid w:val="007E0AFE"/>
    <w:rsid w:val="007E0B2C"/>
    <w:rsid w:val="007E0BD1"/>
    <w:rsid w:val="007E107F"/>
    <w:rsid w:val="007E2FD7"/>
    <w:rsid w:val="007E310B"/>
    <w:rsid w:val="007E32A5"/>
    <w:rsid w:val="007E38DA"/>
    <w:rsid w:val="007E3D65"/>
    <w:rsid w:val="007E3EE2"/>
    <w:rsid w:val="007E47E7"/>
    <w:rsid w:val="007E4A68"/>
    <w:rsid w:val="007E4A98"/>
    <w:rsid w:val="007E4EB6"/>
    <w:rsid w:val="007E5912"/>
    <w:rsid w:val="007E5DD7"/>
    <w:rsid w:val="007E6FB9"/>
    <w:rsid w:val="007E7139"/>
    <w:rsid w:val="007E7366"/>
    <w:rsid w:val="007E7EA1"/>
    <w:rsid w:val="007E7EA4"/>
    <w:rsid w:val="007E7EBC"/>
    <w:rsid w:val="007F03CE"/>
    <w:rsid w:val="007F04D3"/>
    <w:rsid w:val="007F0DEE"/>
    <w:rsid w:val="007F137D"/>
    <w:rsid w:val="007F165A"/>
    <w:rsid w:val="007F17B5"/>
    <w:rsid w:val="007F20E8"/>
    <w:rsid w:val="007F245F"/>
    <w:rsid w:val="007F2569"/>
    <w:rsid w:val="007F25D5"/>
    <w:rsid w:val="007F2D8D"/>
    <w:rsid w:val="007F2EBF"/>
    <w:rsid w:val="007F2F23"/>
    <w:rsid w:val="007F3044"/>
    <w:rsid w:val="007F3249"/>
    <w:rsid w:val="007F3448"/>
    <w:rsid w:val="007F3704"/>
    <w:rsid w:val="007F4464"/>
    <w:rsid w:val="007F4657"/>
    <w:rsid w:val="007F482E"/>
    <w:rsid w:val="007F5609"/>
    <w:rsid w:val="007F5625"/>
    <w:rsid w:val="007F568A"/>
    <w:rsid w:val="007F59F7"/>
    <w:rsid w:val="007F5E21"/>
    <w:rsid w:val="007F6413"/>
    <w:rsid w:val="007F6519"/>
    <w:rsid w:val="007F6761"/>
    <w:rsid w:val="007F676E"/>
    <w:rsid w:val="007F6B11"/>
    <w:rsid w:val="007F6E2B"/>
    <w:rsid w:val="007F786F"/>
    <w:rsid w:val="007F7D12"/>
    <w:rsid w:val="007F7EDC"/>
    <w:rsid w:val="007F7F02"/>
    <w:rsid w:val="00800258"/>
    <w:rsid w:val="00800C97"/>
    <w:rsid w:val="0080153D"/>
    <w:rsid w:val="0080220F"/>
    <w:rsid w:val="008026A7"/>
    <w:rsid w:val="00802735"/>
    <w:rsid w:val="008028C2"/>
    <w:rsid w:val="00802DDB"/>
    <w:rsid w:val="0080379D"/>
    <w:rsid w:val="008037D8"/>
    <w:rsid w:val="00803B7E"/>
    <w:rsid w:val="00803DA6"/>
    <w:rsid w:val="008040D9"/>
    <w:rsid w:val="0080436E"/>
    <w:rsid w:val="00804937"/>
    <w:rsid w:val="00804E1E"/>
    <w:rsid w:val="00804E43"/>
    <w:rsid w:val="008050F5"/>
    <w:rsid w:val="0080519C"/>
    <w:rsid w:val="0080553F"/>
    <w:rsid w:val="00805E48"/>
    <w:rsid w:val="00806E84"/>
    <w:rsid w:val="00807ADD"/>
    <w:rsid w:val="00810BC2"/>
    <w:rsid w:val="00811683"/>
    <w:rsid w:val="00811AFF"/>
    <w:rsid w:val="00812024"/>
    <w:rsid w:val="00812373"/>
    <w:rsid w:val="00812D30"/>
    <w:rsid w:val="00813F3A"/>
    <w:rsid w:val="008140E8"/>
    <w:rsid w:val="008146D8"/>
    <w:rsid w:val="008148D4"/>
    <w:rsid w:val="0081491F"/>
    <w:rsid w:val="00814941"/>
    <w:rsid w:val="00814A65"/>
    <w:rsid w:val="00814BD9"/>
    <w:rsid w:val="00814D72"/>
    <w:rsid w:val="008158AC"/>
    <w:rsid w:val="00815E41"/>
    <w:rsid w:val="008160DF"/>
    <w:rsid w:val="0081612D"/>
    <w:rsid w:val="00816805"/>
    <w:rsid w:val="00816BE8"/>
    <w:rsid w:val="00816CD5"/>
    <w:rsid w:val="00816DBD"/>
    <w:rsid w:val="00816FE2"/>
    <w:rsid w:val="0081700C"/>
    <w:rsid w:val="00817062"/>
    <w:rsid w:val="00817991"/>
    <w:rsid w:val="00817F58"/>
    <w:rsid w:val="008203C5"/>
    <w:rsid w:val="0082045D"/>
    <w:rsid w:val="0082046A"/>
    <w:rsid w:val="00820B20"/>
    <w:rsid w:val="00820B84"/>
    <w:rsid w:val="0082199B"/>
    <w:rsid w:val="00821C2A"/>
    <w:rsid w:val="008227B7"/>
    <w:rsid w:val="008232F6"/>
    <w:rsid w:val="00823440"/>
    <w:rsid w:val="00823D9C"/>
    <w:rsid w:val="0082403A"/>
    <w:rsid w:val="008243A8"/>
    <w:rsid w:val="00824925"/>
    <w:rsid w:val="00824C8B"/>
    <w:rsid w:val="008252E8"/>
    <w:rsid w:val="00825BA8"/>
    <w:rsid w:val="00825C14"/>
    <w:rsid w:val="0082641D"/>
    <w:rsid w:val="008266D7"/>
    <w:rsid w:val="008267CA"/>
    <w:rsid w:val="00826E45"/>
    <w:rsid w:val="008270EE"/>
    <w:rsid w:val="0082711C"/>
    <w:rsid w:val="0082722B"/>
    <w:rsid w:val="0082745B"/>
    <w:rsid w:val="00827C1B"/>
    <w:rsid w:val="0083016B"/>
    <w:rsid w:val="008301F1"/>
    <w:rsid w:val="00830C0E"/>
    <w:rsid w:val="008313E0"/>
    <w:rsid w:val="008317EC"/>
    <w:rsid w:val="0083195D"/>
    <w:rsid w:val="00831B7B"/>
    <w:rsid w:val="00831D90"/>
    <w:rsid w:val="008324F3"/>
    <w:rsid w:val="00832691"/>
    <w:rsid w:val="0083296B"/>
    <w:rsid w:val="00832B8A"/>
    <w:rsid w:val="00833547"/>
    <w:rsid w:val="008337D3"/>
    <w:rsid w:val="00833852"/>
    <w:rsid w:val="00833AB9"/>
    <w:rsid w:val="00833B62"/>
    <w:rsid w:val="00833C9D"/>
    <w:rsid w:val="00834820"/>
    <w:rsid w:val="00834C82"/>
    <w:rsid w:val="00834DB6"/>
    <w:rsid w:val="00834F93"/>
    <w:rsid w:val="00834FA5"/>
    <w:rsid w:val="00835F6D"/>
    <w:rsid w:val="00836C50"/>
    <w:rsid w:val="008375DA"/>
    <w:rsid w:val="0084023A"/>
    <w:rsid w:val="00840C4A"/>
    <w:rsid w:val="008411B9"/>
    <w:rsid w:val="0084122F"/>
    <w:rsid w:val="00841325"/>
    <w:rsid w:val="00841573"/>
    <w:rsid w:val="00841D08"/>
    <w:rsid w:val="00842D43"/>
    <w:rsid w:val="00842F64"/>
    <w:rsid w:val="00843108"/>
    <w:rsid w:val="0084323E"/>
    <w:rsid w:val="008432A5"/>
    <w:rsid w:val="0084399E"/>
    <w:rsid w:val="00843ACF"/>
    <w:rsid w:val="00843D50"/>
    <w:rsid w:val="008441D9"/>
    <w:rsid w:val="0084464E"/>
    <w:rsid w:val="008455E6"/>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988"/>
    <w:rsid w:val="00852F9E"/>
    <w:rsid w:val="00854053"/>
    <w:rsid w:val="008543AC"/>
    <w:rsid w:val="008548B8"/>
    <w:rsid w:val="0085494F"/>
    <w:rsid w:val="00854965"/>
    <w:rsid w:val="00855298"/>
    <w:rsid w:val="008554D1"/>
    <w:rsid w:val="00855770"/>
    <w:rsid w:val="008558E0"/>
    <w:rsid w:val="008569E0"/>
    <w:rsid w:val="008572BA"/>
    <w:rsid w:val="00857AF7"/>
    <w:rsid w:val="00857BE5"/>
    <w:rsid w:val="00860109"/>
    <w:rsid w:val="008601BD"/>
    <w:rsid w:val="00860359"/>
    <w:rsid w:val="00860E43"/>
    <w:rsid w:val="00861252"/>
    <w:rsid w:val="0086171A"/>
    <w:rsid w:val="0086226C"/>
    <w:rsid w:val="00862553"/>
    <w:rsid w:val="00863237"/>
    <w:rsid w:val="00863C07"/>
    <w:rsid w:val="00863E55"/>
    <w:rsid w:val="008640B7"/>
    <w:rsid w:val="008644A4"/>
    <w:rsid w:val="0086472F"/>
    <w:rsid w:val="00864A6C"/>
    <w:rsid w:val="00864BB1"/>
    <w:rsid w:val="00864DF7"/>
    <w:rsid w:val="00865278"/>
    <w:rsid w:val="008654F9"/>
    <w:rsid w:val="008658C0"/>
    <w:rsid w:val="0086597A"/>
    <w:rsid w:val="00865B6E"/>
    <w:rsid w:val="00865E91"/>
    <w:rsid w:val="008660F7"/>
    <w:rsid w:val="00866388"/>
    <w:rsid w:val="0086644B"/>
    <w:rsid w:val="00866FE3"/>
    <w:rsid w:val="0086722D"/>
    <w:rsid w:val="008677FB"/>
    <w:rsid w:val="00867AD8"/>
    <w:rsid w:val="00867D56"/>
    <w:rsid w:val="00867D70"/>
    <w:rsid w:val="00870646"/>
    <w:rsid w:val="008706C3"/>
    <w:rsid w:val="00870BAA"/>
    <w:rsid w:val="00870D91"/>
    <w:rsid w:val="008716D1"/>
    <w:rsid w:val="008716ED"/>
    <w:rsid w:val="008717C8"/>
    <w:rsid w:val="008718AD"/>
    <w:rsid w:val="0087193F"/>
    <w:rsid w:val="00871DFB"/>
    <w:rsid w:val="008724E6"/>
    <w:rsid w:val="008728C8"/>
    <w:rsid w:val="0087313D"/>
    <w:rsid w:val="00873205"/>
    <w:rsid w:val="00873301"/>
    <w:rsid w:val="008735E8"/>
    <w:rsid w:val="0087377E"/>
    <w:rsid w:val="00874594"/>
    <w:rsid w:val="00874776"/>
    <w:rsid w:val="0087485D"/>
    <w:rsid w:val="0087487C"/>
    <w:rsid w:val="00874A07"/>
    <w:rsid w:val="00874B75"/>
    <w:rsid w:val="00875007"/>
    <w:rsid w:val="008750DB"/>
    <w:rsid w:val="008751B4"/>
    <w:rsid w:val="0087527F"/>
    <w:rsid w:val="0087535E"/>
    <w:rsid w:val="00875370"/>
    <w:rsid w:val="008754B5"/>
    <w:rsid w:val="008756EF"/>
    <w:rsid w:val="00875AF3"/>
    <w:rsid w:val="0087646D"/>
    <w:rsid w:val="008765E9"/>
    <w:rsid w:val="00876605"/>
    <w:rsid w:val="00876B13"/>
    <w:rsid w:val="008774FF"/>
    <w:rsid w:val="00880017"/>
    <w:rsid w:val="00880305"/>
    <w:rsid w:val="0088088A"/>
    <w:rsid w:val="00880A3F"/>
    <w:rsid w:val="00880EE2"/>
    <w:rsid w:val="008813BC"/>
    <w:rsid w:val="00881732"/>
    <w:rsid w:val="008818A2"/>
    <w:rsid w:val="00881FF9"/>
    <w:rsid w:val="0088213D"/>
    <w:rsid w:val="008821C6"/>
    <w:rsid w:val="0088243D"/>
    <w:rsid w:val="0088251A"/>
    <w:rsid w:val="00882D28"/>
    <w:rsid w:val="00883A67"/>
    <w:rsid w:val="008848E9"/>
    <w:rsid w:val="00884FD8"/>
    <w:rsid w:val="0088515A"/>
    <w:rsid w:val="00885209"/>
    <w:rsid w:val="00885244"/>
    <w:rsid w:val="00885282"/>
    <w:rsid w:val="008857C7"/>
    <w:rsid w:val="008858B3"/>
    <w:rsid w:val="00885BF6"/>
    <w:rsid w:val="008866CF"/>
    <w:rsid w:val="00886782"/>
    <w:rsid w:val="008869A1"/>
    <w:rsid w:val="00886B3F"/>
    <w:rsid w:val="0088727A"/>
    <w:rsid w:val="00887964"/>
    <w:rsid w:val="00887A09"/>
    <w:rsid w:val="00887B10"/>
    <w:rsid w:val="00887D76"/>
    <w:rsid w:val="00887D7A"/>
    <w:rsid w:val="0089015D"/>
    <w:rsid w:val="0089021A"/>
    <w:rsid w:val="0089022E"/>
    <w:rsid w:val="00890475"/>
    <w:rsid w:val="00890A7C"/>
    <w:rsid w:val="00890D11"/>
    <w:rsid w:val="008910EE"/>
    <w:rsid w:val="00891A26"/>
    <w:rsid w:val="008923F8"/>
    <w:rsid w:val="008928F1"/>
    <w:rsid w:val="00892BBF"/>
    <w:rsid w:val="00892DB5"/>
    <w:rsid w:val="008930AF"/>
    <w:rsid w:val="0089398A"/>
    <w:rsid w:val="00893F27"/>
    <w:rsid w:val="008942BD"/>
    <w:rsid w:val="0089478A"/>
    <w:rsid w:val="0089480A"/>
    <w:rsid w:val="00894FE5"/>
    <w:rsid w:val="00895658"/>
    <w:rsid w:val="008956DA"/>
    <w:rsid w:val="00895BA9"/>
    <w:rsid w:val="00895D79"/>
    <w:rsid w:val="0089601B"/>
    <w:rsid w:val="0089647F"/>
    <w:rsid w:val="0089655D"/>
    <w:rsid w:val="00896784"/>
    <w:rsid w:val="00896C56"/>
    <w:rsid w:val="00897051"/>
    <w:rsid w:val="00897824"/>
    <w:rsid w:val="00897BCB"/>
    <w:rsid w:val="00897C07"/>
    <w:rsid w:val="00897DBA"/>
    <w:rsid w:val="008A016F"/>
    <w:rsid w:val="008A02FA"/>
    <w:rsid w:val="008A06A8"/>
    <w:rsid w:val="008A0E81"/>
    <w:rsid w:val="008A1AAC"/>
    <w:rsid w:val="008A20CA"/>
    <w:rsid w:val="008A239B"/>
    <w:rsid w:val="008A2505"/>
    <w:rsid w:val="008A28CC"/>
    <w:rsid w:val="008A2956"/>
    <w:rsid w:val="008A2EA1"/>
    <w:rsid w:val="008A2EF6"/>
    <w:rsid w:val="008A3480"/>
    <w:rsid w:val="008A3642"/>
    <w:rsid w:val="008A4E5B"/>
    <w:rsid w:val="008A4F3C"/>
    <w:rsid w:val="008A51AD"/>
    <w:rsid w:val="008A53BA"/>
    <w:rsid w:val="008A551D"/>
    <w:rsid w:val="008A56BA"/>
    <w:rsid w:val="008A570A"/>
    <w:rsid w:val="008A58E4"/>
    <w:rsid w:val="008A58E7"/>
    <w:rsid w:val="008A5C1D"/>
    <w:rsid w:val="008A615A"/>
    <w:rsid w:val="008A6357"/>
    <w:rsid w:val="008A637B"/>
    <w:rsid w:val="008A650C"/>
    <w:rsid w:val="008A6A36"/>
    <w:rsid w:val="008A6CB9"/>
    <w:rsid w:val="008A6DC1"/>
    <w:rsid w:val="008A7083"/>
    <w:rsid w:val="008A7100"/>
    <w:rsid w:val="008A7139"/>
    <w:rsid w:val="008A776D"/>
    <w:rsid w:val="008A7C74"/>
    <w:rsid w:val="008B03BD"/>
    <w:rsid w:val="008B04C0"/>
    <w:rsid w:val="008B09E1"/>
    <w:rsid w:val="008B0A83"/>
    <w:rsid w:val="008B0AD0"/>
    <w:rsid w:val="008B0DCF"/>
    <w:rsid w:val="008B0E93"/>
    <w:rsid w:val="008B0F8D"/>
    <w:rsid w:val="008B198D"/>
    <w:rsid w:val="008B1D01"/>
    <w:rsid w:val="008B2269"/>
    <w:rsid w:val="008B23A8"/>
    <w:rsid w:val="008B29A4"/>
    <w:rsid w:val="008B2BB4"/>
    <w:rsid w:val="008B2C30"/>
    <w:rsid w:val="008B3A74"/>
    <w:rsid w:val="008B3C2B"/>
    <w:rsid w:val="008B4679"/>
    <w:rsid w:val="008B4D00"/>
    <w:rsid w:val="008B4D13"/>
    <w:rsid w:val="008B4E78"/>
    <w:rsid w:val="008B4FE2"/>
    <w:rsid w:val="008B503D"/>
    <w:rsid w:val="008B61A1"/>
    <w:rsid w:val="008B66D8"/>
    <w:rsid w:val="008B66EE"/>
    <w:rsid w:val="008B6793"/>
    <w:rsid w:val="008B6E62"/>
    <w:rsid w:val="008B6E87"/>
    <w:rsid w:val="008B75C2"/>
    <w:rsid w:val="008B787A"/>
    <w:rsid w:val="008C0029"/>
    <w:rsid w:val="008C0A89"/>
    <w:rsid w:val="008C0AA9"/>
    <w:rsid w:val="008C0E71"/>
    <w:rsid w:val="008C1852"/>
    <w:rsid w:val="008C2CFF"/>
    <w:rsid w:val="008C2E1E"/>
    <w:rsid w:val="008C2E22"/>
    <w:rsid w:val="008C2ED2"/>
    <w:rsid w:val="008C3612"/>
    <w:rsid w:val="008C38FE"/>
    <w:rsid w:val="008C3D4D"/>
    <w:rsid w:val="008C3DB0"/>
    <w:rsid w:val="008C4026"/>
    <w:rsid w:val="008C417E"/>
    <w:rsid w:val="008C4E31"/>
    <w:rsid w:val="008C5B51"/>
    <w:rsid w:val="008C5F0A"/>
    <w:rsid w:val="008C6105"/>
    <w:rsid w:val="008C6124"/>
    <w:rsid w:val="008C6334"/>
    <w:rsid w:val="008C66BD"/>
    <w:rsid w:val="008C68D6"/>
    <w:rsid w:val="008C6968"/>
    <w:rsid w:val="008C742A"/>
    <w:rsid w:val="008C74C7"/>
    <w:rsid w:val="008C7714"/>
    <w:rsid w:val="008C7A17"/>
    <w:rsid w:val="008C7F4F"/>
    <w:rsid w:val="008D00F3"/>
    <w:rsid w:val="008D0241"/>
    <w:rsid w:val="008D0B34"/>
    <w:rsid w:val="008D0F27"/>
    <w:rsid w:val="008D11F0"/>
    <w:rsid w:val="008D15A2"/>
    <w:rsid w:val="008D18CD"/>
    <w:rsid w:val="008D1A16"/>
    <w:rsid w:val="008D1E7C"/>
    <w:rsid w:val="008D1F86"/>
    <w:rsid w:val="008D20E0"/>
    <w:rsid w:val="008D2B6E"/>
    <w:rsid w:val="008D31EC"/>
    <w:rsid w:val="008D335C"/>
    <w:rsid w:val="008D35B7"/>
    <w:rsid w:val="008D3F12"/>
    <w:rsid w:val="008D4007"/>
    <w:rsid w:val="008D436A"/>
    <w:rsid w:val="008D49AB"/>
    <w:rsid w:val="008D4C72"/>
    <w:rsid w:val="008D4CF8"/>
    <w:rsid w:val="008D4D6B"/>
    <w:rsid w:val="008D5246"/>
    <w:rsid w:val="008D5291"/>
    <w:rsid w:val="008D5368"/>
    <w:rsid w:val="008D561B"/>
    <w:rsid w:val="008D577B"/>
    <w:rsid w:val="008D582B"/>
    <w:rsid w:val="008D5CF9"/>
    <w:rsid w:val="008D5D0A"/>
    <w:rsid w:val="008D6199"/>
    <w:rsid w:val="008D64B9"/>
    <w:rsid w:val="008D6794"/>
    <w:rsid w:val="008D77A6"/>
    <w:rsid w:val="008D7F65"/>
    <w:rsid w:val="008E0178"/>
    <w:rsid w:val="008E02F8"/>
    <w:rsid w:val="008E0557"/>
    <w:rsid w:val="008E07AE"/>
    <w:rsid w:val="008E12AF"/>
    <w:rsid w:val="008E1311"/>
    <w:rsid w:val="008E1342"/>
    <w:rsid w:val="008E1A49"/>
    <w:rsid w:val="008E1C73"/>
    <w:rsid w:val="008E1DC9"/>
    <w:rsid w:val="008E211C"/>
    <w:rsid w:val="008E23F9"/>
    <w:rsid w:val="008E28EC"/>
    <w:rsid w:val="008E2BB3"/>
    <w:rsid w:val="008E2BC5"/>
    <w:rsid w:val="008E2C79"/>
    <w:rsid w:val="008E3176"/>
    <w:rsid w:val="008E3564"/>
    <w:rsid w:val="008E3A0B"/>
    <w:rsid w:val="008E3A90"/>
    <w:rsid w:val="008E3AAB"/>
    <w:rsid w:val="008E3BE5"/>
    <w:rsid w:val="008E3F34"/>
    <w:rsid w:val="008E4003"/>
    <w:rsid w:val="008E4043"/>
    <w:rsid w:val="008E4520"/>
    <w:rsid w:val="008E4D3D"/>
    <w:rsid w:val="008E54E8"/>
    <w:rsid w:val="008E55AA"/>
    <w:rsid w:val="008E5740"/>
    <w:rsid w:val="008E5868"/>
    <w:rsid w:val="008E5ADB"/>
    <w:rsid w:val="008E5DC8"/>
    <w:rsid w:val="008E5EAD"/>
    <w:rsid w:val="008E6465"/>
    <w:rsid w:val="008E6C57"/>
    <w:rsid w:val="008E7082"/>
    <w:rsid w:val="008E72AF"/>
    <w:rsid w:val="008F0952"/>
    <w:rsid w:val="008F0EC4"/>
    <w:rsid w:val="008F1154"/>
    <w:rsid w:val="008F1B84"/>
    <w:rsid w:val="008F1B9D"/>
    <w:rsid w:val="008F1DB6"/>
    <w:rsid w:val="008F289E"/>
    <w:rsid w:val="008F337C"/>
    <w:rsid w:val="008F33FB"/>
    <w:rsid w:val="008F39C0"/>
    <w:rsid w:val="008F39E4"/>
    <w:rsid w:val="008F51F0"/>
    <w:rsid w:val="008F57CD"/>
    <w:rsid w:val="008F5960"/>
    <w:rsid w:val="008F5CD0"/>
    <w:rsid w:val="008F629A"/>
    <w:rsid w:val="008F62B4"/>
    <w:rsid w:val="008F667F"/>
    <w:rsid w:val="008F6A9B"/>
    <w:rsid w:val="008F6F03"/>
    <w:rsid w:val="008F7603"/>
    <w:rsid w:val="008F769D"/>
    <w:rsid w:val="008F76B7"/>
    <w:rsid w:val="008F76DC"/>
    <w:rsid w:val="008F793D"/>
    <w:rsid w:val="008F7D2F"/>
    <w:rsid w:val="008F7E49"/>
    <w:rsid w:val="008F7E68"/>
    <w:rsid w:val="009013C5"/>
    <w:rsid w:val="0090147B"/>
    <w:rsid w:val="00901649"/>
    <w:rsid w:val="00901CBA"/>
    <w:rsid w:val="00901CF1"/>
    <w:rsid w:val="00901DC6"/>
    <w:rsid w:val="009021DC"/>
    <w:rsid w:val="009025E1"/>
    <w:rsid w:val="00902EFD"/>
    <w:rsid w:val="00903026"/>
    <w:rsid w:val="0090357B"/>
    <w:rsid w:val="00903832"/>
    <w:rsid w:val="00903905"/>
    <w:rsid w:val="009042D0"/>
    <w:rsid w:val="009044BE"/>
    <w:rsid w:val="009048EB"/>
    <w:rsid w:val="00904905"/>
    <w:rsid w:val="00904913"/>
    <w:rsid w:val="00904C15"/>
    <w:rsid w:val="009050B3"/>
    <w:rsid w:val="00905298"/>
    <w:rsid w:val="00905945"/>
    <w:rsid w:val="00905FEB"/>
    <w:rsid w:val="00906164"/>
    <w:rsid w:val="00906252"/>
    <w:rsid w:val="0090672E"/>
    <w:rsid w:val="00906A4F"/>
    <w:rsid w:val="00906BD6"/>
    <w:rsid w:val="00907074"/>
    <w:rsid w:val="009073C7"/>
    <w:rsid w:val="00907868"/>
    <w:rsid w:val="009078BA"/>
    <w:rsid w:val="009079C7"/>
    <w:rsid w:val="009079F7"/>
    <w:rsid w:val="00907B44"/>
    <w:rsid w:val="00907C33"/>
    <w:rsid w:val="00907C8A"/>
    <w:rsid w:val="009108D2"/>
    <w:rsid w:val="00910C20"/>
    <w:rsid w:val="00910FE1"/>
    <w:rsid w:val="0091106A"/>
    <w:rsid w:val="00911C09"/>
    <w:rsid w:val="00911D1C"/>
    <w:rsid w:val="00912D2F"/>
    <w:rsid w:val="00912F38"/>
    <w:rsid w:val="0091338E"/>
    <w:rsid w:val="0091340D"/>
    <w:rsid w:val="00913C58"/>
    <w:rsid w:val="009140B4"/>
    <w:rsid w:val="00914174"/>
    <w:rsid w:val="0091428A"/>
    <w:rsid w:val="009143AF"/>
    <w:rsid w:val="00914733"/>
    <w:rsid w:val="0091495E"/>
    <w:rsid w:val="00914AA5"/>
    <w:rsid w:val="00914EAF"/>
    <w:rsid w:val="00915428"/>
    <w:rsid w:val="00915E20"/>
    <w:rsid w:val="009162DD"/>
    <w:rsid w:val="009163E7"/>
    <w:rsid w:val="00916445"/>
    <w:rsid w:val="0091670A"/>
    <w:rsid w:val="0091671A"/>
    <w:rsid w:val="009169F6"/>
    <w:rsid w:val="0091719D"/>
    <w:rsid w:val="00917903"/>
    <w:rsid w:val="00917BEA"/>
    <w:rsid w:val="00920189"/>
    <w:rsid w:val="00920203"/>
    <w:rsid w:val="00920997"/>
    <w:rsid w:val="00920B1E"/>
    <w:rsid w:val="00920DD5"/>
    <w:rsid w:val="00921161"/>
    <w:rsid w:val="00921228"/>
    <w:rsid w:val="00921B3D"/>
    <w:rsid w:val="00922492"/>
    <w:rsid w:val="009224EB"/>
    <w:rsid w:val="0092272F"/>
    <w:rsid w:val="00922BE2"/>
    <w:rsid w:val="00922EDE"/>
    <w:rsid w:val="009237D9"/>
    <w:rsid w:val="00923C5D"/>
    <w:rsid w:val="0092406C"/>
    <w:rsid w:val="00924096"/>
    <w:rsid w:val="009242B9"/>
    <w:rsid w:val="009243BC"/>
    <w:rsid w:val="009244D5"/>
    <w:rsid w:val="00924503"/>
    <w:rsid w:val="009248E8"/>
    <w:rsid w:val="0092523A"/>
    <w:rsid w:val="009252F1"/>
    <w:rsid w:val="00925588"/>
    <w:rsid w:val="00925733"/>
    <w:rsid w:val="00925AF5"/>
    <w:rsid w:val="00926268"/>
    <w:rsid w:val="009264A2"/>
    <w:rsid w:val="0092715D"/>
    <w:rsid w:val="00927299"/>
    <w:rsid w:val="0092755B"/>
    <w:rsid w:val="009276F3"/>
    <w:rsid w:val="009302E9"/>
    <w:rsid w:val="00930632"/>
    <w:rsid w:val="00930850"/>
    <w:rsid w:val="00930AD7"/>
    <w:rsid w:val="00930CBF"/>
    <w:rsid w:val="009310BC"/>
    <w:rsid w:val="009313CA"/>
    <w:rsid w:val="00931AB7"/>
    <w:rsid w:val="00931AB8"/>
    <w:rsid w:val="00931D3F"/>
    <w:rsid w:val="00931FEE"/>
    <w:rsid w:val="009324C4"/>
    <w:rsid w:val="00932671"/>
    <w:rsid w:val="00932A7A"/>
    <w:rsid w:val="00932D26"/>
    <w:rsid w:val="009330BF"/>
    <w:rsid w:val="009333ED"/>
    <w:rsid w:val="00933817"/>
    <w:rsid w:val="009340EB"/>
    <w:rsid w:val="00934510"/>
    <w:rsid w:val="0093476C"/>
    <w:rsid w:val="00935A1E"/>
    <w:rsid w:val="00935AA3"/>
    <w:rsid w:val="00935B7C"/>
    <w:rsid w:val="00935CBC"/>
    <w:rsid w:val="00935E3A"/>
    <w:rsid w:val="00936005"/>
    <w:rsid w:val="0093607C"/>
    <w:rsid w:val="009366EC"/>
    <w:rsid w:val="00940008"/>
    <w:rsid w:val="009401CC"/>
    <w:rsid w:val="00940FFA"/>
    <w:rsid w:val="00941010"/>
    <w:rsid w:val="00941503"/>
    <w:rsid w:val="0094187D"/>
    <w:rsid w:val="009423ED"/>
    <w:rsid w:val="009425E1"/>
    <w:rsid w:val="0094263C"/>
    <w:rsid w:val="00942C90"/>
    <w:rsid w:val="00942F29"/>
    <w:rsid w:val="00942FB6"/>
    <w:rsid w:val="009430E1"/>
    <w:rsid w:val="009434EB"/>
    <w:rsid w:val="00943EA6"/>
    <w:rsid w:val="009443F2"/>
    <w:rsid w:val="00944489"/>
    <w:rsid w:val="009448F2"/>
    <w:rsid w:val="00945141"/>
    <w:rsid w:val="009451E0"/>
    <w:rsid w:val="0094524B"/>
    <w:rsid w:val="009456E3"/>
    <w:rsid w:val="00945759"/>
    <w:rsid w:val="00945925"/>
    <w:rsid w:val="00945A90"/>
    <w:rsid w:val="009466E9"/>
    <w:rsid w:val="00946CB3"/>
    <w:rsid w:val="00946D20"/>
    <w:rsid w:val="00946E51"/>
    <w:rsid w:val="009473F4"/>
    <w:rsid w:val="0094767D"/>
    <w:rsid w:val="00950231"/>
    <w:rsid w:val="00950794"/>
    <w:rsid w:val="009507AA"/>
    <w:rsid w:val="009509EF"/>
    <w:rsid w:val="009511AE"/>
    <w:rsid w:val="009515CA"/>
    <w:rsid w:val="00951691"/>
    <w:rsid w:val="00951ABF"/>
    <w:rsid w:val="00951FCE"/>
    <w:rsid w:val="009521CC"/>
    <w:rsid w:val="0095226C"/>
    <w:rsid w:val="0095269B"/>
    <w:rsid w:val="00952C05"/>
    <w:rsid w:val="00952D52"/>
    <w:rsid w:val="00954000"/>
    <w:rsid w:val="009540B7"/>
    <w:rsid w:val="009543D0"/>
    <w:rsid w:val="00954AF9"/>
    <w:rsid w:val="00954DAE"/>
    <w:rsid w:val="00955304"/>
    <w:rsid w:val="00955410"/>
    <w:rsid w:val="009558EE"/>
    <w:rsid w:val="009559D5"/>
    <w:rsid w:val="00955C17"/>
    <w:rsid w:val="00955FFA"/>
    <w:rsid w:val="00956170"/>
    <w:rsid w:val="009561F8"/>
    <w:rsid w:val="00956BA1"/>
    <w:rsid w:val="00956D42"/>
    <w:rsid w:val="00956F0F"/>
    <w:rsid w:val="0095727F"/>
    <w:rsid w:val="009572AF"/>
    <w:rsid w:val="00957E41"/>
    <w:rsid w:val="0096016E"/>
    <w:rsid w:val="009601AF"/>
    <w:rsid w:val="0096023A"/>
    <w:rsid w:val="009607AB"/>
    <w:rsid w:val="00961154"/>
    <w:rsid w:val="009615DB"/>
    <w:rsid w:val="0096163F"/>
    <w:rsid w:val="00962683"/>
    <w:rsid w:val="00962ADC"/>
    <w:rsid w:val="00962E23"/>
    <w:rsid w:val="009644A8"/>
    <w:rsid w:val="0096487C"/>
    <w:rsid w:val="00964BC2"/>
    <w:rsid w:val="00964D4A"/>
    <w:rsid w:val="00964EAE"/>
    <w:rsid w:val="00964F88"/>
    <w:rsid w:val="00965023"/>
    <w:rsid w:val="009650B7"/>
    <w:rsid w:val="0096515D"/>
    <w:rsid w:val="0096554B"/>
    <w:rsid w:val="00965841"/>
    <w:rsid w:val="00966623"/>
    <w:rsid w:val="00966E78"/>
    <w:rsid w:val="00967182"/>
    <w:rsid w:val="009678DB"/>
    <w:rsid w:val="00967D5F"/>
    <w:rsid w:val="00967E6C"/>
    <w:rsid w:val="00970728"/>
    <w:rsid w:val="009707C9"/>
    <w:rsid w:val="00971303"/>
    <w:rsid w:val="00971CCB"/>
    <w:rsid w:val="00971E0B"/>
    <w:rsid w:val="00972101"/>
    <w:rsid w:val="00972285"/>
    <w:rsid w:val="00972796"/>
    <w:rsid w:val="00972FB5"/>
    <w:rsid w:val="00973607"/>
    <w:rsid w:val="009736FE"/>
    <w:rsid w:val="00973988"/>
    <w:rsid w:val="00973B96"/>
    <w:rsid w:val="00973E3C"/>
    <w:rsid w:val="0097401A"/>
    <w:rsid w:val="0097411A"/>
    <w:rsid w:val="00974763"/>
    <w:rsid w:val="009757CA"/>
    <w:rsid w:val="00975EAA"/>
    <w:rsid w:val="00976E76"/>
    <w:rsid w:val="00977A14"/>
    <w:rsid w:val="00977E9B"/>
    <w:rsid w:val="009807BF"/>
    <w:rsid w:val="009809CE"/>
    <w:rsid w:val="0098131F"/>
    <w:rsid w:val="00981479"/>
    <w:rsid w:val="00981F74"/>
    <w:rsid w:val="009821E8"/>
    <w:rsid w:val="0098237C"/>
    <w:rsid w:val="009829B3"/>
    <w:rsid w:val="00982C31"/>
    <w:rsid w:val="00982D45"/>
    <w:rsid w:val="00983165"/>
    <w:rsid w:val="00983343"/>
    <w:rsid w:val="009833C4"/>
    <w:rsid w:val="009834E0"/>
    <w:rsid w:val="009836EC"/>
    <w:rsid w:val="009838FF"/>
    <w:rsid w:val="00983999"/>
    <w:rsid w:val="00984149"/>
    <w:rsid w:val="00984788"/>
    <w:rsid w:val="00984909"/>
    <w:rsid w:val="00984C4E"/>
    <w:rsid w:val="00984FF3"/>
    <w:rsid w:val="00984FF9"/>
    <w:rsid w:val="009850C5"/>
    <w:rsid w:val="0098516C"/>
    <w:rsid w:val="00986326"/>
    <w:rsid w:val="00986849"/>
    <w:rsid w:val="00986BB7"/>
    <w:rsid w:val="00986D4B"/>
    <w:rsid w:val="00986ED2"/>
    <w:rsid w:val="00986F6D"/>
    <w:rsid w:val="0098727C"/>
    <w:rsid w:val="00987708"/>
    <w:rsid w:val="009877BF"/>
    <w:rsid w:val="00987DF0"/>
    <w:rsid w:val="00987E2E"/>
    <w:rsid w:val="0099008B"/>
    <w:rsid w:val="00990387"/>
    <w:rsid w:val="0099157B"/>
    <w:rsid w:val="0099177B"/>
    <w:rsid w:val="00991B8C"/>
    <w:rsid w:val="0099367E"/>
    <w:rsid w:val="00993DDA"/>
    <w:rsid w:val="00993FE4"/>
    <w:rsid w:val="0099423E"/>
    <w:rsid w:val="0099425E"/>
    <w:rsid w:val="00994CDC"/>
    <w:rsid w:val="00995A48"/>
    <w:rsid w:val="009969CD"/>
    <w:rsid w:val="009976A7"/>
    <w:rsid w:val="0099770A"/>
    <w:rsid w:val="00997769"/>
    <w:rsid w:val="00997A15"/>
    <w:rsid w:val="00997A2E"/>
    <w:rsid w:val="009A048E"/>
    <w:rsid w:val="009A0D54"/>
    <w:rsid w:val="009A119F"/>
    <w:rsid w:val="009A1609"/>
    <w:rsid w:val="009A16A3"/>
    <w:rsid w:val="009A18E7"/>
    <w:rsid w:val="009A1A7E"/>
    <w:rsid w:val="009A1D8A"/>
    <w:rsid w:val="009A1EB5"/>
    <w:rsid w:val="009A3480"/>
    <w:rsid w:val="009A3DB8"/>
    <w:rsid w:val="009A3DCC"/>
    <w:rsid w:val="009A43B3"/>
    <w:rsid w:val="009A464D"/>
    <w:rsid w:val="009A496F"/>
    <w:rsid w:val="009A4AE9"/>
    <w:rsid w:val="009A4B78"/>
    <w:rsid w:val="009A4D28"/>
    <w:rsid w:val="009A4D73"/>
    <w:rsid w:val="009A4E41"/>
    <w:rsid w:val="009A51FD"/>
    <w:rsid w:val="009A5297"/>
    <w:rsid w:val="009A5851"/>
    <w:rsid w:val="009A5C0C"/>
    <w:rsid w:val="009A5D40"/>
    <w:rsid w:val="009A5E10"/>
    <w:rsid w:val="009A5FB8"/>
    <w:rsid w:val="009A6665"/>
    <w:rsid w:val="009A743F"/>
    <w:rsid w:val="009A74F7"/>
    <w:rsid w:val="009B00F2"/>
    <w:rsid w:val="009B0E67"/>
    <w:rsid w:val="009B0FB2"/>
    <w:rsid w:val="009B1113"/>
    <w:rsid w:val="009B1C34"/>
    <w:rsid w:val="009B1D22"/>
    <w:rsid w:val="009B1D4B"/>
    <w:rsid w:val="009B1E86"/>
    <w:rsid w:val="009B2222"/>
    <w:rsid w:val="009B2356"/>
    <w:rsid w:val="009B27C4"/>
    <w:rsid w:val="009B2BE6"/>
    <w:rsid w:val="009B2D92"/>
    <w:rsid w:val="009B31DE"/>
    <w:rsid w:val="009B3250"/>
    <w:rsid w:val="009B35A6"/>
    <w:rsid w:val="009B3A5F"/>
    <w:rsid w:val="009B42A4"/>
    <w:rsid w:val="009B42D2"/>
    <w:rsid w:val="009B44D0"/>
    <w:rsid w:val="009B4A06"/>
    <w:rsid w:val="009B60EA"/>
    <w:rsid w:val="009B63AE"/>
    <w:rsid w:val="009B6FFC"/>
    <w:rsid w:val="009B70C8"/>
    <w:rsid w:val="009B737C"/>
    <w:rsid w:val="009B742E"/>
    <w:rsid w:val="009C0AC6"/>
    <w:rsid w:val="009C11B2"/>
    <w:rsid w:val="009C1456"/>
    <w:rsid w:val="009C1577"/>
    <w:rsid w:val="009C164F"/>
    <w:rsid w:val="009C1C30"/>
    <w:rsid w:val="009C22DD"/>
    <w:rsid w:val="009C272A"/>
    <w:rsid w:val="009C29D5"/>
    <w:rsid w:val="009C3005"/>
    <w:rsid w:val="009C30A0"/>
    <w:rsid w:val="009C3182"/>
    <w:rsid w:val="009C359E"/>
    <w:rsid w:val="009C37FE"/>
    <w:rsid w:val="009C3EDC"/>
    <w:rsid w:val="009C4082"/>
    <w:rsid w:val="009C4A38"/>
    <w:rsid w:val="009C4A72"/>
    <w:rsid w:val="009C4AD8"/>
    <w:rsid w:val="009C4C29"/>
    <w:rsid w:val="009C4C8B"/>
    <w:rsid w:val="009C4D3D"/>
    <w:rsid w:val="009C5111"/>
    <w:rsid w:val="009C55E2"/>
    <w:rsid w:val="009C5918"/>
    <w:rsid w:val="009C5A4E"/>
    <w:rsid w:val="009C5EE5"/>
    <w:rsid w:val="009C605A"/>
    <w:rsid w:val="009C61E3"/>
    <w:rsid w:val="009C6B56"/>
    <w:rsid w:val="009C7DB8"/>
    <w:rsid w:val="009C7FF0"/>
    <w:rsid w:val="009D010D"/>
    <w:rsid w:val="009D0244"/>
    <w:rsid w:val="009D08F9"/>
    <w:rsid w:val="009D0F71"/>
    <w:rsid w:val="009D111C"/>
    <w:rsid w:val="009D137D"/>
    <w:rsid w:val="009D17A0"/>
    <w:rsid w:val="009D1F7A"/>
    <w:rsid w:val="009D2873"/>
    <w:rsid w:val="009D2942"/>
    <w:rsid w:val="009D2BB8"/>
    <w:rsid w:val="009D2FF8"/>
    <w:rsid w:val="009D3562"/>
    <w:rsid w:val="009D3A1A"/>
    <w:rsid w:val="009D3E31"/>
    <w:rsid w:val="009D426A"/>
    <w:rsid w:val="009D5B2E"/>
    <w:rsid w:val="009D5BDB"/>
    <w:rsid w:val="009D6B03"/>
    <w:rsid w:val="009D6B3D"/>
    <w:rsid w:val="009D7422"/>
    <w:rsid w:val="009D78E7"/>
    <w:rsid w:val="009E0742"/>
    <w:rsid w:val="009E0B29"/>
    <w:rsid w:val="009E1291"/>
    <w:rsid w:val="009E12BC"/>
    <w:rsid w:val="009E139D"/>
    <w:rsid w:val="009E1549"/>
    <w:rsid w:val="009E1A9E"/>
    <w:rsid w:val="009E224D"/>
    <w:rsid w:val="009E26D5"/>
    <w:rsid w:val="009E2A07"/>
    <w:rsid w:val="009E3398"/>
    <w:rsid w:val="009E3577"/>
    <w:rsid w:val="009E37A5"/>
    <w:rsid w:val="009E395B"/>
    <w:rsid w:val="009E3D2B"/>
    <w:rsid w:val="009E3DC2"/>
    <w:rsid w:val="009E3E84"/>
    <w:rsid w:val="009E4053"/>
    <w:rsid w:val="009E4097"/>
    <w:rsid w:val="009E4664"/>
    <w:rsid w:val="009E4D8E"/>
    <w:rsid w:val="009E4E60"/>
    <w:rsid w:val="009E4E90"/>
    <w:rsid w:val="009E4EB7"/>
    <w:rsid w:val="009E57C1"/>
    <w:rsid w:val="009E624A"/>
    <w:rsid w:val="009E6B32"/>
    <w:rsid w:val="009E7039"/>
    <w:rsid w:val="009E70F3"/>
    <w:rsid w:val="009E7C40"/>
    <w:rsid w:val="009E7E98"/>
    <w:rsid w:val="009F00EE"/>
    <w:rsid w:val="009F0827"/>
    <w:rsid w:val="009F0BED"/>
    <w:rsid w:val="009F1673"/>
    <w:rsid w:val="009F23E6"/>
    <w:rsid w:val="009F3255"/>
    <w:rsid w:val="009F341D"/>
    <w:rsid w:val="009F34AA"/>
    <w:rsid w:val="009F3942"/>
    <w:rsid w:val="009F3D86"/>
    <w:rsid w:val="009F3DCE"/>
    <w:rsid w:val="009F44FF"/>
    <w:rsid w:val="009F46E8"/>
    <w:rsid w:val="009F472D"/>
    <w:rsid w:val="009F4CF0"/>
    <w:rsid w:val="009F4E88"/>
    <w:rsid w:val="009F50D1"/>
    <w:rsid w:val="009F573B"/>
    <w:rsid w:val="009F5918"/>
    <w:rsid w:val="009F596D"/>
    <w:rsid w:val="009F6A91"/>
    <w:rsid w:val="009F71A6"/>
    <w:rsid w:val="009F71AA"/>
    <w:rsid w:val="009F754A"/>
    <w:rsid w:val="009F791F"/>
    <w:rsid w:val="009F7F86"/>
    <w:rsid w:val="00A0034D"/>
    <w:rsid w:val="00A00BFB"/>
    <w:rsid w:val="00A00DCF"/>
    <w:rsid w:val="00A0126C"/>
    <w:rsid w:val="00A012DA"/>
    <w:rsid w:val="00A016E9"/>
    <w:rsid w:val="00A0187E"/>
    <w:rsid w:val="00A023AB"/>
    <w:rsid w:val="00A026F0"/>
    <w:rsid w:val="00A02F2D"/>
    <w:rsid w:val="00A02F61"/>
    <w:rsid w:val="00A03529"/>
    <w:rsid w:val="00A03E0E"/>
    <w:rsid w:val="00A040D1"/>
    <w:rsid w:val="00A044B7"/>
    <w:rsid w:val="00A04A0A"/>
    <w:rsid w:val="00A050A8"/>
    <w:rsid w:val="00A056A3"/>
    <w:rsid w:val="00A059AF"/>
    <w:rsid w:val="00A05B51"/>
    <w:rsid w:val="00A06286"/>
    <w:rsid w:val="00A06318"/>
    <w:rsid w:val="00A063BC"/>
    <w:rsid w:val="00A068E1"/>
    <w:rsid w:val="00A0699F"/>
    <w:rsid w:val="00A06A80"/>
    <w:rsid w:val="00A06D8A"/>
    <w:rsid w:val="00A0711F"/>
    <w:rsid w:val="00A07B0B"/>
    <w:rsid w:val="00A1015D"/>
    <w:rsid w:val="00A102A0"/>
    <w:rsid w:val="00A10860"/>
    <w:rsid w:val="00A114FA"/>
    <w:rsid w:val="00A11AF3"/>
    <w:rsid w:val="00A12ACF"/>
    <w:rsid w:val="00A12B42"/>
    <w:rsid w:val="00A12B8A"/>
    <w:rsid w:val="00A12BD4"/>
    <w:rsid w:val="00A12C09"/>
    <w:rsid w:val="00A13084"/>
    <w:rsid w:val="00A1327F"/>
    <w:rsid w:val="00A136D0"/>
    <w:rsid w:val="00A13817"/>
    <w:rsid w:val="00A138D3"/>
    <w:rsid w:val="00A139F6"/>
    <w:rsid w:val="00A13E0F"/>
    <w:rsid w:val="00A144B7"/>
    <w:rsid w:val="00A149B4"/>
    <w:rsid w:val="00A152D3"/>
    <w:rsid w:val="00A15F4F"/>
    <w:rsid w:val="00A160AB"/>
    <w:rsid w:val="00A16419"/>
    <w:rsid w:val="00A16745"/>
    <w:rsid w:val="00A16747"/>
    <w:rsid w:val="00A17E93"/>
    <w:rsid w:val="00A20013"/>
    <w:rsid w:val="00A2056F"/>
    <w:rsid w:val="00A20582"/>
    <w:rsid w:val="00A20C65"/>
    <w:rsid w:val="00A212A6"/>
    <w:rsid w:val="00A21767"/>
    <w:rsid w:val="00A21826"/>
    <w:rsid w:val="00A21FD5"/>
    <w:rsid w:val="00A22729"/>
    <w:rsid w:val="00A22751"/>
    <w:rsid w:val="00A22940"/>
    <w:rsid w:val="00A23102"/>
    <w:rsid w:val="00A233D8"/>
    <w:rsid w:val="00A2343F"/>
    <w:rsid w:val="00A23505"/>
    <w:rsid w:val="00A2428B"/>
    <w:rsid w:val="00A247E5"/>
    <w:rsid w:val="00A248BD"/>
    <w:rsid w:val="00A24D81"/>
    <w:rsid w:val="00A24EA5"/>
    <w:rsid w:val="00A25173"/>
    <w:rsid w:val="00A25253"/>
    <w:rsid w:val="00A252F0"/>
    <w:rsid w:val="00A2530C"/>
    <w:rsid w:val="00A259F2"/>
    <w:rsid w:val="00A26463"/>
    <w:rsid w:val="00A2660E"/>
    <w:rsid w:val="00A26916"/>
    <w:rsid w:val="00A26B47"/>
    <w:rsid w:val="00A26B5D"/>
    <w:rsid w:val="00A26FF1"/>
    <w:rsid w:val="00A27547"/>
    <w:rsid w:val="00A2770B"/>
    <w:rsid w:val="00A27806"/>
    <w:rsid w:val="00A302A9"/>
    <w:rsid w:val="00A3068C"/>
    <w:rsid w:val="00A3127F"/>
    <w:rsid w:val="00A315BC"/>
    <w:rsid w:val="00A31922"/>
    <w:rsid w:val="00A31A86"/>
    <w:rsid w:val="00A31BCC"/>
    <w:rsid w:val="00A31C70"/>
    <w:rsid w:val="00A31C87"/>
    <w:rsid w:val="00A325BB"/>
    <w:rsid w:val="00A3297A"/>
    <w:rsid w:val="00A32A58"/>
    <w:rsid w:val="00A32EEC"/>
    <w:rsid w:val="00A336C5"/>
    <w:rsid w:val="00A339D9"/>
    <w:rsid w:val="00A33BD6"/>
    <w:rsid w:val="00A3510A"/>
    <w:rsid w:val="00A3515F"/>
    <w:rsid w:val="00A35751"/>
    <w:rsid w:val="00A3577F"/>
    <w:rsid w:val="00A35BBC"/>
    <w:rsid w:val="00A35DAB"/>
    <w:rsid w:val="00A3625E"/>
    <w:rsid w:val="00A36696"/>
    <w:rsid w:val="00A36724"/>
    <w:rsid w:val="00A367AF"/>
    <w:rsid w:val="00A36977"/>
    <w:rsid w:val="00A36C13"/>
    <w:rsid w:val="00A377C2"/>
    <w:rsid w:val="00A37A31"/>
    <w:rsid w:val="00A401F1"/>
    <w:rsid w:val="00A40B1F"/>
    <w:rsid w:val="00A40B4D"/>
    <w:rsid w:val="00A40BB0"/>
    <w:rsid w:val="00A411E2"/>
    <w:rsid w:val="00A41373"/>
    <w:rsid w:val="00A41638"/>
    <w:rsid w:val="00A41B15"/>
    <w:rsid w:val="00A41D2F"/>
    <w:rsid w:val="00A4224E"/>
    <w:rsid w:val="00A4229F"/>
    <w:rsid w:val="00A4244B"/>
    <w:rsid w:val="00A428A9"/>
    <w:rsid w:val="00A42ACA"/>
    <w:rsid w:val="00A4327C"/>
    <w:rsid w:val="00A4332A"/>
    <w:rsid w:val="00A43496"/>
    <w:rsid w:val="00A43665"/>
    <w:rsid w:val="00A43AAB"/>
    <w:rsid w:val="00A43AFE"/>
    <w:rsid w:val="00A441CC"/>
    <w:rsid w:val="00A447E3"/>
    <w:rsid w:val="00A44AAD"/>
    <w:rsid w:val="00A44D3B"/>
    <w:rsid w:val="00A45241"/>
    <w:rsid w:val="00A45280"/>
    <w:rsid w:val="00A452B8"/>
    <w:rsid w:val="00A45BF7"/>
    <w:rsid w:val="00A463B5"/>
    <w:rsid w:val="00A463BA"/>
    <w:rsid w:val="00A46675"/>
    <w:rsid w:val="00A46A5F"/>
    <w:rsid w:val="00A471A3"/>
    <w:rsid w:val="00A47597"/>
    <w:rsid w:val="00A479D7"/>
    <w:rsid w:val="00A47E44"/>
    <w:rsid w:val="00A47F91"/>
    <w:rsid w:val="00A507D7"/>
    <w:rsid w:val="00A50A5C"/>
    <w:rsid w:val="00A50B75"/>
    <w:rsid w:val="00A50BE2"/>
    <w:rsid w:val="00A50CC6"/>
    <w:rsid w:val="00A50E40"/>
    <w:rsid w:val="00A51462"/>
    <w:rsid w:val="00A51946"/>
    <w:rsid w:val="00A5197B"/>
    <w:rsid w:val="00A51FF7"/>
    <w:rsid w:val="00A52079"/>
    <w:rsid w:val="00A52143"/>
    <w:rsid w:val="00A521E9"/>
    <w:rsid w:val="00A5298E"/>
    <w:rsid w:val="00A52B3E"/>
    <w:rsid w:val="00A5313B"/>
    <w:rsid w:val="00A5320E"/>
    <w:rsid w:val="00A53F7B"/>
    <w:rsid w:val="00A54090"/>
    <w:rsid w:val="00A541F3"/>
    <w:rsid w:val="00A54282"/>
    <w:rsid w:val="00A549D3"/>
    <w:rsid w:val="00A54C5D"/>
    <w:rsid w:val="00A54C76"/>
    <w:rsid w:val="00A54DF0"/>
    <w:rsid w:val="00A5504C"/>
    <w:rsid w:val="00A556BE"/>
    <w:rsid w:val="00A55C36"/>
    <w:rsid w:val="00A55E02"/>
    <w:rsid w:val="00A57E98"/>
    <w:rsid w:val="00A60017"/>
    <w:rsid w:val="00A60849"/>
    <w:rsid w:val="00A6105B"/>
    <w:rsid w:val="00A61355"/>
    <w:rsid w:val="00A61668"/>
    <w:rsid w:val="00A621D3"/>
    <w:rsid w:val="00A624B3"/>
    <w:rsid w:val="00A628F8"/>
    <w:rsid w:val="00A62B7A"/>
    <w:rsid w:val="00A62CC0"/>
    <w:rsid w:val="00A631A1"/>
    <w:rsid w:val="00A632EA"/>
    <w:rsid w:val="00A6339D"/>
    <w:rsid w:val="00A634BE"/>
    <w:rsid w:val="00A63AD7"/>
    <w:rsid w:val="00A63BFD"/>
    <w:rsid w:val="00A63E61"/>
    <w:rsid w:val="00A6491F"/>
    <w:rsid w:val="00A64A9E"/>
    <w:rsid w:val="00A64C72"/>
    <w:rsid w:val="00A64D1A"/>
    <w:rsid w:val="00A65320"/>
    <w:rsid w:val="00A65BA5"/>
    <w:rsid w:val="00A66354"/>
    <w:rsid w:val="00A66E37"/>
    <w:rsid w:val="00A66ECF"/>
    <w:rsid w:val="00A67681"/>
    <w:rsid w:val="00A67E38"/>
    <w:rsid w:val="00A703E4"/>
    <w:rsid w:val="00A704C9"/>
    <w:rsid w:val="00A707AF"/>
    <w:rsid w:val="00A70DC6"/>
    <w:rsid w:val="00A71080"/>
    <w:rsid w:val="00A71986"/>
    <w:rsid w:val="00A71E3D"/>
    <w:rsid w:val="00A71E73"/>
    <w:rsid w:val="00A720BB"/>
    <w:rsid w:val="00A72740"/>
    <w:rsid w:val="00A73581"/>
    <w:rsid w:val="00A73A64"/>
    <w:rsid w:val="00A73C0E"/>
    <w:rsid w:val="00A741AA"/>
    <w:rsid w:val="00A742AD"/>
    <w:rsid w:val="00A74354"/>
    <w:rsid w:val="00A74425"/>
    <w:rsid w:val="00A746D7"/>
    <w:rsid w:val="00A74AB2"/>
    <w:rsid w:val="00A751E1"/>
    <w:rsid w:val="00A75A27"/>
    <w:rsid w:val="00A75A46"/>
    <w:rsid w:val="00A75B36"/>
    <w:rsid w:val="00A7623B"/>
    <w:rsid w:val="00A7660A"/>
    <w:rsid w:val="00A7663A"/>
    <w:rsid w:val="00A7696B"/>
    <w:rsid w:val="00A769D4"/>
    <w:rsid w:val="00A77945"/>
    <w:rsid w:val="00A8008F"/>
    <w:rsid w:val="00A804C7"/>
    <w:rsid w:val="00A80857"/>
    <w:rsid w:val="00A80A39"/>
    <w:rsid w:val="00A80AF2"/>
    <w:rsid w:val="00A80DF0"/>
    <w:rsid w:val="00A80E64"/>
    <w:rsid w:val="00A81A15"/>
    <w:rsid w:val="00A81A16"/>
    <w:rsid w:val="00A823A7"/>
    <w:rsid w:val="00A823B8"/>
    <w:rsid w:val="00A824D4"/>
    <w:rsid w:val="00A825C8"/>
    <w:rsid w:val="00A82742"/>
    <w:rsid w:val="00A82A29"/>
    <w:rsid w:val="00A83340"/>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138A"/>
    <w:rsid w:val="00A916AB"/>
    <w:rsid w:val="00A920E1"/>
    <w:rsid w:val="00A92998"/>
    <w:rsid w:val="00A933AE"/>
    <w:rsid w:val="00A93863"/>
    <w:rsid w:val="00A93928"/>
    <w:rsid w:val="00A93A14"/>
    <w:rsid w:val="00A93ACD"/>
    <w:rsid w:val="00A93F73"/>
    <w:rsid w:val="00A9415E"/>
    <w:rsid w:val="00A9423F"/>
    <w:rsid w:val="00A94EBD"/>
    <w:rsid w:val="00A9510D"/>
    <w:rsid w:val="00A95117"/>
    <w:rsid w:val="00A95580"/>
    <w:rsid w:val="00A956AC"/>
    <w:rsid w:val="00A95D2A"/>
    <w:rsid w:val="00A961D6"/>
    <w:rsid w:val="00A96214"/>
    <w:rsid w:val="00A967E8"/>
    <w:rsid w:val="00A97CAB"/>
    <w:rsid w:val="00A97F4B"/>
    <w:rsid w:val="00AA04C5"/>
    <w:rsid w:val="00AA1002"/>
    <w:rsid w:val="00AA10B1"/>
    <w:rsid w:val="00AA143B"/>
    <w:rsid w:val="00AA274F"/>
    <w:rsid w:val="00AA2803"/>
    <w:rsid w:val="00AA2BF2"/>
    <w:rsid w:val="00AA2D68"/>
    <w:rsid w:val="00AA2D6F"/>
    <w:rsid w:val="00AA2E92"/>
    <w:rsid w:val="00AA3987"/>
    <w:rsid w:val="00AA3B68"/>
    <w:rsid w:val="00AA3E79"/>
    <w:rsid w:val="00AA4918"/>
    <w:rsid w:val="00AA4FB4"/>
    <w:rsid w:val="00AA51C3"/>
    <w:rsid w:val="00AA5C0B"/>
    <w:rsid w:val="00AA5E3B"/>
    <w:rsid w:val="00AA63AD"/>
    <w:rsid w:val="00AA65B4"/>
    <w:rsid w:val="00AA6604"/>
    <w:rsid w:val="00AA6A75"/>
    <w:rsid w:val="00AA745E"/>
    <w:rsid w:val="00AB04AB"/>
    <w:rsid w:val="00AB05A3"/>
    <w:rsid w:val="00AB0636"/>
    <w:rsid w:val="00AB0733"/>
    <w:rsid w:val="00AB09D2"/>
    <w:rsid w:val="00AB0B64"/>
    <w:rsid w:val="00AB0C30"/>
    <w:rsid w:val="00AB176B"/>
    <w:rsid w:val="00AB210F"/>
    <w:rsid w:val="00AB2C5F"/>
    <w:rsid w:val="00AB37E6"/>
    <w:rsid w:val="00AB3DBA"/>
    <w:rsid w:val="00AB431C"/>
    <w:rsid w:val="00AB470E"/>
    <w:rsid w:val="00AB4C80"/>
    <w:rsid w:val="00AB506B"/>
    <w:rsid w:val="00AB5467"/>
    <w:rsid w:val="00AB5720"/>
    <w:rsid w:val="00AB5883"/>
    <w:rsid w:val="00AB5A7E"/>
    <w:rsid w:val="00AB7538"/>
    <w:rsid w:val="00AB77F3"/>
    <w:rsid w:val="00AC0256"/>
    <w:rsid w:val="00AC0630"/>
    <w:rsid w:val="00AC0AAD"/>
    <w:rsid w:val="00AC1231"/>
    <w:rsid w:val="00AC1992"/>
    <w:rsid w:val="00AC1E14"/>
    <w:rsid w:val="00AC2CFA"/>
    <w:rsid w:val="00AC3263"/>
    <w:rsid w:val="00AC337E"/>
    <w:rsid w:val="00AC3A13"/>
    <w:rsid w:val="00AC3CB7"/>
    <w:rsid w:val="00AC3E12"/>
    <w:rsid w:val="00AC406E"/>
    <w:rsid w:val="00AC417C"/>
    <w:rsid w:val="00AC430C"/>
    <w:rsid w:val="00AC43DF"/>
    <w:rsid w:val="00AC4951"/>
    <w:rsid w:val="00AC49C9"/>
    <w:rsid w:val="00AC4A6B"/>
    <w:rsid w:val="00AC50A1"/>
    <w:rsid w:val="00AC5BAA"/>
    <w:rsid w:val="00AC5C19"/>
    <w:rsid w:val="00AC60F0"/>
    <w:rsid w:val="00AC63C7"/>
    <w:rsid w:val="00AC6657"/>
    <w:rsid w:val="00AC6D7A"/>
    <w:rsid w:val="00AC7363"/>
    <w:rsid w:val="00AC7401"/>
    <w:rsid w:val="00AC78B4"/>
    <w:rsid w:val="00AC7901"/>
    <w:rsid w:val="00AC79F3"/>
    <w:rsid w:val="00AC7FDD"/>
    <w:rsid w:val="00AC7FFA"/>
    <w:rsid w:val="00AD05BF"/>
    <w:rsid w:val="00AD0949"/>
    <w:rsid w:val="00AD0F1D"/>
    <w:rsid w:val="00AD1179"/>
    <w:rsid w:val="00AD1359"/>
    <w:rsid w:val="00AD19F0"/>
    <w:rsid w:val="00AD1FCE"/>
    <w:rsid w:val="00AD26E1"/>
    <w:rsid w:val="00AD29CC"/>
    <w:rsid w:val="00AD3268"/>
    <w:rsid w:val="00AD341B"/>
    <w:rsid w:val="00AD3652"/>
    <w:rsid w:val="00AD3DE2"/>
    <w:rsid w:val="00AD4261"/>
    <w:rsid w:val="00AD46F5"/>
    <w:rsid w:val="00AD490A"/>
    <w:rsid w:val="00AD504C"/>
    <w:rsid w:val="00AD51A3"/>
    <w:rsid w:val="00AD5502"/>
    <w:rsid w:val="00AD598B"/>
    <w:rsid w:val="00AD5D76"/>
    <w:rsid w:val="00AD60B6"/>
    <w:rsid w:val="00AD66EC"/>
    <w:rsid w:val="00AD7154"/>
    <w:rsid w:val="00AD797D"/>
    <w:rsid w:val="00AD7E02"/>
    <w:rsid w:val="00AE0034"/>
    <w:rsid w:val="00AE0085"/>
    <w:rsid w:val="00AE0483"/>
    <w:rsid w:val="00AE08DD"/>
    <w:rsid w:val="00AE13BD"/>
    <w:rsid w:val="00AE158F"/>
    <w:rsid w:val="00AE1ABF"/>
    <w:rsid w:val="00AE1AF9"/>
    <w:rsid w:val="00AE1E60"/>
    <w:rsid w:val="00AE2068"/>
    <w:rsid w:val="00AE2258"/>
    <w:rsid w:val="00AE277E"/>
    <w:rsid w:val="00AE2A36"/>
    <w:rsid w:val="00AE2AC6"/>
    <w:rsid w:val="00AE2BC6"/>
    <w:rsid w:val="00AE3251"/>
    <w:rsid w:val="00AE33DA"/>
    <w:rsid w:val="00AE3FE0"/>
    <w:rsid w:val="00AE4D55"/>
    <w:rsid w:val="00AE5058"/>
    <w:rsid w:val="00AE51CD"/>
    <w:rsid w:val="00AE5268"/>
    <w:rsid w:val="00AE5471"/>
    <w:rsid w:val="00AE54AA"/>
    <w:rsid w:val="00AE5CA5"/>
    <w:rsid w:val="00AE60E4"/>
    <w:rsid w:val="00AE6872"/>
    <w:rsid w:val="00AE6C58"/>
    <w:rsid w:val="00AE72C4"/>
    <w:rsid w:val="00AE75AB"/>
    <w:rsid w:val="00AE7F05"/>
    <w:rsid w:val="00AE7F38"/>
    <w:rsid w:val="00AF054D"/>
    <w:rsid w:val="00AF0939"/>
    <w:rsid w:val="00AF0981"/>
    <w:rsid w:val="00AF0F9C"/>
    <w:rsid w:val="00AF10F0"/>
    <w:rsid w:val="00AF1779"/>
    <w:rsid w:val="00AF18E2"/>
    <w:rsid w:val="00AF24E7"/>
    <w:rsid w:val="00AF272B"/>
    <w:rsid w:val="00AF291B"/>
    <w:rsid w:val="00AF2DAA"/>
    <w:rsid w:val="00AF2EBD"/>
    <w:rsid w:val="00AF33AE"/>
    <w:rsid w:val="00AF3CDC"/>
    <w:rsid w:val="00AF44B1"/>
    <w:rsid w:val="00AF49C2"/>
    <w:rsid w:val="00AF5800"/>
    <w:rsid w:val="00AF6986"/>
    <w:rsid w:val="00AF69FE"/>
    <w:rsid w:val="00AF6A77"/>
    <w:rsid w:val="00AF6D1B"/>
    <w:rsid w:val="00AF73ED"/>
    <w:rsid w:val="00AF77E3"/>
    <w:rsid w:val="00AF7D69"/>
    <w:rsid w:val="00AF7ED2"/>
    <w:rsid w:val="00B004D8"/>
    <w:rsid w:val="00B00830"/>
    <w:rsid w:val="00B00CC5"/>
    <w:rsid w:val="00B016D2"/>
    <w:rsid w:val="00B02091"/>
    <w:rsid w:val="00B0250E"/>
    <w:rsid w:val="00B02B43"/>
    <w:rsid w:val="00B03697"/>
    <w:rsid w:val="00B03D36"/>
    <w:rsid w:val="00B04540"/>
    <w:rsid w:val="00B046F1"/>
    <w:rsid w:val="00B05116"/>
    <w:rsid w:val="00B051A7"/>
    <w:rsid w:val="00B05DA4"/>
    <w:rsid w:val="00B05F1A"/>
    <w:rsid w:val="00B073CB"/>
    <w:rsid w:val="00B07B33"/>
    <w:rsid w:val="00B07FA2"/>
    <w:rsid w:val="00B100CF"/>
    <w:rsid w:val="00B1074F"/>
    <w:rsid w:val="00B10999"/>
    <w:rsid w:val="00B10E82"/>
    <w:rsid w:val="00B111A6"/>
    <w:rsid w:val="00B113A4"/>
    <w:rsid w:val="00B115E5"/>
    <w:rsid w:val="00B118EE"/>
    <w:rsid w:val="00B11B03"/>
    <w:rsid w:val="00B11C5B"/>
    <w:rsid w:val="00B11F2B"/>
    <w:rsid w:val="00B121CD"/>
    <w:rsid w:val="00B12343"/>
    <w:rsid w:val="00B12529"/>
    <w:rsid w:val="00B128C5"/>
    <w:rsid w:val="00B129A4"/>
    <w:rsid w:val="00B12B11"/>
    <w:rsid w:val="00B12C94"/>
    <w:rsid w:val="00B135AB"/>
    <w:rsid w:val="00B13797"/>
    <w:rsid w:val="00B137BF"/>
    <w:rsid w:val="00B13A1B"/>
    <w:rsid w:val="00B13A76"/>
    <w:rsid w:val="00B142D9"/>
    <w:rsid w:val="00B145D5"/>
    <w:rsid w:val="00B14BC4"/>
    <w:rsid w:val="00B158A3"/>
    <w:rsid w:val="00B15B25"/>
    <w:rsid w:val="00B15C36"/>
    <w:rsid w:val="00B15EA0"/>
    <w:rsid w:val="00B16069"/>
    <w:rsid w:val="00B1628C"/>
    <w:rsid w:val="00B1745A"/>
    <w:rsid w:val="00B17785"/>
    <w:rsid w:val="00B17A4E"/>
    <w:rsid w:val="00B17B30"/>
    <w:rsid w:val="00B17C2F"/>
    <w:rsid w:val="00B20CA8"/>
    <w:rsid w:val="00B2130E"/>
    <w:rsid w:val="00B2153E"/>
    <w:rsid w:val="00B218CB"/>
    <w:rsid w:val="00B21FA7"/>
    <w:rsid w:val="00B22022"/>
    <w:rsid w:val="00B225E4"/>
    <w:rsid w:val="00B22C88"/>
    <w:rsid w:val="00B23223"/>
    <w:rsid w:val="00B2373E"/>
    <w:rsid w:val="00B23F7A"/>
    <w:rsid w:val="00B240B1"/>
    <w:rsid w:val="00B24208"/>
    <w:rsid w:val="00B24374"/>
    <w:rsid w:val="00B24728"/>
    <w:rsid w:val="00B248A9"/>
    <w:rsid w:val="00B2490A"/>
    <w:rsid w:val="00B24BE3"/>
    <w:rsid w:val="00B24D28"/>
    <w:rsid w:val="00B24F1C"/>
    <w:rsid w:val="00B25B7A"/>
    <w:rsid w:val="00B25D76"/>
    <w:rsid w:val="00B27032"/>
    <w:rsid w:val="00B27085"/>
    <w:rsid w:val="00B27583"/>
    <w:rsid w:val="00B30003"/>
    <w:rsid w:val="00B3015C"/>
    <w:rsid w:val="00B30642"/>
    <w:rsid w:val="00B31201"/>
    <w:rsid w:val="00B31B4B"/>
    <w:rsid w:val="00B31E36"/>
    <w:rsid w:val="00B32CD7"/>
    <w:rsid w:val="00B32DC3"/>
    <w:rsid w:val="00B32E26"/>
    <w:rsid w:val="00B338B7"/>
    <w:rsid w:val="00B34061"/>
    <w:rsid w:val="00B34376"/>
    <w:rsid w:val="00B3440A"/>
    <w:rsid w:val="00B34441"/>
    <w:rsid w:val="00B35533"/>
    <w:rsid w:val="00B35534"/>
    <w:rsid w:val="00B35A87"/>
    <w:rsid w:val="00B35AFD"/>
    <w:rsid w:val="00B35DAB"/>
    <w:rsid w:val="00B35F9A"/>
    <w:rsid w:val="00B3609C"/>
    <w:rsid w:val="00B36236"/>
    <w:rsid w:val="00B3662E"/>
    <w:rsid w:val="00B36645"/>
    <w:rsid w:val="00B366D2"/>
    <w:rsid w:val="00B366FA"/>
    <w:rsid w:val="00B36E86"/>
    <w:rsid w:val="00B379BA"/>
    <w:rsid w:val="00B37B76"/>
    <w:rsid w:val="00B37D00"/>
    <w:rsid w:val="00B40B30"/>
    <w:rsid w:val="00B40E47"/>
    <w:rsid w:val="00B412FD"/>
    <w:rsid w:val="00B41E1C"/>
    <w:rsid w:val="00B422BE"/>
    <w:rsid w:val="00B4241D"/>
    <w:rsid w:val="00B426BB"/>
    <w:rsid w:val="00B42EB9"/>
    <w:rsid w:val="00B430B5"/>
    <w:rsid w:val="00B436F0"/>
    <w:rsid w:val="00B441FE"/>
    <w:rsid w:val="00B44821"/>
    <w:rsid w:val="00B44AD3"/>
    <w:rsid w:val="00B450EB"/>
    <w:rsid w:val="00B45152"/>
    <w:rsid w:val="00B454DD"/>
    <w:rsid w:val="00B45E54"/>
    <w:rsid w:val="00B460B8"/>
    <w:rsid w:val="00B464E4"/>
    <w:rsid w:val="00B4689A"/>
    <w:rsid w:val="00B46D5F"/>
    <w:rsid w:val="00B46E7B"/>
    <w:rsid w:val="00B477B2"/>
    <w:rsid w:val="00B47DC5"/>
    <w:rsid w:val="00B50395"/>
    <w:rsid w:val="00B505B3"/>
    <w:rsid w:val="00B50882"/>
    <w:rsid w:val="00B50A74"/>
    <w:rsid w:val="00B5199C"/>
    <w:rsid w:val="00B520A0"/>
    <w:rsid w:val="00B5257E"/>
    <w:rsid w:val="00B525CE"/>
    <w:rsid w:val="00B52CFD"/>
    <w:rsid w:val="00B545A8"/>
    <w:rsid w:val="00B56527"/>
    <w:rsid w:val="00B56706"/>
    <w:rsid w:val="00B57019"/>
    <w:rsid w:val="00B576DA"/>
    <w:rsid w:val="00B57710"/>
    <w:rsid w:val="00B601C9"/>
    <w:rsid w:val="00B60D04"/>
    <w:rsid w:val="00B612FB"/>
    <w:rsid w:val="00B6158F"/>
    <w:rsid w:val="00B61EE8"/>
    <w:rsid w:val="00B633A3"/>
    <w:rsid w:val="00B634A6"/>
    <w:rsid w:val="00B63533"/>
    <w:rsid w:val="00B638BB"/>
    <w:rsid w:val="00B63BDB"/>
    <w:rsid w:val="00B6480A"/>
    <w:rsid w:val="00B64A0E"/>
    <w:rsid w:val="00B64DDF"/>
    <w:rsid w:val="00B65633"/>
    <w:rsid w:val="00B6601E"/>
    <w:rsid w:val="00B663AA"/>
    <w:rsid w:val="00B66DD5"/>
    <w:rsid w:val="00B67722"/>
    <w:rsid w:val="00B67A6C"/>
    <w:rsid w:val="00B67B97"/>
    <w:rsid w:val="00B67F01"/>
    <w:rsid w:val="00B70166"/>
    <w:rsid w:val="00B70329"/>
    <w:rsid w:val="00B70A02"/>
    <w:rsid w:val="00B710E9"/>
    <w:rsid w:val="00B711AB"/>
    <w:rsid w:val="00B714F0"/>
    <w:rsid w:val="00B71A40"/>
    <w:rsid w:val="00B71BCA"/>
    <w:rsid w:val="00B71C8C"/>
    <w:rsid w:val="00B71CB4"/>
    <w:rsid w:val="00B71FD7"/>
    <w:rsid w:val="00B725E7"/>
    <w:rsid w:val="00B7278D"/>
    <w:rsid w:val="00B72C07"/>
    <w:rsid w:val="00B72DF7"/>
    <w:rsid w:val="00B72F42"/>
    <w:rsid w:val="00B73E44"/>
    <w:rsid w:val="00B74290"/>
    <w:rsid w:val="00B74510"/>
    <w:rsid w:val="00B74BD4"/>
    <w:rsid w:val="00B74BF7"/>
    <w:rsid w:val="00B760FD"/>
    <w:rsid w:val="00B76185"/>
    <w:rsid w:val="00B766EB"/>
    <w:rsid w:val="00B76BCD"/>
    <w:rsid w:val="00B76D04"/>
    <w:rsid w:val="00B7780D"/>
    <w:rsid w:val="00B779E6"/>
    <w:rsid w:val="00B804E2"/>
    <w:rsid w:val="00B80A54"/>
    <w:rsid w:val="00B811B2"/>
    <w:rsid w:val="00B81213"/>
    <w:rsid w:val="00B81700"/>
    <w:rsid w:val="00B81BA3"/>
    <w:rsid w:val="00B82213"/>
    <w:rsid w:val="00B8276E"/>
    <w:rsid w:val="00B82912"/>
    <w:rsid w:val="00B82FF3"/>
    <w:rsid w:val="00B839A9"/>
    <w:rsid w:val="00B83A62"/>
    <w:rsid w:val="00B83B59"/>
    <w:rsid w:val="00B84252"/>
    <w:rsid w:val="00B8468F"/>
    <w:rsid w:val="00B849F1"/>
    <w:rsid w:val="00B84FC6"/>
    <w:rsid w:val="00B857F5"/>
    <w:rsid w:val="00B862EF"/>
    <w:rsid w:val="00B86D6C"/>
    <w:rsid w:val="00B86EB5"/>
    <w:rsid w:val="00B86F47"/>
    <w:rsid w:val="00B874B4"/>
    <w:rsid w:val="00B876E8"/>
    <w:rsid w:val="00B8787A"/>
    <w:rsid w:val="00B87887"/>
    <w:rsid w:val="00B90123"/>
    <w:rsid w:val="00B90196"/>
    <w:rsid w:val="00B911C1"/>
    <w:rsid w:val="00B91374"/>
    <w:rsid w:val="00B9216A"/>
    <w:rsid w:val="00B922C3"/>
    <w:rsid w:val="00B9272E"/>
    <w:rsid w:val="00B927A7"/>
    <w:rsid w:val="00B92B9E"/>
    <w:rsid w:val="00B93315"/>
    <w:rsid w:val="00B93519"/>
    <w:rsid w:val="00B9372A"/>
    <w:rsid w:val="00B9425C"/>
    <w:rsid w:val="00B94AAF"/>
    <w:rsid w:val="00B953FF"/>
    <w:rsid w:val="00B956EA"/>
    <w:rsid w:val="00B9622D"/>
    <w:rsid w:val="00B96263"/>
    <w:rsid w:val="00B96716"/>
    <w:rsid w:val="00B968A5"/>
    <w:rsid w:val="00B97188"/>
    <w:rsid w:val="00B972CD"/>
    <w:rsid w:val="00B97D02"/>
    <w:rsid w:val="00BA0296"/>
    <w:rsid w:val="00BA0304"/>
    <w:rsid w:val="00BA0557"/>
    <w:rsid w:val="00BA079E"/>
    <w:rsid w:val="00BA19C4"/>
    <w:rsid w:val="00BA3038"/>
    <w:rsid w:val="00BA3248"/>
    <w:rsid w:val="00BA3443"/>
    <w:rsid w:val="00BA370A"/>
    <w:rsid w:val="00BA48BC"/>
    <w:rsid w:val="00BA4A29"/>
    <w:rsid w:val="00BA4BE7"/>
    <w:rsid w:val="00BA5F20"/>
    <w:rsid w:val="00BA5F44"/>
    <w:rsid w:val="00BA676C"/>
    <w:rsid w:val="00BA68D9"/>
    <w:rsid w:val="00BA695F"/>
    <w:rsid w:val="00BA6FD8"/>
    <w:rsid w:val="00BA7172"/>
    <w:rsid w:val="00BA7B01"/>
    <w:rsid w:val="00BB02D7"/>
    <w:rsid w:val="00BB0D9F"/>
    <w:rsid w:val="00BB0DEE"/>
    <w:rsid w:val="00BB0F93"/>
    <w:rsid w:val="00BB1031"/>
    <w:rsid w:val="00BB1B33"/>
    <w:rsid w:val="00BB2480"/>
    <w:rsid w:val="00BB27FD"/>
    <w:rsid w:val="00BB2857"/>
    <w:rsid w:val="00BB2C4E"/>
    <w:rsid w:val="00BB2E29"/>
    <w:rsid w:val="00BB2F74"/>
    <w:rsid w:val="00BB3206"/>
    <w:rsid w:val="00BB3277"/>
    <w:rsid w:val="00BB32C2"/>
    <w:rsid w:val="00BB39BF"/>
    <w:rsid w:val="00BB3B0D"/>
    <w:rsid w:val="00BB524C"/>
    <w:rsid w:val="00BB57D2"/>
    <w:rsid w:val="00BB5DAB"/>
    <w:rsid w:val="00BB6195"/>
    <w:rsid w:val="00BB61A3"/>
    <w:rsid w:val="00BB67EA"/>
    <w:rsid w:val="00BB6A45"/>
    <w:rsid w:val="00BB6A83"/>
    <w:rsid w:val="00BB6E26"/>
    <w:rsid w:val="00BB707E"/>
    <w:rsid w:val="00BB7568"/>
    <w:rsid w:val="00BC007C"/>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93"/>
    <w:rsid w:val="00BC5EDB"/>
    <w:rsid w:val="00BC69A2"/>
    <w:rsid w:val="00BC6ED6"/>
    <w:rsid w:val="00BC6F03"/>
    <w:rsid w:val="00BC6FA1"/>
    <w:rsid w:val="00BC7487"/>
    <w:rsid w:val="00BD0570"/>
    <w:rsid w:val="00BD0853"/>
    <w:rsid w:val="00BD0EAD"/>
    <w:rsid w:val="00BD112D"/>
    <w:rsid w:val="00BD214E"/>
    <w:rsid w:val="00BD2395"/>
    <w:rsid w:val="00BD25B8"/>
    <w:rsid w:val="00BD2842"/>
    <w:rsid w:val="00BD28C3"/>
    <w:rsid w:val="00BD2DEB"/>
    <w:rsid w:val="00BD3120"/>
    <w:rsid w:val="00BD3354"/>
    <w:rsid w:val="00BD384E"/>
    <w:rsid w:val="00BD3BC1"/>
    <w:rsid w:val="00BD3E76"/>
    <w:rsid w:val="00BD3EE2"/>
    <w:rsid w:val="00BD3FCF"/>
    <w:rsid w:val="00BD42D2"/>
    <w:rsid w:val="00BD47D7"/>
    <w:rsid w:val="00BD4EFB"/>
    <w:rsid w:val="00BD5076"/>
    <w:rsid w:val="00BD5551"/>
    <w:rsid w:val="00BD55AE"/>
    <w:rsid w:val="00BD690D"/>
    <w:rsid w:val="00BD6D43"/>
    <w:rsid w:val="00BD7090"/>
    <w:rsid w:val="00BD7490"/>
    <w:rsid w:val="00BD767F"/>
    <w:rsid w:val="00BD7DA0"/>
    <w:rsid w:val="00BE096B"/>
    <w:rsid w:val="00BE09C3"/>
    <w:rsid w:val="00BE0C27"/>
    <w:rsid w:val="00BE0F9B"/>
    <w:rsid w:val="00BE1534"/>
    <w:rsid w:val="00BE15BB"/>
    <w:rsid w:val="00BE198F"/>
    <w:rsid w:val="00BE4875"/>
    <w:rsid w:val="00BE4CCF"/>
    <w:rsid w:val="00BE5913"/>
    <w:rsid w:val="00BE5964"/>
    <w:rsid w:val="00BE60F2"/>
    <w:rsid w:val="00BE660B"/>
    <w:rsid w:val="00BE67F3"/>
    <w:rsid w:val="00BE6AFE"/>
    <w:rsid w:val="00BE6BBE"/>
    <w:rsid w:val="00BE7021"/>
    <w:rsid w:val="00BE7300"/>
    <w:rsid w:val="00BE76F7"/>
    <w:rsid w:val="00BE784F"/>
    <w:rsid w:val="00BE79C6"/>
    <w:rsid w:val="00BF01AF"/>
    <w:rsid w:val="00BF0238"/>
    <w:rsid w:val="00BF0717"/>
    <w:rsid w:val="00BF1750"/>
    <w:rsid w:val="00BF178E"/>
    <w:rsid w:val="00BF189F"/>
    <w:rsid w:val="00BF1AFA"/>
    <w:rsid w:val="00BF1B44"/>
    <w:rsid w:val="00BF1D88"/>
    <w:rsid w:val="00BF1F01"/>
    <w:rsid w:val="00BF1FC2"/>
    <w:rsid w:val="00BF23CC"/>
    <w:rsid w:val="00BF243F"/>
    <w:rsid w:val="00BF2708"/>
    <w:rsid w:val="00BF3284"/>
    <w:rsid w:val="00BF4C2B"/>
    <w:rsid w:val="00BF507A"/>
    <w:rsid w:val="00BF52D8"/>
    <w:rsid w:val="00BF53F1"/>
    <w:rsid w:val="00BF5717"/>
    <w:rsid w:val="00BF5B9D"/>
    <w:rsid w:val="00BF5C45"/>
    <w:rsid w:val="00BF5FA3"/>
    <w:rsid w:val="00BF62F2"/>
    <w:rsid w:val="00BF63A5"/>
    <w:rsid w:val="00BF72A7"/>
    <w:rsid w:val="00BF7558"/>
    <w:rsid w:val="00BF7C6B"/>
    <w:rsid w:val="00BF7DD2"/>
    <w:rsid w:val="00C0111E"/>
    <w:rsid w:val="00C01C34"/>
    <w:rsid w:val="00C02676"/>
    <w:rsid w:val="00C029AB"/>
    <w:rsid w:val="00C02D74"/>
    <w:rsid w:val="00C03BD5"/>
    <w:rsid w:val="00C03C8B"/>
    <w:rsid w:val="00C03F3C"/>
    <w:rsid w:val="00C0422C"/>
    <w:rsid w:val="00C0425C"/>
    <w:rsid w:val="00C049BE"/>
    <w:rsid w:val="00C04A71"/>
    <w:rsid w:val="00C04DF0"/>
    <w:rsid w:val="00C050CF"/>
    <w:rsid w:val="00C054CB"/>
    <w:rsid w:val="00C05A4C"/>
    <w:rsid w:val="00C05A67"/>
    <w:rsid w:val="00C0632D"/>
    <w:rsid w:val="00C0641F"/>
    <w:rsid w:val="00C06C9A"/>
    <w:rsid w:val="00C06E1B"/>
    <w:rsid w:val="00C06E6F"/>
    <w:rsid w:val="00C075DB"/>
    <w:rsid w:val="00C07EBA"/>
    <w:rsid w:val="00C07FBC"/>
    <w:rsid w:val="00C100E2"/>
    <w:rsid w:val="00C100E7"/>
    <w:rsid w:val="00C11113"/>
    <w:rsid w:val="00C114BF"/>
    <w:rsid w:val="00C11687"/>
    <w:rsid w:val="00C11B3F"/>
    <w:rsid w:val="00C11D41"/>
    <w:rsid w:val="00C11E28"/>
    <w:rsid w:val="00C11F66"/>
    <w:rsid w:val="00C1225B"/>
    <w:rsid w:val="00C122F9"/>
    <w:rsid w:val="00C1253A"/>
    <w:rsid w:val="00C128C9"/>
    <w:rsid w:val="00C12CF3"/>
    <w:rsid w:val="00C12F88"/>
    <w:rsid w:val="00C131A8"/>
    <w:rsid w:val="00C1322D"/>
    <w:rsid w:val="00C135A3"/>
    <w:rsid w:val="00C13655"/>
    <w:rsid w:val="00C13806"/>
    <w:rsid w:val="00C14730"/>
    <w:rsid w:val="00C1477A"/>
    <w:rsid w:val="00C14A62"/>
    <w:rsid w:val="00C158EB"/>
    <w:rsid w:val="00C159B1"/>
    <w:rsid w:val="00C15B67"/>
    <w:rsid w:val="00C15C04"/>
    <w:rsid w:val="00C15D51"/>
    <w:rsid w:val="00C161F5"/>
    <w:rsid w:val="00C16C92"/>
    <w:rsid w:val="00C16ED6"/>
    <w:rsid w:val="00C16F3A"/>
    <w:rsid w:val="00C1706B"/>
    <w:rsid w:val="00C17DB0"/>
    <w:rsid w:val="00C17DB7"/>
    <w:rsid w:val="00C17E48"/>
    <w:rsid w:val="00C17E9C"/>
    <w:rsid w:val="00C17F0B"/>
    <w:rsid w:val="00C201E7"/>
    <w:rsid w:val="00C20506"/>
    <w:rsid w:val="00C20AA2"/>
    <w:rsid w:val="00C20B91"/>
    <w:rsid w:val="00C21155"/>
    <w:rsid w:val="00C2146C"/>
    <w:rsid w:val="00C214D7"/>
    <w:rsid w:val="00C21561"/>
    <w:rsid w:val="00C217EE"/>
    <w:rsid w:val="00C2220F"/>
    <w:rsid w:val="00C22784"/>
    <w:rsid w:val="00C228E8"/>
    <w:rsid w:val="00C22FAA"/>
    <w:rsid w:val="00C23A4C"/>
    <w:rsid w:val="00C24068"/>
    <w:rsid w:val="00C2419D"/>
    <w:rsid w:val="00C243A4"/>
    <w:rsid w:val="00C243D4"/>
    <w:rsid w:val="00C24416"/>
    <w:rsid w:val="00C24511"/>
    <w:rsid w:val="00C248DB"/>
    <w:rsid w:val="00C26170"/>
    <w:rsid w:val="00C26B5A"/>
    <w:rsid w:val="00C26BB1"/>
    <w:rsid w:val="00C26D52"/>
    <w:rsid w:val="00C27A41"/>
    <w:rsid w:val="00C303E4"/>
    <w:rsid w:val="00C30775"/>
    <w:rsid w:val="00C30B8D"/>
    <w:rsid w:val="00C30DBE"/>
    <w:rsid w:val="00C3134E"/>
    <w:rsid w:val="00C315D8"/>
    <w:rsid w:val="00C31C4A"/>
    <w:rsid w:val="00C31D2D"/>
    <w:rsid w:val="00C3209A"/>
    <w:rsid w:val="00C32639"/>
    <w:rsid w:val="00C32808"/>
    <w:rsid w:val="00C32AD2"/>
    <w:rsid w:val="00C32B3F"/>
    <w:rsid w:val="00C33114"/>
    <w:rsid w:val="00C332EF"/>
    <w:rsid w:val="00C33E5C"/>
    <w:rsid w:val="00C3415E"/>
    <w:rsid w:val="00C34193"/>
    <w:rsid w:val="00C347FD"/>
    <w:rsid w:val="00C34DAD"/>
    <w:rsid w:val="00C34DAE"/>
    <w:rsid w:val="00C34E1E"/>
    <w:rsid w:val="00C34E5A"/>
    <w:rsid w:val="00C35553"/>
    <w:rsid w:val="00C35D9C"/>
    <w:rsid w:val="00C35E13"/>
    <w:rsid w:val="00C36219"/>
    <w:rsid w:val="00C36656"/>
    <w:rsid w:val="00C36965"/>
    <w:rsid w:val="00C3698E"/>
    <w:rsid w:val="00C36CCA"/>
    <w:rsid w:val="00C36E1C"/>
    <w:rsid w:val="00C36F42"/>
    <w:rsid w:val="00C3718A"/>
    <w:rsid w:val="00C379C5"/>
    <w:rsid w:val="00C37EEE"/>
    <w:rsid w:val="00C40453"/>
    <w:rsid w:val="00C404A7"/>
    <w:rsid w:val="00C40E71"/>
    <w:rsid w:val="00C41879"/>
    <w:rsid w:val="00C41A7C"/>
    <w:rsid w:val="00C42CEF"/>
    <w:rsid w:val="00C42D55"/>
    <w:rsid w:val="00C43080"/>
    <w:rsid w:val="00C4370E"/>
    <w:rsid w:val="00C43823"/>
    <w:rsid w:val="00C4384B"/>
    <w:rsid w:val="00C4393C"/>
    <w:rsid w:val="00C43F2D"/>
    <w:rsid w:val="00C44068"/>
    <w:rsid w:val="00C442AE"/>
    <w:rsid w:val="00C44C2B"/>
    <w:rsid w:val="00C4518B"/>
    <w:rsid w:val="00C4556C"/>
    <w:rsid w:val="00C45780"/>
    <w:rsid w:val="00C458D6"/>
    <w:rsid w:val="00C45919"/>
    <w:rsid w:val="00C4655A"/>
    <w:rsid w:val="00C466BF"/>
    <w:rsid w:val="00C47385"/>
    <w:rsid w:val="00C47555"/>
    <w:rsid w:val="00C476AC"/>
    <w:rsid w:val="00C47E67"/>
    <w:rsid w:val="00C47FD9"/>
    <w:rsid w:val="00C50C1A"/>
    <w:rsid w:val="00C50E1E"/>
    <w:rsid w:val="00C51132"/>
    <w:rsid w:val="00C51508"/>
    <w:rsid w:val="00C51BD1"/>
    <w:rsid w:val="00C51D73"/>
    <w:rsid w:val="00C52076"/>
    <w:rsid w:val="00C52A05"/>
    <w:rsid w:val="00C52E97"/>
    <w:rsid w:val="00C52EAF"/>
    <w:rsid w:val="00C52FBA"/>
    <w:rsid w:val="00C53189"/>
    <w:rsid w:val="00C534E5"/>
    <w:rsid w:val="00C534F4"/>
    <w:rsid w:val="00C5375B"/>
    <w:rsid w:val="00C53AD3"/>
    <w:rsid w:val="00C53B15"/>
    <w:rsid w:val="00C53DA9"/>
    <w:rsid w:val="00C53EF7"/>
    <w:rsid w:val="00C54280"/>
    <w:rsid w:val="00C54929"/>
    <w:rsid w:val="00C550B6"/>
    <w:rsid w:val="00C556B1"/>
    <w:rsid w:val="00C55A05"/>
    <w:rsid w:val="00C55F8D"/>
    <w:rsid w:val="00C56101"/>
    <w:rsid w:val="00C565F2"/>
    <w:rsid w:val="00C567E3"/>
    <w:rsid w:val="00C56B42"/>
    <w:rsid w:val="00C56BD1"/>
    <w:rsid w:val="00C56C45"/>
    <w:rsid w:val="00C573CC"/>
    <w:rsid w:val="00C57B81"/>
    <w:rsid w:val="00C57FB9"/>
    <w:rsid w:val="00C6077B"/>
    <w:rsid w:val="00C60950"/>
    <w:rsid w:val="00C60DD1"/>
    <w:rsid w:val="00C61565"/>
    <w:rsid w:val="00C61574"/>
    <w:rsid w:val="00C615B4"/>
    <w:rsid w:val="00C6184A"/>
    <w:rsid w:val="00C61AC6"/>
    <w:rsid w:val="00C61ACF"/>
    <w:rsid w:val="00C6211D"/>
    <w:rsid w:val="00C62B32"/>
    <w:rsid w:val="00C63DED"/>
    <w:rsid w:val="00C63E88"/>
    <w:rsid w:val="00C6436D"/>
    <w:rsid w:val="00C64F97"/>
    <w:rsid w:val="00C65585"/>
    <w:rsid w:val="00C656EB"/>
    <w:rsid w:val="00C65DF4"/>
    <w:rsid w:val="00C667F0"/>
    <w:rsid w:val="00C66AC8"/>
    <w:rsid w:val="00C67B49"/>
    <w:rsid w:val="00C711F5"/>
    <w:rsid w:val="00C713A1"/>
    <w:rsid w:val="00C71828"/>
    <w:rsid w:val="00C72105"/>
    <w:rsid w:val="00C73A1F"/>
    <w:rsid w:val="00C74310"/>
    <w:rsid w:val="00C744E9"/>
    <w:rsid w:val="00C74520"/>
    <w:rsid w:val="00C74954"/>
    <w:rsid w:val="00C75765"/>
    <w:rsid w:val="00C75EEE"/>
    <w:rsid w:val="00C76028"/>
    <w:rsid w:val="00C76184"/>
    <w:rsid w:val="00C76462"/>
    <w:rsid w:val="00C7673D"/>
    <w:rsid w:val="00C76A80"/>
    <w:rsid w:val="00C76C27"/>
    <w:rsid w:val="00C76E09"/>
    <w:rsid w:val="00C76F07"/>
    <w:rsid w:val="00C77324"/>
    <w:rsid w:val="00C77EF6"/>
    <w:rsid w:val="00C80B4B"/>
    <w:rsid w:val="00C80D63"/>
    <w:rsid w:val="00C80E85"/>
    <w:rsid w:val="00C811D6"/>
    <w:rsid w:val="00C8129D"/>
    <w:rsid w:val="00C812D5"/>
    <w:rsid w:val="00C81536"/>
    <w:rsid w:val="00C81565"/>
    <w:rsid w:val="00C81BEA"/>
    <w:rsid w:val="00C81DF5"/>
    <w:rsid w:val="00C82188"/>
    <w:rsid w:val="00C8242B"/>
    <w:rsid w:val="00C82A50"/>
    <w:rsid w:val="00C83240"/>
    <w:rsid w:val="00C83381"/>
    <w:rsid w:val="00C83607"/>
    <w:rsid w:val="00C83768"/>
    <w:rsid w:val="00C83A38"/>
    <w:rsid w:val="00C83B18"/>
    <w:rsid w:val="00C84032"/>
    <w:rsid w:val="00C840C3"/>
    <w:rsid w:val="00C841B4"/>
    <w:rsid w:val="00C84266"/>
    <w:rsid w:val="00C8466F"/>
    <w:rsid w:val="00C8489E"/>
    <w:rsid w:val="00C849E0"/>
    <w:rsid w:val="00C84A69"/>
    <w:rsid w:val="00C84B74"/>
    <w:rsid w:val="00C8512A"/>
    <w:rsid w:val="00C85378"/>
    <w:rsid w:val="00C85970"/>
    <w:rsid w:val="00C85E9B"/>
    <w:rsid w:val="00C86BDC"/>
    <w:rsid w:val="00C86BE9"/>
    <w:rsid w:val="00C874C8"/>
    <w:rsid w:val="00C90165"/>
    <w:rsid w:val="00C902DA"/>
    <w:rsid w:val="00C90733"/>
    <w:rsid w:val="00C921C4"/>
    <w:rsid w:val="00C9235F"/>
    <w:rsid w:val="00C9257F"/>
    <w:rsid w:val="00C9319C"/>
    <w:rsid w:val="00C9330C"/>
    <w:rsid w:val="00C934F6"/>
    <w:rsid w:val="00C93874"/>
    <w:rsid w:val="00C93A4C"/>
    <w:rsid w:val="00C944EB"/>
    <w:rsid w:val="00C94DE5"/>
    <w:rsid w:val="00C94FD2"/>
    <w:rsid w:val="00C95341"/>
    <w:rsid w:val="00C954F0"/>
    <w:rsid w:val="00C95B76"/>
    <w:rsid w:val="00C95F94"/>
    <w:rsid w:val="00C964C3"/>
    <w:rsid w:val="00C964D6"/>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38AD"/>
    <w:rsid w:val="00CA39B5"/>
    <w:rsid w:val="00CA3EEE"/>
    <w:rsid w:val="00CA4223"/>
    <w:rsid w:val="00CA5098"/>
    <w:rsid w:val="00CA50DF"/>
    <w:rsid w:val="00CA5503"/>
    <w:rsid w:val="00CA612D"/>
    <w:rsid w:val="00CA66C3"/>
    <w:rsid w:val="00CA6CAD"/>
    <w:rsid w:val="00CA70A8"/>
    <w:rsid w:val="00CA70D0"/>
    <w:rsid w:val="00CA74A4"/>
    <w:rsid w:val="00CA7683"/>
    <w:rsid w:val="00CA77AE"/>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4728"/>
    <w:rsid w:val="00CB5592"/>
    <w:rsid w:val="00CB59E7"/>
    <w:rsid w:val="00CB5D27"/>
    <w:rsid w:val="00CB5E4A"/>
    <w:rsid w:val="00CB6FCA"/>
    <w:rsid w:val="00CB724D"/>
    <w:rsid w:val="00CB7340"/>
    <w:rsid w:val="00CB73EA"/>
    <w:rsid w:val="00CB76E3"/>
    <w:rsid w:val="00CB7D4E"/>
    <w:rsid w:val="00CB7F1F"/>
    <w:rsid w:val="00CC002B"/>
    <w:rsid w:val="00CC07E5"/>
    <w:rsid w:val="00CC09F0"/>
    <w:rsid w:val="00CC0C11"/>
    <w:rsid w:val="00CC18EB"/>
    <w:rsid w:val="00CC1F52"/>
    <w:rsid w:val="00CC233F"/>
    <w:rsid w:val="00CC27FD"/>
    <w:rsid w:val="00CC29A4"/>
    <w:rsid w:val="00CC31E8"/>
    <w:rsid w:val="00CC3AB9"/>
    <w:rsid w:val="00CC3C9E"/>
    <w:rsid w:val="00CC3F1C"/>
    <w:rsid w:val="00CC45E0"/>
    <w:rsid w:val="00CC4BBE"/>
    <w:rsid w:val="00CC4BC3"/>
    <w:rsid w:val="00CC4D5D"/>
    <w:rsid w:val="00CC4F5A"/>
    <w:rsid w:val="00CC50C7"/>
    <w:rsid w:val="00CC55AC"/>
    <w:rsid w:val="00CC5859"/>
    <w:rsid w:val="00CC649E"/>
    <w:rsid w:val="00CC66CB"/>
    <w:rsid w:val="00CC6D1C"/>
    <w:rsid w:val="00CC71DD"/>
    <w:rsid w:val="00CC71F3"/>
    <w:rsid w:val="00CC72C0"/>
    <w:rsid w:val="00CC757D"/>
    <w:rsid w:val="00CC7C74"/>
    <w:rsid w:val="00CC7E7D"/>
    <w:rsid w:val="00CD00DB"/>
    <w:rsid w:val="00CD0119"/>
    <w:rsid w:val="00CD02C5"/>
    <w:rsid w:val="00CD07FD"/>
    <w:rsid w:val="00CD0866"/>
    <w:rsid w:val="00CD1169"/>
    <w:rsid w:val="00CD15F1"/>
    <w:rsid w:val="00CD16C7"/>
    <w:rsid w:val="00CD1788"/>
    <w:rsid w:val="00CD1A40"/>
    <w:rsid w:val="00CD1AA8"/>
    <w:rsid w:val="00CD1B33"/>
    <w:rsid w:val="00CD24A8"/>
    <w:rsid w:val="00CD25F3"/>
    <w:rsid w:val="00CD2628"/>
    <w:rsid w:val="00CD2796"/>
    <w:rsid w:val="00CD27FF"/>
    <w:rsid w:val="00CD2875"/>
    <w:rsid w:val="00CD2C93"/>
    <w:rsid w:val="00CD2DF3"/>
    <w:rsid w:val="00CD2E7E"/>
    <w:rsid w:val="00CD305C"/>
    <w:rsid w:val="00CD3A6D"/>
    <w:rsid w:val="00CD3DB2"/>
    <w:rsid w:val="00CD3E5A"/>
    <w:rsid w:val="00CD3E63"/>
    <w:rsid w:val="00CD40A3"/>
    <w:rsid w:val="00CD457E"/>
    <w:rsid w:val="00CD461B"/>
    <w:rsid w:val="00CD4CD3"/>
    <w:rsid w:val="00CD5608"/>
    <w:rsid w:val="00CD589F"/>
    <w:rsid w:val="00CD60C9"/>
    <w:rsid w:val="00CD6345"/>
    <w:rsid w:val="00CD6835"/>
    <w:rsid w:val="00CD6BBB"/>
    <w:rsid w:val="00CD7482"/>
    <w:rsid w:val="00CD74BE"/>
    <w:rsid w:val="00CD75C1"/>
    <w:rsid w:val="00CE05BD"/>
    <w:rsid w:val="00CE07C1"/>
    <w:rsid w:val="00CE1567"/>
    <w:rsid w:val="00CE1859"/>
    <w:rsid w:val="00CE186F"/>
    <w:rsid w:val="00CE20E3"/>
    <w:rsid w:val="00CE273A"/>
    <w:rsid w:val="00CE2C37"/>
    <w:rsid w:val="00CE321C"/>
    <w:rsid w:val="00CE32E8"/>
    <w:rsid w:val="00CE353C"/>
    <w:rsid w:val="00CE3700"/>
    <w:rsid w:val="00CE3B69"/>
    <w:rsid w:val="00CE4559"/>
    <w:rsid w:val="00CE4B49"/>
    <w:rsid w:val="00CE5118"/>
    <w:rsid w:val="00CE5487"/>
    <w:rsid w:val="00CE59B5"/>
    <w:rsid w:val="00CE59DB"/>
    <w:rsid w:val="00CE5D3A"/>
    <w:rsid w:val="00CE67D8"/>
    <w:rsid w:val="00CE68EA"/>
    <w:rsid w:val="00CE7381"/>
    <w:rsid w:val="00CE7447"/>
    <w:rsid w:val="00CE74CE"/>
    <w:rsid w:val="00CE7510"/>
    <w:rsid w:val="00CE7AB0"/>
    <w:rsid w:val="00CF07CB"/>
    <w:rsid w:val="00CF0829"/>
    <w:rsid w:val="00CF0E74"/>
    <w:rsid w:val="00CF1833"/>
    <w:rsid w:val="00CF1AEA"/>
    <w:rsid w:val="00CF1E3B"/>
    <w:rsid w:val="00CF1FF2"/>
    <w:rsid w:val="00CF2091"/>
    <w:rsid w:val="00CF21F6"/>
    <w:rsid w:val="00CF2278"/>
    <w:rsid w:val="00CF267C"/>
    <w:rsid w:val="00CF2C62"/>
    <w:rsid w:val="00CF2F66"/>
    <w:rsid w:val="00CF3345"/>
    <w:rsid w:val="00CF337B"/>
    <w:rsid w:val="00CF3FE7"/>
    <w:rsid w:val="00CF40BE"/>
    <w:rsid w:val="00CF4416"/>
    <w:rsid w:val="00CF4740"/>
    <w:rsid w:val="00CF5221"/>
    <w:rsid w:val="00CF5762"/>
    <w:rsid w:val="00CF65B4"/>
    <w:rsid w:val="00CF6806"/>
    <w:rsid w:val="00CF69B0"/>
    <w:rsid w:val="00CF6C05"/>
    <w:rsid w:val="00CF709F"/>
    <w:rsid w:val="00CF7485"/>
    <w:rsid w:val="00CF7787"/>
    <w:rsid w:val="00CF7E56"/>
    <w:rsid w:val="00D0115E"/>
    <w:rsid w:val="00D01744"/>
    <w:rsid w:val="00D01C03"/>
    <w:rsid w:val="00D020B5"/>
    <w:rsid w:val="00D0250B"/>
    <w:rsid w:val="00D025CE"/>
    <w:rsid w:val="00D026A3"/>
    <w:rsid w:val="00D02A0F"/>
    <w:rsid w:val="00D02CA6"/>
    <w:rsid w:val="00D02DF3"/>
    <w:rsid w:val="00D03181"/>
    <w:rsid w:val="00D037DC"/>
    <w:rsid w:val="00D0383B"/>
    <w:rsid w:val="00D03A8A"/>
    <w:rsid w:val="00D03DA5"/>
    <w:rsid w:val="00D03F27"/>
    <w:rsid w:val="00D043EE"/>
    <w:rsid w:val="00D0470D"/>
    <w:rsid w:val="00D04EB6"/>
    <w:rsid w:val="00D05130"/>
    <w:rsid w:val="00D05249"/>
    <w:rsid w:val="00D05332"/>
    <w:rsid w:val="00D055CA"/>
    <w:rsid w:val="00D059FC"/>
    <w:rsid w:val="00D05DEF"/>
    <w:rsid w:val="00D0681E"/>
    <w:rsid w:val="00D06861"/>
    <w:rsid w:val="00D0688A"/>
    <w:rsid w:val="00D06F22"/>
    <w:rsid w:val="00D07A9C"/>
    <w:rsid w:val="00D07B44"/>
    <w:rsid w:val="00D10076"/>
    <w:rsid w:val="00D1033B"/>
    <w:rsid w:val="00D10477"/>
    <w:rsid w:val="00D107E2"/>
    <w:rsid w:val="00D119E2"/>
    <w:rsid w:val="00D11D76"/>
    <w:rsid w:val="00D121F5"/>
    <w:rsid w:val="00D126E4"/>
    <w:rsid w:val="00D12ACB"/>
    <w:rsid w:val="00D12C29"/>
    <w:rsid w:val="00D131BF"/>
    <w:rsid w:val="00D13A90"/>
    <w:rsid w:val="00D1404F"/>
    <w:rsid w:val="00D140E6"/>
    <w:rsid w:val="00D147E0"/>
    <w:rsid w:val="00D14AD2"/>
    <w:rsid w:val="00D14C7E"/>
    <w:rsid w:val="00D1505E"/>
    <w:rsid w:val="00D1529E"/>
    <w:rsid w:val="00D158E6"/>
    <w:rsid w:val="00D158EF"/>
    <w:rsid w:val="00D15C14"/>
    <w:rsid w:val="00D15E74"/>
    <w:rsid w:val="00D15FAA"/>
    <w:rsid w:val="00D16A14"/>
    <w:rsid w:val="00D16ECB"/>
    <w:rsid w:val="00D16EEE"/>
    <w:rsid w:val="00D17167"/>
    <w:rsid w:val="00D17BA5"/>
    <w:rsid w:val="00D2058D"/>
    <w:rsid w:val="00D2176E"/>
    <w:rsid w:val="00D2182A"/>
    <w:rsid w:val="00D218BC"/>
    <w:rsid w:val="00D2193D"/>
    <w:rsid w:val="00D21D28"/>
    <w:rsid w:val="00D21F25"/>
    <w:rsid w:val="00D22105"/>
    <w:rsid w:val="00D2211C"/>
    <w:rsid w:val="00D22564"/>
    <w:rsid w:val="00D22B55"/>
    <w:rsid w:val="00D22BDD"/>
    <w:rsid w:val="00D22C81"/>
    <w:rsid w:val="00D23055"/>
    <w:rsid w:val="00D230AD"/>
    <w:rsid w:val="00D2320E"/>
    <w:rsid w:val="00D2327A"/>
    <w:rsid w:val="00D251AB"/>
    <w:rsid w:val="00D25240"/>
    <w:rsid w:val="00D25AC6"/>
    <w:rsid w:val="00D25BF1"/>
    <w:rsid w:val="00D261D3"/>
    <w:rsid w:val="00D2693B"/>
    <w:rsid w:val="00D27086"/>
    <w:rsid w:val="00D276D0"/>
    <w:rsid w:val="00D27D4F"/>
    <w:rsid w:val="00D27FDD"/>
    <w:rsid w:val="00D305BE"/>
    <w:rsid w:val="00D31048"/>
    <w:rsid w:val="00D319DF"/>
    <w:rsid w:val="00D31C02"/>
    <w:rsid w:val="00D3225E"/>
    <w:rsid w:val="00D324BC"/>
    <w:rsid w:val="00D32B9F"/>
    <w:rsid w:val="00D331A5"/>
    <w:rsid w:val="00D33565"/>
    <w:rsid w:val="00D33761"/>
    <w:rsid w:val="00D33762"/>
    <w:rsid w:val="00D3451C"/>
    <w:rsid w:val="00D34BD1"/>
    <w:rsid w:val="00D35177"/>
    <w:rsid w:val="00D356E1"/>
    <w:rsid w:val="00D364FD"/>
    <w:rsid w:val="00D40609"/>
    <w:rsid w:val="00D40983"/>
    <w:rsid w:val="00D40B3B"/>
    <w:rsid w:val="00D40DD8"/>
    <w:rsid w:val="00D40E43"/>
    <w:rsid w:val="00D41188"/>
    <w:rsid w:val="00D41228"/>
    <w:rsid w:val="00D41576"/>
    <w:rsid w:val="00D417D3"/>
    <w:rsid w:val="00D418D5"/>
    <w:rsid w:val="00D41DB1"/>
    <w:rsid w:val="00D4276D"/>
    <w:rsid w:val="00D42798"/>
    <w:rsid w:val="00D42970"/>
    <w:rsid w:val="00D42A21"/>
    <w:rsid w:val="00D43047"/>
    <w:rsid w:val="00D43468"/>
    <w:rsid w:val="00D43AED"/>
    <w:rsid w:val="00D44916"/>
    <w:rsid w:val="00D458BD"/>
    <w:rsid w:val="00D45AE4"/>
    <w:rsid w:val="00D45CA4"/>
    <w:rsid w:val="00D45EA7"/>
    <w:rsid w:val="00D45F22"/>
    <w:rsid w:val="00D47178"/>
    <w:rsid w:val="00D4752E"/>
    <w:rsid w:val="00D47842"/>
    <w:rsid w:val="00D47BEF"/>
    <w:rsid w:val="00D47C0D"/>
    <w:rsid w:val="00D47E67"/>
    <w:rsid w:val="00D50826"/>
    <w:rsid w:val="00D5150A"/>
    <w:rsid w:val="00D51675"/>
    <w:rsid w:val="00D51F73"/>
    <w:rsid w:val="00D52827"/>
    <w:rsid w:val="00D529BE"/>
    <w:rsid w:val="00D52CF6"/>
    <w:rsid w:val="00D53D3E"/>
    <w:rsid w:val="00D54457"/>
    <w:rsid w:val="00D547E0"/>
    <w:rsid w:val="00D54992"/>
    <w:rsid w:val="00D55291"/>
    <w:rsid w:val="00D55C48"/>
    <w:rsid w:val="00D55E47"/>
    <w:rsid w:val="00D56180"/>
    <w:rsid w:val="00D56392"/>
    <w:rsid w:val="00D56997"/>
    <w:rsid w:val="00D569A3"/>
    <w:rsid w:val="00D56BF7"/>
    <w:rsid w:val="00D570E6"/>
    <w:rsid w:val="00D5730F"/>
    <w:rsid w:val="00D5774F"/>
    <w:rsid w:val="00D60809"/>
    <w:rsid w:val="00D60D7F"/>
    <w:rsid w:val="00D61066"/>
    <w:rsid w:val="00D61458"/>
    <w:rsid w:val="00D61C9C"/>
    <w:rsid w:val="00D61E7B"/>
    <w:rsid w:val="00D62065"/>
    <w:rsid w:val="00D62111"/>
    <w:rsid w:val="00D62229"/>
    <w:rsid w:val="00D625B8"/>
    <w:rsid w:val="00D626F8"/>
    <w:rsid w:val="00D63458"/>
    <w:rsid w:val="00D636C2"/>
    <w:rsid w:val="00D636DC"/>
    <w:rsid w:val="00D63CC7"/>
    <w:rsid w:val="00D63F4C"/>
    <w:rsid w:val="00D64613"/>
    <w:rsid w:val="00D64702"/>
    <w:rsid w:val="00D649DC"/>
    <w:rsid w:val="00D65A6A"/>
    <w:rsid w:val="00D65D66"/>
    <w:rsid w:val="00D65EDA"/>
    <w:rsid w:val="00D66BFD"/>
    <w:rsid w:val="00D66C91"/>
    <w:rsid w:val="00D66D46"/>
    <w:rsid w:val="00D66D70"/>
    <w:rsid w:val="00D674EE"/>
    <w:rsid w:val="00D67535"/>
    <w:rsid w:val="00D67BC9"/>
    <w:rsid w:val="00D67DBC"/>
    <w:rsid w:val="00D704D9"/>
    <w:rsid w:val="00D70612"/>
    <w:rsid w:val="00D70934"/>
    <w:rsid w:val="00D70BD2"/>
    <w:rsid w:val="00D713F2"/>
    <w:rsid w:val="00D71B32"/>
    <w:rsid w:val="00D71DC6"/>
    <w:rsid w:val="00D71E85"/>
    <w:rsid w:val="00D721B1"/>
    <w:rsid w:val="00D72705"/>
    <w:rsid w:val="00D738BF"/>
    <w:rsid w:val="00D73B93"/>
    <w:rsid w:val="00D73C95"/>
    <w:rsid w:val="00D7400F"/>
    <w:rsid w:val="00D745C1"/>
    <w:rsid w:val="00D74784"/>
    <w:rsid w:val="00D74C0D"/>
    <w:rsid w:val="00D75053"/>
    <w:rsid w:val="00D756F6"/>
    <w:rsid w:val="00D75731"/>
    <w:rsid w:val="00D75B45"/>
    <w:rsid w:val="00D75B5C"/>
    <w:rsid w:val="00D75F8C"/>
    <w:rsid w:val="00D76050"/>
    <w:rsid w:val="00D76210"/>
    <w:rsid w:val="00D76309"/>
    <w:rsid w:val="00D76423"/>
    <w:rsid w:val="00D767BF"/>
    <w:rsid w:val="00D77278"/>
    <w:rsid w:val="00D775B5"/>
    <w:rsid w:val="00D7782E"/>
    <w:rsid w:val="00D77961"/>
    <w:rsid w:val="00D77A47"/>
    <w:rsid w:val="00D77B20"/>
    <w:rsid w:val="00D77B3B"/>
    <w:rsid w:val="00D77D1C"/>
    <w:rsid w:val="00D8007C"/>
    <w:rsid w:val="00D8079F"/>
    <w:rsid w:val="00D8103B"/>
    <w:rsid w:val="00D8111B"/>
    <w:rsid w:val="00D81242"/>
    <w:rsid w:val="00D812D2"/>
    <w:rsid w:val="00D81F1B"/>
    <w:rsid w:val="00D822E5"/>
    <w:rsid w:val="00D82C80"/>
    <w:rsid w:val="00D82D02"/>
    <w:rsid w:val="00D82D0F"/>
    <w:rsid w:val="00D8336C"/>
    <w:rsid w:val="00D83A5A"/>
    <w:rsid w:val="00D83E12"/>
    <w:rsid w:val="00D84157"/>
    <w:rsid w:val="00D84AB8"/>
    <w:rsid w:val="00D84BD7"/>
    <w:rsid w:val="00D84DCA"/>
    <w:rsid w:val="00D85114"/>
    <w:rsid w:val="00D857BC"/>
    <w:rsid w:val="00D85CC6"/>
    <w:rsid w:val="00D866CC"/>
    <w:rsid w:val="00D86A92"/>
    <w:rsid w:val="00D871B6"/>
    <w:rsid w:val="00D875E1"/>
    <w:rsid w:val="00D90052"/>
    <w:rsid w:val="00D90275"/>
    <w:rsid w:val="00D902F5"/>
    <w:rsid w:val="00D9075D"/>
    <w:rsid w:val="00D90959"/>
    <w:rsid w:val="00D91410"/>
    <w:rsid w:val="00D91438"/>
    <w:rsid w:val="00D91594"/>
    <w:rsid w:val="00D91ABE"/>
    <w:rsid w:val="00D91DFB"/>
    <w:rsid w:val="00D921DA"/>
    <w:rsid w:val="00D929A2"/>
    <w:rsid w:val="00D92A4A"/>
    <w:rsid w:val="00D92C2F"/>
    <w:rsid w:val="00D92DE4"/>
    <w:rsid w:val="00D92F7F"/>
    <w:rsid w:val="00D930AC"/>
    <w:rsid w:val="00D9459D"/>
    <w:rsid w:val="00D94730"/>
    <w:rsid w:val="00D94858"/>
    <w:rsid w:val="00D9487D"/>
    <w:rsid w:val="00D94972"/>
    <w:rsid w:val="00D9535B"/>
    <w:rsid w:val="00D954A1"/>
    <w:rsid w:val="00D95519"/>
    <w:rsid w:val="00D95744"/>
    <w:rsid w:val="00D958FC"/>
    <w:rsid w:val="00D959AE"/>
    <w:rsid w:val="00D95DC2"/>
    <w:rsid w:val="00D96678"/>
    <w:rsid w:val="00D9673A"/>
    <w:rsid w:val="00D96A3F"/>
    <w:rsid w:val="00D96C73"/>
    <w:rsid w:val="00D96D46"/>
    <w:rsid w:val="00D97A3A"/>
    <w:rsid w:val="00D97C27"/>
    <w:rsid w:val="00DA032C"/>
    <w:rsid w:val="00DA0526"/>
    <w:rsid w:val="00DA0639"/>
    <w:rsid w:val="00DA0B8C"/>
    <w:rsid w:val="00DA0CF7"/>
    <w:rsid w:val="00DA0E96"/>
    <w:rsid w:val="00DA1203"/>
    <w:rsid w:val="00DA14A0"/>
    <w:rsid w:val="00DA15AC"/>
    <w:rsid w:val="00DA18DA"/>
    <w:rsid w:val="00DA1F0C"/>
    <w:rsid w:val="00DA24E9"/>
    <w:rsid w:val="00DA25E6"/>
    <w:rsid w:val="00DA2935"/>
    <w:rsid w:val="00DA2B06"/>
    <w:rsid w:val="00DA2B20"/>
    <w:rsid w:val="00DA2D97"/>
    <w:rsid w:val="00DA3565"/>
    <w:rsid w:val="00DA359C"/>
    <w:rsid w:val="00DA36A9"/>
    <w:rsid w:val="00DA3A5B"/>
    <w:rsid w:val="00DA3D0B"/>
    <w:rsid w:val="00DA3F51"/>
    <w:rsid w:val="00DA41AA"/>
    <w:rsid w:val="00DA45A0"/>
    <w:rsid w:val="00DA45DB"/>
    <w:rsid w:val="00DA48D9"/>
    <w:rsid w:val="00DA49F8"/>
    <w:rsid w:val="00DA4AAE"/>
    <w:rsid w:val="00DA5572"/>
    <w:rsid w:val="00DA5BFE"/>
    <w:rsid w:val="00DA5D5D"/>
    <w:rsid w:val="00DA6A15"/>
    <w:rsid w:val="00DA6B3A"/>
    <w:rsid w:val="00DA6CC2"/>
    <w:rsid w:val="00DA7029"/>
    <w:rsid w:val="00DA70B9"/>
    <w:rsid w:val="00DA77A0"/>
    <w:rsid w:val="00DB09A2"/>
    <w:rsid w:val="00DB103D"/>
    <w:rsid w:val="00DB1420"/>
    <w:rsid w:val="00DB1448"/>
    <w:rsid w:val="00DB1907"/>
    <w:rsid w:val="00DB1998"/>
    <w:rsid w:val="00DB1FC4"/>
    <w:rsid w:val="00DB21F0"/>
    <w:rsid w:val="00DB25DB"/>
    <w:rsid w:val="00DB2C5F"/>
    <w:rsid w:val="00DB34B1"/>
    <w:rsid w:val="00DB3A58"/>
    <w:rsid w:val="00DB3BDF"/>
    <w:rsid w:val="00DB3C58"/>
    <w:rsid w:val="00DB3D46"/>
    <w:rsid w:val="00DB401C"/>
    <w:rsid w:val="00DB46C8"/>
    <w:rsid w:val="00DB4837"/>
    <w:rsid w:val="00DB52F0"/>
    <w:rsid w:val="00DB540E"/>
    <w:rsid w:val="00DB5A63"/>
    <w:rsid w:val="00DB6166"/>
    <w:rsid w:val="00DB6520"/>
    <w:rsid w:val="00DB656B"/>
    <w:rsid w:val="00DB6803"/>
    <w:rsid w:val="00DB691E"/>
    <w:rsid w:val="00DB6C99"/>
    <w:rsid w:val="00DB6EB1"/>
    <w:rsid w:val="00DB74A9"/>
    <w:rsid w:val="00DB75A3"/>
    <w:rsid w:val="00DC02F5"/>
    <w:rsid w:val="00DC0574"/>
    <w:rsid w:val="00DC0C65"/>
    <w:rsid w:val="00DC10E5"/>
    <w:rsid w:val="00DC16BF"/>
    <w:rsid w:val="00DC16E1"/>
    <w:rsid w:val="00DC16FC"/>
    <w:rsid w:val="00DC1881"/>
    <w:rsid w:val="00DC19CB"/>
    <w:rsid w:val="00DC1ED7"/>
    <w:rsid w:val="00DC209D"/>
    <w:rsid w:val="00DC294E"/>
    <w:rsid w:val="00DC37B9"/>
    <w:rsid w:val="00DC3954"/>
    <w:rsid w:val="00DC3A6F"/>
    <w:rsid w:val="00DC3D1C"/>
    <w:rsid w:val="00DC43E1"/>
    <w:rsid w:val="00DC50E9"/>
    <w:rsid w:val="00DC5199"/>
    <w:rsid w:val="00DC5A32"/>
    <w:rsid w:val="00DC5E4E"/>
    <w:rsid w:val="00DC63ED"/>
    <w:rsid w:val="00DC651B"/>
    <w:rsid w:val="00DC662F"/>
    <w:rsid w:val="00DC6961"/>
    <w:rsid w:val="00DC6E78"/>
    <w:rsid w:val="00DC707F"/>
    <w:rsid w:val="00DC729A"/>
    <w:rsid w:val="00DC73B1"/>
    <w:rsid w:val="00DC7519"/>
    <w:rsid w:val="00DC7630"/>
    <w:rsid w:val="00DC7EB5"/>
    <w:rsid w:val="00DD04AC"/>
    <w:rsid w:val="00DD04DD"/>
    <w:rsid w:val="00DD0891"/>
    <w:rsid w:val="00DD0AB4"/>
    <w:rsid w:val="00DD0B35"/>
    <w:rsid w:val="00DD0C4D"/>
    <w:rsid w:val="00DD0F9F"/>
    <w:rsid w:val="00DD11A7"/>
    <w:rsid w:val="00DD1298"/>
    <w:rsid w:val="00DD2300"/>
    <w:rsid w:val="00DD2309"/>
    <w:rsid w:val="00DD28B3"/>
    <w:rsid w:val="00DD2DE3"/>
    <w:rsid w:val="00DD2DE8"/>
    <w:rsid w:val="00DD316F"/>
    <w:rsid w:val="00DD357C"/>
    <w:rsid w:val="00DD370C"/>
    <w:rsid w:val="00DD37CA"/>
    <w:rsid w:val="00DD3D55"/>
    <w:rsid w:val="00DD3DF7"/>
    <w:rsid w:val="00DD3E58"/>
    <w:rsid w:val="00DD4AE2"/>
    <w:rsid w:val="00DD4BFA"/>
    <w:rsid w:val="00DD51F8"/>
    <w:rsid w:val="00DD6388"/>
    <w:rsid w:val="00DD6C53"/>
    <w:rsid w:val="00DD7198"/>
    <w:rsid w:val="00DD7752"/>
    <w:rsid w:val="00DD7CB6"/>
    <w:rsid w:val="00DE0077"/>
    <w:rsid w:val="00DE0137"/>
    <w:rsid w:val="00DE01BA"/>
    <w:rsid w:val="00DE061F"/>
    <w:rsid w:val="00DE0DCF"/>
    <w:rsid w:val="00DE137B"/>
    <w:rsid w:val="00DE19D9"/>
    <w:rsid w:val="00DE1DC6"/>
    <w:rsid w:val="00DE1F77"/>
    <w:rsid w:val="00DE21C6"/>
    <w:rsid w:val="00DE22AA"/>
    <w:rsid w:val="00DE288F"/>
    <w:rsid w:val="00DE2BDD"/>
    <w:rsid w:val="00DE2C45"/>
    <w:rsid w:val="00DE2D49"/>
    <w:rsid w:val="00DE2ED5"/>
    <w:rsid w:val="00DE2F4E"/>
    <w:rsid w:val="00DE30CE"/>
    <w:rsid w:val="00DE3E66"/>
    <w:rsid w:val="00DE3F75"/>
    <w:rsid w:val="00DE41FC"/>
    <w:rsid w:val="00DE45F5"/>
    <w:rsid w:val="00DE4AAD"/>
    <w:rsid w:val="00DE4C0C"/>
    <w:rsid w:val="00DE4D46"/>
    <w:rsid w:val="00DE4FC8"/>
    <w:rsid w:val="00DE53B5"/>
    <w:rsid w:val="00DE5A50"/>
    <w:rsid w:val="00DE5AFF"/>
    <w:rsid w:val="00DE60C5"/>
    <w:rsid w:val="00DE6E27"/>
    <w:rsid w:val="00DE7323"/>
    <w:rsid w:val="00DE75F0"/>
    <w:rsid w:val="00DE77CB"/>
    <w:rsid w:val="00DE7EBA"/>
    <w:rsid w:val="00DE7EF8"/>
    <w:rsid w:val="00DF04BD"/>
    <w:rsid w:val="00DF050A"/>
    <w:rsid w:val="00DF068D"/>
    <w:rsid w:val="00DF0D3A"/>
    <w:rsid w:val="00DF140A"/>
    <w:rsid w:val="00DF1A9A"/>
    <w:rsid w:val="00DF1C2D"/>
    <w:rsid w:val="00DF1F8A"/>
    <w:rsid w:val="00DF2209"/>
    <w:rsid w:val="00DF248E"/>
    <w:rsid w:val="00DF2715"/>
    <w:rsid w:val="00DF3577"/>
    <w:rsid w:val="00DF4063"/>
    <w:rsid w:val="00DF4CDC"/>
    <w:rsid w:val="00DF4EE1"/>
    <w:rsid w:val="00DF58A3"/>
    <w:rsid w:val="00DF5965"/>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453"/>
    <w:rsid w:val="00E03D3F"/>
    <w:rsid w:val="00E03DED"/>
    <w:rsid w:val="00E03EB7"/>
    <w:rsid w:val="00E03F32"/>
    <w:rsid w:val="00E0437C"/>
    <w:rsid w:val="00E0452C"/>
    <w:rsid w:val="00E04D61"/>
    <w:rsid w:val="00E0504C"/>
    <w:rsid w:val="00E05074"/>
    <w:rsid w:val="00E052DA"/>
    <w:rsid w:val="00E05489"/>
    <w:rsid w:val="00E05741"/>
    <w:rsid w:val="00E05F7F"/>
    <w:rsid w:val="00E060B5"/>
    <w:rsid w:val="00E06549"/>
    <w:rsid w:val="00E06930"/>
    <w:rsid w:val="00E06971"/>
    <w:rsid w:val="00E073F2"/>
    <w:rsid w:val="00E075FA"/>
    <w:rsid w:val="00E07B27"/>
    <w:rsid w:val="00E07CAF"/>
    <w:rsid w:val="00E07D90"/>
    <w:rsid w:val="00E105B3"/>
    <w:rsid w:val="00E10846"/>
    <w:rsid w:val="00E10883"/>
    <w:rsid w:val="00E108F4"/>
    <w:rsid w:val="00E10D4E"/>
    <w:rsid w:val="00E1100C"/>
    <w:rsid w:val="00E11489"/>
    <w:rsid w:val="00E11711"/>
    <w:rsid w:val="00E11E63"/>
    <w:rsid w:val="00E11F94"/>
    <w:rsid w:val="00E12696"/>
    <w:rsid w:val="00E12E58"/>
    <w:rsid w:val="00E1310D"/>
    <w:rsid w:val="00E13359"/>
    <w:rsid w:val="00E138BF"/>
    <w:rsid w:val="00E14EFA"/>
    <w:rsid w:val="00E151B9"/>
    <w:rsid w:val="00E158C4"/>
    <w:rsid w:val="00E15CC4"/>
    <w:rsid w:val="00E161E6"/>
    <w:rsid w:val="00E167C9"/>
    <w:rsid w:val="00E1698C"/>
    <w:rsid w:val="00E16BDB"/>
    <w:rsid w:val="00E16CE4"/>
    <w:rsid w:val="00E172BE"/>
    <w:rsid w:val="00E17CF7"/>
    <w:rsid w:val="00E2013E"/>
    <w:rsid w:val="00E205D6"/>
    <w:rsid w:val="00E206E3"/>
    <w:rsid w:val="00E209AB"/>
    <w:rsid w:val="00E216EC"/>
    <w:rsid w:val="00E2189A"/>
    <w:rsid w:val="00E21A60"/>
    <w:rsid w:val="00E21CF8"/>
    <w:rsid w:val="00E224CE"/>
    <w:rsid w:val="00E22B5A"/>
    <w:rsid w:val="00E22B68"/>
    <w:rsid w:val="00E231C9"/>
    <w:rsid w:val="00E23640"/>
    <w:rsid w:val="00E23EBF"/>
    <w:rsid w:val="00E23FD5"/>
    <w:rsid w:val="00E24669"/>
    <w:rsid w:val="00E246FB"/>
    <w:rsid w:val="00E24A70"/>
    <w:rsid w:val="00E24C48"/>
    <w:rsid w:val="00E24EE4"/>
    <w:rsid w:val="00E25981"/>
    <w:rsid w:val="00E25A1E"/>
    <w:rsid w:val="00E26056"/>
    <w:rsid w:val="00E26141"/>
    <w:rsid w:val="00E266F5"/>
    <w:rsid w:val="00E2673E"/>
    <w:rsid w:val="00E270D3"/>
    <w:rsid w:val="00E27CC8"/>
    <w:rsid w:val="00E27FC7"/>
    <w:rsid w:val="00E3050B"/>
    <w:rsid w:val="00E30700"/>
    <w:rsid w:val="00E31115"/>
    <w:rsid w:val="00E31141"/>
    <w:rsid w:val="00E31360"/>
    <w:rsid w:val="00E31D28"/>
    <w:rsid w:val="00E32425"/>
    <w:rsid w:val="00E32443"/>
    <w:rsid w:val="00E3252C"/>
    <w:rsid w:val="00E325FF"/>
    <w:rsid w:val="00E32A93"/>
    <w:rsid w:val="00E32CB8"/>
    <w:rsid w:val="00E32F67"/>
    <w:rsid w:val="00E33B78"/>
    <w:rsid w:val="00E3440F"/>
    <w:rsid w:val="00E34F3A"/>
    <w:rsid w:val="00E35F99"/>
    <w:rsid w:val="00E35F9A"/>
    <w:rsid w:val="00E3637F"/>
    <w:rsid w:val="00E364B6"/>
    <w:rsid w:val="00E36723"/>
    <w:rsid w:val="00E36BC3"/>
    <w:rsid w:val="00E3713C"/>
    <w:rsid w:val="00E372F3"/>
    <w:rsid w:val="00E3767B"/>
    <w:rsid w:val="00E37E1C"/>
    <w:rsid w:val="00E40079"/>
    <w:rsid w:val="00E40126"/>
    <w:rsid w:val="00E4013B"/>
    <w:rsid w:val="00E40C85"/>
    <w:rsid w:val="00E40CBF"/>
    <w:rsid w:val="00E40E7D"/>
    <w:rsid w:val="00E40EE4"/>
    <w:rsid w:val="00E413C6"/>
    <w:rsid w:val="00E420D5"/>
    <w:rsid w:val="00E42517"/>
    <w:rsid w:val="00E42948"/>
    <w:rsid w:val="00E42B77"/>
    <w:rsid w:val="00E42D55"/>
    <w:rsid w:val="00E42FFE"/>
    <w:rsid w:val="00E4316E"/>
    <w:rsid w:val="00E435AB"/>
    <w:rsid w:val="00E44275"/>
    <w:rsid w:val="00E445B6"/>
    <w:rsid w:val="00E44705"/>
    <w:rsid w:val="00E44777"/>
    <w:rsid w:val="00E44F67"/>
    <w:rsid w:val="00E4535F"/>
    <w:rsid w:val="00E455E3"/>
    <w:rsid w:val="00E45F9D"/>
    <w:rsid w:val="00E466BC"/>
    <w:rsid w:val="00E4686A"/>
    <w:rsid w:val="00E4791C"/>
    <w:rsid w:val="00E479FD"/>
    <w:rsid w:val="00E47A76"/>
    <w:rsid w:val="00E504D6"/>
    <w:rsid w:val="00E50B6F"/>
    <w:rsid w:val="00E50EBE"/>
    <w:rsid w:val="00E50F69"/>
    <w:rsid w:val="00E50FC6"/>
    <w:rsid w:val="00E510AC"/>
    <w:rsid w:val="00E52372"/>
    <w:rsid w:val="00E5272D"/>
    <w:rsid w:val="00E52786"/>
    <w:rsid w:val="00E52F05"/>
    <w:rsid w:val="00E53844"/>
    <w:rsid w:val="00E53EF7"/>
    <w:rsid w:val="00E540CA"/>
    <w:rsid w:val="00E54C83"/>
    <w:rsid w:val="00E55460"/>
    <w:rsid w:val="00E558BA"/>
    <w:rsid w:val="00E55B28"/>
    <w:rsid w:val="00E56D4A"/>
    <w:rsid w:val="00E57119"/>
    <w:rsid w:val="00E5719E"/>
    <w:rsid w:val="00E57D7B"/>
    <w:rsid w:val="00E57F4B"/>
    <w:rsid w:val="00E602E5"/>
    <w:rsid w:val="00E602F8"/>
    <w:rsid w:val="00E6085B"/>
    <w:rsid w:val="00E60FBA"/>
    <w:rsid w:val="00E60FBF"/>
    <w:rsid w:val="00E6108D"/>
    <w:rsid w:val="00E611AE"/>
    <w:rsid w:val="00E616F9"/>
    <w:rsid w:val="00E61852"/>
    <w:rsid w:val="00E61A0C"/>
    <w:rsid w:val="00E61D22"/>
    <w:rsid w:val="00E61D96"/>
    <w:rsid w:val="00E61E4B"/>
    <w:rsid w:val="00E61E57"/>
    <w:rsid w:val="00E625B6"/>
    <w:rsid w:val="00E62F6E"/>
    <w:rsid w:val="00E630F3"/>
    <w:rsid w:val="00E63DA2"/>
    <w:rsid w:val="00E641E8"/>
    <w:rsid w:val="00E642AF"/>
    <w:rsid w:val="00E644C6"/>
    <w:rsid w:val="00E64555"/>
    <w:rsid w:val="00E64595"/>
    <w:rsid w:val="00E646BB"/>
    <w:rsid w:val="00E64B83"/>
    <w:rsid w:val="00E64D24"/>
    <w:rsid w:val="00E64FAF"/>
    <w:rsid w:val="00E6532C"/>
    <w:rsid w:val="00E653A6"/>
    <w:rsid w:val="00E6549C"/>
    <w:rsid w:val="00E654B9"/>
    <w:rsid w:val="00E6589D"/>
    <w:rsid w:val="00E65E8C"/>
    <w:rsid w:val="00E665E7"/>
    <w:rsid w:val="00E6661C"/>
    <w:rsid w:val="00E66795"/>
    <w:rsid w:val="00E66C96"/>
    <w:rsid w:val="00E67D37"/>
    <w:rsid w:val="00E70130"/>
    <w:rsid w:val="00E706DE"/>
    <w:rsid w:val="00E70875"/>
    <w:rsid w:val="00E71063"/>
    <w:rsid w:val="00E715FC"/>
    <w:rsid w:val="00E71A45"/>
    <w:rsid w:val="00E71C21"/>
    <w:rsid w:val="00E72F23"/>
    <w:rsid w:val="00E730FC"/>
    <w:rsid w:val="00E73481"/>
    <w:rsid w:val="00E7385A"/>
    <w:rsid w:val="00E7391F"/>
    <w:rsid w:val="00E73CE6"/>
    <w:rsid w:val="00E74780"/>
    <w:rsid w:val="00E74956"/>
    <w:rsid w:val="00E752F7"/>
    <w:rsid w:val="00E75848"/>
    <w:rsid w:val="00E759D4"/>
    <w:rsid w:val="00E75FF5"/>
    <w:rsid w:val="00E76A3C"/>
    <w:rsid w:val="00E76F9B"/>
    <w:rsid w:val="00E771FC"/>
    <w:rsid w:val="00E773E5"/>
    <w:rsid w:val="00E77BDD"/>
    <w:rsid w:val="00E80112"/>
    <w:rsid w:val="00E806D3"/>
    <w:rsid w:val="00E8104D"/>
    <w:rsid w:val="00E81C34"/>
    <w:rsid w:val="00E81D83"/>
    <w:rsid w:val="00E821BB"/>
    <w:rsid w:val="00E822E9"/>
    <w:rsid w:val="00E826FE"/>
    <w:rsid w:val="00E8275E"/>
    <w:rsid w:val="00E827AF"/>
    <w:rsid w:val="00E82CA0"/>
    <w:rsid w:val="00E82DE9"/>
    <w:rsid w:val="00E83253"/>
    <w:rsid w:val="00E83714"/>
    <w:rsid w:val="00E83831"/>
    <w:rsid w:val="00E83C91"/>
    <w:rsid w:val="00E83D91"/>
    <w:rsid w:val="00E844AB"/>
    <w:rsid w:val="00E84851"/>
    <w:rsid w:val="00E84C97"/>
    <w:rsid w:val="00E84C98"/>
    <w:rsid w:val="00E85005"/>
    <w:rsid w:val="00E85296"/>
    <w:rsid w:val="00E8533B"/>
    <w:rsid w:val="00E85BD0"/>
    <w:rsid w:val="00E85E4E"/>
    <w:rsid w:val="00E86327"/>
    <w:rsid w:val="00E86DF0"/>
    <w:rsid w:val="00E87711"/>
    <w:rsid w:val="00E87BD2"/>
    <w:rsid w:val="00E87CDC"/>
    <w:rsid w:val="00E90A2A"/>
    <w:rsid w:val="00E90B33"/>
    <w:rsid w:val="00E90D2E"/>
    <w:rsid w:val="00E910E4"/>
    <w:rsid w:val="00E911E0"/>
    <w:rsid w:val="00E92115"/>
    <w:rsid w:val="00E921F9"/>
    <w:rsid w:val="00E92938"/>
    <w:rsid w:val="00E931A3"/>
    <w:rsid w:val="00E93407"/>
    <w:rsid w:val="00E93572"/>
    <w:rsid w:val="00E93640"/>
    <w:rsid w:val="00E940A8"/>
    <w:rsid w:val="00E94307"/>
    <w:rsid w:val="00E947E8"/>
    <w:rsid w:val="00E94B0F"/>
    <w:rsid w:val="00E94EF6"/>
    <w:rsid w:val="00E9503F"/>
    <w:rsid w:val="00E954DF"/>
    <w:rsid w:val="00E956F3"/>
    <w:rsid w:val="00E95AA7"/>
    <w:rsid w:val="00E967C0"/>
    <w:rsid w:val="00E96E68"/>
    <w:rsid w:val="00E97013"/>
    <w:rsid w:val="00E97EA1"/>
    <w:rsid w:val="00EA0BBE"/>
    <w:rsid w:val="00EA18B9"/>
    <w:rsid w:val="00EA193E"/>
    <w:rsid w:val="00EA1D70"/>
    <w:rsid w:val="00EA1FBC"/>
    <w:rsid w:val="00EA20A1"/>
    <w:rsid w:val="00EA212B"/>
    <w:rsid w:val="00EA24B5"/>
    <w:rsid w:val="00EA2AAA"/>
    <w:rsid w:val="00EA2D41"/>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A1E"/>
    <w:rsid w:val="00EA6CAC"/>
    <w:rsid w:val="00EA75BD"/>
    <w:rsid w:val="00EA7C47"/>
    <w:rsid w:val="00EB02F9"/>
    <w:rsid w:val="00EB0A47"/>
    <w:rsid w:val="00EB0F0F"/>
    <w:rsid w:val="00EB12A5"/>
    <w:rsid w:val="00EB24D8"/>
    <w:rsid w:val="00EB277B"/>
    <w:rsid w:val="00EB2F20"/>
    <w:rsid w:val="00EB2F35"/>
    <w:rsid w:val="00EB31DB"/>
    <w:rsid w:val="00EB3422"/>
    <w:rsid w:val="00EB3A31"/>
    <w:rsid w:val="00EB4389"/>
    <w:rsid w:val="00EB4EAF"/>
    <w:rsid w:val="00EB548E"/>
    <w:rsid w:val="00EB584B"/>
    <w:rsid w:val="00EB5C41"/>
    <w:rsid w:val="00EB5F5A"/>
    <w:rsid w:val="00EB647F"/>
    <w:rsid w:val="00EB656C"/>
    <w:rsid w:val="00EB657E"/>
    <w:rsid w:val="00EB695E"/>
    <w:rsid w:val="00EB69D1"/>
    <w:rsid w:val="00EB69D4"/>
    <w:rsid w:val="00EB6FE9"/>
    <w:rsid w:val="00EB72FF"/>
    <w:rsid w:val="00EB756F"/>
    <w:rsid w:val="00EB79C8"/>
    <w:rsid w:val="00EB7E3F"/>
    <w:rsid w:val="00EB7E78"/>
    <w:rsid w:val="00EC013A"/>
    <w:rsid w:val="00EC0301"/>
    <w:rsid w:val="00EC08B5"/>
    <w:rsid w:val="00EC09C6"/>
    <w:rsid w:val="00EC0EA5"/>
    <w:rsid w:val="00EC1056"/>
    <w:rsid w:val="00EC1470"/>
    <w:rsid w:val="00EC164F"/>
    <w:rsid w:val="00EC222E"/>
    <w:rsid w:val="00EC2716"/>
    <w:rsid w:val="00EC2DBB"/>
    <w:rsid w:val="00EC3517"/>
    <w:rsid w:val="00EC358E"/>
    <w:rsid w:val="00EC3FD2"/>
    <w:rsid w:val="00EC4095"/>
    <w:rsid w:val="00EC43B5"/>
    <w:rsid w:val="00EC4537"/>
    <w:rsid w:val="00EC4960"/>
    <w:rsid w:val="00EC4AE3"/>
    <w:rsid w:val="00EC5414"/>
    <w:rsid w:val="00EC54EE"/>
    <w:rsid w:val="00EC59B2"/>
    <w:rsid w:val="00EC5A3B"/>
    <w:rsid w:val="00EC6424"/>
    <w:rsid w:val="00EC786C"/>
    <w:rsid w:val="00EC7ADD"/>
    <w:rsid w:val="00EC7C26"/>
    <w:rsid w:val="00EC7F10"/>
    <w:rsid w:val="00ED04FE"/>
    <w:rsid w:val="00ED0DD0"/>
    <w:rsid w:val="00ED1122"/>
    <w:rsid w:val="00ED1989"/>
    <w:rsid w:val="00ED28F2"/>
    <w:rsid w:val="00ED2F3E"/>
    <w:rsid w:val="00ED3145"/>
    <w:rsid w:val="00ED3219"/>
    <w:rsid w:val="00ED3309"/>
    <w:rsid w:val="00ED356E"/>
    <w:rsid w:val="00ED3792"/>
    <w:rsid w:val="00ED3B83"/>
    <w:rsid w:val="00ED3BDA"/>
    <w:rsid w:val="00ED56F9"/>
    <w:rsid w:val="00ED5A3B"/>
    <w:rsid w:val="00ED5C30"/>
    <w:rsid w:val="00ED5E02"/>
    <w:rsid w:val="00ED5EED"/>
    <w:rsid w:val="00ED612A"/>
    <w:rsid w:val="00ED6B1C"/>
    <w:rsid w:val="00ED6CF7"/>
    <w:rsid w:val="00ED6F33"/>
    <w:rsid w:val="00ED70A5"/>
    <w:rsid w:val="00ED7716"/>
    <w:rsid w:val="00ED7737"/>
    <w:rsid w:val="00ED7747"/>
    <w:rsid w:val="00ED7CF4"/>
    <w:rsid w:val="00ED7FA2"/>
    <w:rsid w:val="00EE01E6"/>
    <w:rsid w:val="00EE0786"/>
    <w:rsid w:val="00EE1B0E"/>
    <w:rsid w:val="00EE22FB"/>
    <w:rsid w:val="00EE2407"/>
    <w:rsid w:val="00EE26AE"/>
    <w:rsid w:val="00EE29C8"/>
    <w:rsid w:val="00EE2A54"/>
    <w:rsid w:val="00EE2FC2"/>
    <w:rsid w:val="00EE310D"/>
    <w:rsid w:val="00EE3AAF"/>
    <w:rsid w:val="00EE3B6B"/>
    <w:rsid w:val="00EE3B88"/>
    <w:rsid w:val="00EE4550"/>
    <w:rsid w:val="00EE4635"/>
    <w:rsid w:val="00EE4B75"/>
    <w:rsid w:val="00EE4D34"/>
    <w:rsid w:val="00EE4DBD"/>
    <w:rsid w:val="00EE4FAC"/>
    <w:rsid w:val="00EE649F"/>
    <w:rsid w:val="00EE6AC6"/>
    <w:rsid w:val="00EE6E26"/>
    <w:rsid w:val="00EE784F"/>
    <w:rsid w:val="00EE7A1D"/>
    <w:rsid w:val="00EE7DBD"/>
    <w:rsid w:val="00EE7E40"/>
    <w:rsid w:val="00EF0500"/>
    <w:rsid w:val="00EF0808"/>
    <w:rsid w:val="00EF0A68"/>
    <w:rsid w:val="00EF1002"/>
    <w:rsid w:val="00EF143F"/>
    <w:rsid w:val="00EF1710"/>
    <w:rsid w:val="00EF1D3B"/>
    <w:rsid w:val="00EF23D8"/>
    <w:rsid w:val="00EF2A5A"/>
    <w:rsid w:val="00EF2A87"/>
    <w:rsid w:val="00EF3A74"/>
    <w:rsid w:val="00EF3AE9"/>
    <w:rsid w:val="00EF3EA5"/>
    <w:rsid w:val="00EF49FB"/>
    <w:rsid w:val="00EF55D6"/>
    <w:rsid w:val="00EF5788"/>
    <w:rsid w:val="00EF644D"/>
    <w:rsid w:val="00EF64D4"/>
    <w:rsid w:val="00EF6BAD"/>
    <w:rsid w:val="00EF6D29"/>
    <w:rsid w:val="00EF6E79"/>
    <w:rsid w:val="00EF7138"/>
    <w:rsid w:val="00EF7E0B"/>
    <w:rsid w:val="00F00881"/>
    <w:rsid w:val="00F00917"/>
    <w:rsid w:val="00F00B65"/>
    <w:rsid w:val="00F010BB"/>
    <w:rsid w:val="00F012C1"/>
    <w:rsid w:val="00F0175F"/>
    <w:rsid w:val="00F01850"/>
    <w:rsid w:val="00F01A41"/>
    <w:rsid w:val="00F02CB5"/>
    <w:rsid w:val="00F03280"/>
    <w:rsid w:val="00F0362A"/>
    <w:rsid w:val="00F0385C"/>
    <w:rsid w:val="00F03ABE"/>
    <w:rsid w:val="00F03B69"/>
    <w:rsid w:val="00F04345"/>
    <w:rsid w:val="00F047A4"/>
    <w:rsid w:val="00F04DDA"/>
    <w:rsid w:val="00F04F52"/>
    <w:rsid w:val="00F0510F"/>
    <w:rsid w:val="00F0563F"/>
    <w:rsid w:val="00F05973"/>
    <w:rsid w:val="00F064EF"/>
    <w:rsid w:val="00F06558"/>
    <w:rsid w:val="00F06817"/>
    <w:rsid w:val="00F06F42"/>
    <w:rsid w:val="00F07122"/>
    <w:rsid w:val="00F074C9"/>
    <w:rsid w:val="00F07588"/>
    <w:rsid w:val="00F07C82"/>
    <w:rsid w:val="00F07F5E"/>
    <w:rsid w:val="00F1001E"/>
    <w:rsid w:val="00F1055F"/>
    <w:rsid w:val="00F106BB"/>
    <w:rsid w:val="00F10BA6"/>
    <w:rsid w:val="00F11027"/>
    <w:rsid w:val="00F111BA"/>
    <w:rsid w:val="00F1155D"/>
    <w:rsid w:val="00F116DD"/>
    <w:rsid w:val="00F1191B"/>
    <w:rsid w:val="00F11D9F"/>
    <w:rsid w:val="00F11E31"/>
    <w:rsid w:val="00F12C53"/>
    <w:rsid w:val="00F1360C"/>
    <w:rsid w:val="00F13AA1"/>
    <w:rsid w:val="00F13F2A"/>
    <w:rsid w:val="00F148E4"/>
    <w:rsid w:val="00F14D9E"/>
    <w:rsid w:val="00F15097"/>
    <w:rsid w:val="00F152B7"/>
    <w:rsid w:val="00F153F8"/>
    <w:rsid w:val="00F15671"/>
    <w:rsid w:val="00F15FC8"/>
    <w:rsid w:val="00F1643E"/>
    <w:rsid w:val="00F16695"/>
    <w:rsid w:val="00F16CDE"/>
    <w:rsid w:val="00F17159"/>
    <w:rsid w:val="00F1733F"/>
    <w:rsid w:val="00F202E3"/>
    <w:rsid w:val="00F20C6E"/>
    <w:rsid w:val="00F20D2C"/>
    <w:rsid w:val="00F20D6C"/>
    <w:rsid w:val="00F20EDE"/>
    <w:rsid w:val="00F20F03"/>
    <w:rsid w:val="00F2255F"/>
    <w:rsid w:val="00F225CF"/>
    <w:rsid w:val="00F22882"/>
    <w:rsid w:val="00F22985"/>
    <w:rsid w:val="00F22AEF"/>
    <w:rsid w:val="00F22F7A"/>
    <w:rsid w:val="00F2343C"/>
    <w:rsid w:val="00F234DC"/>
    <w:rsid w:val="00F23A0A"/>
    <w:rsid w:val="00F23CFC"/>
    <w:rsid w:val="00F24076"/>
    <w:rsid w:val="00F240CB"/>
    <w:rsid w:val="00F2492F"/>
    <w:rsid w:val="00F2500D"/>
    <w:rsid w:val="00F251B2"/>
    <w:rsid w:val="00F2596D"/>
    <w:rsid w:val="00F25A3E"/>
    <w:rsid w:val="00F25CAA"/>
    <w:rsid w:val="00F26148"/>
    <w:rsid w:val="00F26AD6"/>
    <w:rsid w:val="00F2711C"/>
    <w:rsid w:val="00F2720E"/>
    <w:rsid w:val="00F27253"/>
    <w:rsid w:val="00F277E8"/>
    <w:rsid w:val="00F27B04"/>
    <w:rsid w:val="00F27E3D"/>
    <w:rsid w:val="00F27EB2"/>
    <w:rsid w:val="00F301D0"/>
    <w:rsid w:val="00F3069F"/>
    <w:rsid w:val="00F30A02"/>
    <w:rsid w:val="00F30C3F"/>
    <w:rsid w:val="00F30C60"/>
    <w:rsid w:val="00F30F38"/>
    <w:rsid w:val="00F311D1"/>
    <w:rsid w:val="00F3158A"/>
    <w:rsid w:val="00F318DB"/>
    <w:rsid w:val="00F3199C"/>
    <w:rsid w:val="00F31F7D"/>
    <w:rsid w:val="00F31FB9"/>
    <w:rsid w:val="00F326F6"/>
    <w:rsid w:val="00F32AFF"/>
    <w:rsid w:val="00F33825"/>
    <w:rsid w:val="00F33A5E"/>
    <w:rsid w:val="00F33A8B"/>
    <w:rsid w:val="00F33D3B"/>
    <w:rsid w:val="00F33F50"/>
    <w:rsid w:val="00F34A96"/>
    <w:rsid w:val="00F34EBF"/>
    <w:rsid w:val="00F34F05"/>
    <w:rsid w:val="00F34F94"/>
    <w:rsid w:val="00F35467"/>
    <w:rsid w:val="00F356D5"/>
    <w:rsid w:val="00F35734"/>
    <w:rsid w:val="00F359A5"/>
    <w:rsid w:val="00F361AE"/>
    <w:rsid w:val="00F36240"/>
    <w:rsid w:val="00F363EB"/>
    <w:rsid w:val="00F365DE"/>
    <w:rsid w:val="00F366DA"/>
    <w:rsid w:val="00F367CF"/>
    <w:rsid w:val="00F36CCC"/>
    <w:rsid w:val="00F36D37"/>
    <w:rsid w:val="00F3719A"/>
    <w:rsid w:val="00F3791E"/>
    <w:rsid w:val="00F379BF"/>
    <w:rsid w:val="00F37EA7"/>
    <w:rsid w:val="00F37ECC"/>
    <w:rsid w:val="00F40805"/>
    <w:rsid w:val="00F40B93"/>
    <w:rsid w:val="00F40C5E"/>
    <w:rsid w:val="00F40E3E"/>
    <w:rsid w:val="00F4163A"/>
    <w:rsid w:val="00F41873"/>
    <w:rsid w:val="00F419C3"/>
    <w:rsid w:val="00F41D91"/>
    <w:rsid w:val="00F41E2B"/>
    <w:rsid w:val="00F423BE"/>
    <w:rsid w:val="00F424A5"/>
    <w:rsid w:val="00F425EF"/>
    <w:rsid w:val="00F428AC"/>
    <w:rsid w:val="00F42AAD"/>
    <w:rsid w:val="00F42EE3"/>
    <w:rsid w:val="00F43149"/>
    <w:rsid w:val="00F43660"/>
    <w:rsid w:val="00F43B91"/>
    <w:rsid w:val="00F44372"/>
    <w:rsid w:val="00F44542"/>
    <w:rsid w:val="00F448DD"/>
    <w:rsid w:val="00F44D6A"/>
    <w:rsid w:val="00F44DB8"/>
    <w:rsid w:val="00F45392"/>
    <w:rsid w:val="00F45760"/>
    <w:rsid w:val="00F45847"/>
    <w:rsid w:val="00F45925"/>
    <w:rsid w:val="00F46BA6"/>
    <w:rsid w:val="00F46C97"/>
    <w:rsid w:val="00F4703E"/>
    <w:rsid w:val="00F4775F"/>
    <w:rsid w:val="00F478E7"/>
    <w:rsid w:val="00F47E6C"/>
    <w:rsid w:val="00F50781"/>
    <w:rsid w:val="00F50CA3"/>
    <w:rsid w:val="00F517ED"/>
    <w:rsid w:val="00F51F3F"/>
    <w:rsid w:val="00F528B5"/>
    <w:rsid w:val="00F528E7"/>
    <w:rsid w:val="00F52C8A"/>
    <w:rsid w:val="00F5352D"/>
    <w:rsid w:val="00F53615"/>
    <w:rsid w:val="00F53696"/>
    <w:rsid w:val="00F53A91"/>
    <w:rsid w:val="00F53D6E"/>
    <w:rsid w:val="00F54466"/>
    <w:rsid w:val="00F5447F"/>
    <w:rsid w:val="00F54783"/>
    <w:rsid w:val="00F547E9"/>
    <w:rsid w:val="00F5494E"/>
    <w:rsid w:val="00F54ABE"/>
    <w:rsid w:val="00F55804"/>
    <w:rsid w:val="00F5584C"/>
    <w:rsid w:val="00F55F1A"/>
    <w:rsid w:val="00F56310"/>
    <w:rsid w:val="00F5684C"/>
    <w:rsid w:val="00F57210"/>
    <w:rsid w:val="00F577FC"/>
    <w:rsid w:val="00F602F0"/>
    <w:rsid w:val="00F60AF2"/>
    <w:rsid w:val="00F60C90"/>
    <w:rsid w:val="00F612AA"/>
    <w:rsid w:val="00F619EE"/>
    <w:rsid w:val="00F61CF5"/>
    <w:rsid w:val="00F61FF9"/>
    <w:rsid w:val="00F62069"/>
    <w:rsid w:val="00F62159"/>
    <w:rsid w:val="00F62985"/>
    <w:rsid w:val="00F62A7C"/>
    <w:rsid w:val="00F62B93"/>
    <w:rsid w:val="00F633E5"/>
    <w:rsid w:val="00F63C89"/>
    <w:rsid w:val="00F647EC"/>
    <w:rsid w:val="00F64FAB"/>
    <w:rsid w:val="00F654F8"/>
    <w:rsid w:val="00F6583B"/>
    <w:rsid w:val="00F65AC8"/>
    <w:rsid w:val="00F65CEA"/>
    <w:rsid w:val="00F65F15"/>
    <w:rsid w:val="00F662C3"/>
    <w:rsid w:val="00F66443"/>
    <w:rsid w:val="00F6739B"/>
    <w:rsid w:val="00F675EA"/>
    <w:rsid w:val="00F7073B"/>
    <w:rsid w:val="00F7074A"/>
    <w:rsid w:val="00F70AD6"/>
    <w:rsid w:val="00F715BE"/>
    <w:rsid w:val="00F71687"/>
    <w:rsid w:val="00F71708"/>
    <w:rsid w:val="00F717C1"/>
    <w:rsid w:val="00F71AAE"/>
    <w:rsid w:val="00F71CDB"/>
    <w:rsid w:val="00F725D3"/>
    <w:rsid w:val="00F7281E"/>
    <w:rsid w:val="00F72C1A"/>
    <w:rsid w:val="00F72C3D"/>
    <w:rsid w:val="00F72CEE"/>
    <w:rsid w:val="00F737AB"/>
    <w:rsid w:val="00F74216"/>
    <w:rsid w:val="00F74F0F"/>
    <w:rsid w:val="00F75731"/>
    <w:rsid w:val="00F75841"/>
    <w:rsid w:val="00F7587E"/>
    <w:rsid w:val="00F75D7D"/>
    <w:rsid w:val="00F76333"/>
    <w:rsid w:val="00F770C6"/>
    <w:rsid w:val="00F77100"/>
    <w:rsid w:val="00F8090F"/>
    <w:rsid w:val="00F80A8A"/>
    <w:rsid w:val="00F8139A"/>
    <w:rsid w:val="00F82AAE"/>
    <w:rsid w:val="00F834BE"/>
    <w:rsid w:val="00F838A9"/>
    <w:rsid w:val="00F849E3"/>
    <w:rsid w:val="00F84AD6"/>
    <w:rsid w:val="00F84B4E"/>
    <w:rsid w:val="00F84C44"/>
    <w:rsid w:val="00F84F30"/>
    <w:rsid w:val="00F851B7"/>
    <w:rsid w:val="00F8566C"/>
    <w:rsid w:val="00F858D4"/>
    <w:rsid w:val="00F85C65"/>
    <w:rsid w:val="00F860EB"/>
    <w:rsid w:val="00F8615F"/>
    <w:rsid w:val="00F868B6"/>
    <w:rsid w:val="00F86968"/>
    <w:rsid w:val="00F86B7C"/>
    <w:rsid w:val="00F86E42"/>
    <w:rsid w:val="00F876E2"/>
    <w:rsid w:val="00F876E6"/>
    <w:rsid w:val="00F87825"/>
    <w:rsid w:val="00F87838"/>
    <w:rsid w:val="00F879E8"/>
    <w:rsid w:val="00F87FCE"/>
    <w:rsid w:val="00F9008B"/>
    <w:rsid w:val="00F909C7"/>
    <w:rsid w:val="00F90BA5"/>
    <w:rsid w:val="00F911B1"/>
    <w:rsid w:val="00F91669"/>
    <w:rsid w:val="00F916DE"/>
    <w:rsid w:val="00F9184F"/>
    <w:rsid w:val="00F91943"/>
    <w:rsid w:val="00F9219B"/>
    <w:rsid w:val="00F9231D"/>
    <w:rsid w:val="00F92A66"/>
    <w:rsid w:val="00F931CF"/>
    <w:rsid w:val="00F936C4"/>
    <w:rsid w:val="00F93A31"/>
    <w:rsid w:val="00F93D6E"/>
    <w:rsid w:val="00F94046"/>
    <w:rsid w:val="00F9423D"/>
    <w:rsid w:val="00F942C2"/>
    <w:rsid w:val="00F94609"/>
    <w:rsid w:val="00F94F16"/>
    <w:rsid w:val="00F95182"/>
    <w:rsid w:val="00F956E1"/>
    <w:rsid w:val="00F957D2"/>
    <w:rsid w:val="00F95D94"/>
    <w:rsid w:val="00F96F86"/>
    <w:rsid w:val="00F976DD"/>
    <w:rsid w:val="00FA0210"/>
    <w:rsid w:val="00FA02B8"/>
    <w:rsid w:val="00FA0980"/>
    <w:rsid w:val="00FA1028"/>
    <w:rsid w:val="00FA157E"/>
    <w:rsid w:val="00FA181F"/>
    <w:rsid w:val="00FA1C1F"/>
    <w:rsid w:val="00FA1DB0"/>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A2D"/>
    <w:rsid w:val="00FA7B4F"/>
    <w:rsid w:val="00FA7DA6"/>
    <w:rsid w:val="00FB02F8"/>
    <w:rsid w:val="00FB030F"/>
    <w:rsid w:val="00FB06E7"/>
    <w:rsid w:val="00FB0822"/>
    <w:rsid w:val="00FB0AC3"/>
    <w:rsid w:val="00FB0BFC"/>
    <w:rsid w:val="00FB1050"/>
    <w:rsid w:val="00FB1093"/>
    <w:rsid w:val="00FB13A0"/>
    <w:rsid w:val="00FB2142"/>
    <w:rsid w:val="00FB227E"/>
    <w:rsid w:val="00FB25DA"/>
    <w:rsid w:val="00FB267D"/>
    <w:rsid w:val="00FB2A18"/>
    <w:rsid w:val="00FB2BF4"/>
    <w:rsid w:val="00FB2C8D"/>
    <w:rsid w:val="00FB2DC6"/>
    <w:rsid w:val="00FB3F61"/>
    <w:rsid w:val="00FB4267"/>
    <w:rsid w:val="00FB45CC"/>
    <w:rsid w:val="00FB4C40"/>
    <w:rsid w:val="00FB59D4"/>
    <w:rsid w:val="00FB5E81"/>
    <w:rsid w:val="00FB6E6C"/>
    <w:rsid w:val="00FB71B0"/>
    <w:rsid w:val="00FB773D"/>
    <w:rsid w:val="00FB7ABA"/>
    <w:rsid w:val="00FB7C21"/>
    <w:rsid w:val="00FB7C46"/>
    <w:rsid w:val="00FC04E0"/>
    <w:rsid w:val="00FC06CE"/>
    <w:rsid w:val="00FC0D98"/>
    <w:rsid w:val="00FC0E2F"/>
    <w:rsid w:val="00FC1042"/>
    <w:rsid w:val="00FC10AD"/>
    <w:rsid w:val="00FC11C6"/>
    <w:rsid w:val="00FC17D8"/>
    <w:rsid w:val="00FC279A"/>
    <w:rsid w:val="00FC2A43"/>
    <w:rsid w:val="00FC324D"/>
    <w:rsid w:val="00FC39A1"/>
    <w:rsid w:val="00FC3BC3"/>
    <w:rsid w:val="00FC3E47"/>
    <w:rsid w:val="00FC41A0"/>
    <w:rsid w:val="00FC4B53"/>
    <w:rsid w:val="00FC4BAE"/>
    <w:rsid w:val="00FC4F75"/>
    <w:rsid w:val="00FC5160"/>
    <w:rsid w:val="00FC5A36"/>
    <w:rsid w:val="00FC6353"/>
    <w:rsid w:val="00FC69CF"/>
    <w:rsid w:val="00FC6B0B"/>
    <w:rsid w:val="00FC6BAF"/>
    <w:rsid w:val="00FC713B"/>
    <w:rsid w:val="00FC7862"/>
    <w:rsid w:val="00FC790D"/>
    <w:rsid w:val="00FC79D5"/>
    <w:rsid w:val="00FC7B35"/>
    <w:rsid w:val="00FC7B53"/>
    <w:rsid w:val="00FC7BD8"/>
    <w:rsid w:val="00FD0177"/>
    <w:rsid w:val="00FD031B"/>
    <w:rsid w:val="00FD0AE7"/>
    <w:rsid w:val="00FD0B44"/>
    <w:rsid w:val="00FD0F70"/>
    <w:rsid w:val="00FD2315"/>
    <w:rsid w:val="00FD29A7"/>
    <w:rsid w:val="00FD2B15"/>
    <w:rsid w:val="00FD3092"/>
    <w:rsid w:val="00FD3D48"/>
    <w:rsid w:val="00FD412E"/>
    <w:rsid w:val="00FD420F"/>
    <w:rsid w:val="00FD4339"/>
    <w:rsid w:val="00FD4959"/>
    <w:rsid w:val="00FD49FD"/>
    <w:rsid w:val="00FD4B0C"/>
    <w:rsid w:val="00FD4F2F"/>
    <w:rsid w:val="00FD51F7"/>
    <w:rsid w:val="00FD5258"/>
    <w:rsid w:val="00FD52D7"/>
    <w:rsid w:val="00FD549C"/>
    <w:rsid w:val="00FD5602"/>
    <w:rsid w:val="00FD5661"/>
    <w:rsid w:val="00FD5A2A"/>
    <w:rsid w:val="00FD5AE2"/>
    <w:rsid w:val="00FD62B4"/>
    <w:rsid w:val="00FD7142"/>
    <w:rsid w:val="00FD750F"/>
    <w:rsid w:val="00FD7DCA"/>
    <w:rsid w:val="00FE011C"/>
    <w:rsid w:val="00FE0458"/>
    <w:rsid w:val="00FE07DC"/>
    <w:rsid w:val="00FE08FB"/>
    <w:rsid w:val="00FE1116"/>
    <w:rsid w:val="00FE2075"/>
    <w:rsid w:val="00FE2080"/>
    <w:rsid w:val="00FE27B9"/>
    <w:rsid w:val="00FE2E37"/>
    <w:rsid w:val="00FE30EF"/>
    <w:rsid w:val="00FE3640"/>
    <w:rsid w:val="00FE36B6"/>
    <w:rsid w:val="00FE3780"/>
    <w:rsid w:val="00FE3954"/>
    <w:rsid w:val="00FE3AE5"/>
    <w:rsid w:val="00FE3CF7"/>
    <w:rsid w:val="00FE4071"/>
    <w:rsid w:val="00FE42E3"/>
    <w:rsid w:val="00FE47B7"/>
    <w:rsid w:val="00FE48FF"/>
    <w:rsid w:val="00FE4ECD"/>
    <w:rsid w:val="00FE52B7"/>
    <w:rsid w:val="00FE53C5"/>
    <w:rsid w:val="00FE56A8"/>
    <w:rsid w:val="00FE5807"/>
    <w:rsid w:val="00FE5C39"/>
    <w:rsid w:val="00FE5C57"/>
    <w:rsid w:val="00FE624E"/>
    <w:rsid w:val="00FE6415"/>
    <w:rsid w:val="00FE69E7"/>
    <w:rsid w:val="00FE6BB8"/>
    <w:rsid w:val="00FE6E76"/>
    <w:rsid w:val="00FE7FB5"/>
    <w:rsid w:val="00FF027B"/>
    <w:rsid w:val="00FF0A67"/>
    <w:rsid w:val="00FF1174"/>
    <w:rsid w:val="00FF165A"/>
    <w:rsid w:val="00FF1B72"/>
    <w:rsid w:val="00FF1CF1"/>
    <w:rsid w:val="00FF1F4C"/>
    <w:rsid w:val="00FF1F90"/>
    <w:rsid w:val="00FF228F"/>
    <w:rsid w:val="00FF23EE"/>
    <w:rsid w:val="00FF2D63"/>
    <w:rsid w:val="00FF35DC"/>
    <w:rsid w:val="00FF390D"/>
    <w:rsid w:val="00FF3A6A"/>
    <w:rsid w:val="00FF3C7A"/>
    <w:rsid w:val="00FF3E09"/>
    <w:rsid w:val="00FF411C"/>
    <w:rsid w:val="00FF44C6"/>
    <w:rsid w:val="00FF4B2E"/>
    <w:rsid w:val="00FF4E4B"/>
    <w:rsid w:val="00FF4E4E"/>
    <w:rsid w:val="00FF5049"/>
    <w:rsid w:val="00FF519C"/>
    <w:rsid w:val="00FF59A6"/>
    <w:rsid w:val="00FF5D1F"/>
    <w:rsid w:val="00FF5F95"/>
    <w:rsid w:val="00FF6126"/>
    <w:rsid w:val="00FF61F5"/>
    <w:rsid w:val="00FF62AA"/>
    <w:rsid w:val="00FF64D7"/>
    <w:rsid w:val="00FF6B6C"/>
    <w:rsid w:val="00FF6DD4"/>
    <w:rsid w:val="00FF7DA6"/>
    <w:rsid w:val="011078C7"/>
    <w:rsid w:val="011E3D92"/>
    <w:rsid w:val="012A067A"/>
    <w:rsid w:val="013413A9"/>
    <w:rsid w:val="015E2FC2"/>
    <w:rsid w:val="015E6884"/>
    <w:rsid w:val="016C48A1"/>
    <w:rsid w:val="01787946"/>
    <w:rsid w:val="01853E11"/>
    <w:rsid w:val="019E4F83"/>
    <w:rsid w:val="01AA2C10"/>
    <w:rsid w:val="01AD5116"/>
    <w:rsid w:val="01B446F6"/>
    <w:rsid w:val="01CF7782"/>
    <w:rsid w:val="02182ED7"/>
    <w:rsid w:val="02201D8C"/>
    <w:rsid w:val="02223D56"/>
    <w:rsid w:val="022C5744"/>
    <w:rsid w:val="022F0983"/>
    <w:rsid w:val="02467A44"/>
    <w:rsid w:val="0247556A"/>
    <w:rsid w:val="02571C51"/>
    <w:rsid w:val="02674A12"/>
    <w:rsid w:val="0270686F"/>
    <w:rsid w:val="02775E4F"/>
    <w:rsid w:val="0288005D"/>
    <w:rsid w:val="028E13EB"/>
    <w:rsid w:val="02994018"/>
    <w:rsid w:val="02A76009"/>
    <w:rsid w:val="02AB5AF9"/>
    <w:rsid w:val="02BC7D06"/>
    <w:rsid w:val="02BE582C"/>
    <w:rsid w:val="02BF0B9C"/>
    <w:rsid w:val="02DF39F5"/>
    <w:rsid w:val="02F41DB4"/>
    <w:rsid w:val="02FB6B16"/>
    <w:rsid w:val="02FE031F"/>
    <w:rsid w:val="030B2604"/>
    <w:rsid w:val="03144708"/>
    <w:rsid w:val="031D766C"/>
    <w:rsid w:val="03253AFD"/>
    <w:rsid w:val="033F6241"/>
    <w:rsid w:val="034D095E"/>
    <w:rsid w:val="037738D8"/>
    <w:rsid w:val="037B7BAD"/>
    <w:rsid w:val="03B804CE"/>
    <w:rsid w:val="03E160E0"/>
    <w:rsid w:val="03F54123"/>
    <w:rsid w:val="041651F4"/>
    <w:rsid w:val="04272850"/>
    <w:rsid w:val="044629E5"/>
    <w:rsid w:val="04510922"/>
    <w:rsid w:val="045524D4"/>
    <w:rsid w:val="048B7990"/>
    <w:rsid w:val="049C2396"/>
    <w:rsid w:val="04AF4F90"/>
    <w:rsid w:val="04F466DE"/>
    <w:rsid w:val="05031C1C"/>
    <w:rsid w:val="05117EEB"/>
    <w:rsid w:val="051536FE"/>
    <w:rsid w:val="053A14B7"/>
    <w:rsid w:val="05687CD1"/>
    <w:rsid w:val="05746676"/>
    <w:rsid w:val="05A84572"/>
    <w:rsid w:val="05AD2F61"/>
    <w:rsid w:val="05B9677F"/>
    <w:rsid w:val="05C96278"/>
    <w:rsid w:val="05F15805"/>
    <w:rsid w:val="0600615C"/>
    <w:rsid w:val="060C4B01"/>
    <w:rsid w:val="06210E27"/>
    <w:rsid w:val="062A31D9"/>
    <w:rsid w:val="063D2F0C"/>
    <w:rsid w:val="065A220E"/>
    <w:rsid w:val="065B7836"/>
    <w:rsid w:val="065C064B"/>
    <w:rsid w:val="065D2FC6"/>
    <w:rsid w:val="066B317C"/>
    <w:rsid w:val="066B5CCB"/>
    <w:rsid w:val="06734B80"/>
    <w:rsid w:val="06862B05"/>
    <w:rsid w:val="068955F4"/>
    <w:rsid w:val="06991648"/>
    <w:rsid w:val="06A13DF3"/>
    <w:rsid w:val="06BF1B73"/>
    <w:rsid w:val="06E521B8"/>
    <w:rsid w:val="07091040"/>
    <w:rsid w:val="07125E02"/>
    <w:rsid w:val="07391925"/>
    <w:rsid w:val="075F0692"/>
    <w:rsid w:val="07726BE5"/>
    <w:rsid w:val="078828AD"/>
    <w:rsid w:val="07CD7F98"/>
    <w:rsid w:val="07D93108"/>
    <w:rsid w:val="07DB054A"/>
    <w:rsid w:val="07F919E8"/>
    <w:rsid w:val="08053C42"/>
    <w:rsid w:val="08145EEF"/>
    <w:rsid w:val="081E2EB6"/>
    <w:rsid w:val="08377606"/>
    <w:rsid w:val="083D2AF4"/>
    <w:rsid w:val="08485B98"/>
    <w:rsid w:val="08493DEA"/>
    <w:rsid w:val="084A1DFF"/>
    <w:rsid w:val="08602EE2"/>
    <w:rsid w:val="08670714"/>
    <w:rsid w:val="087D1CE6"/>
    <w:rsid w:val="087E7C78"/>
    <w:rsid w:val="08874912"/>
    <w:rsid w:val="089C0A55"/>
    <w:rsid w:val="089C3D38"/>
    <w:rsid w:val="08AC25CB"/>
    <w:rsid w:val="08B31D4F"/>
    <w:rsid w:val="08E51639"/>
    <w:rsid w:val="08EC64D7"/>
    <w:rsid w:val="08F53B23"/>
    <w:rsid w:val="08F875BE"/>
    <w:rsid w:val="090030C8"/>
    <w:rsid w:val="09095C15"/>
    <w:rsid w:val="091B60CD"/>
    <w:rsid w:val="091D0DD3"/>
    <w:rsid w:val="091E5277"/>
    <w:rsid w:val="09AF4121"/>
    <w:rsid w:val="09B434E5"/>
    <w:rsid w:val="09C0632E"/>
    <w:rsid w:val="09C3197A"/>
    <w:rsid w:val="09C474A0"/>
    <w:rsid w:val="09E55D95"/>
    <w:rsid w:val="0A0124A3"/>
    <w:rsid w:val="0A053C89"/>
    <w:rsid w:val="0A070656"/>
    <w:rsid w:val="0A1711CD"/>
    <w:rsid w:val="0A206DCD"/>
    <w:rsid w:val="0A2166A1"/>
    <w:rsid w:val="0A27015B"/>
    <w:rsid w:val="0A283ED3"/>
    <w:rsid w:val="0A2D4C39"/>
    <w:rsid w:val="0A3463D4"/>
    <w:rsid w:val="0A424F95"/>
    <w:rsid w:val="0A4B7B0B"/>
    <w:rsid w:val="0A592595"/>
    <w:rsid w:val="0A670558"/>
    <w:rsid w:val="0A765F0A"/>
    <w:rsid w:val="0A8235E3"/>
    <w:rsid w:val="0A913ED8"/>
    <w:rsid w:val="0AB120A5"/>
    <w:rsid w:val="0ABF2169"/>
    <w:rsid w:val="0ADF0362"/>
    <w:rsid w:val="0AEB55DC"/>
    <w:rsid w:val="0AF10B3B"/>
    <w:rsid w:val="0B0111E3"/>
    <w:rsid w:val="0B0A5387"/>
    <w:rsid w:val="0B0E30C9"/>
    <w:rsid w:val="0B13248D"/>
    <w:rsid w:val="0B1D330C"/>
    <w:rsid w:val="0B1D50BA"/>
    <w:rsid w:val="0B24171E"/>
    <w:rsid w:val="0B242E61"/>
    <w:rsid w:val="0B347187"/>
    <w:rsid w:val="0B3F7726"/>
    <w:rsid w:val="0B41349E"/>
    <w:rsid w:val="0B416FFB"/>
    <w:rsid w:val="0B512FB6"/>
    <w:rsid w:val="0B574F31"/>
    <w:rsid w:val="0B5C3243"/>
    <w:rsid w:val="0B5E59FA"/>
    <w:rsid w:val="0B7C44D7"/>
    <w:rsid w:val="0BAD59A4"/>
    <w:rsid w:val="0BBE4019"/>
    <w:rsid w:val="0C006EB6"/>
    <w:rsid w:val="0C2801BA"/>
    <w:rsid w:val="0C357211"/>
    <w:rsid w:val="0C3C0FE2"/>
    <w:rsid w:val="0C466B45"/>
    <w:rsid w:val="0C6D3E1F"/>
    <w:rsid w:val="0C727688"/>
    <w:rsid w:val="0C924779"/>
    <w:rsid w:val="0C985340"/>
    <w:rsid w:val="0CAD246E"/>
    <w:rsid w:val="0CC41D6A"/>
    <w:rsid w:val="0CC779D3"/>
    <w:rsid w:val="0CD56444"/>
    <w:rsid w:val="0CDE6ACB"/>
    <w:rsid w:val="0CE41365"/>
    <w:rsid w:val="0CE42333"/>
    <w:rsid w:val="0CE47624"/>
    <w:rsid w:val="0CEC568C"/>
    <w:rsid w:val="0CF309FC"/>
    <w:rsid w:val="0D122CD5"/>
    <w:rsid w:val="0D1644B7"/>
    <w:rsid w:val="0D1B1ACD"/>
    <w:rsid w:val="0D523741"/>
    <w:rsid w:val="0D564278"/>
    <w:rsid w:val="0D573276"/>
    <w:rsid w:val="0D576FA9"/>
    <w:rsid w:val="0D584403"/>
    <w:rsid w:val="0D5C6CAA"/>
    <w:rsid w:val="0D6D5D30"/>
    <w:rsid w:val="0D807EAC"/>
    <w:rsid w:val="0D815DD4"/>
    <w:rsid w:val="0DA74E51"/>
    <w:rsid w:val="0DAD4E1B"/>
    <w:rsid w:val="0DB00467"/>
    <w:rsid w:val="0DB5782C"/>
    <w:rsid w:val="0DD759F4"/>
    <w:rsid w:val="0DED5218"/>
    <w:rsid w:val="0DEE7765"/>
    <w:rsid w:val="0E1E3004"/>
    <w:rsid w:val="0E296B84"/>
    <w:rsid w:val="0E4868F2"/>
    <w:rsid w:val="0E6179B4"/>
    <w:rsid w:val="0E6E6D9E"/>
    <w:rsid w:val="0E924011"/>
    <w:rsid w:val="0E9733D5"/>
    <w:rsid w:val="0EB2020F"/>
    <w:rsid w:val="0EBD2E3C"/>
    <w:rsid w:val="0EC71E62"/>
    <w:rsid w:val="0F113188"/>
    <w:rsid w:val="0F204221"/>
    <w:rsid w:val="0F2733BC"/>
    <w:rsid w:val="0F2B5D1F"/>
    <w:rsid w:val="0F3E3C48"/>
    <w:rsid w:val="0F5A4B2F"/>
    <w:rsid w:val="0F6C4862"/>
    <w:rsid w:val="0F7200CA"/>
    <w:rsid w:val="0F946F1E"/>
    <w:rsid w:val="0F9F2542"/>
    <w:rsid w:val="0FD0094D"/>
    <w:rsid w:val="0FD77F2D"/>
    <w:rsid w:val="0FF13133"/>
    <w:rsid w:val="0FFF1232"/>
    <w:rsid w:val="100827DD"/>
    <w:rsid w:val="101C0A97"/>
    <w:rsid w:val="102A5643"/>
    <w:rsid w:val="10321608"/>
    <w:rsid w:val="108E223A"/>
    <w:rsid w:val="10A122E9"/>
    <w:rsid w:val="10AA3894"/>
    <w:rsid w:val="10B71B0D"/>
    <w:rsid w:val="10B95885"/>
    <w:rsid w:val="10C5247C"/>
    <w:rsid w:val="10CC380A"/>
    <w:rsid w:val="10E24DDC"/>
    <w:rsid w:val="10F67974"/>
    <w:rsid w:val="1109680C"/>
    <w:rsid w:val="11215618"/>
    <w:rsid w:val="113C56DA"/>
    <w:rsid w:val="11474599"/>
    <w:rsid w:val="11532670"/>
    <w:rsid w:val="115D4E4C"/>
    <w:rsid w:val="11836198"/>
    <w:rsid w:val="11851C0B"/>
    <w:rsid w:val="118C6B2A"/>
    <w:rsid w:val="11A93139"/>
    <w:rsid w:val="11AD363C"/>
    <w:rsid w:val="11BA18B5"/>
    <w:rsid w:val="11C664AC"/>
    <w:rsid w:val="11E9219A"/>
    <w:rsid w:val="11FA43A7"/>
    <w:rsid w:val="11FB4122"/>
    <w:rsid w:val="12096398"/>
    <w:rsid w:val="1211524D"/>
    <w:rsid w:val="121D0BF1"/>
    <w:rsid w:val="125A6BF4"/>
    <w:rsid w:val="12685FCD"/>
    <w:rsid w:val="12816876"/>
    <w:rsid w:val="12A460C1"/>
    <w:rsid w:val="12B74672"/>
    <w:rsid w:val="12D30948"/>
    <w:rsid w:val="12E0145C"/>
    <w:rsid w:val="12F232D0"/>
    <w:rsid w:val="13135EB3"/>
    <w:rsid w:val="13182014"/>
    <w:rsid w:val="132C5B6D"/>
    <w:rsid w:val="136A10B9"/>
    <w:rsid w:val="138137F3"/>
    <w:rsid w:val="138E06DF"/>
    <w:rsid w:val="139364DD"/>
    <w:rsid w:val="13A804B2"/>
    <w:rsid w:val="13C46448"/>
    <w:rsid w:val="13C82EA6"/>
    <w:rsid w:val="13EF0479"/>
    <w:rsid w:val="13FC7CE3"/>
    <w:rsid w:val="13FF7A53"/>
    <w:rsid w:val="140822FE"/>
    <w:rsid w:val="14095D3A"/>
    <w:rsid w:val="142D5F04"/>
    <w:rsid w:val="143363D6"/>
    <w:rsid w:val="143D4D2B"/>
    <w:rsid w:val="1461426A"/>
    <w:rsid w:val="146F2C7A"/>
    <w:rsid w:val="14762D3D"/>
    <w:rsid w:val="148D505F"/>
    <w:rsid w:val="148F0982"/>
    <w:rsid w:val="14977C8B"/>
    <w:rsid w:val="149D101A"/>
    <w:rsid w:val="149E4992"/>
    <w:rsid w:val="14AB1989"/>
    <w:rsid w:val="14B7032D"/>
    <w:rsid w:val="14B82F17"/>
    <w:rsid w:val="15063063"/>
    <w:rsid w:val="155F468B"/>
    <w:rsid w:val="157306F8"/>
    <w:rsid w:val="158226E9"/>
    <w:rsid w:val="159D4B97"/>
    <w:rsid w:val="15A563D8"/>
    <w:rsid w:val="15B14D7D"/>
    <w:rsid w:val="15BE749A"/>
    <w:rsid w:val="15BF393E"/>
    <w:rsid w:val="15EA64E1"/>
    <w:rsid w:val="160D3435"/>
    <w:rsid w:val="160E6673"/>
    <w:rsid w:val="16196349"/>
    <w:rsid w:val="16273291"/>
    <w:rsid w:val="162E461F"/>
    <w:rsid w:val="16482AEA"/>
    <w:rsid w:val="165A18B8"/>
    <w:rsid w:val="16730284"/>
    <w:rsid w:val="167C538B"/>
    <w:rsid w:val="16B17CA9"/>
    <w:rsid w:val="16B34B25"/>
    <w:rsid w:val="16D927DD"/>
    <w:rsid w:val="16DC22CD"/>
    <w:rsid w:val="170E5D26"/>
    <w:rsid w:val="17285513"/>
    <w:rsid w:val="17451DB0"/>
    <w:rsid w:val="174E0E93"/>
    <w:rsid w:val="17514A69"/>
    <w:rsid w:val="17562080"/>
    <w:rsid w:val="17570260"/>
    <w:rsid w:val="17650515"/>
    <w:rsid w:val="17694B12"/>
    <w:rsid w:val="178C102A"/>
    <w:rsid w:val="1791130A"/>
    <w:rsid w:val="179670F4"/>
    <w:rsid w:val="179B1650"/>
    <w:rsid w:val="179B7A92"/>
    <w:rsid w:val="179E3336"/>
    <w:rsid w:val="17B15508"/>
    <w:rsid w:val="17BB6387"/>
    <w:rsid w:val="17BE59A2"/>
    <w:rsid w:val="17C77185"/>
    <w:rsid w:val="17D912A0"/>
    <w:rsid w:val="17DE3E23"/>
    <w:rsid w:val="17F10953"/>
    <w:rsid w:val="17FB6783"/>
    <w:rsid w:val="18137F71"/>
    <w:rsid w:val="18185849"/>
    <w:rsid w:val="18245CDA"/>
    <w:rsid w:val="183F6A63"/>
    <w:rsid w:val="18E92A80"/>
    <w:rsid w:val="19267830"/>
    <w:rsid w:val="19526877"/>
    <w:rsid w:val="195E521C"/>
    <w:rsid w:val="19940C3D"/>
    <w:rsid w:val="19C332D1"/>
    <w:rsid w:val="19C534ED"/>
    <w:rsid w:val="19CA28B1"/>
    <w:rsid w:val="19CF6119"/>
    <w:rsid w:val="19EA382B"/>
    <w:rsid w:val="19F305A7"/>
    <w:rsid w:val="1A2376BA"/>
    <w:rsid w:val="1A365439"/>
    <w:rsid w:val="1A442DE9"/>
    <w:rsid w:val="1A6007B8"/>
    <w:rsid w:val="1A7C09DE"/>
    <w:rsid w:val="1AB0025A"/>
    <w:rsid w:val="1AB62E35"/>
    <w:rsid w:val="1ABC4611"/>
    <w:rsid w:val="1ABF1CEA"/>
    <w:rsid w:val="1AD12A8C"/>
    <w:rsid w:val="1AE370B9"/>
    <w:rsid w:val="1AF75334"/>
    <w:rsid w:val="1AF75928"/>
    <w:rsid w:val="1AFB2E83"/>
    <w:rsid w:val="1B090209"/>
    <w:rsid w:val="1B23671D"/>
    <w:rsid w:val="1B3A0AFE"/>
    <w:rsid w:val="1B4560C7"/>
    <w:rsid w:val="1B5B5A5C"/>
    <w:rsid w:val="1B5F527B"/>
    <w:rsid w:val="1B7E1BA5"/>
    <w:rsid w:val="1B9C4411"/>
    <w:rsid w:val="1BC021BE"/>
    <w:rsid w:val="1BC305D3"/>
    <w:rsid w:val="1BEF65FF"/>
    <w:rsid w:val="1C42303D"/>
    <w:rsid w:val="1C645E03"/>
    <w:rsid w:val="1C6F7740"/>
    <w:rsid w:val="1C7F5BD5"/>
    <w:rsid w:val="1C8031AA"/>
    <w:rsid w:val="1C8925AF"/>
    <w:rsid w:val="1C901B90"/>
    <w:rsid w:val="1CB60005"/>
    <w:rsid w:val="1CC92887"/>
    <w:rsid w:val="1CD55680"/>
    <w:rsid w:val="1CDA105D"/>
    <w:rsid w:val="1CF10155"/>
    <w:rsid w:val="1D321E13"/>
    <w:rsid w:val="1D350989"/>
    <w:rsid w:val="1D5737D9"/>
    <w:rsid w:val="1D666D95"/>
    <w:rsid w:val="1D880AB9"/>
    <w:rsid w:val="1D882867"/>
    <w:rsid w:val="1D8A5B33"/>
    <w:rsid w:val="1D9531D6"/>
    <w:rsid w:val="1DA11B7B"/>
    <w:rsid w:val="1DBA0D9E"/>
    <w:rsid w:val="1DBC044E"/>
    <w:rsid w:val="1DCA50C1"/>
    <w:rsid w:val="1DE5415D"/>
    <w:rsid w:val="1DE55F0B"/>
    <w:rsid w:val="1E032835"/>
    <w:rsid w:val="1E0D5462"/>
    <w:rsid w:val="1E1265D5"/>
    <w:rsid w:val="1E164317"/>
    <w:rsid w:val="1E2A7DC2"/>
    <w:rsid w:val="1E2B4B2D"/>
    <w:rsid w:val="1E5135A1"/>
    <w:rsid w:val="1E650DFA"/>
    <w:rsid w:val="1E7C6117"/>
    <w:rsid w:val="1E831280"/>
    <w:rsid w:val="1E9B0CC0"/>
    <w:rsid w:val="1EE71D3C"/>
    <w:rsid w:val="1EEA12FF"/>
    <w:rsid w:val="1F040613"/>
    <w:rsid w:val="1F111A8D"/>
    <w:rsid w:val="1F120F82"/>
    <w:rsid w:val="1F15637C"/>
    <w:rsid w:val="1F264A2D"/>
    <w:rsid w:val="1F2C422B"/>
    <w:rsid w:val="1F4849CA"/>
    <w:rsid w:val="1F67390F"/>
    <w:rsid w:val="1F691F02"/>
    <w:rsid w:val="1F873477"/>
    <w:rsid w:val="1F896D6A"/>
    <w:rsid w:val="1F974FE3"/>
    <w:rsid w:val="1FB0481F"/>
    <w:rsid w:val="1FBE4C66"/>
    <w:rsid w:val="200308CB"/>
    <w:rsid w:val="201900EE"/>
    <w:rsid w:val="20231B78"/>
    <w:rsid w:val="20312DAC"/>
    <w:rsid w:val="20360CA0"/>
    <w:rsid w:val="20364395"/>
    <w:rsid w:val="203D202F"/>
    <w:rsid w:val="2040730C"/>
    <w:rsid w:val="209E05F3"/>
    <w:rsid w:val="20B00655"/>
    <w:rsid w:val="20B61DE1"/>
    <w:rsid w:val="20BF6AB5"/>
    <w:rsid w:val="20D63E58"/>
    <w:rsid w:val="20F63F8C"/>
    <w:rsid w:val="20F85F56"/>
    <w:rsid w:val="210727DF"/>
    <w:rsid w:val="21072C86"/>
    <w:rsid w:val="21455F84"/>
    <w:rsid w:val="21940835"/>
    <w:rsid w:val="219D08AB"/>
    <w:rsid w:val="21B34182"/>
    <w:rsid w:val="21B55BF5"/>
    <w:rsid w:val="21DC1B00"/>
    <w:rsid w:val="21E12E8E"/>
    <w:rsid w:val="22162B37"/>
    <w:rsid w:val="223A7B46"/>
    <w:rsid w:val="223F57F7"/>
    <w:rsid w:val="229D7F06"/>
    <w:rsid w:val="22EC1AEA"/>
    <w:rsid w:val="22EE7610"/>
    <w:rsid w:val="23076924"/>
    <w:rsid w:val="232653E3"/>
    <w:rsid w:val="233314C7"/>
    <w:rsid w:val="23377209"/>
    <w:rsid w:val="233B7E77"/>
    <w:rsid w:val="234B4A63"/>
    <w:rsid w:val="23585FFE"/>
    <w:rsid w:val="235A6A54"/>
    <w:rsid w:val="23665133"/>
    <w:rsid w:val="238166D6"/>
    <w:rsid w:val="2384381F"/>
    <w:rsid w:val="23846E58"/>
    <w:rsid w:val="238F638A"/>
    <w:rsid w:val="23CE7442"/>
    <w:rsid w:val="23D07FB1"/>
    <w:rsid w:val="23EB7FF4"/>
    <w:rsid w:val="23F76998"/>
    <w:rsid w:val="24275EEE"/>
    <w:rsid w:val="242A66AC"/>
    <w:rsid w:val="242F6132"/>
    <w:rsid w:val="244250D8"/>
    <w:rsid w:val="24460F26"/>
    <w:rsid w:val="244C515E"/>
    <w:rsid w:val="244E33BB"/>
    <w:rsid w:val="246102B6"/>
    <w:rsid w:val="246444F3"/>
    <w:rsid w:val="248875F1"/>
    <w:rsid w:val="248B0E8F"/>
    <w:rsid w:val="24977600"/>
    <w:rsid w:val="24B14D99"/>
    <w:rsid w:val="24B831E2"/>
    <w:rsid w:val="24B93C4E"/>
    <w:rsid w:val="24BB3B05"/>
    <w:rsid w:val="24BB3DB3"/>
    <w:rsid w:val="24C26FA6"/>
    <w:rsid w:val="24CF3471"/>
    <w:rsid w:val="24FB7DC2"/>
    <w:rsid w:val="250B120F"/>
    <w:rsid w:val="25162E4E"/>
    <w:rsid w:val="25180C07"/>
    <w:rsid w:val="251A293E"/>
    <w:rsid w:val="252C7220"/>
    <w:rsid w:val="25337C48"/>
    <w:rsid w:val="255E3530"/>
    <w:rsid w:val="256C2A6E"/>
    <w:rsid w:val="25771604"/>
    <w:rsid w:val="25805BA9"/>
    <w:rsid w:val="258B7398"/>
    <w:rsid w:val="258C4EBE"/>
    <w:rsid w:val="25951FC5"/>
    <w:rsid w:val="259D70CC"/>
    <w:rsid w:val="25A57AD2"/>
    <w:rsid w:val="25B05051"/>
    <w:rsid w:val="25B34B41"/>
    <w:rsid w:val="25C74149"/>
    <w:rsid w:val="25CC175F"/>
    <w:rsid w:val="25D328A4"/>
    <w:rsid w:val="25FD7743"/>
    <w:rsid w:val="2604714B"/>
    <w:rsid w:val="26070462"/>
    <w:rsid w:val="26083CA4"/>
    <w:rsid w:val="26137B37"/>
    <w:rsid w:val="261750D0"/>
    <w:rsid w:val="263E440B"/>
    <w:rsid w:val="26720558"/>
    <w:rsid w:val="267772F8"/>
    <w:rsid w:val="269A7E40"/>
    <w:rsid w:val="26A50560"/>
    <w:rsid w:val="26A526DC"/>
    <w:rsid w:val="26B270EC"/>
    <w:rsid w:val="26CF59AB"/>
    <w:rsid w:val="26FE3B9A"/>
    <w:rsid w:val="270F55EE"/>
    <w:rsid w:val="272F1A96"/>
    <w:rsid w:val="273B3040"/>
    <w:rsid w:val="274C0DA9"/>
    <w:rsid w:val="276A7D1D"/>
    <w:rsid w:val="27702CEA"/>
    <w:rsid w:val="2781161A"/>
    <w:rsid w:val="278B0993"/>
    <w:rsid w:val="278C2DE6"/>
    <w:rsid w:val="27A2552D"/>
    <w:rsid w:val="27A2676A"/>
    <w:rsid w:val="27A72484"/>
    <w:rsid w:val="27C070A1"/>
    <w:rsid w:val="27C26A1C"/>
    <w:rsid w:val="27C9064C"/>
    <w:rsid w:val="27EB2370"/>
    <w:rsid w:val="27F52753"/>
    <w:rsid w:val="28060F58"/>
    <w:rsid w:val="281401A9"/>
    <w:rsid w:val="28481571"/>
    <w:rsid w:val="285017C8"/>
    <w:rsid w:val="28604581"/>
    <w:rsid w:val="286B525F"/>
    <w:rsid w:val="286E4D4F"/>
    <w:rsid w:val="289A78F2"/>
    <w:rsid w:val="28A54C15"/>
    <w:rsid w:val="28AD1D1C"/>
    <w:rsid w:val="28CA642A"/>
    <w:rsid w:val="28CE7583"/>
    <w:rsid w:val="28CF3A40"/>
    <w:rsid w:val="28DE0127"/>
    <w:rsid w:val="28E25FF0"/>
    <w:rsid w:val="28E62B38"/>
    <w:rsid w:val="28F05B32"/>
    <w:rsid w:val="292A6196"/>
    <w:rsid w:val="29377EB3"/>
    <w:rsid w:val="294F4B81"/>
    <w:rsid w:val="2965324A"/>
    <w:rsid w:val="296B1DBE"/>
    <w:rsid w:val="296E036D"/>
    <w:rsid w:val="297367C9"/>
    <w:rsid w:val="297B0CF7"/>
    <w:rsid w:val="2984482A"/>
    <w:rsid w:val="29862181"/>
    <w:rsid w:val="29A273A6"/>
    <w:rsid w:val="29AC6EB1"/>
    <w:rsid w:val="29C769E3"/>
    <w:rsid w:val="29D638CD"/>
    <w:rsid w:val="29E057D9"/>
    <w:rsid w:val="29FE3507"/>
    <w:rsid w:val="2A0C65CE"/>
    <w:rsid w:val="2A1D4C7F"/>
    <w:rsid w:val="2A303607"/>
    <w:rsid w:val="2A44045E"/>
    <w:rsid w:val="2A5E151F"/>
    <w:rsid w:val="2A720B27"/>
    <w:rsid w:val="2A835621"/>
    <w:rsid w:val="2AA27121"/>
    <w:rsid w:val="2AA902C1"/>
    <w:rsid w:val="2ACD0453"/>
    <w:rsid w:val="2ADB4165"/>
    <w:rsid w:val="2ADB7F2F"/>
    <w:rsid w:val="2AEB78C2"/>
    <w:rsid w:val="2B0C0F7B"/>
    <w:rsid w:val="2B152D85"/>
    <w:rsid w:val="2B1B2F6C"/>
    <w:rsid w:val="2B3B53BD"/>
    <w:rsid w:val="2B486052"/>
    <w:rsid w:val="2B520958"/>
    <w:rsid w:val="2B524795"/>
    <w:rsid w:val="2B5E72FD"/>
    <w:rsid w:val="2B6C7C6C"/>
    <w:rsid w:val="2B82123D"/>
    <w:rsid w:val="2B822DA1"/>
    <w:rsid w:val="2B886128"/>
    <w:rsid w:val="2B9727A8"/>
    <w:rsid w:val="2B9D6077"/>
    <w:rsid w:val="2BD902A0"/>
    <w:rsid w:val="2BD91045"/>
    <w:rsid w:val="2BEA0B91"/>
    <w:rsid w:val="2BF5720F"/>
    <w:rsid w:val="2C1300E8"/>
    <w:rsid w:val="2C1978E8"/>
    <w:rsid w:val="2C335742"/>
    <w:rsid w:val="2C362090"/>
    <w:rsid w:val="2C3B13EC"/>
    <w:rsid w:val="2C4B162F"/>
    <w:rsid w:val="2C532973"/>
    <w:rsid w:val="2C536608"/>
    <w:rsid w:val="2C7A3CC3"/>
    <w:rsid w:val="2C815051"/>
    <w:rsid w:val="2CAE64AB"/>
    <w:rsid w:val="2CE675AA"/>
    <w:rsid w:val="2CF2792E"/>
    <w:rsid w:val="2D113B67"/>
    <w:rsid w:val="2D3619B4"/>
    <w:rsid w:val="2D377E06"/>
    <w:rsid w:val="2D76092E"/>
    <w:rsid w:val="2D7B4196"/>
    <w:rsid w:val="2D7D7F0E"/>
    <w:rsid w:val="2DA14432"/>
    <w:rsid w:val="2DB25117"/>
    <w:rsid w:val="2DEC5D5C"/>
    <w:rsid w:val="2DF61A6F"/>
    <w:rsid w:val="2DFF6B75"/>
    <w:rsid w:val="2E1B7727"/>
    <w:rsid w:val="2E1F2D74"/>
    <w:rsid w:val="2E2C686E"/>
    <w:rsid w:val="2E36630F"/>
    <w:rsid w:val="2E374561"/>
    <w:rsid w:val="2E497DF1"/>
    <w:rsid w:val="2E5C5D76"/>
    <w:rsid w:val="2E780D2D"/>
    <w:rsid w:val="2E7B1F74"/>
    <w:rsid w:val="2E7E3412"/>
    <w:rsid w:val="2E960B5C"/>
    <w:rsid w:val="2EA133AF"/>
    <w:rsid w:val="2EA339A5"/>
    <w:rsid w:val="2EA36628"/>
    <w:rsid w:val="2EDC0415"/>
    <w:rsid w:val="2EDD2DD9"/>
    <w:rsid w:val="2EE7237C"/>
    <w:rsid w:val="2F087CAC"/>
    <w:rsid w:val="2F0D52C2"/>
    <w:rsid w:val="2F2D7712"/>
    <w:rsid w:val="2F2F6A91"/>
    <w:rsid w:val="2F300FB0"/>
    <w:rsid w:val="2F4800A8"/>
    <w:rsid w:val="2F723467"/>
    <w:rsid w:val="2F815419"/>
    <w:rsid w:val="2F922149"/>
    <w:rsid w:val="2FA72ADC"/>
    <w:rsid w:val="2FC8743B"/>
    <w:rsid w:val="2FD672B8"/>
    <w:rsid w:val="300852DE"/>
    <w:rsid w:val="30134377"/>
    <w:rsid w:val="30590E83"/>
    <w:rsid w:val="30640C78"/>
    <w:rsid w:val="306835D0"/>
    <w:rsid w:val="306E3B3E"/>
    <w:rsid w:val="30711881"/>
    <w:rsid w:val="30782BAF"/>
    <w:rsid w:val="3082583C"/>
    <w:rsid w:val="309C4B4F"/>
    <w:rsid w:val="30A532D8"/>
    <w:rsid w:val="30A657B3"/>
    <w:rsid w:val="30BA09FB"/>
    <w:rsid w:val="30DF2746"/>
    <w:rsid w:val="311F308B"/>
    <w:rsid w:val="31244E01"/>
    <w:rsid w:val="313257CB"/>
    <w:rsid w:val="316C759F"/>
    <w:rsid w:val="31755829"/>
    <w:rsid w:val="317D7B05"/>
    <w:rsid w:val="31880C30"/>
    <w:rsid w:val="318C4BC4"/>
    <w:rsid w:val="318D6246"/>
    <w:rsid w:val="319C2593"/>
    <w:rsid w:val="31B22E97"/>
    <w:rsid w:val="31B9528D"/>
    <w:rsid w:val="31DC0F7C"/>
    <w:rsid w:val="31E83DC4"/>
    <w:rsid w:val="31F369F1"/>
    <w:rsid w:val="32153FA4"/>
    <w:rsid w:val="324575EB"/>
    <w:rsid w:val="32494863"/>
    <w:rsid w:val="325A081E"/>
    <w:rsid w:val="325B4596"/>
    <w:rsid w:val="3268280F"/>
    <w:rsid w:val="326E7E26"/>
    <w:rsid w:val="32700042"/>
    <w:rsid w:val="328F5FEE"/>
    <w:rsid w:val="32A0292F"/>
    <w:rsid w:val="32A02B99"/>
    <w:rsid w:val="32BC6D05"/>
    <w:rsid w:val="32C569CF"/>
    <w:rsid w:val="32CE6B16"/>
    <w:rsid w:val="32ED1692"/>
    <w:rsid w:val="32F01183"/>
    <w:rsid w:val="32FB4A31"/>
    <w:rsid w:val="330052B8"/>
    <w:rsid w:val="330F2BAA"/>
    <w:rsid w:val="33154745"/>
    <w:rsid w:val="331F7372"/>
    <w:rsid w:val="333252F7"/>
    <w:rsid w:val="333F0BDD"/>
    <w:rsid w:val="33437504"/>
    <w:rsid w:val="33513ACD"/>
    <w:rsid w:val="335A65FC"/>
    <w:rsid w:val="336631F3"/>
    <w:rsid w:val="337D5F7B"/>
    <w:rsid w:val="3381627F"/>
    <w:rsid w:val="3382215E"/>
    <w:rsid w:val="33833DA5"/>
    <w:rsid w:val="33941B0E"/>
    <w:rsid w:val="33A83F0F"/>
    <w:rsid w:val="33B52F92"/>
    <w:rsid w:val="33D414D0"/>
    <w:rsid w:val="33F04662"/>
    <w:rsid w:val="33F94067"/>
    <w:rsid w:val="3411197D"/>
    <w:rsid w:val="341151CD"/>
    <w:rsid w:val="344F1ED9"/>
    <w:rsid w:val="345C31CC"/>
    <w:rsid w:val="34603E67"/>
    <w:rsid w:val="34692F9B"/>
    <w:rsid w:val="3491429F"/>
    <w:rsid w:val="34981816"/>
    <w:rsid w:val="349873DC"/>
    <w:rsid w:val="34AE30A3"/>
    <w:rsid w:val="34C04B85"/>
    <w:rsid w:val="34C2145D"/>
    <w:rsid w:val="34E15227"/>
    <w:rsid w:val="34EE16F2"/>
    <w:rsid w:val="34FB796B"/>
    <w:rsid w:val="35260E8C"/>
    <w:rsid w:val="353C06AF"/>
    <w:rsid w:val="354B444E"/>
    <w:rsid w:val="358142E1"/>
    <w:rsid w:val="35944047"/>
    <w:rsid w:val="35CD358A"/>
    <w:rsid w:val="35DF3667"/>
    <w:rsid w:val="360A6B9A"/>
    <w:rsid w:val="36232DB0"/>
    <w:rsid w:val="362C0724"/>
    <w:rsid w:val="362C24D2"/>
    <w:rsid w:val="366559E4"/>
    <w:rsid w:val="368340BC"/>
    <w:rsid w:val="36837420"/>
    <w:rsid w:val="36856574"/>
    <w:rsid w:val="368B560A"/>
    <w:rsid w:val="36C94F33"/>
    <w:rsid w:val="36E96615"/>
    <w:rsid w:val="37093D6D"/>
    <w:rsid w:val="370C2303"/>
    <w:rsid w:val="37192419"/>
    <w:rsid w:val="372633C5"/>
    <w:rsid w:val="372E4027"/>
    <w:rsid w:val="374C0952"/>
    <w:rsid w:val="374E0226"/>
    <w:rsid w:val="375B2943"/>
    <w:rsid w:val="37702892"/>
    <w:rsid w:val="3793032E"/>
    <w:rsid w:val="37B409D1"/>
    <w:rsid w:val="37B7226F"/>
    <w:rsid w:val="37BE14E1"/>
    <w:rsid w:val="37EA2644"/>
    <w:rsid w:val="37F007A1"/>
    <w:rsid w:val="37F34BF4"/>
    <w:rsid w:val="37FC5ED4"/>
    <w:rsid w:val="380A05F1"/>
    <w:rsid w:val="380D6333"/>
    <w:rsid w:val="38163439"/>
    <w:rsid w:val="382D2C8A"/>
    <w:rsid w:val="38367638"/>
    <w:rsid w:val="383C09C6"/>
    <w:rsid w:val="38451629"/>
    <w:rsid w:val="385F359C"/>
    <w:rsid w:val="38637D01"/>
    <w:rsid w:val="386F2B4A"/>
    <w:rsid w:val="387B329C"/>
    <w:rsid w:val="3885411B"/>
    <w:rsid w:val="389820A0"/>
    <w:rsid w:val="38B7004D"/>
    <w:rsid w:val="38BD5C39"/>
    <w:rsid w:val="38C34C43"/>
    <w:rsid w:val="390C65EA"/>
    <w:rsid w:val="39137979"/>
    <w:rsid w:val="39203E44"/>
    <w:rsid w:val="395133C2"/>
    <w:rsid w:val="397F0B6A"/>
    <w:rsid w:val="398B705A"/>
    <w:rsid w:val="399565E0"/>
    <w:rsid w:val="39967186"/>
    <w:rsid w:val="39A22AAB"/>
    <w:rsid w:val="39B065A9"/>
    <w:rsid w:val="39C542C3"/>
    <w:rsid w:val="39D4535A"/>
    <w:rsid w:val="39EB26A4"/>
    <w:rsid w:val="39F33306"/>
    <w:rsid w:val="39F72DF7"/>
    <w:rsid w:val="39FC21BB"/>
    <w:rsid w:val="3A064DE8"/>
    <w:rsid w:val="3A1F234D"/>
    <w:rsid w:val="3A371445"/>
    <w:rsid w:val="3A411C9C"/>
    <w:rsid w:val="3A7461F5"/>
    <w:rsid w:val="3A894EF6"/>
    <w:rsid w:val="3A8B353F"/>
    <w:rsid w:val="3AA12D62"/>
    <w:rsid w:val="3AAF0DDB"/>
    <w:rsid w:val="3AB5065F"/>
    <w:rsid w:val="3ACD1DA9"/>
    <w:rsid w:val="3ACF63CB"/>
    <w:rsid w:val="3AEC0481"/>
    <w:rsid w:val="3B0A6B5A"/>
    <w:rsid w:val="3B281408"/>
    <w:rsid w:val="3B4A6593"/>
    <w:rsid w:val="3B556027"/>
    <w:rsid w:val="3BA66882"/>
    <w:rsid w:val="3BA80B19"/>
    <w:rsid w:val="3C306D0A"/>
    <w:rsid w:val="3C4240EC"/>
    <w:rsid w:val="3C44609B"/>
    <w:rsid w:val="3C544530"/>
    <w:rsid w:val="3C6311A6"/>
    <w:rsid w:val="3C9518DE"/>
    <w:rsid w:val="3CB856B8"/>
    <w:rsid w:val="3CC176EC"/>
    <w:rsid w:val="3CDE59D7"/>
    <w:rsid w:val="3CF950D8"/>
    <w:rsid w:val="3D332398"/>
    <w:rsid w:val="3D3F0480"/>
    <w:rsid w:val="3D412692"/>
    <w:rsid w:val="3D5F396D"/>
    <w:rsid w:val="3D6B2CA5"/>
    <w:rsid w:val="3D711B40"/>
    <w:rsid w:val="3D7B3D3F"/>
    <w:rsid w:val="3D9D3CB5"/>
    <w:rsid w:val="3DA35311"/>
    <w:rsid w:val="3DB64D77"/>
    <w:rsid w:val="3DBB413B"/>
    <w:rsid w:val="3DBF1E7D"/>
    <w:rsid w:val="3DD33817"/>
    <w:rsid w:val="3DD34F41"/>
    <w:rsid w:val="3DFF336E"/>
    <w:rsid w:val="3E1321C9"/>
    <w:rsid w:val="3E246184"/>
    <w:rsid w:val="3E524A9F"/>
    <w:rsid w:val="3E800AA6"/>
    <w:rsid w:val="3E970704"/>
    <w:rsid w:val="3EA3354D"/>
    <w:rsid w:val="3ECA0ADA"/>
    <w:rsid w:val="3ED96F6F"/>
    <w:rsid w:val="3EDE4585"/>
    <w:rsid w:val="3EE651E8"/>
    <w:rsid w:val="3F041198"/>
    <w:rsid w:val="3F165ACD"/>
    <w:rsid w:val="3F190A5E"/>
    <w:rsid w:val="3F3A1FEB"/>
    <w:rsid w:val="3F5749D4"/>
    <w:rsid w:val="3FA330D9"/>
    <w:rsid w:val="3FAC6431"/>
    <w:rsid w:val="3FB13A48"/>
    <w:rsid w:val="3FC1012F"/>
    <w:rsid w:val="3FD10254"/>
    <w:rsid w:val="3FE47979"/>
    <w:rsid w:val="402035FA"/>
    <w:rsid w:val="40621663"/>
    <w:rsid w:val="407A02DD"/>
    <w:rsid w:val="407F76A2"/>
    <w:rsid w:val="40860A30"/>
    <w:rsid w:val="408E7C49"/>
    <w:rsid w:val="40965E01"/>
    <w:rsid w:val="40A67243"/>
    <w:rsid w:val="40AF61D9"/>
    <w:rsid w:val="40B13AFA"/>
    <w:rsid w:val="40C779CD"/>
    <w:rsid w:val="40CF6855"/>
    <w:rsid w:val="40D479EE"/>
    <w:rsid w:val="40D55514"/>
    <w:rsid w:val="40D66E70"/>
    <w:rsid w:val="40D95004"/>
    <w:rsid w:val="40E340D5"/>
    <w:rsid w:val="40EB2F55"/>
    <w:rsid w:val="40F736DC"/>
    <w:rsid w:val="40FE050B"/>
    <w:rsid w:val="41397F4E"/>
    <w:rsid w:val="41456B3D"/>
    <w:rsid w:val="4151103E"/>
    <w:rsid w:val="418331C2"/>
    <w:rsid w:val="41AE46E3"/>
    <w:rsid w:val="41AF1DCF"/>
    <w:rsid w:val="41B24CC0"/>
    <w:rsid w:val="41D34BA9"/>
    <w:rsid w:val="41EE523D"/>
    <w:rsid w:val="41F52C3A"/>
    <w:rsid w:val="41F8770C"/>
    <w:rsid w:val="42063D8D"/>
    <w:rsid w:val="42240501"/>
    <w:rsid w:val="42253D73"/>
    <w:rsid w:val="422C7D41"/>
    <w:rsid w:val="4235270E"/>
    <w:rsid w:val="423F17DF"/>
    <w:rsid w:val="4263645E"/>
    <w:rsid w:val="42721A93"/>
    <w:rsid w:val="42755200"/>
    <w:rsid w:val="42982C9D"/>
    <w:rsid w:val="42A56252"/>
    <w:rsid w:val="42DD10F2"/>
    <w:rsid w:val="42E67EAC"/>
    <w:rsid w:val="43087E22"/>
    <w:rsid w:val="43116751"/>
    <w:rsid w:val="43206861"/>
    <w:rsid w:val="4359242C"/>
    <w:rsid w:val="435E3EE6"/>
    <w:rsid w:val="43705AB0"/>
    <w:rsid w:val="437E518D"/>
    <w:rsid w:val="43A062AD"/>
    <w:rsid w:val="43A86F10"/>
    <w:rsid w:val="43B104BA"/>
    <w:rsid w:val="43C27FD1"/>
    <w:rsid w:val="43D91BCB"/>
    <w:rsid w:val="43DD305D"/>
    <w:rsid w:val="43E202FE"/>
    <w:rsid w:val="43E32843"/>
    <w:rsid w:val="43E53CC0"/>
    <w:rsid w:val="43EE7018"/>
    <w:rsid w:val="43F41CE1"/>
    <w:rsid w:val="440B5E1C"/>
    <w:rsid w:val="4427252A"/>
    <w:rsid w:val="44345F6E"/>
    <w:rsid w:val="443B1CA3"/>
    <w:rsid w:val="4441183E"/>
    <w:rsid w:val="445552E9"/>
    <w:rsid w:val="445D7CFA"/>
    <w:rsid w:val="44654E01"/>
    <w:rsid w:val="44A45CB0"/>
    <w:rsid w:val="44A82426"/>
    <w:rsid w:val="44BF68A1"/>
    <w:rsid w:val="44E4602A"/>
    <w:rsid w:val="450978B4"/>
    <w:rsid w:val="452F5B3A"/>
    <w:rsid w:val="45350C77"/>
    <w:rsid w:val="454315E6"/>
    <w:rsid w:val="454A1453"/>
    <w:rsid w:val="45505AB1"/>
    <w:rsid w:val="4597723C"/>
    <w:rsid w:val="459E54AE"/>
    <w:rsid w:val="45A831F7"/>
    <w:rsid w:val="45B47DEE"/>
    <w:rsid w:val="45B54088"/>
    <w:rsid w:val="45B80788"/>
    <w:rsid w:val="45FE7D79"/>
    <w:rsid w:val="46162856"/>
    <w:rsid w:val="46326548"/>
    <w:rsid w:val="4648202A"/>
    <w:rsid w:val="464A2500"/>
    <w:rsid w:val="46545D00"/>
    <w:rsid w:val="469043B7"/>
    <w:rsid w:val="46956D93"/>
    <w:rsid w:val="46A2058E"/>
    <w:rsid w:val="46B75DE7"/>
    <w:rsid w:val="46BD2CD2"/>
    <w:rsid w:val="46C329DE"/>
    <w:rsid w:val="46C56CD4"/>
    <w:rsid w:val="46DC2BC3"/>
    <w:rsid w:val="46DE3DA2"/>
    <w:rsid w:val="46F012F9"/>
    <w:rsid w:val="47022DDB"/>
    <w:rsid w:val="47152B0E"/>
    <w:rsid w:val="472A769F"/>
    <w:rsid w:val="47373CCA"/>
    <w:rsid w:val="473C009B"/>
    <w:rsid w:val="475A49C5"/>
    <w:rsid w:val="475B66AF"/>
    <w:rsid w:val="47631ACB"/>
    <w:rsid w:val="47863A0C"/>
    <w:rsid w:val="479152E5"/>
    <w:rsid w:val="479C6D8B"/>
    <w:rsid w:val="47A90F2D"/>
    <w:rsid w:val="47B3415B"/>
    <w:rsid w:val="47B916EB"/>
    <w:rsid w:val="47BD3387"/>
    <w:rsid w:val="47E9061B"/>
    <w:rsid w:val="47EF335F"/>
    <w:rsid w:val="47EF3A41"/>
    <w:rsid w:val="47F70466"/>
    <w:rsid w:val="47F93301"/>
    <w:rsid w:val="48010AA9"/>
    <w:rsid w:val="48052B82"/>
    <w:rsid w:val="483C0B1B"/>
    <w:rsid w:val="48401E0D"/>
    <w:rsid w:val="484245C7"/>
    <w:rsid w:val="484C6A03"/>
    <w:rsid w:val="484C7B06"/>
    <w:rsid w:val="484E49E0"/>
    <w:rsid w:val="48580F04"/>
    <w:rsid w:val="485B4633"/>
    <w:rsid w:val="486A0C38"/>
    <w:rsid w:val="487321E2"/>
    <w:rsid w:val="48774D07"/>
    <w:rsid w:val="487D096B"/>
    <w:rsid w:val="48826827"/>
    <w:rsid w:val="488B4F1C"/>
    <w:rsid w:val="488D7CFE"/>
    <w:rsid w:val="48A57EC2"/>
    <w:rsid w:val="48B60321"/>
    <w:rsid w:val="48D82045"/>
    <w:rsid w:val="48E00EFA"/>
    <w:rsid w:val="48F21359"/>
    <w:rsid w:val="49184B37"/>
    <w:rsid w:val="491B12EC"/>
    <w:rsid w:val="492F0106"/>
    <w:rsid w:val="49323FD7"/>
    <w:rsid w:val="493C25D4"/>
    <w:rsid w:val="495E52A6"/>
    <w:rsid w:val="496658A3"/>
    <w:rsid w:val="49667651"/>
    <w:rsid w:val="498875C7"/>
    <w:rsid w:val="499B76DE"/>
    <w:rsid w:val="49C5081B"/>
    <w:rsid w:val="49D40A5E"/>
    <w:rsid w:val="49D92519"/>
    <w:rsid w:val="49E031D3"/>
    <w:rsid w:val="49F11610"/>
    <w:rsid w:val="49F4722C"/>
    <w:rsid w:val="49F9581E"/>
    <w:rsid w:val="4A1470AD"/>
    <w:rsid w:val="4A1A306E"/>
    <w:rsid w:val="4A282B58"/>
    <w:rsid w:val="4A510301"/>
    <w:rsid w:val="4A5F3DBA"/>
    <w:rsid w:val="4A7D314E"/>
    <w:rsid w:val="4A8835F7"/>
    <w:rsid w:val="4AA743C5"/>
    <w:rsid w:val="4ABF5254"/>
    <w:rsid w:val="4ACA3C0F"/>
    <w:rsid w:val="4ACD4019"/>
    <w:rsid w:val="4ACD6DF4"/>
    <w:rsid w:val="4AD51C77"/>
    <w:rsid w:val="4B272E10"/>
    <w:rsid w:val="4B3A2B43"/>
    <w:rsid w:val="4B69167A"/>
    <w:rsid w:val="4B6E6C91"/>
    <w:rsid w:val="4B865D88"/>
    <w:rsid w:val="4B904E59"/>
    <w:rsid w:val="4B9C1A50"/>
    <w:rsid w:val="4B9C55AC"/>
    <w:rsid w:val="4BB24DCF"/>
    <w:rsid w:val="4BBA0128"/>
    <w:rsid w:val="4BBC4FD7"/>
    <w:rsid w:val="4BBC79FC"/>
    <w:rsid w:val="4BCB5E91"/>
    <w:rsid w:val="4BD016F9"/>
    <w:rsid w:val="4BDF36EB"/>
    <w:rsid w:val="4C03387D"/>
    <w:rsid w:val="4C12409B"/>
    <w:rsid w:val="4C1D18DE"/>
    <w:rsid w:val="4C213D03"/>
    <w:rsid w:val="4C2A705C"/>
    <w:rsid w:val="4C38427F"/>
    <w:rsid w:val="4C4224E5"/>
    <w:rsid w:val="4C545E87"/>
    <w:rsid w:val="4C6065D9"/>
    <w:rsid w:val="4C65665F"/>
    <w:rsid w:val="4C7622A1"/>
    <w:rsid w:val="4C76404F"/>
    <w:rsid w:val="4C811ECE"/>
    <w:rsid w:val="4CBD494A"/>
    <w:rsid w:val="4CC34DBA"/>
    <w:rsid w:val="4CE552E6"/>
    <w:rsid w:val="4CEE0089"/>
    <w:rsid w:val="4D0478AD"/>
    <w:rsid w:val="4D07739D"/>
    <w:rsid w:val="4D341814"/>
    <w:rsid w:val="4D3A507C"/>
    <w:rsid w:val="4D4C6F46"/>
    <w:rsid w:val="4D5601C7"/>
    <w:rsid w:val="4D7560B4"/>
    <w:rsid w:val="4DD76D6F"/>
    <w:rsid w:val="4DDA685F"/>
    <w:rsid w:val="4DE33966"/>
    <w:rsid w:val="4DFC0584"/>
    <w:rsid w:val="4E191136"/>
    <w:rsid w:val="4E28581D"/>
    <w:rsid w:val="4E3221F7"/>
    <w:rsid w:val="4E330F5D"/>
    <w:rsid w:val="4E5E0733"/>
    <w:rsid w:val="4E8917D2"/>
    <w:rsid w:val="4E8C5DAC"/>
    <w:rsid w:val="4EAC5711"/>
    <w:rsid w:val="4EB26BFC"/>
    <w:rsid w:val="4ED1689E"/>
    <w:rsid w:val="4EE259CC"/>
    <w:rsid w:val="4F0A0A7E"/>
    <w:rsid w:val="4F1B1237"/>
    <w:rsid w:val="4F275AD4"/>
    <w:rsid w:val="4F4915A7"/>
    <w:rsid w:val="4F6C1739"/>
    <w:rsid w:val="4F806F93"/>
    <w:rsid w:val="4F895E47"/>
    <w:rsid w:val="4F8B5CA7"/>
    <w:rsid w:val="4FC926E8"/>
    <w:rsid w:val="4FE65048"/>
    <w:rsid w:val="500876B4"/>
    <w:rsid w:val="5019366F"/>
    <w:rsid w:val="501D6327"/>
    <w:rsid w:val="503C110B"/>
    <w:rsid w:val="50564637"/>
    <w:rsid w:val="506D7517"/>
    <w:rsid w:val="50972065"/>
    <w:rsid w:val="50AC1958"/>
    <w:rsid w:val="50E61077"/>
    <w:rsid w:val="50ED0294"/>
    <w:rsid w:val="50F11EF6"/>
    <w:rsid w:val="51071719"/>
    <w:rsid w:val="510E2892"/>
    <w:rsid w:val="511A58F1"/>
    <w:rsid w:val="51271DBC"/>
    <w:rsid w:val="512A18AC"/>
    <w:rsid w:val="512F0C70"/>
    <w:rsid w:val="51316796"/>
    <w:rsid w:val="51401706"/>
    <w:rsid w:val="514C51DC"/>
    <w:rsid w:val="51820DD5"/>
    <w:rsid w:val="51887260"/>
    <w:rsid w:val="518F170F"/>
    <w:rsid w:val="51A21442"/>
    <w:rsid w:val="51A839B5"/>
    <w:rsid w:val="51AC0513"/>
    <w:rsid w:val="51B2004B"/>
    <w:rsid w:val="51D35A9F"/>
    <w:rsid w:val="522C3116"/>
    <w:rsid w:val="52350508"/>
    <w:rsid w:val="526F1386"/>
    <w:rsid w:val="52741030"/>
    <w:rsid w:val="527F1FE1"/>
    <w:rsid w:val="529E1C09"/>
    <w:rsid w:val="52AF2069"/>
    <w:rsid w:val="52B16B69"/>
    <w:rsid w:val="52D25D57"/>
    <w:rsid w:val="52DC0984"/>
    <w:rsid w:val="52E16D3B"/>
    <w:rsid w:val="53057EDB"/>
    <w:rsid w:val="53102A0A"/>
    <w:rsid w:val="53230361"/>
    <w:rsid w:val="532A16EF"/>
    <w:rsid w:val="532D11DF"/>
    <w:rsid w:val="53476745"/>
    <w:rsid w:val="53672943"/>
    <w:rsid w:val="536E5A80"/>
    <w:rsid w:val="537868FE"/>
    <w:rsid w:val="53803A05"/>
    <w:rsid w:val="5386726D"/>
    <w:rsid w:val="538E1C7E"/>
    <w:rsid w:val="539453CB"/>
    <w:rsid w:val="539B083F"/>
    <w:rsid w:val="53A32941"/>
    <w:rsid w:val="53C102A5"/>
    <w:rsid w:val="53D64FC0"/>
    <w:rsid w:val="53EE426D"/>
    <w:rsid w:val="54237C60"/>
    <w:rsid w:val="54556AEA"/>
    <w:rsid w:val="54585E97"/>
    <w:rsid w:val="546B3C3F"/>
    <w:rsid w:val="546B6463"/>
    <w:rsid w:val="546E7D01"/>
    <w:rsid w:val="54BA4CF5"/>
    <w:rsid w:val="54BE6593"/>
    <w:rsid w:val="54C16083"/>
    <w:rsid w:val="54D1276A"/>
    <w:rsid w:val="54D20290"/>
    <w:rsid w:val="54D47B64"/>
    <w:rsid w:val="54D538DD"/>
    <w:rsid w:val="54E67898"/>
    <w:rsid w:val="54F55D2D"/>
    <w:rsid w:val="54F621D1"/>
    <w:rsid w:val="550545A1"/>
    <w:rsid w:val="55131A57"/>
    <w:rsid w:val="55133EBD"/>
    <w:rsid w:val="55191A1B"/>
    <w:rsid w:val="551A6815"/>
    <w:rsid w:val="55242A68"/>
    <w:rsid w:val="55622629"/>
    <w:rsid w:val="557B0928"/>
    <w:rsid w:val="558660AA"/>
    <w:rsid w:val="5587107B"/>
    <w:rsid w:val="5596490A"/>
    <w:rsid w:val="55B31E70"/>
    <w:rsid w:val="55B87486"/>
    <w:rsid w:val="55BB270A"/>
    <w:rsid w:val="55CA71B9"/>
    <w:rsid w:val="55CD4BC0"/>
    <w:rsid w:val="55D25156"/>
    <w:rsid w:val="560E354A"/>
    <w:rsid w:val="56242D6E"/>
    <w:rsid w:val="56424FA2"/>
    <w:rsid w:val="564927D4"/>
    <w:rsid w:val="564A367B"/>
    <w:rsid w:val="56892F91"/>
    <w:rsid w:val="568A7075"/>
    <w:rsid w:val="56C2340D"/>
    <w:rsid w:val="56C94C51"/>
    <w:rsid w:val="56D26CCF"/>
    <w:rsid w:val="56E524FD"/>
    <w:rsid w:val="56FB3ACE"/>
    <w:rsid w:val="573214BA"/>
    <w:rsid w:val="5738327B"/>
    <w:rsid w:val="57421747"/>
    <w:rsid w:val="574B719F"/>
    <w:rsid w:val="577D71D5"/>
    <w:rsid w:val="578810DA"/>
    <w:rsid w:val="57947A7F"/>
    <w:rsid w:val="57A86F73"/>
    <w:rsid w:val="57AC301B"/>
    <w:rsid w:val="57AF48B9"/>
    <w:rsid w:val="57BB500C"/>
    <w:rsid w:val="57CA34A1"/>
    <w:rsid w:val="57CE2F91"/>
    <w:rsid w:val="57D7204A"/>
    <w:rsid w:val="57D85BBE"/>
    <w:rsid w:val="57E91B79"/>
    <w:rsid w:val="57F84A4C"/>
    <w:rsid w:val="57FD3876"/>
    <w:rsid w:val="580469B3"/>
    <w:rsid w:val="580B5F8C"/>
    <w:rsid w:val="581A4428"/>
    <w:rsid w:val="581F19F1"/>
    <w:rsid w:val="583E3D03"/>
    <w:rsid w:val="584C2108"/>
    <w:rsid w:val="58550FBC"/>
    <w:rsid w:val="58555460"/>
    <w:rsid w:val="585D2567"/>
    <w:rsid w:val="586236D9"/>
    <w:rsid w:val="587E44BE"/>
    <w:rsid w:val="58A9755A"/>
    <w:rsid w:val="58B21E57"/>
    <w:rsid w:val="58C220CB"/>
    <w:rsid w:val="58DC616D"/>
    <w:rsid w:val="58E65A10"/>
    <w:rsid w:val="58F272EA"/>
    <w:rsid w:val="58F9403E"/>
    <w:rsid w:val="590B7AB2"/>
    <w:rsid w:val="59103135"/>
    <w:rsid w:val="59162E41"/>
    <w:rsid w:val="591E3AA4"/>
    <w:rsid w:val="592220A0"/>
    <w:rsid w:val="59276BDD"/>
    <w:rsid w:val="592D018B"/>
    <w:rsid w:val="593F65DD"/>
    <w:rsid w:val="5960230F"/>
    <w:rsid w:val="59623982"/>
    <w:rsid w:val="5967369D"/>
    <w:rsid w:val="59927FEE"/>
    <w:rsid w:val="59A9072D"/>
    <w:rsid w:val="59B166C6"/>
    <w:rsid w:val="59B63CDD"/>
    <w:rsid w:val="59BE0892"/>
    <w:rsid w:val="59CE736C"/>
    <w:rsid w:val="5A235F34"/>
    <w:rsid w:val="5A2A0227"/>
    <w:rsid w:val="5A2E5F69"/>
    <w:rsid w:val="5A3A2DDD"/>
    <w:rsid w:val="5A5F4374"/>
    <w:rsid w:val="5A623E64"/>
    <w:rsid w:val="5A762E3E"/>
    <w:rsid w:val="5A8B6F17"/>
    <w:rsid w:val="5A8E6D5D"/>
    <w:rsid w:val="5AB02E22"/>
    <w:rsid w:val="5AC238F7"/>
    <w:rsid w:val="5AD92379"/>
    <w:rsid w:val="5AE14D89"/>
    <w:rsid w:val="5AE648E5"/>
    <w:rsid w:val="5AF11F13"/>
    <w:rsid w:val="5AF90502"/>
    <w:rsid w:val="5AFE3B8D"/>
    <w:rsid w:val="5B025E57"/>
    <w:rsid w:val="5B152C85"/>
    <w:rsid w:val="5B417F1E"/>
    <w:rsid w:val="5B514F34"/>
    <w:rsid w:val="5B667984"/>
    <w:rsid w:val="5B6A2FD1"/>
    <w:rsid w:val="5B6B4996"/>
    <w:rsid w:val="5B70610D"/>
    <w:rsid w:val="5B7D12AA"/>
    <w:rsid w:val="5B914A01"/>
    <w:rsid w:val="5BAD55B3"/>
    <w:rsid w:val="5BB57FC4"/>
    <w:rsid w:val="5BC052E6"/>
    <w:rsid w:val="5BC50F5A"/>
    <w:rsid w:val="5BE2700B"/>
    <w:rsid w:val="5BF918A2"/>
    <w:rsid w:val="5C0974B1"/>
    <w:rsid w:val="5C2238AB"/>
    <w:rsid w:val="5C390BF5"/>
    <w:rsid w:val="5C742217"/>
    <w:rsid w:val="5C761E49"/>
    <w:rsid w:val="5C965957"/>
    <w:rsid w:val="5C9D1184"/>
    <w:rsid w:val="5CA93FCD"/>
    <w:rsid w:val="5CBC3D00"/>
    <w:rsid w:val="5CC9397B"/>
    <w:rsid w:val="5CEA2839"/>
    <w:rsid w:val="5CFB5EAA"/>
    <w:rsid w:val="5D0631CD"/>
    <w:rsid w:val="5D096819"/>
    <w:rsid w:val="5D2618E7"/>
    <w:rsid w:val="5D2E002E"/>
    <w:rsid w:val="5D336228"/>
    <w:rsid w:val="5D3A2E77"/>
    <w:rsid w:val="5D3A7D6A"/>
    <w:rsid w:val="5D573A29"/>
    <w:rsid w:val="5D5A52C7"/>
    <w:rsid w:val="5D5E50B6"/>
    <w:rsid w:val="5D5F468B"/>
    <w:rsid w:val="5D77019C"/>
    <w:rsid w:val="5D7F339F"/>
    <w:rsid w:val="5D90057C"/>
    <w:rsid w:val="5DA36C6E"/>
    <w:rsid w:val="5DC664B8"/>
    <w:rsid w:val="5DD9443E"/>
    <w:rsid w:val="5DE11544"/>
    <w:rsid w:val="5E033269"/>
    <w:rsid w:val="5E0C1DC3"/>
    <w:rsid w:val="5E1D07CE"/>
    <w:rsid w:val="5E2002BE"/>
    <w:rsid w:val="5E421FE3"/>
    <w:rsid w:val="5E9D546B"/>
    <w:rsid w:val="5EB408CA"/>
    <w:rsid w:val="5EB84053"/>
    <w:rsid w:val="5EC21376"/>
    <w:rsid w:val="5ED913D9"/>
    <w:rsid w:val="5EE36F43"/>
    <w:rsid w:val="5EFF1C82"/>
    <w:rsid w:val="5F36141C"/>
    <w:rsid w:val="5F385194"/>
    <w:rsid w:val="5F4B03E2"/>
    <w:rsid w:val="5F555D46"/>
    <w:rsid w:val="5F5F028D"/>
    <w:rsid w:val="5F622211"/>
    <w:rsid w:val="5F681F1D"/>
    <w:rsid w:val="5F685A79"/>
    <w:rsid w:val="5F802EF2"/>
    <w:rsid w:val="5F8A1E93"/>
    <w:rsid w:val="5FA97E40"/>
    <w:rsid w:val="5FAF10E1"/>
    <w:rsid w:val="5FC211A2"/>
    <w:rsid w:val="5FCF5AF8"/>
    <w:rsid w:val="5FDD411E"/>
    <w:rsid w:val="5FEC48FC"/>
    <w:rsid w:val="5FFC4413"/>
    <w:rsid w:val="6008100A"/>
    <w:rsid w:val="602E780A"/>
    <w:rsid w:val="602F47E9"/>
    <w:rsid w:val="606A5821"/>
    <w:rsid w:val="609805E0"/>
    <w:rsid w:val="60F82E2D"/>
    <w:rsid w:val="60FF6129"/>
    <w:rsid w:val="61251748"/>
    <w:rsid w:val="61273712"/>
    <w:rsid w:val="613B06D7"/>
    <w:rsid w:val="61447E20"/>
    <w:rsid w:val="617B1EE0"/>
    <w:rsid w:val="618B1EF3"/>
    <w:rsid w:val="61932B55"/>
    <w:rsid w:val="61A46B11"/>
    <w:rsid w:val="61A579A8"/>
    <w:rsid w:val="61AC2A92"/>
    <w:rsid w:val="61B31169"/>
    <w:rsid w:val="61C45941"/>
    <w:rsid w:val="61F01D56"/>
    <w:rsid w:val="61FC694D"/>
    <w:rsid w:val="62093465"/>
    <w:rsid w:val="62141EE8"/>
    <w:rsid w:val="622C1EF6"/>
    <w:rsid w:val="62315204"/>
    <w:rsid w:val="624C34E5"/>
    <w:rsid w:val="626E2E28"/>
    <w:rsid w:val="628A0894"/>
    <w:rsid w:val="62A52B40"/>
    <w:rsid w:val="62B8336A"/>
    <w:rsid w:val="62BC609E"/>
    <w:rsid w:val="62E573E1"/>
    <w:rsid w:val="62F82481"/>
    <w:rsid w:val="6329335F"/>
    <w:rsid w:val="635A12B4"/>
    <w:rsid w:val="63696264"/>
    <w:rsid w:val="63AB4186"/>
    <w:rsid w:val="63AF06CE"/>
    <w:rsid w:val="63AF0C1D"/>
    <w:rsid w:val="63D95197"/>
    <w:rsid w:val="63DC6A36"/>
    <w:rsid w:val="64056E8A"/>
    <w:rsid w:val="64337579"/>
    <w:rsid w:val="64441196"/>
    <w:rsid w:val="64540922"/>
    <w:rsid w:val="646F3406"/>
    <w:rsid w:val="64750536"/>
    <w:rsid w:val="64852BFC"/>
    <w:rsid w:val="648A46E4"/>
    <w:rsid w:val="649015CE"/>
    <w:rsid w:val="64947310"/>
    <w:rsid w:val="64A86918"/>
    <w:rsid w:val="64AA2690"/>
    <w:rsid w:val="64AF7CA6"/>
    <w:rsid w:val="64CF0348"/>
    <w:rsid w:val="64D67929"/>
    <w:rsid w:val="64E02555"/>
    <w:rsid w:val="65030E60"/>
    <w:rsid w:val="65041B65"/>
    <w:rsid w:val="65091B75"/>
    <w:rsid w:val="651D10B4"/>
    <w:rsid w:val="65420538"/>
    <w:rsid w:val="6554661C"/>
    <w:rsid w:val="655A5E64"/>
    <w:rsid w:val="656E7A21"/>
    <w:rsid w:val="65735178"/>
    <w:rsid w:val="658E5B0E"/>
    <w:rsid w:val="65BC6440"/>
    <w:rsid w:val="65C36E7F"/>
    <w:rsid w:val="65C9165A"/>
    <w:rsid w:val="65D21A26"/>
    <w:rsid w:val="65D4319C"/>
    <w:rsid w:val="65DA6FA5"/>
    <w:rsid w:val="65E107A1"/>
    <w:rsid w:val="65E81C56"/>
    <w:rsid w:val="65EB4424"/>
    <w:rsid w:val="65F04A1A"/>
    <w:rsid w:val="66062232"/>
    <w:rsid w:val="66120AE2"/>
    <w:rsid w:val="662B5726"/>
    <w:rsid w:val="663568D1"/>
    <w:rsid w:val="663B7430"/>
    <w:rsid w:val="6641064A"/>
    <w:rsid w:val="66415276"/>
    <w:rsid w:val="666351EC"/>
    <w:rsid w:val="66706FE1"/>
    <w:rsid w:val="66723681"/>
    <w:rsid w:val="66756922"/>
    <w:rsid w:val="668168E4"/>
    <w:rsid w:val="668A5502"/>
    <w:rsid w:val="669E568F"/>
    <w:rsid w:val="66D41C46"/>
    <w:rsid w:val="66E87063"/>
    <w:rsid w:val="670C5884"/>
    <w:rsid w:val="67160AA1"/>
    <w:rsid w:val="67193AFD"/>
    <w:rsid w:val="671E7365"/>
    <w:rsid w:val="67242BCD"/>
    <w:rsid w:val="672A0BC3"/>
    <w:rsid w:val="672C3655"/>
    <w:rsid w:val="672E75A8"/>
    <w:rsid w:val="675118BA"/>
    <w:rsid w:val="67580AC9"/>
    <w:rsid w:val="67584D0D"/>
    <w:rsid w:val="675F522D"/>
    <w:rsid w:val="676A25AA"/>
    <w:rsid w:val="67915D89"/>
    <w:rsid w:val="67990800"/>
    <w:rsid w:val="679D0A8D"/>
    <w:rsid w:val="67A61834"/>
    <w:rsid w:val="67FA5486"/>
    <w:rsid w:val="67FE2A02"/>
    <w:rsid w:val="6805238D"/>
    <w:rsid w:val="681D0278"/>
    <w:rsid w:val="682B1D3A"/>
    <w:rsid w:val="682B3AE8"/>
    <w:rsid w:val="68324E76"/>
    <w:rsid w:val="685C6397"/>
    <w:rsid w:val="687775B2"/>
    <w:rsid w:val="687C4343"/>
    <w:rsid w:val="68910310"/>
    <w:rsid w:val="6897475F"/>
    <w:rsid w:val="68A1024E"/>
    <w:rsid w:val="68B0794B"/>
    <w:rsid w:val="68BC6E36"/>
    <w:rsid w:val="68C83A2C"/>
    <w:rsid w:val="68CF0917"/>
    <w:rsid w:val="68FE634A"/>
    <w:rsid w:val="69036813"/>
    <w:rsid w:val="6908207B"/>
    <w:rsid w:val="691602F4"/>
    <w:rsid w:val="69161412"/>
    <w:rsid w:val="69164798"/>
    <w:rsid w:val="69777577"/>
    <w:rsid w:val="698711F2"/>
    <w:rsid w:val="699456BD"/>
    <w:rsid w:val="69A200AE"/>
    <w:rsid w:val="69A41DA4"/>
    <w:rsid w:val="69D411E9"/>
    <w:rsid w:val="69D467B8"/>
    <w:rsid w:val="69D8084E"/>
    <w:rsid w:val="69F50851"/>
    <w:rsid w:val="69FD7706"/>
    <w:rsid w:val="69FF347E"/>
    <w:rsid w:val="6A1B14A7"/>
    <w:rsid w:val="6A3C022E"/>
    <w:rsid w:val="6A4E1D0F"/>
    <w:rsid w:val="6A95620B"/>
    <w:rsid w:val="6AAC73D4"/>
    <w:rsid w:val="6AB03093"/>
    <w:rsid w:val="6ABC136F"/>
    <w:rsid w:val="6AD42356"/>
    <w:rsid w:val="6ADF0BB9"/>
    <w:rsid w:val="6AE5012B"/>
    <w:rsid w:val="6AF7368D"/>
    <w:rsid w:val="6B064398"/>
    <w:rsid w:val="6B080110"/>
    <w:rsid w:val="6B241A17"/>
    <w:rsid w:val="6B277CD9"/>
    <w:rsid w:val="6B3E66B1"/>
    <w:rsid w:val="6B6E044D"/>
    <w:rsid w:val="6B715CB5"/>
    <w:rsid w:val="6B721A2E"/>
    <w:rsid w:val="6B74112C"/>
    <w:rsid w:val="6B7636D8"/>
    <w:rsid w:val="6B797260"/>
    <w:rsid w:val="6BA31452"/>
    <w:rsid w:val="6BA37E39"/>
    <w:rsid w:val="6BA936A1"/>
    <w:rsid w:val="6BC56001"/>
    <w:rsid w:val="6BD91AAD"/>
    <w:rsid w:val="6BDA40B3"/>
    <w:rsid w:val="6BDB5825"/>
    <w:rsid w:val="6BE02E3B"/>
    <w:rsid w:val="6BEC17E0"/>
    <w:rsid w:val="6C0E025D"/>
    <w:rsid w:val="6C225202"/>
    <w:rsid w:val="6C256AA0"/>
    <w:rsid w:val="6C381FEE"/>
    <w:rsid w:val="6C392AD6"/>
    <w:rsid w:val="6C3C2767"/>
    <w:rsid w:val="6C5818C7"/>
    <w:rsid w:val="6C643A6C"/>
    <w:rsid w:val="6C7C2B64"/>
    <w:rsid w:val="6C8D4D71"/>
    <w:rsid w:val="6CCE28A2"/>
    <w:rsid w:val="6CDD06CC"/>
    <w:rsid w:val="6CEF1CA7"/>
    <w:rsid w:val="6D1014FE"/>
    <w:rsid w:val="6D1A4FAB"/>
    <w:rsid w:val="6D4E36AD"/>
    <w:rsid w:val="6D6F26C8"/>
    <w:rsid w:val="6D7B72BF"/>
    <w:rsid w:val="6D7D1E3C"/>
    <w:rsid w:val="6D99255B"/>
    <w:rsid w:val="6D9B34BE"/>
    <w:rsid w:val="6DAD31F1"/>
    <w:rsid w:val="6DF8446C"/>
    <w:rsid w:val="6E1148C4"/>
    <w:rsid w:val="6E3B07FD"/>
    <w:rsid w:val="6E437584"/>
    <w:rsid w:val="6E733BEC"/>
    <w:rsid w:val="6E761835"/>
    <w:rsid w:val="6E914282"/>
    <w:rsid w:val="6E9A5523"/>
    <w:rsid w:val="6E9C0F6F"/>
    <w:rsid w:val="6EB15EC5"/>
    <w:rsid w:val="6EC16F54"/>
    <w:rsid w:val="6EC627BC"/>
    <w:rsid w:val="6EDA0016"/>
    <w:rsid w:val="6F0155A2"/>
    <w:rsid w:val="6F0C13B1"/>
    <w:rsid w:val="6F0E4EC3"/>
    <w:rsid w:val="6F125A01"/>
    <w:rsid w:val="6F2D7753"/>
    <w:rsid w:val="6F481423"/>
    <w:rsid w:val="6FDD78C6"/>
    <w:rsid w:val="6FE86762"/>
    <w:rsid w:val="6FFE6EBD"/>
    <w:rsid w:val="70076BE8"/>
    <w:rsid w:val="70366B8A"/>
    <w:rsid w:val="703B0F88"/>
    <w:rsid w:val="70545BA6"/>
    <w:rsid w:val="70557737"/>
    <w:rsid w:val="705F4C76"/>
    <w:rsid w:val="70967F6C"/>
    <w:rsid w:val="70981F36"/>
    <w:rsid w:val="70AA672B"/>
    <w:rsid w:val="70B12FF8"/>
    <w:rsid w:val="70BB4803"/>
    <w:rsid w:val="70BC5C25"/>
    <w:rsid w:val="70DE203F"/>
    <w:rsid w:val="70E60EF4"/>
    <w:rsid w:val="70EC5301"/>
    <w:rsid w:val="70F03B20"/>
    <w:rsid w:val="70F058CE"/>
    <w:rsid w:val="711A6DEF"/>
    <w:rsid w:val="711C707A"/>
    <w:rsid w:val="71235F0D"/>
    <w:rsid w:val="712F0A38"/>
    <w:rsid w:val="71597917"/>
    <w:rsid w:val="7164006A"/>
    <w:rsid w:val="716A38D3"/>
    <w:rsid w:val="716A5681"/>
    <w:rsid w:val="71752277"/>
    <w:rsid w:val="717778BB"/>
    <w:rsid w:val="71997D14"/>
    <w:rsid w:val="71AD7318"/>
    <w:rsid w:val="71C37A53"/>
    <w:rsid w:val="71C774DC"/>
    <w:rsid w:val="71C823A7"/>
    <w:rsid w:val="71C8758C"/>
    <w:rsid w:val="71CC1CC1"/>
    <w:rsid w:val="71E5444A"/>
    <w:rsid w:val="71E82A49"/>
    <w:rsid w:val="71F4319C"/>
    <w:rsid w:val="72021D5D"/>
    <w:rsid w:val="721113BD"/>
    <w:rsid w:val="72127AC6"/>
    <w:rsid w:val="7232276A"/>
    <w:rsid w:val="72442376"/>
    <w:rsid w:val="72547BEB"/>
    <w:rsid w:val="72553376"/>
    <w:rsid w:val="725956F5"/>
    <w:rsid w:val="725974A3"/>
    <w:rsid w:val="726D70E7"/>
    <w:rsid w:val="728B1D53"/>
    <w:rsid w:val="729055BB"/>
    <w:rsid w:val="729A3D44"/>
    <w:rsid w:val="72A63D8F"/>
    <w:rsid w:val="72AD68BE"/>
    <w:rsid w:val="72B03567"/>
    <w:rsid w:val="72B62B48"/>
    <w:rsid w:val="72BC63B0"/>
    <w:rsid w:val="72C963D7"/>
    <w:rsid w:val="72D1172F"/>
    <w:rsid w:val="72D57472"/>
    <w:rsid w:val="72E256EB"/>
    <w:rsid w:val="72E476B5"/>
    <w:rsid w:val="72EB0A43"/>
    <w:rsid w:val="72EB459F"/>
    <w:rsid w:val="72FF004B"/>
    <w:rsid w:val="73051CF2"/>
    <w:rsid w:val="731D4975"/>
    <w:rsid w:val="737C169B"/>
    <w:rsid w:val="73806F2C"/>
    <w:rsid w:val="739832BA"/>
    <w:rsid w:val="73B13A3B"/>
    <w:rsid w:val="73B4002B"/>
    <w:rsid w:val="73D84871"/>
    <w:rsid w:val="73DB0AB8"/>
    <w:rsid w:val="73DC038C"/>
    <w:rsid w:val="73F76F74"/>
    <w:rsid w:val="73FC458A"/>
    <w:rsid w:val="74000587"/>
    <w:rsid w:val="7423420D"/>
    <w:rsid w:val="74237D69"/>
    <w:rsid w:val="742B1B49"/>
    <w:rsid w:val="744D4DE6"/>
    <w:rsid w:val="745A0D15"/>
    <w:rsid w:val="747D74F0"/>
    <w:rsid w:val="748A06F1"/>
    <w:rsid w:val="74C31ECB"/>
    <w:rsid w:val="74CE4179"/>
    <w:rsid w:val="74EE0377"/>
    <w:rsid w:val="74EE481B"/>
    <w:rsid w:val="751853F4"/>
    <w:rsid w:val="75265D63"/>
    <w:rsid w:val="75377F70"/>
    <w:rsid w:val="753C37D8"/>
    <w:rsid w:val="754B495E"/>
    <w:rsid w:val="755A5A0C"/>
    <w:rsid w:val="75610B49"/>
    <w:rsid w:val="756920F3"/>
    <w:rsid w:val="75936E3D"/>
    <w:rsid w:val="75942919"/>
    <w:rsid w:val="75AD3D60"/>
    <w:rsid w:val="75B275F6"/>
    <w:rsid w:val="75D94B83"/>
    <w:rsid w:val="75E43528"/>
    <w:rsid w:val="75ED6706"/>
    <w:rsid w:val="75F96FD3"/>
    <w:rsid w:val="760F4A49"/>
    <w:rsid w:val="763017A6"/>
    <w:rsid w:val="766D79C1"/>
    <w:rsid w:val="76760624"/>
    <w:rsid w:val="767C19B2"/>
    <w:rsid w:val="768A2321"/>
    <w:rsid w:val="76B136C6"/>
    <w:rsid w:val="76CC293A"/>
    <w:rsid w:val="76D0133D"/>
    <w:rsid w:val="76D17F50"/>
    <w:rsid w:val="76F679B7"/>
    <w:rsid w:val="77016E10"/>
    <w:rsid w:val="77106CCA"/>
    <w:rsid w:val="77112A42"/>
    <w:rsid w:val="77132317"/>
    <w:rsid w:val="77163BB5"/>
    <w:rsid w:val="7729243B"/>
    <w:rsid w:val="77440722"/>
    <w:rsid w:val="777C610E"/>
    <w:rsid w:val="77807964"/>
    <w:rsid w:val="77925931"/>
    <w:rsid w:val="77AA57AB"/>
    <w:rsid w:val="77E02514"/>
    <w:rsid w:val="77E141C3"/>
    <w:rsid w:val="780103C1"/>
    <w:rsid w:val="780659D7"/>
    <w:rsid w:val="781C169F"/>
    <w:rsid w:val="784D1858"/>
    <w:rsid w:val="78685D92"/>
    <w:rsid w:val="788259A6"/>
    <w:rsid w:val="78980859"/>
    <w:rsid w:val="78992CEF"/>
    <w:rsid w:val="78C30BD1"/>
    <w:rsid w:val="78EC5994"/>
    <w:rsid w:val="7908577F"/>
    <w:rsid w:val="791B3704"/>
    <w:rsid w:val="791D52BE"/>
    <w:rsid w:val="7929565A"/>
    <w:rsid w:val="793E66FC"/>
    <w:rsid w:val="798553D8"/>
    <w:rsid w:val="79974FBB"/>
    <w:rsid w:val="799A6103"/>
    <w:rsid w:val="79AF6B46"/>
    <w:rsid w:val="79B3393D"/>
    <w:rsid w:val="79C1409B"/>
    <w:rsid w:val="79D05643"/>
    <w:rsid w:val="79DE0704"/>
    <w:rsid w:val="79E24E87"/>
    <w:rsid w:val="79EB2E16"/>
    <w:rsid w:val="79F846B6"/>
    <w:rsid w:val="79FA156C"/>
    <w:rsid w:val="7A150154"/>
    <w:rsid w:val="7A230AC3"/>
    <w:rsid w:val="7A480529"/>
    <w:rsid w:val="7A4B0019"/>
    <w:rsid w:val="7A4D1FE3"/>
    <w:rsid w:val="7A4F18B8"/>
    <w:rsid w:val="7A4F4487"/>
    <w:rsid w:val="7A682979"/>
    <w:rsid w:val="7A756E44"/>
    <w:rsid w:val="7A807CC3"/>
    <w:rsid w:val="7A8377B3"/>
    <w:rsid w:val="7A9B4AFD"/>
    <w:rsid w:val="7A9E45ED"/>
    <w:rsid w:val="7AA02113"/>
    <w:rsid w:val="7AA8721A"/>
    <w:rsid w:val="7AAA36FF"/>
    <w:rsid w:val="7B1F572E"/>
    <w:rsid w:val="7B276391"/>
    <w:rsid w:val="7B4E68F8"/>
    <w:rsid w:val="7B536393"/>
    <w:rsid w:val="7B690757"/>
    <w:rsid w:val="7B9D1B1E"/>
    <w:rsid w:val="7B9F4679"/>
    <w:rsid w:val="7BB87930"/>
    <w:rsid w:val="7BBF481B"/>
    <w:rsid w:val="7BCC0CE6"/>
    <w:rsid w:val="7BE20509"/>
    <w:rsid w:val="7C06244A"/>
    <w:rsid w:val="7C1903CF"/>
    <w:rsid w:val="7C23124E"/>
    <w:rsid w:val="7C280612"/>
    <w:rsid w:val="7C2B0447"/>
    <w:rsid w:val="7C4800B3"/>
    <w:rsid w:val="7C4D40ED"/>
    <w:rsid w:val="7C5533D1"/>
    <w:rsid w:val="7C766779"/>
    <w:rsid w:val="7C8702CE"/>
    <w:rsid w:val="7C920181"/>
    <w:rsid w:val="7C985CAF"/>
    <w:rsid w:val="7C9C4E59"/>
    <w:rsid w:val="7CE107C1"/>
    <w:rsid w:val="7CE93667"/>
    <w:rsid w:val="7CEF1130"/>
    <w:rsid w:val="7CF229CE"/>
    <w:rsid w:val="7D0A5F6A"/>
    <w:rsid w:val="7D0A7D18"/>
    <w:rsid w:val="7D124E1E"/>
    <w:rsid w:val="7D1E37C3"/>
    <w:rsid w:val="7D384885"/>
    <w:rsid w:val="7D690EE2"/>
    <w:rsid w:val="7D8950E1"/>
    <w:rsid w:val="7DAE0FEB"/>
    <w:rsid w:val="7DB3215D"/>
    <w:rsid w:val="7DC0487A"/>
    <w:rsid w:val="7DC720AD"/>
    <w:rsid w:val="7DCB56F9"/>
    <w:rsid w:val="7DD50326"/>
    <w:rsid w:val="7DE70059"/>
    <w:rsid w:val="7DF804B8"/>
    <w:rsid w:val="7DFA4230"/>
    <w:rsid w:val="7DFC3B04"/>
    <w:rsid w:val="7E2F1D63"/>
    <w:rsid w:val="7E3C2153"/>
    <w:rsid w:val="7E423B38"/>
    <w:rsid w:val="7E431733"/>
    <w:rsid w:val="7E4D576F"/>
    <w:rsid w:val="7E682F48"/>
    <w:rsid w:val="7E6B6EDC"/>
    <w:rsid w:val="7E7C69F3"/>
    <w:rsid w:val="7E7E0F36"/>
    <w:rsid w:val="7E941FD6"/>
    <w:rsid w:val="7E9445AA"/>
    <w:rsid w:val="7E9C7095"/>
    <w:rsid w:val="7EAA7A04"/>
    <w:rsid w:val="7EFC18E2"/>
    <w:rsid w:val="7F030EC3"/>
    <w:rsid w:val="7F076C05"/>
    <w:rsid w:val="7F183EFE"/>
    <w:rsid w:val="7F2111AE"/>
    <w:rsid w:val="7F2F3A66"/>
    <w:rsid w:val="7F314308"/>
    <w:rsid w:val="7F426FBA"/>
    <w:rsid w:val="7F637BB3"/>
    <w:rsid w:val="7F651B7D"/>
    <w:rsid w:val="7F6A7194"/>
    <w:rsid w:val="7F945FBF"/>
    <w:rsid w:val="7F9E7628"/>
    <w:rsid w:val="7FC05006"/>
    <w:rsid w:val="7FC95C68"/>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0"/>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1"/>
    <w:qFormat/>
    <w:uiPriority w:val="99"/>
    <w:pPr>
      <w:keepNext/>
      <w:keepLines/>
      <w:spacing w:before="260" w:after="260" w:line="416" w:lineRule="auto"/>
      <w:outlineLvl w:val="2"/>
    </w:pPr>
    <w:rPr>
      <w:b/>
      <w:bCs/>
      <w:kern w:val="0"/>
      <w:sz w:val="32"/>
      <w:szCs w:val="32"/>
    </w:rPr>
  </w:style>
  <w:style w:type="paragraph" w:styleId="5">
    <w:name w:val="heading 4"/>
    <w:basedOn w:val="1"/>
    <w:next w:val="1"/>
    <w:qFormat/>
    <w:uiPriority w:val="9"/>
    <w:pPr>
      <w:keepNext/>
      <w:keepLines/>
      <w:numPr>
        <w:ilvl w:val="3"/>
        <w:numId w:val="1"/>
      </w:numPr>
      <w:spacing w:before="280" w:after="290" w:line="376" w:lineRule="auto"/>
      <w:ind w:left="864" w:hanging="864"/>
      <w:outlineLvl w:val="3"/>
    </w:pPr>
    <w:rPr>
      <w:rFonts w:ascii="Arial" w:hAnsi="Arial" w:eastAsia="黑体"/>
      <w:b/>
      <w:bCs/>
      <w:sz w:val="28"/>
      <w:szCs w:val="28"/>
    </w:rPr>
  </w:style>
  <w:style w:type="paragraph" w:styleId="6">
    <w:name w:val="heading 5"/>
    <w:basedOn w:val="1"/>
    <w:next w:val="7"/>
    <w:link w:val="62"/>
    <w:qFormat/>
    <w:uiPriority w:val="0"/>
    <w:pPr>
      <w:keepNext/>
      <w:keepLines/>
      <w:numPr>
        <w:ilvl w:val="4"/>
        <w:numId w:val="2"/>
      </w:numPr>
      <w:spacing w:before="280" w:after="290" w:line="376" w:lineRule="auto"/>
      <w:outlineLvl w:val="4"/>
    </w:pPr>
    <w:rPr>
      <w:b/>
      <w:sz w:val="28"/>
    </w:rPr>
  </w:style>
  <w:style w:type="paragraph" w:styleId="8">
    <w:name w:val="heading 6"/>
    <w:basedOn w:val="1"/>
    <w:next w:val="7"/>
    <w:link w:val="63"/>
    <w:qFormat/>
    <w:uiPriority w:val="0"/>
    <w:pPr>
      <w:keepNext/>
      <w:keepLines/>
      <w:numPr>
        <w:ilvl w:val="5"/>
        <w:numId w:val="2"/>
      </w:numPr>
      <w:spacing w:before="240" w:after="64" w:line="320" w:lineRule="auto"/>
      <w:outlineLvl w:val="5"/>
    </w:pPr>
    <w:rPr>
      <w:rFonts w:ascii="Arial" w:hAnsi="Arial" w:eastAsia="黑体"/>
      <w:b/>
      <w:sz w:val="24"/>
    </w:rPr>
  </w:style>
  <w:style w:type="paragraph" w:styleId="9">
    <w:name w:val="heading 7"/>
    <w:basedOn w:val="1"/>
    <w:next w:val="7"/>
    <w:link w:val="64"/>
    <w:qFormat/>
    <w:uiPriority w:val="0"/>
    <w:pPr>
      <w:keepNext/>
      <w:keepLines/>
      <w:numPr>
        <w:ilvl w:val="6"/>
        <w:numId w:val="2"/>
      </w:numPr>
      <w:spacing w:before="240" w:after="64" w:line="320" w:lineRule="auto"/>
      <w:outlineLvl w:val="6"/>
    </w:pPr>
    <w:rPr>
      <w:b/>
      <w:sz w:val="24"/>
    </w:rPr>
  </w:style>
  <w:style w:type="paragraph" w:styleId="10">
    <w:name w:val="heading 8"/>
    <w:basedOn w:val="1"/>
    <w:next w:val="7"/>
    <w:link w:val="65"/>
    <w:qFormat/>
    <w:uiPriority w:val="0"/>
    <w:pPr>
      <w:keepNext/>
      <w:keepLines/>
      <w:numPr>
        <w:ilvl w:val="7"/>
        <w:numId w:val="2"/>
      </w:numPr>
      <w:spacing w:before="240" w:after="64" w:line="320" w:lineRule="auto"/>
      <w:outlineLvl w:val="7"/>
    </w:pPr>
    <w:rPr>
      <w:rFonts w:ascii="Arial" w:hAnsi="Arial" w:eastAsia="黑体"/>
      <w:sz w:val="24"/>
    </w:rPr>
  </w:style>
  <w:style w:type="paragraph" w:styleId="11">
    <w:name w:val="heading 9"/>
    <w:basedOn w:val="1"/>
    <w:next w:val="7"/>
    <w:link w:val="66"/>
    <w:qFormat/>
    <w:uiPriority w:val="0"/>
    <w:pPr>
      <w:keepNext/>
      <w:keepLines/>
      <w:numPr>
        <w:ilvl w:val="8"/>
        <w:numId w:val="2"/>
      </w:numPr>
      <w:spacing w:before="240" w:after="64" w:line="320" w:lineRule="auto"/>
      <w:outlineLvl w:val="8"/>
    </w:pPr>
    <w:rPr>
      <w:rFonts w:ascii="Arial" w:hAnsi="Arial" w:eastAsia="黑体"/>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99"/>
    <w:pPr>
      <w:autoSpaceDE w:val="0"/>
      <w:spacing w:line="400" w:lineRule="exact"/>
    </w:pPr>
    <w:rPr>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pPr>
    <w:rPr>
      <w:rFonts w:ascii="Arial" w:hAnsi="Arial" w:eastAsia="黑体" w:cs="Arial"/>
      <w:sz w:val="20"/>
      <w:szCs w:val="20"/>
    </w:rPr>
  </w:style>
  <w:style w:type="paragraph" w:styleId="15">
    <w:name w:val="Document Map"/>
    <w:basedOn w:val="1"/>
    <w:link w:val="67"/>
    <w:unhideWhenUsed/>
    <w:qFormat/>
    <w:uiPriority w:val="0"/>
    <w:pPr>
      <w:shd w:val="clear" w:color="auto" w:fill="000080"/>
    </w:pPr>
    <w:rPr>
      <w:rFonts w:hint="eastAsia" w:ascii="宋体" w:hAnsi="宋体"/>
      <w:kern w:val="0"/>
      <w:sz w:val="20"/>
      <w:szCs w:val="20"/>
    </w:rPr>
  </w:style>
  <w:style w:type="paragraph" w:styleId="16">
    <w:name w:val="annotation text"/>
    <w:basedOn w:val="1"/>
    <w:link w:val="68"/>
    <w:unhideWhenUsed/>
    <w:qFormat/>
    <w:uiPriority w:val="99"/>
    <w:pPr>
      <w:jc w:val="left"/>
    </w:pPr>
  </w:style>
  <w:style w:type="paragraph" w:styleId="17">
    <w:name w:val="Body Text 3"/>
    <w:basedOn w:val="1"/>
    <w:link w:val="69"/>
    <w:qFormat/>
    <w:uiPriority w:val="0"/>
    <w:pPr>
      <w:spacing w:line="500" w:lineRule="exact"/>
    </w:pPr>
    <w:rPr>
      <w:b/>
      <w:bCs/>
      <w:kern w:val="0"/>
      <w:sz w:val="24"/>
    </w:rPr>
  </w:style>
  <w:style w:type="paragraph" w:styleId="18">
    <w:name w:val="Body Text"/>
    <w:basedOn w:val="1"/>
    <w:next w:val="1"/>
    <w:link w:val="58"/>
    <w:qFormat/>
    <w:uiPriority w:val="99"/>
    <w:pPr>
      <w:spacing w:line="400" w:lineRule="exact"/>
      <w:ind w:right="-105" w:rightChars="-50"/>
    </w:pPr>
    <w:rPr>
      <w:rFonts w:ascii="仿宋" w:hAnsi="仿宋" w:eastAsia="仿宋"/>
      <w:sz w:val="24"/>
    </w:rPr>
  </w:style>
  <w:style w:type="paragraph" w:styleId="19">
    <w:name w:val="Body Text Indent"/>
    <w:basedOn w:val="1"/>
    <w:next w:val="20"/>
    <w:link w:val="70"/>
    <w:qFormat/>
    <w:uiPriority w:val="0"/>
    <w:pPr>
      <w:ind w:firstLine="830" w:firstLineChars="352"/>
    </w:pPr>
    <w:rPr>
      <w:rFonts w:ascii="仿宋_GB2312" w:eastAsia="仿宋_GB2312"/>
      <w:kern w:val="0"/>
      <w:sz w:val="32"/>
      <w:szCs w:val="20"/>
    </w:rPr>
  </w:style>
  <w:style w:type="paragraph" w:styleId="20">
    <w:name w:val="envelope return"/>
    <w:basedOn w:val="1"/>
    <w:qFormat/>
    <w:uiPriority w:val="0"/>
    <w:pPr>
      <w:snapToGrid w:val="0"/>
    </w:pPr>
    <w:rPr>
      <w:rFonts w:ascii="Arial" w:hAnsi="Arial"/>
    </w:rPr>
  </w:style>
  <w:style w:type="paragraph" w:styleId="21">
    <w:name w:val="List Number 3"/>
    <w:basedOn w:val="1"/>
    <w:qFormat/>
    <w:uiPriority w:val="0"/>
    <w:pPr>
      <w:numPr>
        <w:ilvl w:val="0"/>
        <w:numId w:val="3"/>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szCs w:val="22"/>
    </w:rPr>
  </w:style>
  <w:style w:type="paragraph" w:styleId="24">
    <w:name w:val="toc 3"/>
    <w:basedOn w:val="1"/>
    <w:next w:val="1"/>
    <w:unhideWhenUsed/>
    <w:qFormat/>
    <w:uiPriority w:val="39"/>
    <w:pPr>
      <w:ind w:left="840" w:leftChars="400"/>
    </w:pPr>
    <w:rPr>
      <w:rFonts w:ascii="Calibri" w:hAnsi="Calibri"/>
      <w:szCs w:val="22"/>
    </w:rPr>
  </w:style>
  <w:style w:type="paragraph" w:styleId="25">
    <w:name w:val="Plain Text"/>
    <w:basedOn w:val="1"/>
    <w:next w:val="1"/>
    <w:link w:val="71"/>
    <w:qFormat/>
    <w:uiPriority w:val="99"/>
    <w:pPr>
      <w:spacing w:before="120" w:after="120" w:line="360" w:lineRule="auto"/>
      <w:ind w:firstLine="482" w:firstLineChars="200"/>
      <w:contextualSpacing/>
    </w:pPr>
    <w:rPr>
      <w:rFonts w:ascii="仿宋" w:hAnsi="仿宋" w:eastAsia="仿宋" w:cs="宋体"/>
      <w:b/>
      <w:kern w:val="0"/>
      <w:sz w:val="24"/>
    </w:r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72"/>
    <w:qFormat/>
    <w:uiPriority w:val="0"/>
    <w:pPr>
      <w:ind w:left="100" w:leftChars="2500"/>
    </w:pPr>
    <w:rPr>
      <w:rFonts w:ascii="宋体" w:hAnsi="Courier New"/>
      <w:kern w:val="0"/>
      <w:sz w:val="20"/>
      <w:szCs w:val="21"/>
    </w:rPr>
  </w:style>
  <w:style w:type="paragraph" w:styleId="28">
    <w:name w:val="Body Text Indent 2"/>
    <w:basedOn w:val="1"/>
    <w:link w:val="73"/>
    <w:qFormat/>
    <w:uiPriority w:val="0"/>
    <w:pPr>
      <w:ind w:firstLine="630"/>
    </w:pPr>
    <w:rPr>
      <w:kern w:val="0"/>
      <w:sz w:val="32"/>
      <w:szCs w:val="20"/>
    </w:rPr>
  </w:style>
  <w:style w:type="paragraph" w:styleId="29">
    <w:name w:val="endnote text"/>
    <w:basedOn w:val="1"/>
    <w:link w:val="74"/>
    <w:unhideWhenUsed/>
    <w:qFormat/>
    <w:uiPriority w:val="99"/>
    <w:pPr>
      <w:snapToGrid w:val="0"/>
      <w:jc w:val="left"/>
    </w:pPr>
  </w:style>
  <w:style w:type="paragraph" w:styleId="30">
    <w:name w:val="Balloon Text"/>
    <w:basedOn w:val="1"/>
    <w:link w:val="75"/>
    <w:semiHidden/>
    <w:qFormat/>
    <w:uiPriority w:val="0"/>
    <w:rPr>
      <w:kern w:val="0"/>
      <w:sz w:val="18"/>
      <w:szCs w:val="18"/>
    </w:rPr>
  </w:style>
  <w:style w:type="paragraph" w:styleId="31">
    <w:name w:val="footer"/>
    <w:basedOn w:val="1"/>
    <w:link w:val="76"/>
    <w:unhideWhenUsed/>
    <w:qFormat/>
    <w:uiPriority w:val="99"/>
    <w:pPr>
      <w:tabs>
        <w:tab w:val="center" w:pos="4153"/>
        <w:tab w:val="right" w:pos="8306"/>
      </w:tabs>
      <w:snapToGrid w:val="0"/>
      <w:jc w:val="left"/>
    </w:pPr>
    <w:rPr>
      <w:kern w:val="0"/>
      <w:sz w:val="18"/>
      <w:szCs w:val="18"/>
    </w:rPr>
  </w:style>
  <w:style w:type="paragraph" w:styleId="32">
    <w:name w:val="header"/>
    <w:basedOn w:val="1"/>
    <w:link w:val="77"/>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szCs w:val="22"/>
    </w:rPr>
  </w:style>
  <w:style w:type="paragraph" w:styleId="35">
    <w:name w:val="List"/>
    <w:basedOn w:val="1"/>
    <w:qFormat/>
    <w:uiPriority w:val="0"/>
    <w:pPr>
      <w:ind w:left="200" w:hanging="200" w:hangingChars="200"/>
    </w:pPr>
    <w:rPr>
      <w:sz w:val="28"/>
    </w:rPr>
  </w:style>
  <w:style w:type="paragraph" w:styleId="36">
    <w:name w:val="footnote text"/>
    <w:basedOn w:val="1"/>
    <w:link w:val="78"/>
    <w:unhideWhenUsed/>
    <w:qFormat/>
    <w:uiPriority w:val="99"/>
    <w:pPr>
      <w:snapToGrid w:val="0"/>
      <w:jc w:val="left"/>
    </w:pPr>
    <w:rPr>
      <w:sz w:val="18"/>
      <w:szCs w:val="18"/>
    </w:rPr>
  </w:style>
  <w:style w:type="paragraph" w:styleId="37">
    <w:name w:val="toc 6"/>
    <w:basedOn w:val="1"/>
    <w:next w:val="1"/>
    <w:unhideWhenUsed/>
    <w:qFormat/>
    <w:uiPriority w:val="39"/>
    <w:pPr>
      <w:ind w:left="2100" w:leftChars="1000"/>
    </w:pPr>
    <w:rPr>
      <w:rFonts w:ascii="Calibri" w:hAnsi="Calibri"/>
      <w:szCs w:val="22"/>
    </w:rPr>
  </w:style>
  <w:style w:type="paragraph" w:styleId="38">
    <w:name w:val="Body Text Indent 3"/>
    <w:basedOn w:val="1"/>
    <w:link w:val="79"/>
    <w:qFormat/>
    <w:uiPriority w:val="0"/>
    <w:pPr>
      <w:spacing w:after="120"/>
      <w:ind w:left="420" w:leftChars="200"/>
    </w:pPr>
    <w:rPr>
      <w:kern w:val="0"/>
      <w:sz w:val="16"/>
      <w:szCs w:val="16"/>
    </w:rPr>
  </w:style>
  <w:style w:type="paragraph" w:styleId="39">
    <w:name w:val="toc 2"/>
    <w:basedOn w:val="1"/>
    <w:next w:val="1"/>
    <w:unhideWhenUsed/>
    <w:qFormat/>
    <w:uiPriority w:val="39"/>
    <w:pPr>
      <w:ind w:left="420" w:leftChars="200"/>
    </w:pPr>
  </w:style>
  <w:style w:type="paragraph" w:styleId="40">
    <w:name w:val="toc 9"/>
    <w:basedOn w:val="1"/>
    <w:next w:val="1"/>
    <w:unhideWhenUsed/>
    <w:qFormat/>
    <w:uiPriority w:val="39"/>
    <w:pPr>
      <w:ind w:left="3360" w:leftChars="1600"/>
    </w:pPr>
    <w:rPr>
      <w:rFonts w:ascii="Calibri" w:hAnsi="Calibri"/>
      <w:szCs w:val="22"/>
    </w:rPr>
  </w:style>
  <w:style w:type="paragraph" w:styleId="41">
    <w:name w:val="Body Text 2"/>
    <w:basedOn w:val="1"/>
    <w:link w:val="80"/>
    <w:qFormat/>
    <w:uiPriority w:val="0"/>
    <w:pPr>
      <w:spacing w:after="120" w:line="480" w:lineRule="auto"/>
    </w:pPr>
    <w:rPr>
      <w:kern w:val="0"/>
      <w:sz w:val="20"/>
    </w:rPr>
  </w:style>
  <w:style w:type="paragraph" w:styleId="42">
    <w:name w:val="Normal (Web)"/>
    <w:basedOn w:val="1"/>
    <w:qFormat/>
    <w:uiPriority w:val="0"/>
    <w:pPr>
      <w:widowControl/>
      <w:spacing w:before="100" w:beforeAutospacing="1" w:after="100" w:afterAutospacing="1"/>
      <w:jc w:val="left"/>
    </w:pPr>
    <w:rPr>
      <w:rFonts w:ascii="宋体" w:hAnsi="宋体"/>
      <w:kern w:val="0"/>
      <w:sz w:val="24"/>
    </w:rPr>
  </w:style>
  <w:style w:type="paragraph" w:styleId="43">
    <w:name w:val="index 1"/>
    <w:basedOn w:val="1"/>
    <w:next w:val="1"/>
    <w:semiHidden/>
    <w:qFormat/>
    <w:uiPriority w:val="0"/>
    <w:pPr>
      <w:spacing w:line="400" w:lineRule="exact"/>
      <w:ind w:firstLine="420" w:firstLineChars="200"/>
    </w:pPr>
    <w:rPr>
      <w:rFonts w:ascii="宋体" w:hAnsi="Courier New"/>
      <w:b/>
      <w:szCs w:val="20"/>
    </w:rPr>
  </w:style>
  <w:style w:type="paragraph" w:styleId="44">
    <w:name w:val="Title"/>
    <w:basedOn w:val="1"/>
    <w:next w:val="1"/>
    <w:link w:val="81"/>
    <w:qFormat/>
    <w:uiPriority w:val="10"/>
    <w:pPr>
      <w:spacing w:before="240" w:after="60"/>
      <w:jc w:val="center"/>
      <w:outlineLvl w:val="0"/>
    </w:pPr>
    <w:rPr>
      <w:rFonts w:ascii="Cambria" w:hAnsi="Cambria"/>
      <w:b/>
      <w:bCs/>
      <w:sz w:val="32"/>
      <w:szCs w:val="32"/>
    </w:rPr>
  </w:style>
  <w:style w:type="paragraph" w:styleId="45">
    <w:name w:val="annotation subject"/>
    <w:basedOn w:val="16"/>
    <w:next w:val="16"/>
    <w:link w:val="82"/>
    <w:unhideWhenUsed/>
    <w:qFormat/>
    <w:uiPriority w:val="99"/>
    <w:rPr>
      <w:b/>
      <w:bCs/>
    </w:rPr>
  </w:style>
  <w:style w:type="paragraph" w:styleId="46">
    <w:name w:val="Body Text First Indent"/>
    <w:basedOn w:val="18"/>
    <w:next w:val="47"/>
    <w:qFormat/>
    <w:uiPriority w:val="99"/>
    <w:pPr>
      <w:spacing w:after="120" w:line="440" w:lineRule="exact"/>
      <w:ind w:firstLine="420" w:firstLineChars="100"/>
    </w:pPr>
    <w:rPr>
      <w:rFonts w:cs="宋体"/>
      <w:szCs w:val="22"/>
    </w:rPr>
  </w:style>
  <w:style w:type="paragraph" w:styleId="47">
    <w:name w:val="Body Text First Indent 2"/>
    <w:basedOn w:val="19"/>
    <w:next w:val="48"/>
    <w:unhideWhenUsed/>
    <w:qFormat/>
    <w:uiPriority w:val="99"/>
    <w:pPr>
      <w:ind w:firstLine="420" w:firstLineChars="200"/>
    </w:pPr>
  </w:style>
  <w:style w:type="paragraph" w:customStyle="1" w:styleId="48">
    <w:name w:val="**正文"/>
    <w:basedOn w:val="1"/>
    <w:qFormat/>
    <w:uiPriority w:val="0"/>
    <w:pPr>
      <w:ind w:firstLine="482"/>
    </w:pPr>
    <w:rPr>
      <w:rFonts w:ascii="宋体" w:hAnsi="宋体"/>
      <w:sz w:val="24"/>
    </w:r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endnote reference"/>
    <w:unhideWhenUsed/>
    <w:qFormat/>
    <w:uiPriority w:val="99"/>
    <w:rPr>
      <w:vertAlign w:val="superscript"/>
    </w:rPr>
  </w:style>
  <w:style w:type="character" w:styleId="53">
    <w:name w:val="page number"/>
    <w:qFormat/>
    <w:uiPriority w:val="0"/>
  </w:style>
  <w:style w:type="character" w:styleId="54">
    <w:name w:val="FollowedHyperlink"/>
    <w:qFormat/>
    <w:uiPriority w:val="0"/>
    <w:rPr>
      <w:color w:val="000000"/>
      <w:u w:val="none"/>
    </w:rPr>
  </w:style>
  <w:style w:type="character" w:styleId="55">
    <w:name w:val="Hyperlink"/>
    <w:qFormat/>
    <w:uiPriority w:val="99"/>
    <w:rPr>
      <w:color w:val="000000"/>
      <w:u w:val="none"/>
    </w:rPr>
  </w:style>
  <w:style w:type="character" w:styleId="56">
    <w:name w:val="annotation reference"/>
    <w:unhideWhenUsed/>
    <w:qFormat/>
    <w:uiPriority w:val="99"/>
    <w:rPr>
      <w:sz w:val="21"/>
      <w:szCs w:val="21"/>
    </w:rPr>
  </w:style>
  <w:style w:type="character" w:styleId="57">
    <w:name w:val="footnote reference"/>
    <w:unhideWhenUsed/>
    <w:qFormat/>
    <w:uiPriority w:val="99"/>
    <w:rPr>
      <w:vertAlign w:val="superscript"/>
    </w:rPr>
  </w:style>
  <w:style w:type="character" w:customStyle="1" w:styleId="58">
    <w:name w:val="正文文本 字符1"/>
    <w:link w:val="18"/>
    <w:qFormat/>
    <w:uiPriority w:val="99"/>
    <w:rPr>
      <w:rFonts w:ascii="仿宋" w:hAnsi="仿宋" w:eastAsia="仿宋"/>
      <w:kern w:val="2"/>
      <w:sz w:val="24"/>
      <w:szCs w:val="24"/>
    </w:rPr>
  </w:style>
  <w:style w:type="character" w:customStyle="1" w:styleId="59">
    <w:name w:val="标题 1 字符1"/>
    <w:link w:val="2"/>
    <w:qFormat/>
    <w:uiPriority w:val="0"/>
    <w:rPr>
      <w:rFonts w:ascii="Times New Roman" w:hAnsi="Times New Roman" w:eastAsia="宋体" w:cs="Times New Roman"/>
      <w:b/>
      <w:bCs/>
      <w:kern w:val="44"/>
      <w:sz w:val="44"/>
      <w:szCs w:val="44"/>
    </w:rPr>
  </w:style>
  <w:style w:type="character" w:customStyle="1" w:styleId="60">
    <w:name w:val="标题 2 字符"/>
    <w:link w:val="3"/>
    <w:qFormat/>
    <w:uiPriority w:val="0"/>
    <w:rPr>
      <w:rFonts w:ascii="Arial" w:hAnsi="Arial" w:eastAsia="黑体" w:cs="Times New Roman"/>
      <w:b/>
      <w:bCs/>
      <w:sz w:val="32"/>
      <w:szCs w:val="32"/>
    </w:rPr>
  </w:style>
  <w:style w:type="character" w:customStyle="1" w:styleId="61">
    <w:name w:val="标题 3 字符2"/>
    <w:link w:val="4"/>
    <w:qFormat/>
    <w:uiPriority w:val="99"/>
    <w:rPr>
      <w:rFonts w:ascii="Times New Roman" w:hAnsi="Times New Roman" w:eastAsia="宋体" w:cs="Times New Roman"/>
      <w:b/>
      <w:bCs/>
      <w:sz w:val="32"/>
      <w:szCs w:val="32"/>
    </w:rPr>
  </w:style>
  <w:style w:type="character" w:customStyle="1" w:styleId="62">
    <w:name w:val="标题 5 字符"/>
    <w:link w:val="6"/>
    <w:qFormat/>
    <w:uiPriority w:val="0"/>
    <w:rPr>
      <w:b/>
      <w:kern w:val="2"/>
      <w:sz w:val="28"/>
      <w:szCs w:val="24"/>
    </w:rPr>
  </w:style>
  <w:style w:type="character" w:customStyle="1" w:styleId="63">
    <w:name w:val="标题 6 字符"/>
    <w:link w:val="8"/>
    <w:qFormat/>
    <w:uiPriority w:val="0"/>
    <w:rPr>
      <w:rFonts w:ascii="Arial" w:hAnsi="Arial" w:eastAsia="黑体"/>
      <w:b/>
      <w:kern w:val="2"/>
      <w:sz w:val="24"/>
      <w:szCs w:val="24"/>
    </w:rPr>
  </w:style>
  <w:style w:type="character" w:customStyle="1" w:styleId="64">
    <w:name w:val="标题 7 字符"/>
    <w:link w:val="9"/>
    <w:qFormat/>
    <w:uiPriority w:val="0"/>
    <w:rPr>
      <w:rFonts w:ascii="Times New Roman" w:hAnsi="Times New Roman"/>
      <w:b/>
      <w:kern w:val="2"/>
      <w:sz w:val="24"/>
      <w:szCs w:val="24"/>
    </w:rPr>
  </w:style>
  <w:style w:type="character" w:customStyle="1" w:styleId="65">
    <w:name w:val="标题 8 字符"/>
    <w:link w:val="10"/>
    <w:qFormat/>
    <w:uiPriority w:val="0"/>
    <w:rPr>
      <w:rFonts w:ascii="Arial" w:hAnsi="Arial" w:eastAsia="黑体"/>
      <w:kern w:val="2"/>
      <w:sz w:val="24"/>
      <w:szCs w:val="24"/>
    </w:rPr>
  </w:style>
  <w:style w:type="character" w:customStyle="1" w:styleId="66">
    <w:name w:val="标题 9 字符"/>
    <w:link w:val="11"/>
    <w:qFormat/>
    <w:uiPriority w:val="0"/>
    <w:rPr>
      <w:rFonts w:ascii="Arial" w:hAnsi="Arial" w:eastAsia="黑体"/>
      <w:kern w:val="2"/>
      <w:sz w:val="21"/>
      <w:szCs w:val="24"/>
    </w:rPr>
  </w:style>
  <w:style w:type="character" w:customStyle="1" w:styleId="67">
    <w:name w:val="文档结构图 字符"/>
    <w:link w:val="15"/>
    <w:qFormat/>
    <w:uiPriority w:val="0"/>
    <w:rPr>
      <w:rFonts w:hint="eastAsia" w:ascii="宋体" w:hAnsi="宋体" w:eastAsia="宋体" w:cs="宋体"/>
    </w:rPr>
  </w:style>
  <w:style w:type="character" w:customStyle="1" w:styleId="68">
    <w:name w:val="批注文字 字符3"/>
    <w:link w:val="16"/>
    <w:qFormat/>
    <w:uiPriority w:val="0"/>
    <w:rPr>
      <w:rFonts w:ascii="Times New Roman" w:hAnsi="Times New Roman"/>
      <w:kern w:val="2"/>
      <w:sz w:val="21"/>
      <w:szCs w:val="24"/>
    </w:rPr>
  </w:style>
  <w:style w:type="character" w:customStyle="1" w:styleId="69">
    <w:name w:val="正文文本 3 字符"/>
    <w:link w:val="17"/>
    <w:qFormat/>
    <w:uiPriority w:val="0"/>
    <w:rPr>
      <w:rFonts w:ascii="Times New Roman" w:hAnsi="Times New Roman" w:eastAsia="宋体" w:cs="Times New Roman"/>
      <w:b/>
      <w:bCs/>
      <w:sz w:val="24"/>
      <w:szCs w:val="24"/>
    </w:rPr>
  </w:style>
  <w:style w:type="character" w:customStyle="1" w:styleId="70">
    <w:name w:val="正文文本缩进 字符1"/>
    <w:link w:val="19"/>
    <w:qFormat/>
    <w:uiPriority w:val="0"/>
    <w:rPr>
      <w:rFonts w:ascii="仿宋_GB2312" w:hAnsi="Times New Roman" w:eastAsia="仿宋_GB2312" w:cs="Times New Roman"/>
      <w:sz w:val="32"/>
      <w:szCs w:val="20"/>
    </w:rPr>
  </w:style>
  <w:style w:type="character" w:customStyle="1" w:styleId="71">
    <w:name w:val="纯文本 字符4"/>
    <w:link w:val="25"/>
    <w:qFormat/>
    <w:uiPriority w:val="99"/>
    <w:rPr>
      <w:rFonts w:ascii="仿宋" w:hAnsi="仿宋" w:eastAsia="仿宋" w:cs="宋体"/>
      <w:b/>
      <w:sz w:val="24"/>
      <w:szCs w:val="24"/>
    </w:rPr>
  </w:style>
  <w:style w:type="character" w:customStyle="1" w:styleId="72">
    <w:name w:val="日期 字符"/>
    <w:link w:val="27"/>
    <w:qFormat/>
    <w:uiPriority w:val="0"/>
    <w:rPr>
      <w:rFonts w:ascii="宋体" w:hAnsi="Courier New" w:eastAsia="宋体" w:cs="Courier New"/>
      <w:szCs w:val="21"/>
    </w:rPr>
  </w:style>
  <w:style w:type="character" w:customStyle="1" w:styleId="73">
    <w:name w:val="正文文本缩进 2 字符"/>
    <w:link w:val="28"/>
    <w:qFormat/>
    <w:uiPriority w:val="0"/>
    <w:rPr>
      <w:rFonts w:ascii="Times New Roman" w:hAnsi="Times New Roman" w:eastAsia="宋体" w:cs="Times New Roman"/>
      <w:sz w:val="32"/>
      <w:szCs w:val="20"/>
    </w:rPr>
  </w:style>
  <w:style w:type="character" w:customStyle="1" w:styleId="74">
    <w:name w:val="尾注文本 字符"/>
    <w:link w:val="29"/>
    <w:semiHidden/>
    <w:qFormat/>
    <w:uiPriority w:val="99"/>
    <w:rPr>
      <w:rFonts w:ascii="Times New Roman" w:hAnsi="Times New Roman"/>
      <w:kern w:val="2"/>
      <w:sz w:val="21"/>
      <w:szCs w:val="24"/>
    </w:rPr>
  </w:style>
  <w:style w:type="character" w:customStyle="1" w:styleId="75">
    <w:name w:val="批注框文本 字符"/>
    <w:link w:val="30"/>
    <w:semiHidden/>
    <w:qFormat/>
    <w:uiPriority w:val="0"/>
    <w:rPr>
      <w:rFonts w:ascii="Times New Roman" w:hAnsi="Times New Roman" w:eastAsia="宋体" w:cs="Times New Roman"/>
      <w:sz w:val="18"/>
      <w:szCs w:val="18"/>
    </w:rPr>
  </w:style>
  <w:style w:type="character" w:customStyle="1" w:styleId="76">
    <w:name w:val="页脚 字符1"/>
    <w:link w:val="31"/>
    <w:qFormat/>
    <w:uiPriority w:val="99"/>
    <w:rPr>
      <w:sz w:val="18"/>
      <w:szCs w:val="18"/>
    </w:rPr>
  </w:style>
  <w:style w:type="character" w:customStyle="1" w:styleId="77">
    <w:name w:val="页眉 字符1"/>
    <w:link w:val="32"/>
    <w:qFormat/>
    <w:uiPriority w:val="99"/>
    <w:rPr>
      <w:rFonts w:ascii="Times New Roman" w:hAnsi="Times New Roman"/>
      <w:kern w:val="2"/>
      <w:sz w:val="18"/>
      <w:szCs w:val="18"/>
    </w:rPr>
  </w:style>
  <w:style w:type="character" w:customStyle="1" w:styleId="78">
    <w:name w:val="脚注文本 字符"/>
    <w:link w:val="36"/>
    <w:semiHidden/>
    <w:qFormat/>
    <w:uiPriority w:val="99"/>
    <w:rPr>
      <w:rFonts w:ascii="Times New Roman" w:hAnsi="Times New Roman"/>
      <w:kern w:val="2"/>
      <w:sz w:val="18"/>
      <w:szCs w:val="18"/>
    </w:rPr>
  </w:style>
  <w:style w:type="character" w:customStyle="1" w:styleId="79">
    <w:name w:val="正文文本缩进 3 字符"/>
    <w:link w:val="38"/>
    <w:qFormat/>
    <w:uiPriority w:val="0"/>
    <w:rPr>
      <w:rFonts w:ascii="Times New Roman" w:hAnsi="Times New Roman" w:eastAsia="宋体" w:cs="Times New Roman"/>
      <w:sz w:val="16"/>
      <w:szCs w:val="16"/>
    </w:rPr>
  </w:style>
  <w:style w:type="character" w:customStyle="1" w:styleId="80">
    <w:name w:val="正文文本 2 字符"/>
    <w:link w:val="41"/>
    <w:qFormat/>
    <w:uiPriority w:val="0"/>
    <w:rPr>
      <w:rFonts w:ascii="Times New Roman" w:hAnsi="Times New Roman" w:eastAsia="宋体" w:cs="Times New Roman"/>
      <w:szCs w:val="24"/>
    </w:rPr>
  </w:style>
  <w:style w:type="character" w:customStyle="1" w:styleId="81">
    <w:name w:val="标题 字符"/>
    <w:link w:val="44"/>
    <w:qFormat/>
    <w:uiPriority w:val="10"/>
    <w:rPr>
      <w:rFonts w:ascii="Cambria" w:hAnsi="Cambria" w:cs="Times New Roman"/>
      <w:b/>
      <w:bCs/>
      <w:kern w:val="2"/>
      <w:sz w:val="32"/>
      <w:szCs w:val="32"/>
    </w:rPr>
  </w:style>
  <w:style w:type="character" w:customStyle="1" w:styleId="82">
    <w:name w:val="批注主题 字符"/>
    <w:link w:val="45"/>
    <w:semiHidden/>
    <w:qFormat/>
    <w:uiPriority w:val="99"/>
    <w:rPr>
      <w:rFonts w:ascii="Times New Roman" w:hAnsi="Times New Roman"/>
      <w:b/>
      <w:bCs/>
      <w:kern w:val="2"/>
      <w:sz w:val="21"/>
      <w:szCs w:val="24"/>
    </w:rPr>
  </w:style>
  <w:style w:type="character" w:customStyle="1" w:styleId="83">
    <w:name w:val="批注文字 Char1"/>
    <w:qFormat/>
    <w:locked/>
    <w:uiPriority w:val="0"/>
    <w:rPr>
      <w:rFonts w:ascii="Times New Roman" w:hAnsi="Times New Roman"/>
      <w:kern w:val="2"/>
      <w:sz w:val="21"/>
      <w:szCs w:val="24"/>
    </w:rPr>
  </w:style>
  <w:style w:type="character" w:customStyle="1" w:styleId="84">
    <w:name w:val="case31"/>
    <w:qFormat/>
    <w:uiPriority w:val="0"/>
    <w:rPr>
      <w:rFonts w:hint="default"/>
      <w:sz w:val="21"/>
      <w:szCs w:val="21"/>
    </w:rPr>
  </w:style>
  <w:style w:type="character" w:customStyle="1" w:styleId="85">
    <w:name w:val="批注文字 Char"/>
    <w:qFormat/>
    <w:uiPriority w:val="0"/>
    <w:rPr>
      <w:rFonts w:ascii="Times New Roman" w:hAnsi="Times New Roman"/>
      <w:kern w:val="2"/>
      <w:sz w:val="21"/>
      <w:szCs w:val="24"/>
    </w:rPr>
  </w:style>
  <w:style w:type="character" w:customStyle="1" w:styleId="86">
    <w:name w:val="纯文本 Char"/>
    <w:qFormat/>
    <w:uiPriority w:val="0"/>
    <w:rPr>
      <w:rFonts w:ascii="宋体" w:hAnsi="Courier New" w:eastAsia="宋体"/>
      <w:kern w:val="2"/>
      <w:sz w:val="21"/>
      <w:lang w:val="en-US" w:eastAsia="zh-CN" w:bidi="ar-SA"/>
    </w:rPr>
  </w:style>
  <w:style w:type="character" w:customStyle="1" w:styleId="87">
    <w:name w:val="纯文本 字符1"/>
    <w:qFormat/>
    <w:uiPriority w:val="0"/>
    <w:rPr>
      <w:rFonts w:ascii="宋体" w:hAnsi="Courier New"/>
    </w:rPr>
  </w:style>
  <w:style w:type="character" w:customStyle="1" w:styleId="88">
    <w:name w:val="批注文字 字符1"/>
    <w:qFormat/>
    <w:uiPriority w:val="0"/>
    <w:rPr>
      <w:rFonts w:ascii="Times New Roman" w:hAnsi="Times New Roman"/>
      <w:kern w:val="2"/>
      <w:sz w:val="21"/>
      <w:szCs w:val="24"/>
    </w:rPr>
  </w:style>
  <w:style w:type="character" w:customStyle="1" w:styleId="89">
    <w:name w:val="正文文本 Char1"/>
    <w:semiHidden/>
    <w:qFormat/>
    <w:locked/>
    <w:uiPriority w:val="99"/>
    <w:rPr>
      <w:sz w:val="24"/>
      <w:szCs w:val="24"/>
    </w:rPr>
  </w:style>
  <w:style w:type="character" w:customStyle="1" w:styleId="90">
    <w:name w:val="apple-style-span"/>
    <w:qFormat/>
    <w:uiPriority w:val="0"/>
  </w:style>
  <w:style w:type="character" w:customStyle="1" w:styleId="91">
    <w:name w:val="textcontents"/>
    <w:qFormat/>
    <w:uiPriority w:val="0"/>
  </w:style>
  <w:style w:type="character" w:customStyle="1" w:styleId="92">
    <w:name w:val="普通文字 Char Char2"/>
    <w:qFormat/>
    <w:uiPriority w:val="0"/>
    <w:rPr>
      <w:rFonts w:ascii="宋体" w:hAnsi="Courier New" w:eastAsia="宋体"/>
      <w:kern w:val="2"/>
      <w:sz w:val="21"/>
      <w:lang w:val="en-US" w:eastAsia="zh-CN" w:bidi="ar-SA"/>
    </w:rPr>
  </w:style>
  <w:style w:type="character" w:customStyle="1" w:styleId="93">
    <w:name w:val="标题 5 Char"/>
    <w:qFormat/>
    <w:uiPriority w:val="9"/>
    <w:rPr>
      <w:b/>
      <w:kern w:val="2"/>
      <w:sz w:val="28"/>
      <w:szCs w:val="24"/>
    </w:rPr>
  </w:style>
  <w:style w:type="character" w:customStyle="1" w:styleId="94">
    <w:name w:val="批注文字 字符"/>
    <w:qFormat/>
    <w:uiPriority w:val="99"/>
    <w:rPr>
      <w:rFonts w:ascii="Times New Roman" w:hAnsi="Times New Roman"/>
      <w:kern w:val="2"/>
      <w:sz w:val="21"/>
      <w:szCs w:val="24"/>
    </w:rPr>
  </w:style>
  <w:style w:type="character" w:customStyle="1" w:styleId="95">
    <w:name w:val="标题 1 字符"/>
    <w:qFormat/>
    <w:uiPriority w:val="9"/>
    <w:rPr>
      <w:rFonts w:ascii="Times New Roman" w:hAnsi="Times New Roman" w:eastAsia="宋体" w:cs="Times New Roman"/>
      <w:b/>
      <w:bCs/>
      <w:kern w:val="44"/>
      <w:sz w:val="44"/>
      <w:szCs w:val="44"/>
    </w:rPr>
  </w:style>
  <w:style w:type="character" w:customStyle="1" w:styleId="96">
    <w:name w:val="纯文本 字符"/>
    <w:qFormat/>
    <w:uiPriority w:val="99"/>
    <w:rPr>
      <w:rFonts w:ascii="宋体" w:hAnsi="Courier New" w:eastAsia="宋体" w:cs="Courier New"/>
      <w:szCs w:val="21"/>
    </w:rPr>
  </w:style>
  <w:style w:type="character" w:customStyle="1" w:styleId="97">
    <w:name w:val="headline-content4"/>
    <w:qFormat/>
    <w:uiPriority w:val="0"/>
  </w:style>
  <w:style w:type="character" w:customStyle="1" w:styleId="9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9">
    <w:name w:val="正文文本缩进 字符"/>
    <w:qFormat/>
    <w:uiPriority w:val="0"/>
    <w:rPr>
      <w:rFonts w:ascii="仿宋_GB2312" w:hAnsi="Times New Roman" w:eastAsia="仿宋_GB2312" w:cs="Times New Roman"/>
      <w:sz w:val="32"/>
      <w:szCs w:val="20"/>
    </w:rPr>
  </w:style>
  <w:style w:type="character" w:customStyle="1" w:styleId="100">
    <w:name w:val="页脚 字符"/>
    <w:qFormat/>
    <w:uiPriority w:val="99"/>
  </w:style>
  <w:style w:type="character" w:customStyle="1" w:styleId="101">
    <w:name w:val="标题 1 Char1"/>
    <w:qFormat/>
    <w:uiPriority w:val="0"/>
    <w:rPr>
      <w:rFonts w:eastAsia="宋体"/>
      <w:b/>
      <w:bCs/>
      <w:kern w:val="44"/>
      <w:sz w:val="44"/>
      <w:szCs w:val="44"/>
      <w:lang w:val="en-US" w:eastAsia="zh-CN" w:bidi="ar-SA"/>
    </w:rPr>
  </w:style>
  <w:style w:type="character" w:customStyle="1" w:styleId="102">
    <w:name w:val="font11"/>
    <w:qFormat/>
    <w:uiPriority w:val="0"/>
    <w:rPr>
      <w:rFonts w:hint="eastAsia" w:ascii="宋体" w:hAnsi="宋体" w:eastAsia="宋体" w:cs="宋体"/>
      <w:color w:val="000000"/>
      <w:sz w:val="18"/>
      <w:szCs w:val="18"/>
      <w:u w:val="none"/>
    </w:rPr>
  </w:style>
  <w:style w:type="paragraph" w:customStyle="1" w:styleId="103">
    <w:name w:val="默认段落字体 Para Char Char Char Char Char Char Char Char Char1 Char Char Char Char"/>
    <w:basedOn w:val="1"/>
    <w:qFormat/>
    <w:uiPriority w:val="0"/>
    <w:rPr>
      <w:rFonts w:ascii="Tahoma" w:hAnsi="Tahoma"/>
      <w:sz w:val="24"/>
      <w:szCs w:val="20"/>
    </w:rPr>
  </w:style>
  <w:style w:type="paragraph" w:customStyle="1" w:styleId="104">
    <w:name w:val="Char1"/>
    <w:basedOn w:val="1"/>
    <w:qFormat/>
    <w:uiPriority w:val="0"/>
    <w:rPr>
      <w:szCs w:val="21"/>
    </w:rPr>
  </w:style>
  <w:style w:type="paragraph" w:styleId="105">
    <w:name w:val="List Paragraph"/>
    <w:basedOn w:val="1"/>
    <w:qFormat/>
    <w:uiPriority w:val="34"/>
    <w:pPr>
      <w:ind w:firstLine="420" w:firstLineChars="200"/>
    </w:pPr>
  </w:style>
  <w:style w:type="paragraph" w:customStyle="1" w:styleId="106">
    <w:name w:val="纯文本1"/>
    <w:basedOn w:val="1"/>
    <w:qFormat/>
    <w:uiPriority w:val="0"/>
    <w:rPr>
      <w:rFonts w:ascii="宋体" w:hAnsi="Courier New" w:cs="Century"/>
      <w:szCs w:val="21"/>
    </w:rPr>
  </w:style>
  <w:style w:type="paragraph" w:customStyle="1" w:styleId="107">
    <w:name w:val="样式"/>
    <w:qFormat/>
    <w:uiPriority w:val="0"/>
    <w:pPr>
      <w:widowControl w:val="0"/>
      <w:autoSpaceDE w:val="0"/>
      <w:autoSpaceDN w:val="0"/>
      <w:adjustRightInd w:val="0"/>
      <w:spacing w:after="160" w:line="278" w:lineRule="auto"/>
      <w:jc w:val="center"/>
    </w:pPr>
    <w:rPr>
      <w:rFonts w:ascii="宋体" w:hAnsi="宋体" w:eastAsia="宋体" w:cs="宋体"/>
      <w:sz w:val="24"/>
      <w:szCs w:val="24"/>
      <w:lang w:val="en-US" w:eastAsia="zh-CN" w:bidi="ar-SA"/>
    </w:rPr>
  </w:style>
  <w:style w:type="paragraph" w:customStyle="1" w:styleId="10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9">
    <w:name w:val="Table Paragraph"/>
    <w:basedOn w:val="1"/>
    <w:qFormat/>
    <w:uiPriority w:val="1"/>
    <w:pPr>
      <w:jc w:val="left"/>
    </w:pPr>
    <w:rPr>
      <w:rFonts w:ascii="Calibri" w:hAnsi="Calibri"/>
      <w:kern w:val="0"/>
      <w:sz w:val="22"/>
      <w:szCs w:val="22"/>
      <w:lang w:eastAsia="en-US"/>
    </w:rPr>
  </w:style>
  <w:style w:type="paragraph" w:customStyle="1" w:styleId="11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11">
    <w:name w:val="表格"/>
    <w:basedOn w:val="1"/>
    <w:qFormat/>
    <w:uiPriority w:val="0"/>
    <w:pPr>
      <w:spacing w:line="400" w:lineRule="exact"/>
    </w:pPr>
    <w:rPr>
      <w:sz w:val="24"/>
    </w:rPr>
  </w:style>
  <w:style w:type="paragraph" w:customStyle="1" w:styleId="11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13">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14">
    <w:name w:val="样式 首行缩进:  2 字符"/>
    <w:basedOn w:val="1"/>
    <w:qFormat/>
    <w:uiPriority w:val="0"/>
    <w:pPr>
      <w:spacing w:line="400" w:lineRule="exact"/>
      <w:ind w:firstLine="200" w:firstLineChars="200"/>
    </w:pPr>
    <w:rPr>
      <w:rFonts w:cs="宋体"/>
      <w:sz w:val="24"/>
    </w:rPr>
  </w:style>
  <w:style w:type="paragraph" w:customStyle="1" w:styleId="115">
    <w:name w:val="正文首行缩进两字符"/>
    <w:basedOn w:val="1"/>
    <w:qFormat/>
    <w:uiPriority w:val="0"/>
    <w:pPr>
      <w:spacing w:line="360" w:lineRule="auto"/>
      <w:ind w:firstLine="200" w:firstLineChars="200"/>
    </w:pPr>
  </w:style>
  <w:style w:type="paragraph" w:customStyle="1" w:styleId="116">
    <w:name w:val="正文段"/>
    <w:basedOn w:val="1"/>
    <w:qFormat/>
    <w:uiPriority w:val="0"/>
    <w:pPr>
      <w:widowControl/>
      <w:snapToGrid w:val="0"/>
      <w:spacing w:after="50" w:afterLines="50"/>
      <w:ind w:firstLine="200" w:firstLineChars="200"/>
    </w:pPr>
    <w:rPr>
      <w:kern w:val="0"/>
      <w:sz w:val="24"/>
      <w:szCs w:val="20"/>
    </w:rPr>
  </w:style>
  <w:style w:type="paragraph" w:customStyle="1" w:styleId="117">
    <w:name w:val="修订1"/>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118">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9">
    <w:name w:val="未处理的提及1"/>
    <w:unhideWhenUsed/>
    <w:qFormat/>
    <w:uiPriority w:val="99"/>
    <w:rPr>
      <w:color w:val="605E5C"/>
      <w:shd w:val="clear" w:color="auto" w:fill="E1DFDD"/>
    </w:rPr>
  </w:style>
  <w:style w:type="character" w:customStyle="1" w:styleId="120">
    <w:name w:val="批注文字 字符2"/>
    <w:qFormat/>
    <w:uiPriority w:val="0"/>
    <w:rPr>
      <w:rFonts w:ascii="Times New Roman" w:hAnsi="Times New Roman"/>
      <w:kern w:val="2"/>
      <w:sz w:val="21"/>
      <w:szCs w:val="24"/>
    </w:rPr>
  </w:style>
  <w:style w:type="character" w:customStyle="1" w:styleId="121">
    <w:name w:val="页眉 字符"/>
    <w:qFormat/>
    <w:uiPriority w:val="99"/>
    <w:rPr>
      <w:rFonts w:ascii="Times New Roman" w:hAnsi="Times New Roman"/>
      <w:kern w:val="2"/>
      <w:sz w:val="18"/>
      <w:szCs w:val="18"/>
    </w:rPr>
  </w:style>
  <w:style w:type="character" w:customStyle="1" w:styleId="122">
    <w:name w:val="正文文本 字符"/>
    <w:qFormat/>
    <w:uiPriority w:val="99"/>
    <w:rPr>
      <w:sz w:val="24"/>
      <w:szCs w:val="24"/>
    </w:rPr>
  </w:style>
  <w:style w:type="character" w:customStyle="1" w:styleId="123">
    <w:name w:val="纯文本 字符2"/>
    <w:qFormat/>
    <w:uiPriority w:val="0"/>
    <w:rPr>
      <w:rFonts w:ascii="宋体" w:hAnsi="Courier New"/>
      <w:szCs w:val="21"/>
    </w:rPr>
  </w:style>
  <w:style w:type="paragraph" w:customStyle="1" w:styleId="124">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reader-word-layer reader-word-s1-0 reader-word-s1-1 reader-word-s1-5"/>
    <w:basedOn w:val="1"/>
    <w:qFormat/>
    <w:uiPriority w:val="0"/>
    <w:pPr>
      <w:widowControl/>
      <w:spacing w:before="100" w:beforeAutospacing="1" w:after="100" w:afterAutospacing="1"/>
      <w:jc w:val="left"/>
    </w:pPr>
    <w:rPr>
      <w:rFonts w:ascii="宋体" w:hAnsi="宋体" w:cs="宋体"/>
      <w:kern w:val="0"/>
      <w:sz w:val="24"/>
    </w:rPr>
  </w:style>
  <w:style w:type="paragraph" w:customStyle="1" w:styleId="126">
    <w:name w:val="reader-word-layer reader-word-s1-9"/>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列表段落2"/>
    <w:basedOn w:val="1"/>
    <w:qFormat/>
    <w:uiPriority w:val="99"/>
    <w:pPr>
      <w:ind w:firstLine="420" w:firstLineChars="200"/>
    </w:pPr>
    <w:rPr>
      <w:rFonts w:ascii="等线" w:hAnsi="等线" w:eastAsia="等线" w:cs="宋体"/>
      <w:szCs w:val="21"/>
    </w:rPr>
  </w:style>
  <w:style w:type="character" w:customStyle="1" w:styleId="128">
    <w:name w:val="标题 3 字符"/>
    <w:semiHidden/>
    <w:qFormat/>
    <w:locked/>
    <w:uiPriority w:val="99"/>
    <w:rPr>
      <w:rFonts w:ascii="等线" w:hAnsi="等线" w:eastAsia="等线" w:cs="Times New Roman"/>
      <w:b/>
      <w:sz w:val="32"/>
    </w:rPr>
  </w:style>
  <w:style w:type="character" w:customStyle="1" w:styleId="129">
    <w:name w:val="纯文本 字符3"/>
    <w:qFormat/>
    <w:uiPriority w:val="0"/>
    <w:rPr>
      <w:rFonts w:ascii="宋体" w:hAnsi="Courier New" w:eastAsia="宋体" w:cs="Courier New"/>
      <w:szCs w:val="21"/>
    </w:rPr>
  </w:style>
  <w:style w:type="character" w:customStyle="1" w:styleId="130">
    <w:name w:val="标题 3 字符1"/>
    <w:qFormat/>
    <w:uiPriority w:val="0"/>
    <w:rPr>
      <w:rFonts w:ascii="Times New Roman" w:hAnsi="Times New Roman" w:eastAsia="宋体" w:cs="Times New Roman"/>
      <w:b/>
      <w:bCs/>
      <w:sz w:val="32"/>
      <w:szCs w:val="32"/>
    </w:rPr>
  </w:style>
  <w:style w:type="character" w:customStyle="1" w:styleId="131">
    <w:name w:val="font61"/>
    <w:qFormat/>
    <w:uiPriority w:val="0"/>
    <w:rPr>
      <w:rFonts w:hint="eastAsia" w:ascii="宋体" w:hAnsi="宋体" w:eastAsia="宋体" w:cs="宋体"/>
      <w:color w:val="000000"/>
      <w:sz w:val="36"/>
      <w:szCs w:val="36"/>
      <w:u w:val="none"/>
    </w:rPr>
  </w:style>
  <w:style w:type="paragraph" w:customStyle="1" w:styleId="132">
    <w:name w:val="修订2"/>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33">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34">
    <w:name w:val="修订4"/>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35">
    <w:name w:val="修订5"/>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36">
    <w:name w:val="样式 标题 1propapp heading 1app heading 11app heading 12app hea..."/>
    <w:basedOn w:val="2"/>
    <w:qFormat/>
    <w:uiPriority w:val="0"/>
    <w:pPr>
      <w:spacing w:before="120" w:after="120" w:line="576" w:lineRule="auto"/>
      <w:jc w:val="center"/>
    </w:pPr>
    <w:rPr>
      <w:rFonts w:ascii="Calibri" w:hAnsi="Calibri" w:eastAsia="黑体" w:cs="宋体"/>
      <w:color w:val="000000"/>
      <w:sz w:val="30"/>
      <w:szCs w:val="30"/>
    </w:rPr>
  </w:style>
  <w:style w:type="paragraph" w:customStyle="1" w:styleId="137">
    <w:name w:val="列出段落1"/>
    <w:basedOn w:val="1"/>
    <w:qFormat/>
    <w:uiPriority w:val="0"/>
    <w:pPr>
      <w:ind w:firstLine="420" w:firstLineChars="200"/>
    </w:pPr>
    <w:rPr>
      <w:rFonts w:ascii="Calibri" w:hAnsi="Calibri"/>
      <w:szCs w:val="21"/>
    </w:rPr>
  </w:style>
  <w:style w:type="paragraph" w:customStyle="1" w:styleId="13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68C989-E55A-4943-92E5-7C512E9B154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99</Pages>
  <Words>14126</Words>
  <Characters>16040</Characters>
  <Lines>454</Lines>
  <Paragraphs>127</Paragraphs>
  <TotalTime>34</TotalTime>
  <ScaleCrop>false</ScaleCrop>
  <LinksUpToDate>false</LinksUpToDate>
  <CharactersWithSpaces>16242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2025-03-15T08:53:00Z</dcterms:created>
  <dc:creator>KWZB</dc:creator>
  <cp:lastModifiedBy>Administrator</cp:lastModifiedBy>
  <cp:lastPrinted>2025-06-17T02:56:00Z</cp:lastPrinted>
  <dcterms:modified xsi:type="dcterms:W3CDTF">2026-09-04T03:05:45Z</dcterms:modified>
  <dc:title>公开招标采购文件范本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CF69450C47374B41AFA2C0106F9D10D3_13</vt:lpwstr>
  </property>
  <property fmtid="{D5CDD505-2E9C-101B-9397-08002B2CF9AE}" pid="4" name="KSOTemplateDocerSaveRecord">
    <vt:lpwstr>eyJoZGlkIjoiMjg3MDkwMDBmOWYxNWM2MGFhZDFiZWE0NzI1Y2Q2MDciLCJ1c2VySWQiOiIxMTg0MzM2NDk5In0=</vt:lpwstr>
  </property>
</Properties>
</file>