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000E0BB">
      <w:pPr>
        <w:spacing w:line="240" w:lineRule="atLeast"/>
        <w:jc w:val="center"/>
        <w:rPr>
          <w:rFonts w:hint="eastAsia" w:ascii="仿宋" w:hAnsi="仿宋" w:eastAsia="仿宋" w:cs="仿宋"/>
          <w:color w:val="auto"/>
          <w:sz w:val="52"/>
          <w:szCs w:val="52"/>
          <w:highlight w:val="none"/>
        </w:rPr>
      </w:pPr>
    </w:p>
    <w:p w14:paraId="2C238497">
      <w:pPr>
        <w:spacing w:line="360" w:lineRule="auto"/>
        <w:jc w:val="center"/>
        <w:rPr>
          <w:rFonts w:hint="eastAsia" w:ascii="仿宋" w:hAnsi="仿宋" w:eastAsia="仿宋" w:cs="仿宋"/>
          <w:color w:val="auto"/>
          <w:sz w:val="52"/>
          <w:szCs w:val="52"/>
          <w:highlight w:val="none"/>
        </w:rPr>
      </w:pPr>
      <w:r>
        <w:rPr>
          <w:rFonts w:hint="eastAsia" w:ascii="仿宋" w:hAnsi="仿宋" w:eastAsia="仿宋" w:cs="仿宋"/>
          <w:color w:val="auto"/>
          <w:highlight w:val="none"/>
        </w:rPr>
        <w:drawing>
          <wp:inline distT="0" distB="0" distL="0" distR="0">
            <wp:extent cx="895350" cy="933450"/>
            <wp:effectExtent l="0" t="0" r="0" b="0"/>
            <wp:docPr id="2" name="图片 2" descr="科文名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科文名片"/>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895350" cy="933450"/>
                    </a:xfrm>
                    <a:prstGeom prst="rect">
                      <a:avLst/>
                    </a:prstGeom>
                    <a:noFill/>
                    <a:ln>
                      <a:noFill/>
                    </a:ln>
                  </pic:spPr>
                </pic:pic>
              </a:graphicData>
            </a:graphic>
          </wp:inline>
        </w:drawing>
      </w:r>
    </w:p>
    <w:p w14:paraId="6A14A4C5">
      <w:pPr>
        <w:pStyle w:val="27"/>
        <w:jc w:val="center"/>
        <w:rPr>
          <w:rFonts w:hint="eastAsia" w:ascii="仿宋" w:hAnsi="仿宋" w:eastAsia="仿宋" w:cs="仿宋"/>
          <w:color w:val="auto"/>
          <w:spacing w:val="30"/>
          <w:kern w:val="52"/>
          <w:sz w:val="64"/>
          <w:szCs w:val="64"/>
          <w:highlight w:val="none"/>
        </w:rPr>
      </w:pPr>
      <w:r>
        <w:rPr>
          <w:rFonts w:hint="eastAsia" w:ascii="仿宋" w:hAnsi="仿宋" w:eastAsia="仿宋" w:cs="仿宋"/>
          <w:color w:val="auto"/>
          <w:spacing w:val="30"/>
          <w:kern w:val="52"/>
          <w:sz w:val="64"/>
          <w:szCs w:val="64"/>
          <w:highlight w:val="none"/>
        </w:rPr>
        <w:t>广西科文招标有限公司</w:t>
      </w:r>
    </w:p>
    <w:p w14:paraId="51E3FE84">
      <w:pPr>
        <w:pStyle w:val="27"/>
        <w:jc w:val="center"/>
        <w:rPr>
          <w:rFonts w:hint="eastAsia" w:ascii="仿宋" w:hAnsi="仿宋" w:eastAsia="仿宋" w:cs="仿宋"/>
          <w:color w:val="auto"/>
          <w:spacing w:val="28"/>
          <w:sz w:val="64"/>
          <w:szCs w:val="64"/>
          <w:highlight w:val="none"/>
        </w:rPr>
      </w:pPr>
      <w:r>
        <w:rPr>
          <w:rFonts w:hint="eastAsia" w:ascii="仿宋" w:hAnsi="仿宋" w:eastAsia="仿宋" w:cs="仿宋"/>
          <w:b/>
          <w:color w:val="auto"/>
          <w:spacing w:val="-18"/>
          <w:sz w:val="64"/>
          <w:szCs w:val="64"/>
          <w:highlight w:val="none"/>
        </w:rPr>
        <mc:AlternateContent>
          <mc:Choice Requires="wps">
            <w:drawing>
              <wp:anchor distT="0" distB="0" distL="114300" distR="114300" simplePos="0" relativeHeight="251659264" behindDoc="0" locked="0" layoutInCell="1" allowOverlap="1">
                <wp:simplePos x="0" y="0"/>
                <wp:positionH relativeFrom="column">
                  <wp:posOffset>495300</wp:posOffset>
                </wp:positionH>
                <wp:positionV relativeFrom="paragraph">
                  <wp:posOffset>99060</wp:posOffset>
                </wp:positionV>
                <wp:extent cx="5486400" cy="0"/>
                <wp:effectExtent l="0" t="0" r="0" b="0"/>
                <wp:wrapNone/>
                <wp:docPr id="1" name="Line 2"/>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12700" cmpd="sng">
                          <a:solidFill>
                            <a:srgbClr val="000000"/>
                          </a:solidFill>
                          <a:round/>
                        </a:ln>
                        <a:effectLst/>
                      </wps:spPr>
                      <wps:bodyPr/>
                    </wps:wsp>
                  </a:graphicData>
                </a:graphic>
              </wp:anchor>
            </w:drawing>
          </mc:Choice>
          <mc:Fallback>
            <w:pict>
              <v:line id="Line 2" o:spid="_x0000_s1026" o:spt="20" style="position:absolute;left:0pt;margin-left:39pt;margin-top:7.8pt;height:0pt;width:432pt;z-index:251659264;mso-width-relative:page;mso-height-relative:page;" filled="f" stroked="t" coordsize="21600,21600" o:gfxdata="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3ATEtYAAAAIAQAADwAAAAAAAAABACAAAAAi&#10;AAAAZHJzL2Rvd25yZXYueG1sUEsBAhQAFAAAAAgAh07iQOXrq47TAQAAuQMAAA4AAAAAAAAAAQAg&#10;AAAAJQEAAGRycy9lMm9Eb2MueG1sUEsFBgAAAAAGAAYAWQEAAGoFAAAAAA==&#10;">
                <v:fill on="f" focussize="0,0"/>
                <v:stroke weight="1pt" color="#000000" joinstyle="round"/>
                <v:imagedata o:title=""/>
                <o:lock v:ext="edit" aspectratio="f"/>
              </v:line>
            </w:pict>
          </mc:Fallback>
        </mc:AlternateContent>
      </w:r>
    </w:p>
    <w:p w14:paraId="10F733DD">
      <w:pPr>
        <w:snapToGrid w:val="0"/>
        <w:spacing w:before="120" w:beforeLines="50" w:line="360" w:lineRule="auto"/>
        <w:jc w:val="center"/>
        <w:rPr>
          <w:rFonts w:hint="eastAsia" w:ascii="仿宋" w:hAnsi="仿宋" w:eastAsia="仿宋" w:cs="仿宋"/>
          <w:color w:val="auto"/>
          <w:sz w:val="120"/>
          <w:szCs w:val="120"/>
          <w:highlight w:val="none"/>
        </w:rPr>
      </w:pPr>
      <w:r>
        <w:rPr>
          <w:rFonts w:hint="eastAsia" w:ascii="仿宋" w:hAnsi="仿宋" w:eastAsia="仿宋" w:cs="仿宋"/>
          <w:color w:val="auto"/>
          <w:sz w:val="120"/>
          <w:szCs w:val="120"/>
          <w:highlight w:val="none"/>
        </w:rPr>
        <w:t>招 标 文 件</w:t>
      </w:r>
    </w:p>
    <w:p w14:paraId="3520CF86">
      <w:pPr>
        <w:pStyle w:val="27"/>
        <w:snapToGrid w:val="0"/>
        <w:spacing w:line="360" w:lineRule="auto"/>
        <w:ind w:firstLine="1977" w:firstLineChars="691"/>
        <w:rPr>
          <w:rFonts w:hint="eastAsia" w:ascii="仿宋" w:hAnsi="仿宋" w:eastAsia="仿宋" w:cs="仿宋"/>
          <w:b/>
          <w:bCs/>
          <w:color w:val="auto"/>
          <w:w w:val="95"/>
          <w:sz w:val="30"/>
          <w:szCs w:val="30"/>
          <w:highlight w:val="none"/>
        </w:rPr>
      </w:pPr>
    </w:p>
    <w:p w14:paraId="361661C7">
      <w:pPr>
        <w:pStyle w:val="27"/>
        <w:snapToGrid w:val="0"/>
        <w:spacing w:line="360" w:lineRule="auto"/>
        <w:ind w:firstLine="1977" w:firstLineChars="691"/>
        <w:rPr>
          <w:rFonts w:hint="eastAsia" w:ascii="仿宋" w:hAnsi="仿宋" w:eastAsia="仿宋" w:cs="仿宋"/>
          <w:b/>
          <w:bCs/>
          <w:color w:val="auto"/>
          <w:w w:val="95"/>
          <w:sz w:val="30"/>
          <w:szCs w:val="30"/>
          <w:highlight w:val="none"/>
        </w:rPr>
      </w:pPr>
    </w:p>
    <w:p w14:paraId="17EB1F2C">
      <w:pPr>
        <w:pStyle w:val="27"/>
        <w:snapToGrid w:val="0"/>
        <w:spacing w:line="360" w:lineRule="auto"/>
        <w:jc w:val="center"/>
        <w:rPr>
          <w:rFonts w:hint="eastAsia"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rPr>
        <w:t>项目名称：</w:t>
      </w:r>
      <w:r>
        <w:rPr>
          <w:rFonts w:hint="eastAsia" w:ascii="仿宋" w:hAnsi="仿宋" w:eastAsia="仿宋" w:cs="仿宋"/>
          <w:b/>
          <w:bCs/>
          <w:color w:val="auto"/>
          <w:sz w:val="30"/>
          <w:szCs w:val="30"/>
          <w:highlight w:val="none"/>
          <w:lang w:eastAsia="zh-CN"/>
        </w:rPr>
        <w:t>通信自动化研发与测试系统等科研设备采购</w:t>
      </w:r>
    </w:p>
    <w:p w14:paraId="77E82413">
      <w:pPr>
        <w:pStyle w:val="27"/>
        <w:snapToGrid w:val="0"/>
        <w:spacing w:line="360" w:lineRule="auto"/>
        <w:ind w:left="1478" w:leftChars="704" w:firstLine="0" w:firstLineChars="0"/>
        <w:jc w:val="both"/>
        <w:rPr>
          <w:rFonts w:hint="eastAsia"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rPr>
        <w:t>项目编号：</w:t>
      </w:r>
      <w:r>
        <w:rPr>
          <w:rFonts w:hint="eastAsia" w:ascii="仿宋" w:hAnsi="仿宋" w:eastAsia="仿宋" w:cs="仿宋"/>
          <w:b/>
          <w:bCs/>
          <w:color w:val="auto"/>
          <w:sz w:val="30"/>
          <w:szCs w:val="30"/>
          <w:highlight w:val="none"/>
          <w:lang w:eastAsia="zh-CN"/>
        </w:rPr>
        <w:t>GXZC2026-G1-002879-KWZB</w:t>
      </w:r>
    </w:p>
    <w:p w14:paraId="12972E84">
      <w:pPr>
        <w:pStyle w:val="27"/>
        <w:tabs>
          <w:tab w:val="left" w:pos="371"/>
        </w:tabs>
        <w:snapToGrid w:val="0"/>
        <w:spacing w:line="360" w:lineRule="auto"/>
        <w:ind w:left="1483" w:leftChars="704" w:hanging="5" w:firstLineChars="0"/>
        <w:jc w:val="both"/>
        <w:rPr>
          <w:rFonts w:hint="default" w:ascii="仿宋" w:hAnsi="仿宋" w:eastAsia="仿宋" w:cs="仿宋"/>
          <w:b/>
          <w:bCs/>
          <w:color w:val="auto"/>
          <w:w w:val="95"/>
          <w:sz w:val="30"/>
          <w:szCs w:val="30"/>
          <w:highlight w:val="none"/>
          <w:lang w:val="en-US"/>
        </w:rPr>
      </w:pPr>
      <w:r>
        <w:rPr>
          <w:rFonts w:hint="eastAsia" w:ascii="仿宋" w:hAnsi="仿宋" w:eastAsia="仿宋" w:cs="仿宋"/>
          <w:b/>
          <w:color w:val="auto"/>
          <w:sz w:val="30"/>
          <w:szCs w:val="72"/>
          <w:highlight w:val="none"/>
          <w:lang w:val="en-US" w:eastAsia="zh-CN"/>
        </w:rPr>
        <w:t>内部编号：2026055</w:t>
      </w:r>
    </w:p>
    <w:p w14:paraId="7697E38A">
      <w:pPr>
        <w:pStyle w:val="27"/>
        <w:snapToGrid w:val="0"/>
        <w:spacing w:line="360" w:lineRule="auto"/>
        <w:ind w:firstLine="1977" w:firstLineChars="691"/>
        <w:rPr>
          <w:rFonts w:hint="eastAsia" w:ascii="仿宋" w:hAnsi="仿宋" w:eastAsia="仿宋" w:cs="仿宋"/>
          <w:b/>
          <w:bCs/>
          <w:color w:val="auto"/>
          <w:w w:val="95"/>
          <w:sz w:val="30"/>
          <w:szCs w:val="30"/>
          <w:highlight w:val="none"/>
        </w:rPr>
      </w:pPr>
    </w:p>
    <w:p w14:paraId="16B4EF7B">
      <w:pPr>
        <w:pStyle w:val="27"/>
        <w:snapToGrid w:val="0"/>
        <w:spacing w:line="360" w:lineRule="auto"/>
        <w:jc w:val="center"/>
        <w:rPr>
          <w:rFonts w:hint="eastAsia"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rPr>
        <w:t>采购人：</w:t>
      </w:r>
      <w:r>
        <w:rPr>
          <w:rFonts w:hint="eastAsia" w:ascii="仿宋" w:hAnsi="仿宋" w:eastAsia="仿宋" w:cs="仿宋"/>
          <w:b/>
          <w:bCs/>
          <w:color w:val="auto"/>
          <w:sz w:val="30"/>
          <w:szCs w:val="30"/>
          <w:highlight w:val="none"/>
          <w:lang w:eastAsia="zh-CN"/>
        </w:rPr>
        <w:t>桂林电子科技大学</w:t>
      </w:r>
    </w:p>
    <w:p w14:paraId="105644C9">
      <w:pPr>
        <w:pStyle w:val="27"/>
        <w:snapToGrid w:val="0"/>
        <w:spacing w:line="360" w:lineRule="auto"/>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采购代理机构：广西科文招标有限公司</w:t>
      </w:r>
    </w:p>
    <w:p w14:paraId="1833EDDA">
      <w:pPr>
        <w:pStyle w:val="27"/>
        <w:snapToGrid w:val="0"/>
        <w:spacing w:line="360" w:lineRule="auto"/>
        <w:jc w:val="center"/>
        <w:rPr>
          <w:rFonts w:hint="eastAsia" w:ascii="仿宋" w:hAnsi="仿宋" w:eastAsia="仿宋" w:cs="仿宋"/>
          <w:color w:val="auto"/>
          <w:szCs w:val="20"/>
          <w:highlight w:val="none"/>
          <w:lang w:eastAsia="zh-CN"/>
        </w:rPr>
      </w:pPr>
      <w:r>
        <w:rPr>
          <w:rFonts w:hint="eastAsia" w:ascii="仿宋" w:hAnsi="仿宋" w:eastAsia="仿宋" w:cs="仿宋"/>
          <w:b/>
          <w:bCs/>
          <w:color w:val="auto"/>
          <w:sz w:val="30"/>
          <w:szCs w:val="30"/>
          <w:highlight w:val="none"/>
          <w:lang w:eastAsia="zh-CN"/>
        </w:rPr>
        <w:t>2026年</w:t>
      </w:r>
      <w:r>
        <w:rPr>
          <w:rFonts w:hint="eastAsia" w:ascii="仿宋" w:hAnsi="仿宋" w:eastAsia="仿宋" w:cs="仿宋"/>
          <w:b/>
          <w:bCs/>
          <w:color w:val="auto"/>
          <w:sz w:val="30"/>
          <w:szCs w:val="30"/>
          <w:highlight w:val="none"/>
          <w:lang w:val="en-US" w:eastAsia="zh-CN"/>
        </w:rPr>
        <w:t>9</w:t>
      </w:r>
      <w:r>
        <w:rPr>
          <w:rFonts w:hint="eastAsia" w:ascii="仿宋" w:hAnsi="仿宋" w:eastAsia="仿宋" w:cs="仿宋"/>
          <w:b/>
          <w:bCs/>
          <w:color w:val="auto"/>
          <w:sz w:val="30"/>
          <w:szCs w:val="30"/>
          <w:highlight w:val="none"/>
          <w:lang w:eastAsia="zh-CN"/>
        </w:rPr>
        <w:t>月</w:t>
      </w:r>
    </w:p>
    <w:p w14:paraId="647179AD">
      <w:pPr>
        <w:pStyle w:val="27"/>
        <w:spacing w:before="120" w:after="120" w:line="360" w:lineRule="auto"/>
        <w:jc w:val="center"/>
        <w:rPr>
          <w:rFonts w:hint="eastAsia" w:ascii="仿宋" w:hAnsi="仿宋" w:eastAsia="仿宋" w:cs="仿宋"/>
          <w:color w:val="auto"/>
          <w:highlight w:val="none"/>
        </w:rPr>
      </w:pPr>
    </w:p>
    <w:p w14:paraId="3EF1C269">
      <w:pPr>
        <w:spacing w:line="360" w:lineRule="auto"/>
        <w:jc w:val="center"/>
        <w:rPr>
          <w:rFonts w:hint="eastAsia" w:ascii="仿宋" w:hAnsi="仿宋" w:eastAsia="仿宋" w:cs="仿宋"/>
          <w:b/>
          <w:color w:val="auto"/>
          <w:sz w:val="44"/>
          <w:szCs w:val="44"/>
          <w:highlight w:val="none"/>
        </w:rPr>
      </w:pPr>
      <w:r>
        <w:rPr>
          <w:rFonts w:hint="eastAsia" w:ascii="仿宋" w:hAnsi="仿宋" w:eastAsia="仿宋" w:cs="仿宋"/>
          <w:b/>
          <w:color w:val="auto"/>
          <w:sz w:val="44"/>
          <w:szCs w:val="44"/>
          <w:highlight w:val="none"/>
        </w:rPr>
        <w:t>目  录</w:t>
      </w:r>
    </w:p>
    <w:p w14:paraId="51E22BAA">
      <w:pPr>
        <w:pStyle w:val="35"/>
        <w:spacing w:line="360" w:lineRule="auto"/>
        <w:ind w:firstLine="320"/>
        <w:rPr>
          <w:rFonts w:hint="eastAsia" w:ascii="仿宋" w:hAnsi="仿宋" w:eastAsia="仿宋" w:cs="仿宋"/>
          <w:b w:val="0"/>
          <w:color w:val="auto"/>
          <w:sz w:val="32"/>
          <w:szCs w:val="32"/>
          <w:highlight w:val="none"/>
        </w:rPr>
      </w:pPr>
    </w:p>
    <w:p w14:paraId="5EF6901A">
      <w:pPr>
        <w:pStyle w:val="35"/>
        <w:tabs>
          <w:tab w:val="right" w:leader="dot" w:pos="9072"/>
          <w:tab w:val="clear" w:pos="8398"/>
        </w:tabs>
        <w:spacing w:before="0" w:after="0" w:line="480" w:lineRule="auto"/>
        <w:ind w:firstLine="0" w:firstLineChars="0"/>
        <w:jc w:val="center"/>
        <w:rPr>
          <w:rFonts w:hint="eastAsia" w:ascii="仿宋" w:hAnsi="仿宋" w:eastAsia="仿宋" w:cs="仿宋"/>
          <w:b w:val="0"/>
          <w:bCs w:val="0"/>
          <w:caps w:val="0"/>
          <w:color w:val="auto"/>
          <w:sz w:val="36"/>
          <w:szCs w:val="36"/>
          <w:highlight w:val="none"/>
        </w:rPr>
      </w:pPr>
      <w:r>
        <w:rPr>
          <w:rFonts w:hint="eastAsia" w:ascii="仿宋" w:hAnsi="仿宋" w:eastAsia="仿宋" w:cs="仿宋"/>
          <w:b w:val="0"/>
          <w:color w:val="auto"/>
          <w:sz w:val="36"/>
          <w:szCs w:val="36"/>
          <w:highlight w:val="none"/>
        </w:rPr>
        <w:fldChar w:fldCharType="begin"/>
      </w:r>
      <w:r>
        <w:rPr>
          <w:rFonts w:hint="eastAsia" w:ascii="仿宋" w:hAnsi="仿宋" w:eastAsia="仿宋" w:cs="仿宋"/>
          <w:b w:val="0"/>
          <w:color w:val="auto"/>
          <w:sz w:val="36"/>
          <w:szCs w:val="36"/>
          <w:highlight w:val="none"/>
        </w:rPr>
        <w:instrText xml:space="preserve">TOC \o "1-2" \h \z \u</w:instrText>
      </w:r>
      <w:r>
        <w:rPr>
          <w:rFonts w:hint="eastAsia" w:ascii="仿宋" w:hAnsi="仿宋" w:eastAsia="仿宋" w:cs="仿宋"/>
          <w:b w:val="0"/>
          <w:color w:val="auto"/>
          <w:sz w:val="36"/>
          <w:szCs w:val="36"/>
          <w:highlight w:val="none"/>
        </w:rPr>
        <w:fldChar w:fldCharType="separate"/>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"_Toc74320800" </w:instrText>
      </w:r>
      <w:r>
        <w:rPr>
          <w:rFonts w:hint="eastAsia" w:ascii="仿宋" w:hAnsi="仿宋" w:eastAsia="仿宋" w:cs="仿宋"/>
          <w:color w:val="auto"/>
          <w:highlight w:val="none"/>
        </w:rPr>
        <w:fldChar w:fldCharType="separate"/>
      </w:r>
      <w:r>
        <w:rPr>
          <w:rStyle w:val="58"/>
          <w:rFonts w:hint="eastAsia" w:ascii="仿宋" w:hAnsi="仿宋" w:eastAsia="仿宋" w:cs="仿宋"/>
          <w:b w:val="0"/>
          <w:color w:val="auto"/>
          <w:sz w:val="36"/>
          <w:szCs w:val="36"/>
          <w:highlight w:val="none"/>
        </w:rPr>
        <w:t>第一章 招标公告</w:t>
      </w:r>
      <w:r>
        <w:rPr>
          <w:rFonts w:hint="eastAsia" w:ascii="仿宋" w:hAnsi="仿宋" w:eastAsia="仿宋" w:cs="仿宋"/>
          <w:b w:val="0"/>
          <w:color w:val="auto"/>
          <w:sz w:val="36"/>
          <w:szCs w:val="36"/>
          <w:highlight w:val="none"/>
        </w:rPr>
        <w:tab/>
      </w:r>
      <w:r>
        <w:rPr>
          <w:rFonts w:hint="eastAsia" w:ascii="仿宋" w:hAnsi="仿宋" w:eastAsia="仿宋" w:cs="仿宋"/>
          <w:b w:val="0"/>
          <w:color w:val="auto"/>
          <w:sz w:val="36"/>
          <w:szCs w:val="36"/>
          <w:highlight w:val="none"/>
        </w:rPr>
        <w:t>2</w:t>
      </w:r>
      <w:r>
        <w:rPr>
          <w:rFonts w:hint="eastAsia" w:ascii="仿宋" w:hAnsi="仿宋" w:eastAsia="仿宋" w:cs="仿宋"/>
          <w:b w:val="0"/>
          <w:color w:val="auto"/>
          <w:sz w:val="36"/>
          <w:szCs w:val="36"/>
          <w:highlight w:val="none"/>
        </w:rPr>
        <w:fldChar w:fldCharType="end"/>
      </w:r>
    </w:p>
    <w:p w14:paraId="1407468F">
      <w:pPr>
        <w:pStyle w:val="35"/>
        <w:tabs>
          <w:tab w:val="right" w:leader="dot" w:pos="9072"/>
          <w:tab w:val="clear" w:pos="8398"/>
        </w:tabs>
        <w:spacing w:before="0" w:after="0" w:line="480" w:lineRule="auto"/>
        <w:ind w:firstLine="0" w:firstLineChars="0"/>
        <w:jc w:val="center"/>
        <w:rPr>
          <w:rFonts w:hint="eastAsia" w:ascii="仿宋" w:hAnsi="仿宋" w:eastAsia="仿宋" w:cs="仿宋"/>
          <w:b w:val="0"/>
          <w:bCs w:val="0"/>
          <w:caps w:val="0"/>
          <w:color w:val="auto"/>
          <w:sz w:val="36"/>
          <w:szCs w:val="36"/>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"_Toc74320801" </w:instrText>
      </w:r>
      <w:r>
        <w:rPr>
          <w:rFonts w:hint="eastAsia" w:ascii="仿宋" w:hAnsi="仿宋" w:eastAsia="仿宋" w:cs="仿宋"/>
          <w:color w:val="auto"/>
          <w:highlight w:val="none"/>
        </w:rPr>
        <w:fldChar w:fldCharType="separate"/>
      </w:r>
      <w:r>
        <w:rPr>
          <w:rStyle w:val="58"/>
          <w:rFonts w:hint="eastAsia" w:ascii="仿宋" w:hAnsi="仿宋" w:eastAsia="仿宋" w:cs="仿宋"/>
          <w:b w:val="0"/>
          <w:color w:val="auto"/>
          <w:sz w:val="36"/>
          <w:szCs w:val="36"/>
          <w:highlight w:val="none"/>
        </w:rPr>
        <w:t>第二章 采购需求</w:t>
      </w:r>
      <w:bookmarkStart w:id="0" w:name="_Hlt113479582"/>
      <w:bookmarkStart w:id="1" w:name="_Hlt112295812"/>
      <w:bookmarkStart w:id="2" w:name="_Hlt113479581"/>
      <w:bookmarkStart w:id="3" w:name="_Hlt115102512"/>
      <w:bookmarkStart w:id="4" w:name="_Hlt112372227"/>
      <w:r>
        <w:rPr>
          <w:rFonts w:hint="eastAsia" w:ascii="仿宋" w:hAnsi="仿宋" w:eastAsia="仿宋" w:cs="仿宋"/>
          <w:b w:val="0"/>
          <w:color w:val="auto"/>
          <w:sz w:val="36"/>
          <w:szCs w:val="36"/>
          <w:highlight w:val="none"/>
        </w:rPr>
        <w:tab/>
      </w:r>
      <w:bookmarkEnd w:id="0"/>
      <w:bookmarkEnd w:id="1"/>
      <w:bookmarkEnd w:id="2"/>
      <w:bookmarkEnd w:id="3"/>
      <w:bookmarkEnd w:id="4"/>
      <w:r>
        <w:rPr>
          <w:rFonts w:hint="eastAsia" w:ascii="仿宋" w:hAnsi="仿宋" w:eastAsia="仿宋" w:cs="仿宋"/>
          <w:b w:val="0"/>
          <w:color w:val="auto"/>
          <w:sz w:val="36"/>
          <w:szCs w:val="36"/>
          <w:highlight w:val="none"/>
          <w:lang w:val="en-US" w:eastAsia="zh-CN"/>
        </w:rPr>
        <w:t>6</w:t>
      </w:r>
      <w:r>
        <w:rPr>
          <w:rFonts w:hint="eastAsia" w:ascii="仿宋" w:hAnsi="仿宋" w:eastAsia="仿宋" w:cs="仿宋"/>
          <w:b w:val="0"/>
          <w:color w:val="auto"/>
          <w:sz w:val="36"/>
          <w:szCs w:val="36"/>
          <w:highlight w:val="none"/>
        </w:rPr>
        <w:fldChar w:fldCharType="end"/>
      </w:r>
    </w:p>
    <w:p w14:paraId="5E5E4AE6">
      <w:pPr>
        <w:pStyle w:val="35"/>
        <w:tabs>
          <w:tab w:val="right" w:leader="dot" w:pos="9072"/>
          <w:tab w:val="clear" w:pos="8398"/>
        </w:tabs>
        <w:spacing w:before="0" w:after="0" w:line="480" w:lineRule="auto"/>
        <w:ind w:firstLine="0" w:firstLineChars="0"/>
        <w:jc w:val="center"/>
        <w:rPr>
          <w:rFonts w:hint="default" w:ascii="仿宋" w:hAnsi="仿宋" w:eastAsia="仿宋" w:cs="仿宋"/>
          <w:b w:val="0"/>
          <w:bCs w:val="0"/>
          <w:caps w:val="0"/>
          <w:color w:val="auto"/>
          <w:sz w:val="36"/>
          <w:szCs w:val="36"/>
          <w:highlight w:val="none"/>
          <w:lang w:val="en-US" w:eastAsia="zh-CN"/>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"_Toc74320802" </w:instrText>
      </w:r>
      <w:r>
        <w:rPr>
          <w:rFonts w:hint="eastAsia" w:ascii="仿宋" w:hAnsi="仿宋" w:eastAsia="仿宋" w:cs="仿宋"/>
          <w:color w:val="auto"/>
          <w:highlight w:val="none"/>
        </w:rPr>
        <w:fldChar w:fldCharType="separate"/>
      </w:r>
      <w:r>
        <w:rPr>
          <w:rStyle w:val="58"/>
          <w:rFonts w:hint="eastAsia" w:ascii="仿宋" w:hAnsi="仿宋" w:eastAsia="仿宋" w:cs="仿宋"/>
          <w:b w:val="0"/>
          <w:color w:val="auto"/>
          <w:sz w:val="36"/>
          <w:szCs w:val="36"/>
          <w:highlight w:val="none"/>
        </w:rPr>
        <w:t>第三章 投标人须</w:t>
      </w:r>
      <w:bookmarkStart w:id="5" w:name="_Hlt79572744"/>
      <w:bookmarkStart w:id="6" w:name="_Hlt79572745"/>
      <w:r>
        <w:rPr>
          <w:rStyle w:val="58"/>
          <w:rFonts w:hint="eastAsia" w:ascii="仿宋" w:hAnsi="仿宋" w:eastAsia="仿宋" w:cs="仿宋"/>
          <w:b w:val="0"/>
          <w:color w:val="auto"/>
          <w:sz w:val="36"/>
          <w:szCs w:val="36"/>
          <w:highlight w:val="none"/>
        </w:rPr>
        <w:t>知</w:t>
      </w:r>
      <w:bookmarkEnd w:id="5"/>
      <w:bookmarkEnd w:id="6"/>
      <w:bookmarkStart w:id="7" w:name="_Hlt115102045"/>
      <w:bookmarkStart w:id="8" w:name="_Hlt112290080"/>
      <w:bookmarkStart w:id="9" w:name="_Hlt112295571"/>
      <w:bookmarkStart w:id="10" w:name="_Hlt115102046"/>
      <w:bookmarkStart w:id="11" w:name="_Hlt112290079"/>
      <w:bookmarkStart w:id="12" w:name="_Hlt112372199"/>
      <w:r>
        <w:rPr>
          <w:rFonts w:hint="eastAsia" w:ascii="仿宋" w:hAnsi="仿宋" w:eastAsia="仿宋" w:cs="仿宋"/>
          <w:b w:val="0"/>
          <w:color w:val="auto"/>
          <w:sz w:val="36"/>
          <w:szCs w:val="36"/>
          <w:highlight w:val="none"/>
        </w:rPr>
        <w:tab/>
      </w:r>
      <w:bookmarkEnd w:id="7"/>
      <w:bookmarkEnd w:id="8"/>
      <w:bookmarkEnd w:id="9"/>
      <w:bookmarkEnd w:id="10"/>
      <w:bookmarkEnd w:id="11"/>
      <w:bookmarkEnd w:id="12"/>
      <w:r>
        <w:rPr>
          <w:rFonts w:hint="eastAsia" w:ascii="仿宋" w:hAnsi="仿宋" w:eastAsia="仿宋" w:cs="仿宋"/>
          <w:b w:val="0"/>
          <w:color w:val="auto"/>
          <w:sz w:val="36"/>
          <w:szCs w:val="36"/>
          <w:highlight w:val="none"/>
        </w:rPr>
        <w:fldChar w:fldCharType="end"/>
      </w:r>
      <w:r>
        <w:rPr>
          <w:rFonts w:hint="eastAsia" w:ascii="仿宋" w:hAnsi="仿宋" w:eastAsia="仿宋" w:cs="仿宋"/>
          <w:b w:val="0"/>
          <w:color w:val="auto"/>
          <w:sz w:val="36"/>
          <w:szCs w:val="36"/>
          <w:highlight w:val="none"/>
          <w:lang w:val="en-US" w:eastAsia="zh-CN"/>
        </w:rPr>
        <w:t>20</w:t>
      </w:r>
    </w:p>
    <w:p w14:paraId="18E8579D">
      <w:pPr>
        <w:pStyle w:val="35"/>
        <w:tabs>
          <w:tab w:val="right" w:leader="dot" w:pos="9072"/>
          <w:tab w:val="clear" w:pos="8398"/>
        </w:tabs>
        <w:spacing w:before="0" w:after="0" w:line="480" w:lineRule="auto"/>
        <w:ind w:firstLine="0" w:firstLineChars="0"/>
        <w:jc w:val="center"/>
        <w:rPr>
          <w:rFonts w:hint="default" w:ascii="仿宋" w:hAnsi="仿宋" w:eastAsia="仿宋" w:cs="仿宋"/>
          <w:b w:val="0"/>
          <w:bCs w:val="0"/>
          <w:caps w:val="0"/>
          <w:color w:val="auto"/>
          <w:sz w:val="36"/>
          <w:szCs w:val="36"/>
          <w:highlight w:val="none"/>
          <w:lang w:val="en-US" w:eastAsia="zh-CN"/>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"_Toc74320803" </w:instrText>
      </w:r>
      <w:r>
        <w:rPr>
          <w:rFonts w:hint="eastAsia" w:ascii="仿宋" w:hAnsi="仿宋" w:eastAsia="仿宋" w:cs="仿宋"/>
          <w:color w:val="auto"/>
          <w:highlight w:val="none"/>
        </w:rPr>
        <w:fldChar w:fldCharType="separate"/>
      </w:r>
      <w:r>
        <w:rPr>
          <w:rStyle w:val="58"/>
          <w:rFonts w:hint="eastAsia" w:ascii="仿宋" w:hAnsi="仿宋" w:eastAsia="仿宋" w:cs="仿宋"/>
          <w:b w:val="0"/>
          <w:color w:val="auto"/>
          <w:sz w:val="36"/>
          <w:szCs w:val="36"/>
          <w:highlight w:val="none"/>
        </w:rPr>
        <w:t>第四章 评标方</w:t>
      </w:r>
      <w:bookmarkStart w:id="13" w:name="_Hlt82186273"/>
      <w:bookmarkStart w:id="14" w:name="_Hlt82186274"/>
      <w:r>
        <w:rPr>
          <w:rStyle w:val="58"/>
          <w:rFonts w:hint="eastAsia" w:ascii="仿宋" w:hAnsi="仿宋" w:eastAsia="仿宋" w:cs="仿宋"/>
          <w:b w:val="0"/>
          <w:color w:val="auto"/>
          <w:sz w:val="36"/>
          <w:szCs w:val="36"/>
          <w:highlight w:val="none"/>
        </w:rPr>
        <w:t>法</w:t>
      </w:r>
      <w:bookmarkEnd w:id="13"/>
      <w:bookmarkEnd w:id="14"/>
      <w:r>
        <w:rPr>
          <w:rStyle w:val="58"/>
          <w:rFonts w:hint="eastAsia" w:ascii="仿宋" w:hAnsi="仿宋" w:eastAsia="仿宋" w:cs="仿宋"/>
          <w:b w:val="0"/>
          <w:color w:val="auto"/>
          <w:sz w:val="36"/>
          <w:szCs w:val="36"/>
          <w:highlight w:val="none"/>
        </w:rPr>
        <w:t>及</w:t>
      </w:r>
      <w:bookmarkStart w:id="15" w:name="_Hlt115102492"/>
      <w:bookmarkStart w:id="16" w:name="_Hlt115102681"/>
      <w:r>
        <w:rPr>
          <w:rStyle w:val="58"/>
          <w:rFonts w:hint="eastAsia" w:ascii="仿宋" w:hAnsi="仿宋" w:eastAsia="仿宋" w:cs="仿宋"/>
          <w:b w:val="0"/>
          <w:color w:val="auto"/>
          <w:sz w:val="36"/>
          <w:szCs w:val="36"/>
          <w:highlight w:val="none"/>
        </w:rPr>
        <w:t>评</w:t>
      </w:r>
      <w:bookmarkEnd w:id="15"/>
      <w:bookmarkEnd w:id="16"/>
      <w:bookmarkStart w:id="17" w:name="_Hlt112801462"/>
      <w:r>
        <w:rPr>
          <w:rStyle w:val="58"/>
          <w:rFonts w:hint="eastAsia" w:ascii="仿宋" w:hAnsi="仿宋" w:eastAsia="仿宋" w:cs="仿宋"/>
          <w:b w:val="0"/>
          <w:color w:val="auto"/>
          <w:sz w:val="36"/>
          <w:szCs w:val="36"/>
          <w:highlight w:val="none"/>
        </w:rPr>
        <w:t>标</w:t>
      </w:r>
      <w:bookmarkEnd w:id="17"/>
      <w:r>
        <w:rPr>
          <w:rStyle w:val="58"/>
          <w:rFonts w:hint="eastAsia" w:ascii="仿宋" w:hAnsi="仿宋" w:eastAsia="仿宋" w:cs="仿宋"/>
          <w:b w:val="0"/>
          <w:color w:val="auto"/>
          <w:sz w:val="36"/>
          <w:szCs w:val="36"/>
          <w:highlight w:val="none"/>
        </w:rPr>
        <w:t>标准</w:t>
      </w:r>
      <w:bookmarkStart w:id="18" w:name="_Hlt112801593"/>
      <w:r>
        <w:rPr>
          <w:rFonts w:hint="eastAsia" w:ascii="仿宋" w:hAnsi="仿宋" w:eastAsia="仿宋" w:cs="仿宋"/>
          <w:b w:val="0"/>
          <w:color w:val="auto"/>
          <w:sz w:val="36"/>
          <w:szCs w:val="36"/>
          <w:highlight w:val="none"/>
        </w:rPr>
        <w:tab/>
      </w:r>
      <w:bookmarkEnd w:id="18"/>
      <w:r>
        <w:rPr>
          <w:rFonts w:hint="eastAsia" w:ascii="仿宋" w:hAnsi="仿宋" w:eastAsia="仿宋" w:cs="仿宋"/>
          <w:b w:val="0"/>
          <w:color w:val="auto"/>
          <w:sz w:val="36"/>
          <w:szCs w:val="36"/>
          <w:highlight w:val="none"/>
        </w:rPr>
        <w:fldChar w:fldCharType="end"/>
      </w:r>
      <w:r>
        <w:rPr>
          <w:rFonts w:hint="eastAsia" w:ascii="仿宋" w:hAnsi="仿宋" w:eastAsia="仿宋" w:cs="仿宋"/>
          <w:b w:val="0"/>
          <w:color w:val="auto"/>
          <w:sz w:val="36"/>
          <w:szCs w:val="36"/>
          <w:highlight w:val="none"/>
          <w:lang w:val="en-US" w:eastAsia="zh-CN"/>
        </w:rPr>
        <w:t>46</w:t>
      </w:r>
    </w:p>
    <w:p w14:paraId="7081742C">
      <w:pPr>
        <w:pStyle w:val="35"/>
        <w:tabs>
          <w:tab w:val="right" w:leader="dot" w:pos="9072"/>
          <w:tab w:val="clear" w:pos="8398"/>
        </w:tabs>
        <w:spacing w:before="0" w:after="0" w:line="480" w:lineRule="auto"/>
        <w:ind w:firstLine="0" w:firstLineChars="0"/>
        <w:jc w:val="center"/>
        <w:rPr>
          <w:rFonts w:hint="default" w:ascii="仿宋" w:hAnsi="仿宋" w:eastAsia="仿宋" w:cs="仿宋"/>
          <w:b w:val="0"/>
          <w:bCs w:val="0"/>
          <w:caps w:val="0"/>
          <w:color w:val="auto"/>
          <w:sz w:val="36"/>
          <w:szCs w:val="36"/>
          <w:highlight w:val="none"/>
          <w:lang w:val="en-US" w:eastAsia="zh-CN"/>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"_Toc74320804" </w:instrText>
      </w:r>
      <w:r>
        <w:rPr>
          <w:rFonts w:hint="eastAsia" w:ascii="仿宋" w:hAnsi="仿宋" w:eastAsia="仿宋" w:cs="仿宋"/>
          <w:color w:val="auto"/>
          <w:highlight w:val="none"/>
        </w:rPr>
        <w:fldChar w:fldCharType="separate"/>
      </w:r>
      <w:r>
        <w:rPr>
          <w:rStyle w:val="58"/>
          <w:rFonts w:hint="eastAsia" w:ascii="仿宋" w:hAnsi="仿宋" w:eastAsia="仿宋" w:cs="仿宋"/>
          <w:b w:val="0"/>
          <w:color w:val="auto"/>
          <w:sz w:val="36"/>
          <w:szCs w:val="36"/>
          <w:highlight w:val="none"/>
        </w:rPr>
        <w:t>第五章 拟签订的合同文本</w:t>
      </w:r>
      <w:r>
        <w:rPr>
          <w:rFonts w:hint="eastAsia" w:ascii="仿宋" w:hAnsi="仿宋" w:eastAsia="仿宋" w:cs="仿宋"/>
          <w:b w:val="0"/>
          <w:color w:val="auto"/>
          <w:sz w:val="36"/>
          <w:szCs w:val="36"/>
          <w:highlight w:val="none"/>
        </w:rPr>
        <w:tab/>
      </w:r>
      <w:r>
        <w:rPr>
          <w:rFonts w:hint="eastAsia" w:ascii="仿宋" w:hAnsi="仿宋" w:eastAsia="仿宋" w:cs="仿宋"/>
          <w:b w:val="0"/>
          <w:color w:val="auto"/>
          <w:sz w:val="36"/>
          <w:szCs w:val="36"/>
          <w:highlight w:val="none"/>
        </w:rPr>
        <w:fldChar w:fldCharType="end"/>
      </w:r>
      <w:r>
        <w:rPr>
          <w:rFonts w:hint="eastAsia" w:ascii="仿宋" w:hAnsi="仿宋" w:eastAsia="仿宋" w:cs="仿宋"/>
          <w:b w:val="0"/>
          <w:color w:val="auto"/>
          <w:sz w:val="36"/>
          <w:szCs w:val="36"/>
          <w:highlight w:val="none"/>
          <w:lang w:val="en-US" w:eastAsia="zh-CN"/>
        </w:rPr>
        <w:t>55</w:t>
      </w:r>
    </w:p>
    <w:p w14:paraId="5BAF84CC">
      <w:pPr>
        <w:pStyle w:val="35"/>
        <w:tabs>
          <w:tab w:val="right" w:leader="dot" w:pos="9072"/>
          <w:tab w:val="clear" w:pos="8398"/>
        </w:tabs>
        <w:spacing w:before="0" w:after="0" w:line="480" w:lineRule="auto"/>
        <w:ind w:firstLine="0" w:firstLineChars="0"/>
        <w:jc w:val="center"/>
        <w:rPr>
          <w:rFonts w:hint="eastAsia" w:ascii="仿宋" w:hAnsi="仿宋" w:eastAsia="仿宋" w:cs="仿宋"/>
          <w:b w:val="0"/>
          <w:bCs w:val="0"/>
          <w:caps w:val="0"/>
          <w:color w:val="auto"/>
          <w:sz w:val="36"/>
          <w:szCs w:val="36"/>
          <w:highlight w:val="none"/>
          <w:lang w:val="en-US" w:eastAsia="zh-CN"/>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"_Toc74320805" </w:instrText>
      </w:r>
      <w:r>
        <w:rPr>
          <w:rFonts w:hint="eastAsia" w:ascii="仿宋" w:hAnsi="仿宋" w:eastAsia="仿宋" w:cs="仿宋"/>
          <w:color w:val="auto"/>
          <w:highlight w:val="none"/>
        </w:rPr>
        <w:fldChar w:fldCharType="separate"/>
      </w:r>
      <w:r>
        <w:rPr>
          <w:rStyle w:val="58"/>
          <w:rFonts w:hint="eastAsia" w:ascii="仿宋" w:hAnsi="仿宋" w:eastAsia="仿宋" w:cs="仿宋"/>
          <w:b w:val="0"/>
          <w:color w:val="auto"/>
          <w:sz w:val="36"/>
          <w:szCs w:val="36"/>
          <w:highlight w:val="none"/>
        </w:rPr>
        <w:t>第六章 投标文件格式</w:t>
      </w:r>
      <w:bookmarkStart w:id="19" w:name="_Hlt112372474"/>
      <w:r>
        <w:rPr>
          <w:rFonts w:hint="eastAsia" w:ascii="仿宋" w:hAnsi="仿宋" w:eastAsia="仿宋" w:cs="仿宋"/>
          <w:b w:val="0"/>
          <w:color w:val="auto"/>
          <w:sz w:val="36"/>
          <w:szCs w:val="36"/>
          <w:highlight w:val="none"/>
        </w:rPr>
        <w:tab/>
      </w:r>
      <w:bookmarkEnd w:id="19"/>
      <w:r>
        <w:rPr>
          <w:rFonts w:hint="eastAsia" w:ascii="仿宋" w:hAnsi="仿宋" w:eastAsia="仿宋" w:cs="仿宋"/>
          <w:b w:val="0"/>
          <w:color w:val="auto"/>
          <w:sz w:val="36"/>
          <w:szCs w:val="36"/>
          <w:highlight w:val="none"/>
        </w:rPr>
        <w:fldChar w:fldCharType="end"/>
      </w:r>
      <w:r>
        <w:rPr>
          <w:rFonts w:hint="eastAsia" w:ascii="仿宋" w:hAnsi="仿宋" w:eastAsia="仿宋" w:cs="仿宋"/>
          <w:b w:val="0"/>
          <w:color w:val="auto"/>
          <w:sz w:val="36"/>
          <w:szCs w:val="36"/>
          <w:highlight w:val="none"/>
          <w:lang w:val="en-US" w:eastAsia="zh-CN"/>
        </w:rPr>
        <w:t>64</w:t>
      </w:r>
    </w:p>
    <w:p w14:paraId="04FCE2A9">
      <w:pPr>
        <w:spacing w:line="480" w:lineRule="auto"/>
        <w:jc w:val="center"/>
        <w:rPr>
          <w:rFonts w:hint="eastAsia" w:ascii="仿宋" w:hAnsi="仿宋" w:eastAsia="仿宋" w:cs="仿宋"/>
          <w:color w:val="auto"/>
          <w:sz w:val="24"/>
          <w:highlight w:val="none"/>
        </w:rPr>
      </w:pPr>
      <w:r>
        <w:rPr>
          <w:rFonts w:hint="eastAsia" w:ascii="仿宋" w:hAnsi="仿宋" w:eastAsia="仿宋" w:cs="仿宋"/>
          <w:color w:val="auto"/>
          <w:sz w:val="36"/>
          <w:szCs w:val="36"/>
          <w:highlight w:val="none"/>
        </w:rPr>
        <w:fldChar w:fldCharType="end"/>
      </w:r>
    </w:p>
    <w:p w14:paraId="68D357D2">
      <w:pPr>
        <w:spacing w:before="120" w:beforeLines="50" w:line="480" w:lineRule="exact"/>
        <w:rPr>
          <w:rFonts w:hint="eastAsia" w:ascii="仿宋" w:hAnsi="仿宋" w:eastAsia="仿宋" w:cs="仿宋"/>
          <w:color w:val="auto"/>
          <w:sz w:val="30"/>
          <w:highlight w:val="none"/>
        </w:rPr>
      </w:pPr>
    </w:p>
    <w:p w14:paraId="25A78DD5">
      <w:pPr>
        <w:pStyle w:val="18"/>
        <w:rPr>
          <w:rFonts w:hint="eastAsia" w:ascii="仿宋" w:hAnsi="仿宋" w:eastAsia="仿宋" w:cs="仿宋"/>
          <w:b/>
          <w:bCs/>
          <w:color w:val="auto"/>
          <w:highlight w:val="none"/>
        </w:rPr>
      </w:pPr>
      <w:bookmarkStart w:id="20" w:name="_Toc254970630"/>
      <w:bookmarkStart w:id="21" w:name="_Toc254970489"/>
    </w:p>
    <w:p w14:paraId="2AC310B2">
      <w:pPr>
        <w:pStyle w:val="3"/>
        <w:keepNext w:val="0"/>
        <w:keepLines w:val="0"/>
        <w:tabs>
          <w:tab w:val="left" w:pos="0"/>
          <w:tab w:val="left" w:pos="3165"/>
          <w:tab w:val="center" w:pos="4153"/>
        </w:tabs>
        <w:autoSpaceDE w:val="0"/>
        <w:autoSpaceDN w:val="0"/>
        <w:adjustRightInd w:val="0"/>
        <w:spacing w:before="0" w:after="0" w:line="500" w:lineRule="exact"/>
        <w:jc w:val="center"/>
        <w:rPr>
          <w:rFonts w:hint="eastAsia" w:ascii="仿宋" w:hAnsi="仿宋" w:eastAsia="仿宋" w:cs="仿宋"/>
          <w:b w:val="0"/>
          <w:bCs w:val="0"/>
          <w:color w:val="auto"/>
          <w:highlight w:val="none"/>
        </w:rPr>
      </w:pPr>
    </w:p>
    <w:p w14:paraId="67C7AE49">
      <w:pPr>
        <w:rPr>
          <w:rFonts w:hint="eastAsia" w:ascii="仿宋" w:hAnsi="仿宋" w:eastAsia="仿宋" w:cs="仿宋"/>
          <w:color w:val="auto"/>
          <w:highlight w:val="none"/>
        </w:rPr>
      </w:pPr>
    </w:p>
    <w:p w14:paraId="08BA2BDE">
      <w:pPr>
        <w:rPr>
          <w:rFonts w:hint="eastAsia" w:ascii="仿宋" w:hAnsi="仿宋" w:eastAsia="仿宋" w:cs="仿宋"/>
          <w:color w:val="auto"/>
          <w:highlight w:val="none"/>
        </w:rPr>
      </w:pPr>
    </w:p>
    <w:p w14:paraId="05E4F740">
      <w:pPr>
        <w:rPr>
          <w:rFonts w:hint="eastAsia" w:ascii="仿宋" w:hAnsi="仿宋" w:eastAsia="仿宋" w:cs="仿宋"/>
          <w:color w:val="auto"/>
          <w:highlight w:val="none"/>
        </w:rPr>
      </w:pPr>
    </w:p>
    <w:p w14:paraId="4DDDB549">
      <w:pPr>
        <w:rPr>
          <w:rFonts w:hint="eastAsia" w:ascii="仿宋" w:hAnsi="仿宋" w:eastAsia="仿宋" w:cs="仿宋"/>
          <w:color w:val="auto"/>
          <w:highlight w:val="none"/>
        </w:rPr>
      </w:pPr>
    </w:p>
    <w:p w14:paraId="149468BC">
      <w:pPr>
        <w:rPr>
          <w:rFonts w:hint="eastAsia" w:ascii="仿宋" w:hAnsi="仿宋" w:eastAsia="仿宋" w:cs="仿宋"/>
          <w:color w:val="auto"/>
          <w:highlight w:val="none"/>
        </w:rPr>
      </w:pPr>
    </w:p>
    <w:p w14:paraId="6A129A8C">
      <w:pPr>
        <w:rPr>
          <w:rFonts w:hint="eastAsia" w:ascii="仿宋" w:hAnsi="仿宋" w:eastAsia="仿宋" w:cs="仿宋"/>
          <w:color w:val="auto"/>
          <w:highlight w:val="none"/>
        </w:rPr>
      </w:pPr>
    </w:p>
    <w:p w14:paraId="79CF3808">
      <w:pPr>
        <w:pStyle w:val="3"/>
        <w:keepNext w:val="0"/>
        <w:keepLines w:val="0"/>
        <w:tabs>
          <w:tab w:val="left" w:pos="0"/>
          <w:tab w:val="left" w:pos="3165"/>
          <w:tab w:val="center" w:pos="4153"/>
        </w:tabs>
        <w:autoSpaceDE w:val="0"/>
        <w:autoSpaceDN w:val="0"/>
        <w:adjustRightInd w:val="0"/>
        <w:spacing w:before="0" w:after="0" w:line="500" w:lineRule="exact"/>
        <w:rPr>
          <w:rFonts w:hint="eastAsia" w:ascii="仿宋" w:hAnsi="仿宋" w:eastAsia="仿宋" w:cs="仿宋"/>
          <w:color w:val="auto"/>
          <w:highlight w:val="none"/>
        </w:rPr>
      </w:pPr>
    </w:p>
    <w:p w14:paraId="112A4106">
      <w:pPr>
        <w:pStyle w:val="3"/>
        <w:keepNext w:val="0"/>
        <w:keepLines w:val="0"/>
        <w:tabs>
          <w:tab w:val="left" w:pos="0"/>
          <w:tab w:val="left" w:pos="3165"/>
          <w:tab w:val="center" w:pos="4153"/>
        </w:tabs>
        <w:autoSpaceDE w:val="0"/>
        <w:autoSpaceDN w:val="0"/>
        <w:adjustRightInd w:val="0"/>
        <w:spacing w:before="0" w:after="0" w:line="50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br w:type="page"/>
      </w:r>
      <w:bookmarkStart w:id="22" w:name="_Toc74320800"/>
      <w:bookmarkStart w:id="23" w:name="OLE_LINK3"/>
      <w:r>
        <w:rPr>
          <w:rFonts w:hint="eastAsia" w:ascii="仿宋" w:hAnsi="仿宋" w:eastAsia="仿宋" w:cs="仿宋"/>
          <w:color w:val="auto"/>
          <w:highlight w:val="none"/>
        </w:rPr>
        <w:t>第一章</w:t>
      </w:r>
      <w:bookmarkEnd w:id="20"/>
      <w:bookmarkEnd w:id="21"/>
      <w:bookmarkStart w:id="24" w:name="_Toc28359001"/>
      <w:bookmarkStart w:id="25" w:name="_Toc35393789"/>
      <w:r>
        <w:rPr>
          <w:rFonts w:hint="eastAsia" w:ascii="仿宋" w:hAnsi="仿宋" w:eastAsia="仿宋" w:cs="仿宋"/>
          <w:color w:val="auto"/>
          <w:highlight w:val="none"/>
        </w:rPr>
        <w:t>招标公告</w:t>
      </w:r>
      <w:bookmarkEnd w:id="22"/>
      <w:bookmarkEnd w:id="24"/>
      <w:bookmarkEnd w:id="25"/>
    </w:p>
    <w:p w14:paraId="34C0781C">
      <w:pPr>
        <w:pStyle w:val="3"/>
        <w:keepNext w:val="0"/>
        <w:keepLines w:val="0"/>
        <w:pageBreakBefore w:val="0"/>
        <w:tabs>
          <w:tab w:val="left" w:pos="0"/>
          <w:tab w:val="left" w:pos="3165"/>
          <w:tab w:val="center" w:pos="4153"/>
        </w:tabs>
        <w:kinsoku/>
        <w:wordWrap w:val="0"/>
        <w:overflowPunct/>
        <w:topLinePunct w:val="0"/>
        <w:autoSpaceDE w:val="0"/>
        <w:autoSpaceDN w:val="0"/>
        <w:bidi w:val="0"/>
        <w:adjustRightInd w:val="0"/>
        <w:snapToGrid/>
        <w:spacing w:before="120" w:beforeLines="50" w:after="0" w:line="500" w:lineRule="exact"/>
        <w:jc w:val="center"/>
        <w:textAlignment w:val="auto"/>
        <w:rPr>
          <w:rFonts w:hint="eastAsia" w:ascii="仿宋" w:hAnsi="仿宋" w:eastAsia="仿宋" w:cs="仿宋"/>
          <w:bCs w:val="0"/>
          <w:color w:val="auto"/>
          <w:kern w:val="2"/>
          <w:sz w:val="30"/>
          <w:szCs w:val="30"/>
          <w:highlight w:val="none"/>
        </w:rPr>
      </w:pPr>
      <w:r>
        <w:rPr>
          <w:rFonts w:hint="eastAsia" w:ascii="仿宋" w:hAnsi="仿宋" w:eastAsia="仿宋" w:cs="仿宋"/>
          <w:color w:val="auto"/>
          <w:sz w:val="30"/>
          <w:szCs w:val="30"/>
          <w:highlight w:val="none"/>
          <w:lang w:eastAsia="zh-CN"/>
        </w:rPr>
        <w:t>通信自动化研发与测试系统等科研设备采购</w:t>
      </w:r>
      <w:r>
        <w:rPr>
          <w:rFonts w:hint="eastAsia" w:ascii="仿宋" w:hAnsi="仿宋" w:eastAsia="仿宋" w:cs="仿宋"/>
          <w:bCs w:val="0"/>
          <w:color w:val="auto"/>
          <w:kern w:val="2"/>
          <w:sz w:val="30"/>
          <w:szCs w:val="30"/>
          <w:highlight w:val="none"/>
        </w:rPr>
        <w:t>（</w:t>
      </w:r>
      <w:r>
        <w:rPr>
          <w:rFonts w:hint="eastAsia" w:ascii="仿宋" w:hAnsi="仿宋" w:eastAsia="仿宋" w:cs="仿宋"/>
          <w:bCs w:val="0"/>
          <w:color w:val="auto"/>
          <w:kern w:val="2"/>
          <w:sz w:val="30"/>
          <w:szCs w:val="30"/>
          <w:highlight w:val="none"/>
          <w:lang w:eastAsia="zh-CN"/>
        </w:rPr>
        <w:t>GXZC2026-G1-002879-KWZB</w:t>
      </w:r>
      <w:r>
        <w:rPr>
          <w:rFonts w:hint="eastAsia" w:ascii="仿宋" w:hAnsi="仿宋" w:eastAsia="仿宋" w:cs="仿宋"/>
          <w:bCs w:val="0"/>
          <w:color w:val="auto"/>
          <w:kern w:val="2"/>
          <w:sz w:val="30"/>
          <w:szCs w:val="30"/>
          <w:highlight w:val="none"/>
        </w:rPr>
        <w:t>）招标公告</w:t>
      </w:r>
    </w:p>
    <w:p w14:paraId="277B45D5">
      <w:pPr>
        <w:keepNext w:val="0"/>
        <w:keepLines w:val="0"/>
        <w:pageBreakBefore w:val="0"/>
        <w:pBdr>
          <w:top w:val="single" w:color="auto" w:sz="4" w:space="1"/>
          <w:left w:val="single" w:color="auto" w:sz="4" w:space="4"/>
          <w:bottom w:val="single" w:color="auto" w:sz="4" w:space="1"/>
          <w:right w:val="single" w:color="auto" w:sz="4" w:space="4"/>
        </w:pBdr>
        <w:kinsoku/>
        <w:wordWrap w:val="0"/>
        <w:overflowPunct/>
        <w:topLinePunct w:val="0"/>
        <w:bidi w:val="0"/>
        <w:snapToGrid/>
        <w:spacing w:line="400" w:lineRule="exac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项目概况</w:t>
      </w:r>
    </w:p>
    <w:p w14:paraId="0DFCEEA9">
      <w:pPr>
        <w:keepNext w:val="0"/>
        <w:keepLines w:val="0"/>
        <w:pageBreakBefore w:val="0"/>
        <w:pBdr>
          <w:top w:val="single" w:color="auto" w:sz="4" w:space="1"/>
          <w:left w:val="single" w:color="auto" w:sz="4" w:space="4"/>
          <w:bottom w:val="single" w:color="auto" w:sz="4" w:space="1"/>
          <w:right w:val="single" w:color="auto" w:sz="4" w:space="4"/>
        </w:pBdr>
        <w:kinsoku/>
        <w:wordWrap w:val="0"/>
        <w:overflowPunct/>
        <w:topLinePunct w:val="0"/>
        <w:bidi w:val="0"/>
        <w:snapToGrid/>
        <w:spacing w:line="40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lang w:eastAsia="zh-CN"/>
        </w:rPr>
        <w:t>通信自动化研发与测试系统等科研设备采购</w:t>
      </w:r>
      <w:r>
        <w:rPr>
          <w:rFonts w:hint="eastAsia" w:ascii="仿宋" w:hAnsi="仿宋" w:eastAsia="仿宋" w:cs="仿宋"/>
          <w:color w:val="auto"/>
          <w:sz w:val="24"/>
          <w:highlight w:val="none"/>
        </w:rPr>
        <w:t>招标项目的潜在投标人应在</w:t>
      </w:r>
      <w:r>
        <w:rPr>
          <w:rFonts w:hint="eastAsia" w:ascii="仿宋" w:hAnsi="仿宋" w:eastAsia="仿宋" w:cs="仿宋"/>
          <w:color w:val="auto"/>
          <w:sz w:val="24"/>
          <w:highlight w:val="none"/>
          <w:u w:val="single"/>
        </w:rPr>
        <w:t>广西政府采购云平台（https://www.gcy.zfcg.gxzf.gov.cn/）</w:t>
      </w:r>
      <w:r>
        <w:rPr>
          <w:rFonts w:hint="eastAsia" w:ascii="仿宋" w:hAnsi="仿宋" w:eastAsia="仿宋" w:cs="仿宋"/>
          <w:color w:val="auto"/>
          <w:sz w:val="24"/>
          <w:highlight w:val="none"/>
        </w:rPr>
        <w:t>获取招标文件，并于</w:t>
      </w:r>
      <w:r>
        <w:rPr>
          <w:rFonts w:hint="eastAsia" w:ascii="仿宋" w:hAnsi="仿宋" w:eastAsia="仿宋" w:cs="仿宋"/>
          <w:color w:val="auto"/>
          <w:sz w:val="24"/>
          <w:highlight w:val="none"/>
          <w:lang w:eastAsia="zh-CN"/>
        </w:rPr>
        <w:t>2026年</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lang w:eastAsia="zh-CN"/>
        </w:rPr>
        <w:t>月</w:t>
      </w:r>
      <w:r>
        <w:rPr>
          <w:rFonts w:hint="eastAsia" w:ascii="仿宋" w:hAnsi="仿宋" w:eastAsia="仿宋" w:cs="仿宋"/>
          <w:color w:val="auto"/>
          <w:sz w:val="24"/>
          <w:highlight w:val="none"/>
          <w:lang w:val="en-US" w:eastAsia="zh-CN"/>
        </w:rPr>
        <w:t>28</w:t>
      </w:r>
      <w:r>
        <w:rPr>
          <w:rFonts w:hint="eastAsia" w:ascii="仿宋" w:hAnsi="仿宋" w:eastAsia="仿宋" w:cs="仿宋"/>
          <w:color w:val="auto"/>
          <w:sz w:val="24"/>
          <w:highlight w:val="none"/>
          <w:lang w:eastAsia="zh-CN"/>
        </w:rPr>
        <w:t>日</w:t>
      </w:r>
      <w:r>
        <w:rPr>
          <w:rFonts w:hint="eastAsia" w:ascii="仿宋" w:hAnsi="仿宋" w:eastAsia="仿宋" w:cs="仿宋"/>
          <w:color w:val="auto"/>
          <w:sz w:val="24"/>
          <w:highlight w:val="none"/>
        </w:rPr>
        <w:t>9：30（北京时间）前递交投标文件。</w:t>
      </w:r>
    </w:p>
    <w:p w14:paraId="7157A678">
      <w:pPr>
        <w:keepNext w:val="0"/>
        <w:keepLines w:val="0"/>
        <w:pageBreakBefore w:val="0"/>
        <w:kinsoku/>
        <w:wordWrap w:val="0"/>
        <w:overflowPunct/>
        <w:topLinePunct w:val="0"/>
        <w:bidi w:val="0"/>
        <w:snapToGrid/>
        <w:spacing w:line="360" w:lineRule="auto"/>
        <w:textAlignment w:val="auto"/>
        <w:rPr>
          <w:rFonts w:hint="eastAsia" w:ascii="仿宋" w:hAnsi="仿宋" w:eastAsia="仿宋" w:cs="仿宋"/>
          <w:b/>
          <w:bCs/>
          <w:color w:val="auto"/>
          <w:sz w:val="24"/>
          <w:szCs w:val="24"/>
          <w:highlight w:val="none"/>
        </w:rPr>
      </w:pPr>
      <w:bookmarkStart w:id="26" w:name="_Toc28359002"/>
      <w:bookmarkStart w:id="27" w:name="_Toc35393790"/>
      <w:bookmarkStart w:id="28" w:name="_Toc35393621"/>
      <w:bookmarkStart w:id="29" w:name="_Toc28359079"/>
      <w:bookmarkStart w:id="30" w:name="_Hlk24379207"/>
      <w:r>
        <w:rPr>
          <w:rFonts w:hint="eastAsia" w:ascii="仿宋" w:hAnsi="仿宋" w:eastAsia="仿宋" w:cs="仿宋"/>
          <w:b/>
          <w:bCs/>
          <w:color w:val="auto"/>
          <w:sz w:val="24"/>
          <w:szCs w:val="24"/>
          <w:highlight w:val="none"/>
        </w:rPr>
        <w:t>一、项目基本情况</w:t>
      </w:r>
      <w:bookmarkEnd w:id="26"/>
      <w:bookmarkEnd w:id="27"/>
      <w:bookmarkEnd w:id="28"/>
      <w:bookmarkEnd w:id="29"/>
    </w:p>
    <w:bookmarkEnd w:id="30"/>
    <w:p w14:paraId="46C7DA90">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bCs/>
          <w:color w:val="auto"/>
          <w:sz w:val="24"/>
          <w:szCs w:val="24"/>
          <w:highlight w:val="none"/>
          <w:lang w:eastAsia="zh-CN"/>
        </w:rPr>
      </w:pPr>
      <w:bookmarkStart w:id="31" w:name="_Toc35393623"/>
      <w:bookmarkStart w:id="32" w:name="_Toc28359081"/>
      <w:bookmarkStart w:id="33" w:name="_Toc35393792"/>
      <w:bookmarkStart w:id="34" w:name="_Toc28359004"/>
      <w:r>
        <w:rPr>
          <w:rFonts w:hint="eastAsia" w:ascii="仿宋" w:hAnsi="仿宋" w:eastAsia="仿宋" w:cs="仿宋"/>
          <w:bCs/>
          <w:color w:val="auto"/>
          <w:sz w:val="24"/>
          <w:szCs w:val="24"/>
          <w:highlight w:val="none"/>
        </w:rPr>
        <w:t>项目编号：</w:t>
      </w:r>
      <w:r>
        <w:rPr>
          <w:rFonts w:hint="eastAsia" w:ascii="仿宋" w:hAnsi="仿宋" w:eastAsia="仿宋" w:cs="仿宋"/>
          <w:bCs/>
          <w:color w:val="auto"/>
          <w:sz w:val="24"/>
          <w:szCs w:val="24"/>
          <w:highlight w:val="none"/>
          <w:lang w:eastAsia="zh-CN"/>
        </w:rPr>
        <w:t>GXZC2026-G1-002879-KWZB</w:t>
      </w:r>
    </w:p>
    <w:p w14:paraId="3852B7C2">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项目名称</w:t>
      </w:r>
      <w:r>
        <w:rPr>
          <w:rFonts w:hint="eastAsia" w:ascii="仿宋" w:hAnsi="仿宋" w:eastAsia="仿宋" w:cs="仿宋"/>
          <w:bCs/>
          <w:color w:val="auto"/>
          <w:sz w:val="24"/>
          <w:szCs w:val="24"/>
          <w:highlight w:val="none"/>
        </w:rPr>
        <w:t>：</w:t>
      </w:r>
      <w:bookmarkStart w:id="35" w:name="OLE_LINK41"/>
      <w:r>
        <w:rPr>
          <w:rFonts w:hint="eastAsia" w:ascii="仿宋" w:hAnsi="仿宋" w:eastAsia="仿宋" w:cs="仿宋"/>
          <w:bCs/>
          <w:color w:val="auto"/>
          <w:sz w:val="24"/>
          <w:szCs w:val="24"/>
          <w:highlight w:val="none"/>
          <w:lang w:eastAsia="zh-CN"/>
        </w:rPr>
        <w:t>通信自动化研发与测试系统等科研设备采购</w:t>
      </w:r>
      <w:r>
        <w:rPr>
          <w:rFonts w:hint="eastAsia" w:ascii="仿宋" w:hAnsi="仿宋" w:eastAsia="仿宋" w:cs="仿宋"/>
          <w:bCs/>
          <w:color w:val="auto"/>
          <w:sz w:val="24"/>
          <w:szCs w:val="24"/>
          <w:highlight w:val="none"/>
        </w:rPr>
        <w:t xml:space="preserve"> </w:t>
      </w:r>
      <w:bookmarkEnd w:id="35"/>
    </w:p>
    <w:p w14:paraId="290DB5B5">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预算金</w:t>
      </w:r>
      <w:r>
        <w:rPr>
          <w:rFonts w:hint="eastAsia" w:ascii="仿宋" w:hAnsi="仿宋" w:eastAsia="仿宋" w:cs="仿宋"/>
          <w:bCs/>
          <w:color w:val="auto"/>
          <w:sz w:val="24"/>
          <w:szCs w:val="24"/>
          <w:highlight w:val="none"/>
        </w:rPr>
        <w:t>额（元）：4315000</w:t>
      </w:r>
      <w:r>
        <w:rPr>
          <w:rFonts w:hint="eastAsia" w:ascii="仿宋" w:hAnsi="仿宋" w:eastAsia="仿宋" w:cs="仿宋"/>
          <w:bCs/>
          <w:color w:val="auto"/>
          <w:sz w:val="24"/>
          <w:szCs w:val="24"/>
          <w:highlight w:val="none"/>
          <w:lang w:val="en-US" w:eastAsia="zh-CN"/>
        </w:rPr>
        <w:t>.00</w:t>
      </w:r>
    </w:p>
    <w:p w14:paraId="19D9CFCE">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最高限价（如有）：4315000</w:t>
      </w:r>
      <w:r>
        <w:rPr>
          <w:rFonts w:hint="eastAsia" w:ascii="仿宋" w:hAnsi="仿宋" w:eastAsia="仿宋" w:cs="仿宋"/>
          <w:color w:val="auto"/>
          <w:sz w:val="24"/>
          <w:szCs w:val="24"/>
          <w:highlight w:val="none"/>
          <w:lang w:eastAsia="zh-CN"/>
        </w:rPr>
        <w:t>.00</w:t>
      </w:r>
    </w:p>
    <w:p w14:paraId="718CFB65">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采购需求：</w:t>
      </w:r>
    </w:p>
    <w:p w14:paraId="6519627A">
      <w:pPr>
        <w:keepNext w:val="0"/>
        <w:keepLines w:val="0"/>
        <w:pageBreakBefore w:val="0"/>
        <w:kinsoku/>
        <w:wordWrap w:val="0"/>
        <w:overflowPunct/>
        <w:topLinePunct w:val="0"/>
        <w:autoSpaceDE/>
        <w:autoSpaceDN/>
        <w:bidi w:val="0"/>
        <w:adjustRightInd/>
        <w:snapToGrid/>
        <w:spacing w:line="360" w:lineRule="auto"/>
        <w:ind w:firstLine="482" w:firstLineChars="200"/>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标项</w:t>
      </w:r>
      <w:r>
        <w:rPr>
          <w:rFonts w:hint="eastAsia" w:ascii="仿宋" w:hAnsi="仿宋" w:eastAsia="仿宋" w:cs="仿宋"/>
          <w:b/>
          <w:bCs/>
          <w:color w:val="auto"/>
          <w:sz w:val="24"/>
          <w:szCs w:val="24"/>
          <w:highlight w:val="none"/>
        </w:rPr>
        <w:t>名称：</w:t>
      </w:r>
      <w:r>
        <w:rPr>
          <w:rFonts w:hint="eastAsia" w:ascii="仿宋" w:hAnsi="仿宋" w:eastAsia="仿宋" w:cs="仿宋"/>
          <w:bCs/>
          <w:color w:val="auto"/>
          <w:sz w:val="24"/>
          <w:szCs w:val="24"/>
          <w:highlight w:val="none"/>
          <w:lang w:eastAsia="zh-CN"/>
        </w:rPr>
        <w:t>通信自动化研发与测试系统等科研设备采购</w:t>
      </w:r>
    </w:p>
    <w:p w14:paraId="11474DC1">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数量：</w:t>
      </w:r>
      <w:r>
        <w:rPr>
          <w:rFonts w:hint="eastAsia" w:ascii="仿宋" w:hAnsi="仿宋" w:eastAsia="仿宋" w:cs="仿宋"/>
          <w:color w:val="auto"/>
          <w:sz w:val="24"/>
          <w:szCs w:val="24"/>
          <w:highlight w:val="none"/>
          <w:lang w:val="en-US" w:eastAsia="zh-CN"/>
        </w:rPr>
        <w:t>2</w:t>
      </w:r>
      <w:bookmarkStart w:id="172" w:name="_GoBack"/>
      <w:bookmarkEnd w:id="172"/>
    </w:p>
    <w:p w14:paraId="70D1BA95">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预算金额（元）：</w:t>
      </w:r>
      <w:r>
        <w:rPr>
          <w:rFonts w:hint="eastAsia" w:ascii="仿宋" w:hAnsi="仿宋" w:eastAsia="仿宋" w:cs="仿宋"/>
          <w:bCs/>
          <w:color w:val="auto"/>
          <w:sz w:val="24"/>
          <w:szCs w:val="24"/>
          <w:highlight w:val="none"/>
        </w:rPr>
        <w:t>4315000</w:t>
      </w:r>
      <w:r>
        <w:rPr>
          <w:rFonts w:hint="eastAsia" w:ascii="仿宋" w:hAnsi="仿宋" w:eastAsia="仿宋" w:cs="仿宋"/>
          <w:color w:val="auto"/>
          <w:sz w:val="24"/>
          <w:szCs w:val="24"/>
          <w:highlight w:val="none"/>
          <w:lang w:val="en-US" w:eastAsia="zh-CN"/>
        </w:rPr>
        <w:t>.00</w:t>
      </w:r>
    </w:p>
    <w:p w14:paraId="62622B08">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简要规格描述或项目基本概况介绍、用途：</w:t>
      </w:r>
      <w:bookmarkStart w:id="36" w:name="OLE_LINK46"/>
      <w:r>
        <w:rPr>
          <w:rFonts w:hint="eastAsia" w:ascii="仿宋" w:hAnsi="仿宋" w:eastAsia="仿宋" w:cs="仿宋"/>
          <w:color w:val="auto"/>
          <w:sz w:val="24"/>
          <w:szCs w:val="24"/>
          <w:highlight w:val="none"/>
        </w:rPr>
        <w:t>通信自动化研发与测试系统（PCT测试环境）</w:t>
      </w:r>
      <w:r>
        <w:rPr>
          <w:rFonts w:hint="eastAsia" w:ascii="仿宋" w:hAnsi="仿宋" w:eastAsia="仿宋" w:cs="仿宋"/>
          <w:color w:val="auto"/>
          <w:sz w:val="24"/>
          <w:szCs w:val="24"/>
          <w:highlight w:val="none"/>
          <w:lang w:val="en-US" w:eastAsia="zh-CN"/>
        </w:rPr>
        <w:t>1套、宽带无线电通信测试仪（综测仪）</w:t>
      </w:r>
      <w:r>
        <w:rPr>
          <w:rFonts w:hint="eastAsia" w:ascii="仿宋" w:hAnsi="仿宋" w:eastAsia="仿宋" w:cs="仿宋"/>
          <w:color w:val="auto"/>
          <w:sz w:val="28"/>
          <w:szCs w:val="28"/>
          <w:highlight w:val="none"/>
          <w:lang w:val="en-US" w:eastAsia="zh-CN"/>
        </w:rPr>
        <w:t>1套</w:t>
      </w:r>
      <w:r>
        <w:rPr>
          <w:rFonts w:hint="eastAsia" w:ascii="仿宋" w:hAnsi="仿宋" w:eastAsia="仿宋" w:cs="仿宋"/>
          <w:color w:val="auto"/>
          <w:sz w:val="24"/>
          <w:szCs w:val="24"/>
          <w:highlight w:val="none"/>
        </w:rPr>
        <w:t>。具体内容详见招标文件。</w:t>
      </w:r>
      <w:bookmarkEnd w:id="36"/>
    </w:p>
    <w:p w14:paraId="1CAFCBFC">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最高限价（如有）：</w:t>
      </w:r>
      <w:r>
        <w:rPr>
          <w:rFonts w:hint="eastAsia" w:ascii="仿宋" w:hAnsi="仿宋" w:eastAsia="仿宋" w:cs="仿宋"/>
          <w:bCs/>
          <w:color w:val="auto"/>
          <w:sz w:val="24"/>
          <w:szCs w:val="24"/>
          <w:highlight w:val="none"/>
        </w:rPr>
        <w:t>4315000</w:t>
      </w:r>
      <w:r>
        <w:rPr>
          <w:rFonts w:hint="eastAsia" w:ascii="仿宋" w:hAnsi="仿宋" w:eastAsia="仿宋" w:cs="仿宋"/>
          <w:color w:val="auto"/>
          <w:sz w:val="24"/>
          <w:szCs w:val="24"/>
          <w:highlight w:val="none"/>
          <w:lang w:eastAsia="zh-CN"/>
        </w:rPr>
        <w:t>.00</w:t>
      </w:r>
    </w:p>
    <w:p w14:paraId="14010F27">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合同履行期限：</w:t>
      </w:r>
      <w:r>
        <w:rPr>
          <w:rFonts w:hint="default" w:ascii="Calibri" w:hAnsi="Calibri" w:eastAsia="仿宋" w:cs="Calibri"/>
          <w:color w:val="auto"/>
          <w:sz w:val="24"/>
          <w:szCs w:val="24"/>
          <w:highlight w:val="none"/>
        </w:rPr>
        <w:t>①</w:t>
      </w:r>
      <w:r>
        <w:rPr>
          <w:rFonts w:hint="eastAsia" w:ascii="仿宋" w:hAnsi="仿宋" w:eastAsia="仿宋" w:cs="仿宋"/>
          <w:color w:val="auto"/>
          <w:sz w:val="24"/>
          <w:szCs w:val="24"/>
          <w:highlight w:val="none"/>
          <w:lang w:val="en-US" w:eastAsia="zh-CN"/>
        </w:rPr>
        <w:t>进口产品:自收到信用证后180日内必须到货，设备进场后7个工作日内安装调试合格;在设备交货前1个月，中标供应商应通知采购人有关设备安装的环境与安装条件，采购人做好设备安装前的准备工作。</w:t>
      </w:r>
      <w:r>
        <w:rPr>
          <w:rFonts w:hint="default" w:ascii="Calibri" w:hAnsi="Calibri" w:eastAsia="仿宋" w:cs="Calibri"/>
          <w:color w:val="auto"/>
          <w:sz w:val="24"/>
          <w:szCs w:val="24"/>
          <w:highlight w:val="none"/>
          <w:lang w:val="en-US" w:eastAsia="zh-CN"/>
        </w:rPr>
        <w:t>②</w:t>
      </w:r>
      <w:r>
        <w:rPr>
          <w:rFonts w:hint="eastAsia" w:ascii="仿宋" w:hAnsi="仿宋" w:eastAsia="仿宋" w:cs="仿宋"/>
          <w:color w:val="auto"/>
          <w:sz w:val="24"/>
          <w:szCs w:val="24"/>
          <w:highlight w:val="none"/>
          <w:lang w:val="en-US" w:eastAsia="zh-CN"/>
        </w:rPr>
        <w:t>国产产品:自签订合同之日起30日内必须到货，并安装调试验收合格。</w:t>
      </w:r>
    </w:p>
    <w:p w14:paraId="294E1DAF">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w:t>
      </w:r>
      <w:r>
        <w:rPr>
          <w:rFonts w:hint="eastAsia" w:ascii="仿宋" w:hAnsi="仿宋" w:eastAsia="仿宋" w:cs="仿宋"/>
          <w:color w:val="auto"/>
          <w:sz w:val="24"/>
          <w:szCs w:val="24"/>
          <w:highlight w:val="none"/>
          <w:lang w:val="en-US" w:eastAsia="zh-CN"/>
        </w:rPr>
        <w:t>项目</w:t>
      </w:r>
      <w:r>
        <w:rPr>
          <w:rFonts w:hint="eastAsia" w:ascii="仿宋" w:hAnsi="仿宋" w:eastAsia="仿宋" w:cs="仿宋"/>
          <w:color w:val="auto"/>
          <w:sz w:val="24"/>
          <w:szCs w:val="24"/>
          <w:highlight w:val="none"/>
        </w:rPr>
        <w:t>（否）接受联合体投标。</w:t>
      </w:r>
    </w:p>
    <w:p w14:paraId="756DCB25">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p w14:paraId="52F3B7EE">
      <w:pPr>
        <w:keepNext w:val="0"/>
        <w:keepLines w:val="0"/>
        <w:pageBreakBefore w:val="0"/>
        <w:kinsoku/>
        <w:wordWrap w:val="0"/>
        <w:overflowPunct/>
        <w:topLinePunct w:val="0"/>
        <w:autoSpaceDE/>
        <w:autoSpaceDN/>
        <w:bidi w:val="0"/>
        <w:adjustRightInd/>
        <w:snapToGrid/>
        <w:spacing w:line="360" w:lineRule="auto"/>
        <w:ind w:firstLine="482" w:firstLineChars="200"/>
        <w:textAlignment w:val="auto"/>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二、申请人的资格要求：</w:t>
      </w:r>
    </w:p>
    <w:p w14:paraId="2A0EA2D8">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1.满足《中华人民共和国政府采购法》第二十二条规定；</w:t>
      </w:r>
    </w:p>
    <w:p w14:paraId="32E462E2">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2.落实政府采购政策需满足的资格要求</w:t>
      </w:r>
      <w:r>
        <w:rPr>
          <w:rFonts w:hint="eastAsia" w:ascii="仿宋" w:hAnsi="仿宋" w:eastAsia="仿宋" w:cs="仿宋"/>
          <w:color w:val="auto"/>
          <w:sz w:val="24"/>
          <w:szCs w:val="24"/>
          <w:highlight w:val="none"/>
          <w:lang w:eastAsia="zh-CN"/>
        </w:rPr>
        <w:t>：分标</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：无</w:t>
      </w:r>
      <w:r>
        <w:rPr>
          <w:rFonts w:hint="eastAsia" w:ascii="仿宋" w:hAnsi="仿宋" w:eastAsia="仿宋" w:cs="仿宋"/>
          <w:color w:val="auto"/>
          <w:sz w:val="24"/>
          <w:szCs w:val="24"/>
          <w:highlight w:val="none"/>
        </w:rPr>
        <w:t>；</w:t>
      </w:r>
    </w:p>
    <w:p w14:paraId="4B816061">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3.本项目的特定资格要求：</w:t>
      </w:r>
      <w:r>
        <w:rPr>
          <w:rFonts w:hint="eastAsia" w:ascii="仿宋" w:hAnsi="仿宋" w:eastAsia="仿宋" w:cs="仿宋"/>
          <w:color w:val="auto"/>
          <w:sz w:val="24"/>
          <w:szCs w:val="24"/>
          <w:highlight w:val="none"/>
          <w:lang w:eastAsia="zh-CN"/>
        </w:rPr>
        <w:t>无。</w:t>
      </w:r>
    </w:p>
    <w:p w14:paraId="5FC47C31">
      <w:pPr>
        <w:keepNext w:val="0"/>
        <w:keepLines w:val="0"/>
        <w:pageBreakBefore w:val="0"/>
        <w:kinsoku/>
        <w:wordWrap w:val="0"/>
        <w:overflowPunct/>
        <w:topLinePunct w:val="0"/>
        <w:bidi w:val="0"/>
        <w:snapToGrid/>
        <w:spacing w:line="360" w:lineRule="auto"/>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三、获取招标文件</w:t>
      </w:r>
      <w:bookmarkEnd w:id="31"/>
      <w:bookmarkEnd w:id="32"/>
      <w:bookmarkEnd w:id="33"/>
      <w:bookmarkEnd w:id="34"/>
    </w:p>
    <w:p w14:paraId="05F74BD6">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时间：</w:t>
      </w:r>
      <w:r>
        <w:rPr>
          <w:rFonts w:hint="eastAsia" w:ascii="仿宋" w:hAnsi="仿宋" w:eastAsia="仿宋" w:cs="仿宋"/>
          <w:color w:val="auto"/>
          <w:sz w:val="24"/>
          <w:highlight w:val="none"/>
          <w:lang w:eastAsia="zh-CN"/>
        </w:rPr>
        <w:t>2026年</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lang w:eastAsia="zh-CN"/>
        </w:rPr>
        <w:t>月</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lang w:eastAsia="zh-CN"/>
        </w:rPr>
        <w:t>日</w:t>
      </w:r>
      <w:r>
        <w:rPr>
          <w:rFonts w:hint="eastAsia" w:ascii="仿宋" w:hAnsi="仿宋" w:eastAsia="仿宋" w:cs="仿宋"/>
          <w:color w:val="auto"/>
          <w:sz w:val="24"/>
          <w:highlight w:val="none"/>
        </w:rPr>
        <w:t>至</w:t>
      </w:r>
      <w:r>
        <w:rPr>
          <w:rFonts w:hint="eastAsia" w:ascii="仿宋" w:hAnsi="仿宋" w:eastAsia="仿宋" w:cs="仿宋"/>
          <w:color w:val="auto"/>
          <w:sz w:val="24"/>
          <w:highlight w:val="none"/>
          <w:lang w:eastAsia="zh-CN"/>
        </w:rPr>
        <w:t>2026年</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lang w:eastAsia="zh-CN"/>
        </w:rPr>
        <w:t>月</w:t>
      </w: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日，每天上午00:00-12:00；下午12:01-23:59（北京时间，法定节假日除外）。</w:t>
      </w:r>
    </w:p>
    <w:p w14:paraId="674B60FD">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地点（网址）：</w:t>
      </w:r>
      <w:r>
        <w:rPr>
          <w:rFonts w:hint="eastAsia" w:ascii="仿宋" w:hAnsi="仿宋" w:eastAsia="仿宋" w:cs="仿宋"/>
          <w:color w:val="auto"/>
          <w:sz w:val="24"/>
          <w:highlight w:val="none"/>
          <w:u w:val="single"/>
        </w:rPr>
        <w:t>广西政府采购云平台（https://www.gcy.zfcg.gxzf.gov.cn/）</w:t>
      </w:r>
      <w:r>
        <w:rPr>
          <w:rFonts w:hint="eastAsia" w:ascii="仿宋" w:hAnsi="仿宋" w:eastAsia="仿宋" w:cs="仿宋"/>
          <w:bCs/>
          <w:color w:val="auto"/>
          <w:kern w:val="0"/>
          <w:sz w:val="24"/>
          <w:highlight w:val="none"/>
        </w:rPr>
        <w:t>。</w:t>
      </w:r>
    </w:p>
    <w:p w14:paraId="7E7EA966">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方式：网上下载。供应商应自行登陆</w:t>
      </w:r>
      <w:r>
        <w:rPr>
          <w:rFonts w:hint="eastAsia" w:ascii="仿宋" w:hAnsi="仿宋" w:eastAsia="仿宋" w:cs="仿宋"/>
          <w:color w:val="auto"/>
          <w:sz w:val="24"/>
          <w:highlight w:val="none"/>
          <w:u w:val="single"/>
        </w:rPr>
        <w:t>广西政府采购云平台（https://www.gcy.zfcg.gxzf.gov.cn/）</w:t>
      </w:r>
      <w:r>
        <w:rPr>
          <w:rFonts w:hint="eastAsia" w:ascii="仿宋" w:hAnsi="仿宋" w:eastAsia="仿宋" w:cs="仿宋"/>
          <w:bCs/>
          <w:color w:val="auto"/>
          <w:kern w:val="0"/>
          <w:sz w:val="24"/>
          <w:highlight w:val="none"/>
        </w:rPr>
        <w:t>下载招标文件（操作路径：登录“广西政府采购云平台”-项目采购-获取采购文件-找到本项目-点击“申请获取采购文件”），电子投标文件制作需要基于“广西政府采购云平台”获取的招标文件编制。</w:t>
      </w:r>
    </w:p>
    <w:p w14:paraId="556B2ECC">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bCs/>
          <w:color w:val="auto"/>
          <w:kern w:val="0"/>
          <w:sz w:val="24"/>
          <w:highlight w:val="none"/>
        </w:rPr>
        <w:t>售价：0元。</w:t>
      </w:r>
    </w:p>
    <w:p w14:paraId="319CF23B">
      <w:pPr>
        <w:keepNext w:val="0"/>
        <w:keepLines w:val="0"/>
        <w:pageBreakBefore w:val="0"/>
        <w:kinsoku/>
        <w:wordWrap w:val="0"/>
        <w:overflowPunct/>
        <w:topLinePunct w:val="0"/>
        <w:bidi w:val="0"/>
        <w:snapToGrid/>
        <w:spacing w:line="360" w:lineRule="auto"/>
        <w:textAlignment w:val="auto"/>
        <w:rPr>
          <w:rFonts w:hint="eastAsia" w:ascii="仿宋" w:hAnsi="仿宋" w:eastAsia="仿宋" w:cs="仿宋"/>
          <w:b/>
          <w:bCs/>
          <w:color w:val="auto"/>
          <w:sz w:val="24"/>
          <w:highlight w:val="none"/>
        </w:rPr>
      </w:pPr>
      <w:bookmarkStart w:id="37" w:name="_Toc28359082"/>
      <w:bookmarkStart w:id="38" w:name="_Toc28359005"/>
      <w:bookmarkStart w:id="39" w:name="_Toc35393793"/>
      <w:bookmarkStart w:id="40" w:name="_Toc35393624"/>
      <w:r>
        <w:rPr>
          <w:rFonts w:hint="eastAsia" w:ascii="仿宋" w:hAnsi="仿宋" w:eastAsia="仿宋" w:cs="仿宋"/>
          <w:b/>
          <w:bCs/>
          <w:color w:val="auto"/>
          <w:sz w:val="24"/>
          <w:highlight w:val="none"/>
        </w:rPr>
        <w:t>四、提交投标文件</w:t>
      </w:r>
      <w:bookmarkEnd w:id="37"/>
      <w:bookmarkEnd w:id="38"/>
      <w:r>
        <w:rPr>
          <w:rFonts w:hint="eastAsia" w:ascii="仿宋" w:hAnsi="仿宋" w:eastAsia="仿宋" w:cs="仿宋"/>
          <w:b/>
          <w:bCs/>
          <w:color w:val="auto"/>
          <w:sz w:val="24"/>
          <w:highlight w:val="none"/>
        </w:rPr>
        <w:t>截止时间、开标时间和地点</w:t>
      </w:r>
      <w:bookmarkEnd w:id="39"/>
      <w:bookmarkEnd w:id="40"/>
    </w:p>
    <w:p w14:paraId="267DE755">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color w:val="auto"/>
          <w:sz w:val="24"/>
          <w:highlight w:val="none"/>
        </w:rPr>
      </w:pPr>
      <w:bookmarkStart w:id="41" w:name="_Toc35393794"/>
      <w:bookmarkStart w:id="42" w:name="_Toc28359007"/>
      <w:bookmarkStart w:id="43" w:name="_Toc28359084"/>
      <w:bookmarkStart w:id="44" w:name="_Toc35393625"/>
      <w:r>
        <w:rPr>
          <w:rFonts w:hint="eastAsia" w:ascii="仿宋" w:hAnsi="仿宋" w:eastAsia="仿宋" w:cs="仿宋"/>
          <w:color w:val="auto"/>
          <w:sz w:val="24"/>
          <w:highlight w:val="none"/>
        </w:rPr>
        <w:t>1、提交投标文件截止时间：</w:t>
      </w:r>
      <w:r>
        <w:rPr>
          <w:rFonts w:hint="eastAsia" w:ascii="仿宋" w:hAnsi="仿宋" w:eastAsia="仿宋" w:cs="仿宋"/>
          <w:color w:val="auto"/>
          <w:sz w:val="24"/>
          <w:highlight w:val="none"/>
          <w:lang w:eastAsia="zh-CN"/>
        </w:rPr>
        <w:t>2026年</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lang w:eastAsia="zh-CN"/>
        </w:rPr>
        <w:t>月</w:t>
      </w:r>
      <w:r>
        <w:rPr>
          <w:rFonts w:hint="eastAsia" w:ascii="仿宋" w:hAnsi="仿宋" w:eastAsia="仿宋" w:cs="仿宋"/>
          <w:color w:val="auto"/>
          <w:sz w:val="24"/>
          <w:highlight w:val="none"/>
          <w:lang w:val="en-US" w:eastAsia="zh-CN"/>
        </w:rPr>
        <w:t>28</w:t>
      </w:r>
      <w:r>
        <w:rPr>
          <w:rFonts w:hint="eastAsia" w:ascii="仿宋" w:hAnsi="仿宋" w:eastAsia="仿宋" w:cs="仿宋"/>
          <w:color w:val="auto"/>
          <w:sz w:val="24"/>
          <w:highlight w:val="none"/>
          <w:lang w:eastAsia="zh-CN"/>
        </w:rPr>
        <w:t>日</w:t>
      </w:r>
      <w:r>
        <w:rPr>
          <w:rFonts w:hint="eastAsia" w:ascii="仿宋" w:hAnsi="仿宋" w:eastAsia="仿宋" w:cs="仿宋"/>
          <w:color w:val="auto"/>
          <w:sz w:val="24"/>
          <w:highlight w:val="none"/>
        </w:rPr>
        <w:t>09：30（北京时间）。</w:t>
      </w:r>
    </w:p>
    <w:p w14:paraId="4283BF3F">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2、投标地点（网址）：通过“广西政府采购云平台”在线提交投标文件。</w:t>
      </w:r>
    </w:p>
    <w:p w14:paraId="79E99127">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3、开标时间：</w:t>
      </w:r>
      <w:r>
        <w:rPr>
          <w:rFonts w:hint="eastAsia" w:ascii="仿宋" w:hAnsi="仿宋" w:eastAsia="仿宋" w:cs="仿宋"/>
          <w:color w:val="auto"/>
          <w:sz w:val="24"/>
          <w:highlight w:val="none"/>
          <w:lang w:eastAsia="zh-CN"/>
        </w:rPr>
        <w:t>2026年</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lang w:eastAsia="zh-CN"/>
        </w:rPr>
        <w:t>月</w:t>
      </w:r>
      <w:r>
        <w:rPr>
          <w:rFonts w:hint="eastAsia" w:ascii="仿宋" w:hAnsi="仿宋" w:eastAsia="仿宋" w:cs="仿宋"/>
          <w:color w:val="auto"/>
          <w:sz w:val="24"/>
          <w:highlight w:val="none"/>
          <w:lang w:val="en-US" w:eastAsia="zh-CN"/>
        </w:rPr>
        <w:t>28</w:t>
      </w:r>
      <w:r>
        <w:rPr>
          <w:rFonts w:hint="eastAsia" w:ascii="仿宋" w:hAnsi="仿宋" w:eastAsia="仿宋" w:cs="仿宋"/>
          <w:color w:val="auto"/>
          <w:sz w:val="24"/>
          <w:highlight w:val="none"/>
          <w:lang w:eastAsia="zh-CN"/>
        </w:rPr>
        <w:t>日</w:t>
      </w:r>
      <w:r>
        <w:rPr>
          <w:rFonts w:hint="eastAsia" w:ascii="仿宋" w:hAnsi="仿宋" w:eastAsia="仿宋" w:cs="仿宋"/>
          <w:color w:val="auto"/>
          <w:sz w:val="24"/>
          <w:highlight w:val="none"/>
        </w:rPr>
        <w:t>09:30。</w:t>
      </w:r>
    </w:p>
    <w:p w14:paraId="78D61256">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4、开标地点：通过“广西政府采购云平台”在线开启投标文件。</w:t>
      </w:r>
    </w:p>
    <w:p w14:paraId="5644BB4A">
      <w:pPr>
        <w:keepNext w:val="0"/>
        <w:keepLines w:val="0"/>
        <w:pageBreakBefore w:val="0"/>
        <w:kinsoku/>
        <w:wordWrap w:val="0"/>
        <w:overflowPunct/>
        <w:topLinePunct w:val="0"/>
        <w:bidi w:val="0"/>
        <w:snapToGrid/>
        <w:spacing w:line="360" w:lineRule="auto"/>
        <w:textAlignment w:val="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五、公告期限</w:t>
      </w:r>
      <w:bookmarkEnd w:id="41"/>
      <w:bookmarkEnd w:id="42"/>
      <w:bookmarkEnd w:id="43"/>
      <w:bookmarkEnd w:id="44"/>
    </w:p>
    <w:p w14:paraId="2A1002D3">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自本公告发布之日起5个工作日。</w:t>
      </w:r>
    </w:p>
    <w:p w14:paraId="05A880A7">
      <w:pPr>
        <w:keepNext w:val="0"/>
        <w:keepLines w:val="0"/>
        <w:pageBreakBefore w:val="0"/>
        <w:kinsoku/>
        <w:wordWrap w:val="0"/>
        <w:overflowPunct/>
        <w:topLinePunct w:val="0"/>
        <w:bidi w:val="0"/>
        <w:snapToGrid/>
        <w:spacing w:line="360" w:lineRule="auto"/>
        <w:textAlignment w:val="auto"/>
        <w:rPr>
          <w:rFonts w:hint="eastAsia" w:ascii="仿宋" w:hAnsi="仿宋" w:eastAsia="仿宋" w:cs="仿宋"/>
          <w:b/>
          <w:bCs/>
          <w:color w:val="auto"/>
          <w:sz w:val="24"/>
          <w:highlight w:val="none"/>
        </w:rPr>
      </w:pPr>
      <w:bookmarkStart w:id="45" w:name="_Toc35393795"/>
      <w:bookmarkStart w:id="46" w:name="_Toc35393626"/>
      <w:r>
        <w:rPr>
          <w:rFonts w:hint="eastAsia" w:ascii="仿宋" w:hAnsi="仿宋" w:eastAsia="仿宋" w:cs="仿宋"/>
          <w:b/>
          <w:bCs/>
          <w:color w:val="auto"/>
          <w:sz w:val="24"/>
          <w:highlight w:val="none"/>
        </w:rPr>
        <w:t>六、其他补充事宜</w:t>
      </w:r>
      <w:bookmarkEnd w:id="45"/>
      <w:bookmarkEnd w:id="46"/>
    </w:p>
    <w:p w14:paraId="426F40BA">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color w:val="auto"/>
          <w:kern w:val="0"/>
          <w:sz w:val="24"/>
          <w:highlight w:val="none"/>
        </w:rPr>
      </w:pPr>
      <w:bookmarkStart w:id="47" w:name="_Hlk37429674"/>
      <w:r>
        <w:rPr>
          <w:rFonts w:hint="eastAsia" w:ascii="仿宋" w:hAnsi="仿宋" w:eastAsia="仿宋" w:cs="仿宋"/>
          <w:color w:val="auto"/>
          <w:kern w:val="0"/>
          <w:sz w:val="24"/>
          <w:highlight w:val="none"/>
        </w:rPr>
        <w:t>1、投标保证金（人民币）：本项目无需缴纳投标保证金。</w:t>
      </w:r>
    </w:p>
    <w:p w14:paraId="7D94DA55">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5CED9BE9">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根据财政部《关于在政府采购活动中查询及使用信用记录有关问题的通知》（财库〔2016〕125号）的规定，对在“信用中国”网站(www.creditchina.gov.cn)、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59E891B2">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4、网上查询地址：中国政府采购网（www.ccgp.gov.cn）、广西政府采购网（zfcg.gxzf.gov.cn）。</w:t>
      </w:r>
    </w:p>
    <w:p w14:paraId="4B02BBBB">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5、本项目需要落实的政府采购政策：</w:t>
      </w:r>
    </w:p>
    <w:p w14:paraId="52CCBAB6">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（1）政府采购促进中小企业发展政策。</w:t>
      </w:r>
    </w:p>
    <w:p w14:paraId="5E171AA0">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（2）政府采购支持采用本国产品的政策。</w:t>
      </w:r>
    </w:p>
    <w:p w14:paraId="389C8F98">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（3）强制采购节能产品；优先采购节能产品、环境标志产品。</w:t>
      </w:r>
    </w:p>
    <w:p w14:paraId="1FF530A2">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（4）政府采购促进残疾人就业政策。</w:t>
      </w:r>
    </w:p>
    <w:p w14:paraId="66887A65">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（5）政府采购支持监狱企业发展政策。</w:t>
      </w:r>
    </w:p>
    <w:p w14:paraId="27AA71E4">
      <w:pPr>
        <w:keepNext w:val="0"/>
        <w:keepLines w:val="0"/>
        <w:pageBreakBefore w:val="0"/>
        <w:widowControl/>
        <w:kinsoku/>
        <w:wordWrap w:val="0"/>
        <w:overflowPunct/>
        <w:topLinePunct w:val="0"/>
        <w:bidi w:val="0"/>
        <w:snapToGrid/>
        <w:spacing w:line="360" w:lineRule="auto"/>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6、投标注意事项：</w:t>
      </w:r>
    </w:p>
    <w:bookmarkEnd w:id="47"/>
    <w:p w14:paraId="5B80DCE6">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color w:val="auto"/>
          <w:sz w:val="24"/>
          <w:highlight w:val="none"/>
        </w:rPr>
      </w:pPr>
      <w:bookmarkStart w:id="48" w:name="_Toc35393627"/>
      <w:bookmarkStart w:id="49" w:name="_Toc28359008"/>
      <w:bookmarkStart w:id="50" w:name="_Toc28359085"/>
      <w:bookmarkStart w:id="51" w:name="_Toc35393796"/>
      <w:r>
        <w:rPr>
          <w:rFonts w:hint="eastAsia" w:ascii="仿宋" w:hAnsi="仿宋" w:eastAsia="仿宋" w:cs="仿宋"/>
          <w:color w:val="auto"/>
          <w:sz w:val="24"/>
          <w:highlight w:val="none"/>
        </w:rPr>
        <w:t>（1）投标文件提交方式：本项目为全流程电子化政府采购项目，通过</w:t>
      </w:r>
      <w:r>
        <w:rPr>
          <w:rFonts w:hint="eastAsia" w:ascii="仿宋" w:hAnsi="仿宋" w:eastAsia="仿宋" w:cs="仿宋"/>
          <w:color w:val="auto"/>
          <w:sz w:val="24"/>
          <w:highlight w:val="none"/>
          <w:u w:val="single"/>
        </w:rPr>
        <w:t>广西政府采购云平台（https://www.gcy.zfcg.gxzf.gov.cn/）</w:t>
      </w:r>
      <w:r>
        <w:rPr>
          <w:rFonts w:hint="eastAsia" w:ascii="仿宋" w:hAnsi="仿宋" w:eastAsia="仿宋" w:cs="仿宋"/>
          <w:color w:val="auto"/>
          <w:sz w:val="24"/>
          <w:highlight w:val="none"/>
        </w:rPr>
        <w:t>实行在线电子投标，供应商应先安装“广西政府采购云平台电子交易客户端”（请自行前往“广西政府采购云平台”进行下载），并按照本项目招标文件和“广西政府采购云平台”的要求编制、加密后在投标截止时间前通过网络上传至“广西政府采购云平台”，供应商在“广西政府采购云平台”提交电子版投标文件时，请填写参加远程开标活动经办人联系方式。</w:t>
      </w:r>
    </w:p>
    <w:p w14:paraId="0979CA3A">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供应商应及时熟悉掌握电子标系统操作指南（见广西政府采购云平台电子卖场首页右上角—服务中心—帮助文档—项目采购）：https://service.zcygov.cn/#/knowledges/tree?tag=AG1DtGwBFdiHxlNdhY0r；及时完成CA申领和绑定（见广西壮族自治区政府采购网—办事服务—下载专区-广西政府采购云平台CA证书办理操作指南）。</w:t>
      </w:r>
    </w:p>
    <w:p w14:paraId="0CB6C490">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未进行网上注册并办理数字证书（CA认证）的供应商将无法参与本项目政府采购活动，潜在供应商应当在投标截止时间前，完成电子交易平台上的CA数字证书办理及投标文件的提交。完成CA数字证书办理预计7日左右，投标人只需办理其中一家CA数字证书及签章，建议各投标人抓紧时间办理。</w:t>
      </w:r>
    </w:p>
    <w:p w14:paraId="12D0F203">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（4）为确保网上操作合法、有效和安全，请投标人确保在电子投标过程中能够对相关数据电文进行加密和使用电子签章，妥善保管CA数字证书并使用有效的CA数字证书参与整个采购活动。</w:t>
      </w:r>
    </w:p>
    <w:p w14:paraId="2CE531F7">
      <w:pPr>
        <w:keepNext w:val="0"/>
        <w:keepLines w:val="0"/>
        <w:pageBreakBefore w:val="0"/>
        <w:kinsoku/>
        <w:wordWrap w:val="0"/>
        <w:overflowPunct/>
        <w:topLinePunct w:val="0"/>
        <w:bidi w:val="0"/>
        <w:snapToGrid/>
        <w:spacing w:line="360" w:lineRule="auto"/>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注：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广西政府采购云平台”将予以拒收。</w:t>
      </w:r>
    </w:p>
    <w:p w14:paraId="3C3C5069">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7、CA证书在线解密：供应商投标时，需携带制作投标文件时用来加密的有效数字证书（CA认证）登录“广西政府采购云平台”电子开标大厅现场按规定时间对加密的投标文件进行解密，否则后果自负。</w:t>
      </w:r>
    </w:p>
    <w:p w14:paraId="261597B5">
      <w:pPr>
        <w:keepNext w:val="0"/>
        <w:keepLines w:val="0"/>
        <w:pageBreakBefore w:val="0"/>
        <w:kinsoku/>
        <w:wordWrap w:val="0"/>
        <w:overflowPunct/>
        <w:topLinePunct w:val="0"/>
        <w:bidi w:val="0"/>
        <w:snapToGrid/>
        <w:spacing w:line="360" w:lineRule="auto"/>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若对项目采购电子交易系统操作有疑问，可登录广西政府采购云平台（https://www.gcy.zfcg.gxzf.gov.cn/），点击右侧咨询小采，获取采小蜜智能服务管家帮助，或拨打广西政府采购云平台服务热线95763获取热线服务帮助。</w:t>
      </w:r>
    </w:p>
    <w:p w14:paraId="1A2B5CEE">
      <w:pPr>
        <w:keepNext w:val="0"/>
        <w:keepLines w:val="0"/>
        <w:pageBreakBefore w:val="0"/>
        <w:kinsoku/>
        <w:wordWrap w:val="0"/>
        <w:overflowPunct/>
        <w:topLinePunct w:val="0"/>
        <w:bidi w:val="0"/>
        <w:snapToGrid/>
        <w:spacing w:line="360" w:lineRule="auto"/>
        <w:textAlignment w:val="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七、对本次招标提出询问，请按以下方式联系。</w:t>
      </w:r>
      <w:bookmarkEnd w:id="48"/>
      <w:bookmarkEnd w:id="49"/>
      <w:bookmarkEnd w:id="50"/>
      <w:bookmarkEnd w:id="51"/>
    </w:p>
    <w:p w14:paraId="7913BBD4">
      <w:pPr>
        <w:keepNext w:val="0"/>
        <w:keepLines w:val="0"/>
        <w:pageBreakBefore w:val="0"/>
        <w:kinsoku/>
        <w:wordWrap w:val="0"/>
        <w:overflowPunct/>
        <w:topLinePunct w:val="0"/>
        <w:bidi w:val="0"/>
        <w:snapToGrid/>
        <w:spacing w:line="360" w:lineRule="auto"/>
        <w:ind w:firstLine="648" w:firstLineChars="27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1.采购人信息</w:t>
      </w:r>
    </w:p>
    <w:p w14:paraId="06E3269E">
      <w:pPr>
        <w:keepNext w:val="0"/>
        <w:keepLines w:val="0"/>
        <w:pageBreakBefore w:val="0"/>
        <w:kinsoku/>
        <w:wordWrap w:val="0"/>
        <w:overflowPunct/>
        <w:topLinePunct w:val="0"/>
        <w:bidi w:val="0"/>
        <w:snapToGrid/>
        <w:spacing w:line="360" w:lineRule="auto"/>
        <w:ind w:firstLine="648" w:firstLineChars="270"/>
        <w:jc w:val="left"/>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名 称：</w:t>
      </w:r>
      <w:r>
        <w:rPr>
          <w:rFonts w:hint="eastAsia" w:ascii="仿宋" w:hAnsi="仿宋" w:eastAsia="仿宋" w:cs="仿宋"/>
          <w:color w:val="auto"/>
          <w:sz w:val="24"/>
          <w:highlight w:val="none"/>
          <w:lang w:eastAsia="zh-CN"/>
        </w:rPr>
        <w:t>桂林电子科技大学</w:t>
      </w:r>
    </w:p>
    <w:p w14:paraId="784BD93B">
      <w:pPr>
        <w:keepNext w:val="0"/>
        <w:keepLines w:val="0"/>
        <w:pageBreakBefore w:val="0"/>
        <w:kinsoku/>
        <w:wordWrap w:val="0"/>
        <w:overflowPunct/>
        <w:topLinePunct w:val="0"/>
        <w:bidi w:val="0"/>
        <w:snapToGrid/>
        <w:spacing w:line="360" w:lineRule="auto"/>
        <w:ind w:firstLine="648" w:firstLineChars="270"/>
        <w:jc w:val="left"/>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地址：</w:t>
      </w:r>
      <w:r>
        <w:rPr>
          <w:rFonts w:hint="eastAsia" w:ascii="仿宋" w:hAnsi="仿宋" w:eastAsia="仿宋" w:cs="仿宋"/>
          <w:color w:val="auto"/>
          <w:sz w:val="24"/>
          <w:highlight w:val="none"/>
          <w:lang w:eastAsia="zh-CN"/>
        </w:rPr>
        <w:t>桂林市七星区金鸡路1号</w:t>
      </w:r>
    </w:p>
    <w:p w14:paraId="1C568116">
      <w:pPr>
        <w:keepNext w:val="0"/>
        <w:keepLines w:val="0"/>
        <w:pageBreakBefore w:val="0"/>
        <w:kinsoku/>
        <w:wordWrap w:val="0"/>
        <w:overflowPunct/>
        <w:topLinePunct w:val="0"/>
        <w:bidi w:val="0"/>
        <w:snapToGrid/>
        <w:spacing w:line="360" w:lineRule="auto"/>
        <w:ind w:firstLine="648" w:firstLineChars="270"/>
        <w:jc w:val="left"/>
        <w:textAlignment w:val="auto"/>
        <w:rPr>
          <w:rFonts w:hint="eastAsia" w:ascii="仿宋" w:hAnsi="仿宋" w:eastAsia="仿宋" w:cs="仿宋"/>
          <w:color w:val="auto"/>
          <w:sz w:val="24"/>
          <w:highlight w:val="none"/>
          <w:lang w:eastAsia="zh-CN"/>
        </w:rPr>
      </w:pPr>
      <w:bookmarkStart w:id="52" w:name="_Toc28359009"/>
      <w:bookmarkStart w:id="53" w:name="_Toc28359086"/>
      <w:r>
        <w:rPr>
          <w:rFonts w:hint="eastAsia" w:ascii="仿宋" w:hAnsi="仿宋" w:eastAsia="仿宋" w:cs="仿宋"/>
          <w:color w:val="auto"/>
          <w:sz w:val="24"/>
          <w:highlight w:val="none"/>
        </w:rPr>
        <w:t>项目联系人：</w:t>
      </w:r>
      <w:r>
        <w:rPr>
          <w:rFonts w:hint="eastAsia" w:ascii="仿宋" w:hAnsi="仿宋" w:eastAsia="仿宋" w:cs="仿宋"/>
          <w:color w:val="auto"/>
          <w:sz w:val="24"/>
          <w:highlight w:val="none"/>
          <w:lang w:eastAsia="zh-CN"/>
        </w:rPr>
        <w:t>蒋老师</w:t>
      </w:r>
    </w:p>
    <w:p w14:paraId="31F1FE96">
      <w:pPr>
        <w:keepNext w:val="0"/>
        <w:keepLines w:val="0"/>
        <w:pageBreakBefore w:val="0"/>
        <w:kinsoku/>
        <w:wordWrap w:val="0"/>
        <w:overflowPunct/>
        <w:topLinePunct w:val="0"/>
        <w:bidi w:val="0"/>
        <w:snapToGrid/>
        <w:spacing w:line="360" w:lineRule="auto"/>
        <w:ind w:firstLine="648" w:firstLineChars="270"/>
        <w:jc w:val="left"/>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项目联系方式：</w:t>
      </w:r>
      <w:r>
        <w:rPr>
          <w:rFonts w:hint="eastAsia" w:ascii="仿宋" w:hAnsi="仿宋" w:eastAsia="仿宋" w:cs="仿宋"/>
          <w:color w:val="auto"/>
          <w:sz w:val="24"/>
          <w:highlight w:val="none"/>
          <w:lang w:eastAsia="zh-CN"/>
        </w:rPr>
        <w:t>0773-2290675</w:t>
      </w:r>
    </w:p>
    <w:p w14:paraId="6DA089B7">
      <w:pPr>
        <w:keepNext w:val="0"/>
        <w:keepLines w:val="0"/>
        <w:pageBreakBefore w:val="0"/>
        <w:kinsoku/>
        <w:wordWrap w:val="0"/>
        <w:overflowPunct/>
        <w:topLinePunct w:val="0"/>
        <w:bidi w:val="0"/>
        <w:snapToGrid/>
        <w:spacing w:line="360" w:lineRule="auto"/>
        <w:ind w:firstLine="648" w:firstLineChars="27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2.采购代理机构信息</w:t>
      </w:r>
      <w:bookmarkEnd w:id="52"/>
      <w:bookmarkEnd w:id="53"/>
    </w:p>
    <w:p w14:paraId="6DBFA112">
      <w:pPr>
        <w:keepNext w:val="0"/>
        <w:keepLines w:val="0"/>
        <w:pageBreakBefore w:val="0"/>
        <w:kinsoku/>
        <w:wordWrap w:val="0"/>
        <w:overflowPunct/>
        <w:topLinePunct w:val="0"/>
        <w:bidi w:val="0"/>
        <w:snapToGrid/>
        <w:spacing w:line="360" w:lineRule="auto"/>
        <w:ind w:firstLine="648" w:firstLineChars="27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名  称：广西科文招标有限公司</w:t>
      </w:r>
    </w:p>
    <w:p w14:paraId="13D54288">
      <w:pPr>
        <w:keepNext w:val="0"/>
        <w:keepLines w:val="0"/>
        <w:pageBreakBefore w:val="0"/>
        <w:kinsoku/>
        <w:wordWrap w:val="0"/>
        <w:overflowPunct/>
        <w:topLinePunct w:val="0"/>
        <w:bidi w:val="0"/>
        <w:snapToGrid/>
        <w:spacing w:line="360" w:lineRule="auto"/>
        <w:ind w:firstLine="648" w:firstLineChars="27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地　址：桂林市七星区穿山东路41号彰泰•天街V+国际中心1#楼八层802号</w:t>
      </w:r>
    </w:p>
    <w:p w14:paraId="7311F212">
      <w:pPr>
        <w:pStyle w:val="27"/>
        <w:keepNext w:val="0"/>
        <w:keepLines w:val="0"/>
        <w:pageBreakBefore w:val="0"/>
        <w:kinsoku/>
        <w:wordWrap w:val="0"/>
        <w:overflowPunct/>
        <w:topLinePunct w:val="0"/>
        <w:bidi w:val="0"/>
        <w:snapToGrid/>
        <w:spacing w:line="360" w:lineRule="auto"/>
        <w:ind w:firstLine="648" w:firstLineChars="27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项目联系人：</w:t>
      </w:r>
      <w:r>
        <w:rPr>
          <w:rFonts w:hint="eastAsia" w:ascii="仿宋" w:hAnsi="仿宋" w:eastAsia="仿宋" w:cs="仿宋"/>
          <w:color w:val="auto"/>
          <w:sz w:val="24"/>
          <w:szCs w:val="24"/>
          <w:highlight w:val="none"/>
          <w:lang w:eastAsia="zh-CN"/>
        </w:rPr>
        <w:t>李冰华、潘虹、谢敏聪</w:t>
      </w:r>
    </w:p>
    <w:p w14:paraId="5123C562">
      <w:pPr>
        <w:keepNext w:val="0"/>
        <w:keepLines w:val="0"/>
        <w:pageBreakBefore w:val="0"/>
        <w:kinsoku/>
        <w:wordWrap w:val="0"/>
        <w:overflowPunct/>
        <w:topLinePunct w:val="0"/>
        <w:bidi w:val="0"/>
        <w:snapToGrid/>
        <w:spacing w:line="360" w:lineRule="auto"/>
        <w:ind w:firstLine="648" w:firstLineChars="270"/>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电　话：</w:t>
      </w:r>
      <w:r>
        <w:rPr>
          <w:rFonts w:hint="eastAsia" w:ascii="仿宋" w:hAnsi="仿宋" w:eastAsia="仿宋" w:cs="仿宋"/>
          <w:color w:val="auto"/>
          <w:sz w:val="24"/>
          <w:highlight w:val="none"/>
          <w:lang w:eastAsia="zh-CN"/>
        </w:rPr>
        <w:t>0773-7593227</w:t>
      </w:r>
    </w:p>
    <w:p w14:paraId="1D2DBC19">
      <w:pPr>
        <w:wordWrap w:val="0"/>
        <w:spacing w:line="400" w:lineRule="exact"/>
        <w:jc w:val="right"/>
        <w:rPr>
          <w:rFonts w:hint="eastAsia" w:ascii="仿宋" w:hAnsi="仿宋" w:eastAsia="仿宋" w:cs="仿宋"/>
          <w:color w:val="auto"/>
          <w:sz w:val="24"/>
          <w:highlight w:val="none"/>
        </w:rPr>
      </w:pPr>
    </w:p>
    <w:p w14:paraId="0B18AF31">
      <w:pPr>
        <w:pStyle w:val="3"/>
        <w:keepNext w:val="0"/>
        <w:keepLines w:val="0"/>
        <w:pageBreakBefore/>
        <w:numPr>
          <w:ilvl w:val="0"/>
          <w:numId w:val="3"/>
        </w:numPr>
        <w:spacing w:before="0" w:after="0" w:line="500" w:lineRule="exact"/>
        <w:jc w:val="center"/>
        <w:rPr>
          <w:rFonts w:hint="eastAsia" w:ascii="仿宋" w:hAnsi="仿宋" w:eastAsia="仿宋" w:cs="仿宋"/>
          <w:color w:val="auto"/>
          <w:highlight w:val="none"/>
        </w:rPr>
      </w:pPr>
      <w:bookmarkStart w:id="54" w:name="_Toc74320801"/>
      <w:r>
        <w:rPr>
          <w:rFonts w:hint="eastAsia" w:ascii="仿宋" w:hAnsi="仿宋" w:eastAsia="仿宋" w:cs="仿宋"/>
          <w:color w:val="auto"/>
          <w:highlight w:val="none"/>
        </w:rPr>
        <w:t xml:space="preserve"> 采购需求</w:t>
      </w:r>
      <w:bookmarkEnd w:id="54"/>
    </w:p>
    <w:p w14:paraId="6531740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说明：</w:t>
      </w:r>
    </w:p>
    <w:p w14:paraId="2AE06D34">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1.为落实政府采购政策需满足的要求</w:t>
      </w:r>
    </w:p>
    <w:p w14:paraId="22797C73">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（1）本招标文件所称中小企业必须符合《政府采购促进中小企业发展管理办法》（财库〔2020〕46号）、《广西壮族自治区财政厅关于贯彻落实政府采购支持中小企业发展政策的通知》（桂财采〔2022〕31号）</w:t>
      </w:r>
      <w:r>
        <w:rPr>
          <w:rFonts w:hint="eastAsia" w:ascii="仿宋" w:hAnsi="仿宋" w:eastAsia="仿宋" w:cs="仿宋"/>
          <w:color w:val="auto"/>
          <w:sz w:val="24"/>
          <w:szCs w:val="24"/>
          <w:highlight w:val="none"/>
          <w:lang w:val="en-US" w:eastAsia="zh-CN"/>
        </w:rPr>
        <w:t>及《广西壮族自治区财政厅关于持续优化政府采购营商环境推动高质量发展的通知》（桂财采〔2024〕55号）</w:t>
      </w:r>
      <w:r>
        <w:rPr>
          <w:rFonts w:hint="eastAsia" w:ascii="仿宋" w:hAnsi="仿宋" w:eastAsia="仿宋" w:cs="仿宋"/>
          <w:color w:val="auto"/>
          <w:sz w:val="24"/>
          <w:szCs w:val="24"/>
          <w:highlight w:val="none"/>
        </w:rPr>
        <w:t>的规定。</w:t>
      </w:r>
    </w:p>
    <w:p w14:paraId="72BAD7DB">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本招标文件所称“本国产品标准的产品”是指：符合《国务院办公厅关于在政府采购中实施本国产品标准及相关政策的通知》（国办发〔2025〕34号）规定的本国产品标准的产品。</w:t>
      </w:r>
    </w:p>
    <w:p w14:paraId="7BA4169A">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rPr>
        <w:t>必须在投标文件中提供所投标产品的节能产品认证证书</w:t>
      </w:r>
      <w:r>
        <w:rPr>
          <w:rFonts w:hint="eastAsia" w:ascii="仿宋" w:hAnsi="仿宋" w:eastAsia="仿宋" w:cs="仿宋"/>
          <w:color w:val="auto"/>
          <w:sz w:val="24"/>
          <w:szCs w:val="24"/>
          <w:highlight w:val="none"/>
          <w:lang w:eastAsia="zh-CN"/>
        </w:rPr>
        <w:t>扫描件</w:t>
      </w:r>
      <w:r>
        <w:rPr>
          <w:rFonts w:hint="eastAsia" w:ascii="仿宋" w:hAnsi="仿宋" w:eastAsia="仿宋" w:cs="仿宋"/>
          <w:color w:val="auto"/>
          <w:sz w:val="24"/>
          <w:szCs w:val="24"/>
          <w:highlight w:val="none"/>
        </w:rPr>
        <w:t>（加盖</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电子公章），否则投标文件作无效处理。如本项目包含的配套货物属于品目清单内非标注“★”的产品时，应优先采购，具体详见“第四章 评审程序和评定成交的标准”。</w:t>
      </w:r>
    </w:p>
    <w:p w14:paraId="0437A32B">
      <w:pPr>
        <w:spacing w:line="360" w:lineRule="auto"/>
        <w:ind w:firstLine="484" w:firstLineChars="202"/>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根据《关于调整网络安全专用产品安全管理有关事项的公告》（国家互联网信息办公室工业和信息化部公安部财政部国家认证认可监督管理委员会公告2023年第1号)的规定，采购标的中包含列入《网络关键设备和网络安全专用产品目录》的网络安全专用产品，</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应当按照《信息安全技术网络安全专用产品安全技术要求》等相关国家标准的强制性要求，提供由具备资格的机构安全认证合格或者安全检测符合要求证明材料（加盖</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电子公章），否则投标文件作无效处理。</w:t>
      </w:r>
    </w:p>
    <w:p w14:paraId="7710C48F">
      <w:pPr>
        <w:spacing w:line="360" w:lineRule="auto"/>
        <w:ind w:firstLine="484" w:firstLineChars="20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依据国家市场监督管理总局《关于发布强制性产品认证且录描述与界定表的公告》(2023年第36号)中《强制性产品认证目录描述与界定表》(2023年修订)的界定，本项目采购范围包含强制性产品认证目录内产品的，根据《强制性产品认证管理规定》2009年7月3日国家质量监督检验检疫总局令第117号公布，根据2022年9月29日国家市场监督管理总局令第61号修订第十条：“列入目录产品的生产者或者销售者、进口商(以下统称认证委托人)应当委托经国家认监委指定的认证机构(以下简称认证机构)对其生产、销售或者进口的产品进行认证。”规定，生产厂家应当进行强制性认证，</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必须在投标文件中提供强制性认证证书（加盖</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电子公章），否则投标文件作无效处理。</w:t>
      </w:r>
    </w:p>
    <w:p w14:paraId="312F95DF">
      <w:pPr>
        <w:spacing w:line="360" w:lineRule="auto"/>
        <w:ind w:firstLine="484" w:firstLineChars="202"/>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2. </w:t>
      </w:r>
      <w:r>
        <w:rPr>
          <w:rFonts w:hint="eastAsia" w:ascii="仿宋" w:hAnsi="仿宋" w:eastAsia="仿宋" w:cs="仿宋"/>
          <w:b/>
          <w:bCs/>
          <w:color w:val="auto"/>
          <w:sz w:val="24"/>
          <w:szCs w:val="24"/>
          <w:highlight w:val="none"/>
        </w:rPr>
        <w:t>“实质性要求”是指采购需求中带“▲”的条款或者不能负偏离的条款或者已经指明不满足按投标文件作无效处理的条款。</w:t>
      </w:r>
    </w:p>
    <w:p w14:paraId="573213F0">
      <w:pPr>
        <w:spacing w:line="360" w:lineRule="auto"/>
        <w:ind w:firstLine="484" w:firstLineChars="202"/>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3.采购需求中出现的品牌、型号或者生产供应商仅起参考作用，不属于指定品牌、型号或者生产供应商的情形。供应商可参照或者选用其他相当的品牌、型号或者生产供应商替代。</w:t>
      </w:r>
    </w:p>
    <w:p w14:paraId="2CBBEC0F">
      <w:pPr>
        <w:spacing w:line="360" w:lineRule="auto"/>
        <w:ind w:firstLine="487" w:firstLineChars="202"/>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4.</w:t>
      </w:r>
      <w:r>
        <w:rPr>
          <w:rFonts w:hint="eastAsia" w:ascii="仿宋" w:hAnsi="仿宋" w:eastAsia="仿宋" w:cs="仿宋"/>
          <w:color w:val="auto"/>
          <w:sz w:val="24"/>
          <w:szCs w:val="24"/>
          <w:highlight w:val="none"/>
        </w:rPr>
        <w:t>供应商必须自行为其投标产品侵犯他人的知识产权或者专利成果的行为承担相应法律责任。</w:t>
      </w:r>
    </w:p>
    <w:p w14:paraId="1ACD52F6">
      <w:pPr>
        <w:spacing w:line="360" w:lineRule="auto"/>
        <w:ind w:firstLine="487" w:firstLineChars="202"/>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val="en-US" w:eastAsia="zh-CN"/>
        </w:rPr>
        <w:t>5</w:t>
      </w:r>
      <w:r>
        <w:rPr>
          <w:rFonts w:hint="eastAsia" w:ascii="仿宋" w:hAnsi="仿宋" w:eastAsia="仿宋" w:cs="仿宋"/>
          <w:b/>
          <w:bCs/>
          <w:color w:val="auto"/>
          <w:sz w:val="24"/>
          <w:szCs w:val="24"/>
          <w:highlight w:val="none"/>
        </w:rPr>
        <w:t>.本项目采购标的对应的中小企业划分标准所属行业：工业。</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048"/>
        <w:gridCol w:w="675"/>
        <w:gridCol w:w="675"/>
        <w:gridCol w:w="7035"/>
      </w:tblGrid>
      <w:tr w14:paraId="69004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0001" w:type="dxa"/>
            <w:gridSpan w:val="5"/>
            <w:noWrap w:val="0"/>
            <w:vAlign w:val="center"/>
          </w:tcPr>
          <w:p w14:paraId="01E76656">
            <w:pPr>
              <w:keepNext w:val="0"/>
              <w:keepLines w:val="0"/>
              <w:pageBreakBefore w:val="0"/>
              <w:widowControl w:val="0"/>
              <w:kinsoku/>
              <w:overflowPunct/>
              <w:topLinePunct w:val="0"/>
              <w:autoSpaceDE/>
              <w:autoSpaceDN/>
              <w:bidi w:val="0"/>
              <w:adjustRightInd/>
              <w:snapToGrid w:val="0"/>
              <w:spacing w:line="500" w:lineRule="exact"/>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一、项目要求及技术需求</w:t>
            </w:r>
          </w:p>
        </w:tc>
      </w:tr>
      <w:tr w14:paraId="612F9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568" w:type="dxa"/>
            <w:noWrap w:val="0"/>
            <w:vAlign w:val="center"/>
          </w:tcPr>
          <w:p w14:paraId="3A3A8106">
            <w:pPr>
              <w:keepNext w:val="0"/>
              <w:keepLines w:val="0"/>
              <w:pageBreakBefore w:val="0"/>
              <w:widowControl w:val="0"/>
              <w:kinsoku/>
              <w:overflowPunct/>
              <w:topLinePunct w:val="0"/>
              <w:autoSpaceDE/>
              <w:autoSpaceDN/>
              <w:bidi w:val="0"/>
              <w:adjustRightInd/>
              <w:spacing w:line="5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项号</w:t>
            </w:r>
          </w:p>
        </w:tc>
        <w:tc>
          <w:tcPr>
            <w:tcW w:w="1048" w:type="dxa"/>
            <w:noWrap w:val="0"/>
            <w:vAlign w:val="center"/>
          </w:tcPr>
          <w:p w14:paraId="1E2D74A1">
            <w:pPr>
              <w:keepNext w:val="0"/>
              <w:keepLines w:val="0"/>
              <w:pageBreakBefore w:val="0"/>
              <w:widowControl w:val="0"/>
              <w:kinsoku/>
              <w:overflowPunct/>
              <w:topLinePunct w:val="0"/>
              <w:autoSpaceDE/>
              <w:autoSpaceDN/>
              <w:bidi w:val="0"/>
              <w:adjustRightInd/>
              <w:spacing w:line="5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标的名称</w:t>
            </w:r>
          </w:p>
        </w:tc>
        <w:tc>
          <w:tcPr>
            <w:tcW w:w="675" w:type="dxa"/>
            <w:noWrap w:val="0"/>
            <w:vAlign w:val="center"/>
          </w:tcPr>
          <w:p w14:paraId="65A3B5DA">
            <w:pPr>
              <w:keepNext w:val="0"/>
              <w:keepLines w:val="0"/>
              <w:pageBreakBefore w:val="0"/>
              <w:widowControl w:val="0"/>
              <w:kinsoku/>
              <w:overflowPunct/>
              <w:topLinePunct w:val="0"/>
              <w:autoSpaceDE/>
              <w:autoSpaceDN/>
              <w:bidi w:val="0"/>
              <w:adjustRightInd/>
              <w:spacing w:line="5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数量</w:t>
            </w:r>
          </w:p>
        </w:tc>
        <w:tc>
          <w:tcPr>
            <w:tcW w:w="675" w:type="dxa"/>
            <w:noWrap w:val="0"/>
            <w:vAlign w:val="center"/>
          </w:tcPr>
          <w:p w14:paraId="01931665">
            <w:pPr>
              <w:keepNext w:val="0"/>
              <w:keepLines w:val="0"/>
              <w:pageBreakBefore w:val="0"/>
              <w:widowControl w:val="0"/>
              <w:kinsoku/>
              <w:overflowPunct/>
              <w:topLinePunct w:val="0"/>
              <w:autoSpaceDE/>
              <w:autoSpaceDN/>
              <w:bidi w:val="0"/>
              <w:adjustRightInd/>
              <w:spacing w:line="5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单位</w:t>
            </w:r>
          </w:p>
        </w:tc>
        <w:tc>
          <w:tcPr>
            <w:tcW w:w="7035" w:type="dxa"/>
            <w:noWrap w:val="0"/>
            <w:vAlign w:val="center"/>
          </w:tcPr>
          <w:p w14:paraId="0A0918D0">
            <w:pPr>
              <w:keepNext w:val="0"/>
              <w:keepLines w:val="0"/>
              <w:pageBreakBefore w:val="0"/>
              <w:widowControl w:val="0"/>
              <w:kinsoku/>
              <w:overflowPunct/>
              <w:topLinePunct w:val="0"/>
              <w:autoSpaceDE/>
              <w:autoSpaceDN/>
              <w:bidi w:val="0"/>
              <w:adjustRightInd/>
              <w:spacing w:line="5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主要技术参数及性能（配置）要求</w:t>
            </w:r>
          </w:p>
        </w:tc>
      </w:tr>
      <w:tr w14:paraId="686D0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568" w:type="dxa"/>
            <w:noWrap w:val="0"/>
            <w:vAlign w:val="center"/>
          </w:tcPr>
          <w:p w14:paraId="2EB141A0">
            <w:pPr>
              <w:keepNext w:val="0"/>
              <w:keepLines w:val="0"/>
              <w:pageBreakBefore w:val="0"/>
              <w:widowControl w:val="0"/>
              <w:kinsoku/>
              <w:overflowPunct/>
              <w:topLinePunct w:val="0"/>
              <w:autoSpaceDE/>
              <w:autoSpaceDN/>
              <w:bidi w:val="0"/>
              <w:adjustRightInd/>
              <w:spacing w:line="500" w:lineRule="exact"/>
              <w:jc w:val="center"/>
              <w:textAlignment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1</w:t>
            </w:r>
          </w:p>
        </w:tc>
        <w:tc>
          <w:tcPr>
            <w:tcW w:w="1048" w:type="dxa"/>
            <w:noWrap w:val="0"/>
            <w:vAlign w:val="center"/>
          </w:tcPr>
          <w:p w14:paraId="0224ECA5">
            <w:pPr>
              <w:keepNext w:val="0"/>
              <w:keepLines w:val="0"/>
              <w:pageBreakBefore w:val="0"/>
              <w:widowControl w:val="0"/>
              <w:kinsoku/>
              <w:overflowPunct/>
              <w:topLinePunct w:val="0"/>
              <w:autoSpaceDE/>
              <w:autoSpaceDN/>
              <w:bidi w:val="0"/>
              <w:adjustRightInd/>
              <w:spacing w:line="500" w:lineRule="exact"/>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0"/>
                <w:sz w:val="24"/>
                <w:szCs w:val="24"/>
                <w:highlight w:val="none"/>
                <w:lang w:eastAsia="zh-CN"/>
              </w:rPr>
              <w:t>通信自动化研发与测试系统（PCT测试环境）</w:t>
            </w:r>
          </w:p>
        </w:tc>
        <w:tc>
          <w:tcPr>
            <w:tcW w:w="675" w:type="dxa"/>
            <w:noWrap w:val="0"/>
            <w:vAlign w:val="center"/>
          </w:tcPr>
          <w:p w14:paraId="5179233B">
            <w:pPr>
              <w:keepNext w:val="0"/>
              <w:keepLines w:val="0"/>
              <w:pageBreakBefore w:val="0"/>
              <w:widowControl w:val="0"/>
              <w:kinsoku/>
              <w:overflowPunct/>
              <w:topLinePunct w:val="0"/>
              <w:autoSpaceDE/>
              <w:autoSpaceDN/>
              <w:bidi w:val="0"/>
              <w:adjustRightInd/>
              <w:spacing w:line="5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675" w:type="dxa"/>
            <w:noWrap w:val="0"/>
            <w:vAlign w:val="center"/>
          </w:tcPr>
          <w:p w14:paraId="40EFD822">
            <w:pPr>
              <w:keepNext w:val="0"/>
              <w:keepLines w:val="0"/>
              <w:pageBreakBefore w:val="0"/>
              <w:widowControl w:val="0"/>
              <w:kinsoku/>
              <w:overflowPunct/>
              <w:topLinePunct w:val="0"/>
              <w:autoSpaceDE/>
              <w:autoSpaceDN/>
              <w:bidi w:val="0"/>
              <w:adjustRightInd/>
              <w:spacing w:line="5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套</w:t>
            </w:r>
          </w:p>
        </w:tc>
        <w:tc>
          <w:tcPr>
            <w:tcW w:w="7035" w:type="dxa"/>
            <w:noWrap w:val="0"/>
            <w:vAlign w:val="center"/>
          </w:tcPr>
          <w:p w14:paraId="38178305">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协议一致性系统</w:t>
            </w:r>
          </w:p>
          <w:p w14:paraId="7E0488EE">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1.▲系统支持3GPPTS36.523-1规范要求的LTECat1和Cat1Bis协议一致性传导测试，至少包括一台信令综测仪以及SIM测试白卡，射频线；信令综测仪和测试软件需要提供制造商对此项目授权书。</w:t>
            </w:r>
          </w:p>
          <w:p w14:paraId="19BDC8E0">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2.系统支持3GPPTS36.523-1LTECat1和Cat1Bis定义的如下场景，并提供测试报告、测试系统整体搭建图片，软件界面截图：</w:t>
            </w:r>
          </w:p>
          <w:p w14:paraId="3C1D9944">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1）支持终端Idle状态下的测试，包括PLMN选择，小区选择，小区重选等场景测试；</w:t>
            </w:r>
          </w:p>
          <w:p w14:paraId="5BF948C6">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2）支持MAC层协议一致性测试，包括逻辑信道ID，随机接入，C-RNTI测试，DLassignment,MACpadding,HARQ控制，TTIBundling,DRX，MAC控制信息解码等测试；</w:t>
            </w:r>
          </w:p>
          <w:p w14:paraId="50390BBA">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3）支持RLC层协议一致性测试，包括UM模式和AM模式，支持PDU的分包，组包，排序，丢弃，重传和重配置机制等功能；</w:t>
            </w:r>
          </w:p>
          <w:p w14:paraId="26F45B2F">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4）支持PDCP层协议一致性测试，包括PDCP层SNOW3G和AES加密和解密算法测试，SNOW3G和AES完整性保护测试，长PDCP序列和短PDCP序列测试，PDCP序列的维护，切换和丢弃等协议功能测试；</w:t>
            </w:r>
          </w:p>
          <w:p w14:paraId="352FD82F">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5）▲支持RRC层协议一致性测试，包括小区重配置场景下测试无线资源重建立，无线资源重配置，SRB/DRB重配置，测量和上报，切换场景，无线链路失败等场景测试；</w:t>
            </w:r>
          </w:p>
          <w:p w14:paraId="7B84D797">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6）支持核心网EMM协议一致性场景测试，包括AttahReject场景下各种原因的测试，AttachSuccess场景，EMM消息携带PLMN列表测试，IMSI测试场景，TrackingAreaUpdate场景测试，ServiceRequest场景测试，EMM层的SNOW3G和AES的加密/解密以及完整性保护算法测试；</w:t>
            </w:r>
          </w:p>
          <w:p w14:paraId="0068CCAE">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7）支持核心网ESM协议一致性场景测试，包括终端发起和终端被叫短消息场景测试，无线承载资源的分配，修改，无线资源合并等场景测试。</w:t>
            </w:r>
          </w:p>
          <w:p w14:paraId="24F90AEB">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3.▲系统是GCF认证平台，提供GCF官网DCC数据库系</w:t>
            </w:r>
            <w:r>
              <w:rPr>
                <w:rFonts w:hint="eastAsia" w:ascii="仿宋" w:hAnsi="仿宋" w:eastAsia="仿宋" w:cs="仿宋"/>
                <w:color w:val="auto"/>
                <w:kern w:val="0"/>
                <w:sz w:val="24"/>
                <w:szCs w:val="24"/>
                <w:highlight w:val="none"/>
                <w:cs/>
              </w:rPr>
              <w:t>统认证</w:t>
            </w:r>
            <w:r>
              <w:rPr>
                <w:rFonts w:hint="eastAsia" w:ascii="仿宋" w:hAnsi="仿宋" w:eastAsia="仿宋" w:cs="仿宋"/>
                <w:color w:val="auto"/>
                <w:kern w:val="0"/>
                <w:sz w:val="24"/>
                <w:szCs w:val="24"/>
                <w:highlight w:val="none"/>
              </w:rPr>
              <w:t>平台号记录和数据，截至2026年1月31日官方认证如下内容：</w:t>
            </w:r>
          </w:p>
          <w:p w14:paraId="1BA8BCAF">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1）系统认证GCFLTECat1和Cat1BisworkitemWI-091认证，满足80%以上A类项认证；</w:t>
            </w:r>
          </w:p>
          <w:p w14:paraId="67D21E80">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2）系统认证GCFLTECat1和Cat1BisworkitemWI-092认证，满足80%以上A类项认证。</w:t>
            </w:r>
          </w:p>
          <w:p w14:paraId="2C013AB0">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4.系</w:t>
            </w:r>
            <w:r>
              <w:rPr>
                <w:rFonts w:hint="eastAsia" w:ascii="仿宋" w:hAnsi="仿宋" w:eastAsia="仿宋" w:cs="仿宋"/>
                <w:color w:val="auto"/>
                <w:kern w:val="0"/>
                <w:sz w:val="24"/>
                <w:szCs w:val="24"/>
                <w:highlight w:val="none"/>
                <w:cs/>
              </w:rPr>
              <w:t>统测试</w:t>
            </w:r>
            <w:r>
              <w:rPr>
                <w:rFonts w:hint="eastAsia" w:ascii="仿宋" w:hAnsi="仿宋" w:eastAsia="仿宋" w:cs="仿宋"/>
                <w:color w:val="auto"/>
                <w:kern w:val="0"/>
                <w:sz w:val="24"/>
                <w:szCs w:val="24"/>
                <w:highlight w:val="none"/>
              </w:rPr>
              <w:t>要求</w:t>
            </w:r>
          </w:p>
          <w:p w14:paraId="6602E7D1">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w:t>
            </w:r>
            <w:r>
              <w:rPr>
                <w:rFonts w:hint="eastAsia" w:ascii="仿宋" w:hAnsi="仿宋" w:eastAsia="仿宋" w:cs="仿宋"/>
                <w:color w:val="auto"/>
                <w:kern w:val="0"/>
                <w:sz w:val="24"/>
                <w:szCs w:val="24"/>
                <w:highlight w:val="none"/>
                <w:cs/>
              </w:rPr>
              <w:t>测试</w:t>
            </w:r>
            <w:r>
              <w:rPr>
                <w:rFonts w:hint="eastAsia" w:ascii="仿宋" w:hAnsi="仿宋" w:eastAsia="仿宋" w:cs="仿宋"/>
                <w:color w:val="auto"/>
                <w:kern w:val="0"/>
                <w:sz w:val="24"/>
                <w:szCs w:val="24"/>
                <w:highlight w:val="none"/>
              </w:rPr>
              <w:t>系</w:t>
            </w:r>
            <w:r>
              <w:rPr>
                <w:rFonts w:hint="eastAsia" w:ascii="仿宋" w:hAnsi="仿宋" w:eastAsia="仿宋" w:cs="仿宋"/>
                <w:color w:val="auto"/>
                <w:kern w:val="0"/>
                <w:sz w:val="24"/>
                <w:szCs w:val="24"/>
                <w:highlight w:val="none"/>
                <w:cs/>
              </w:rPr>
              <w:t>统软</w:t>
            </w:r>
            <w:r>
              <w:rPr>
                <w:rFonts w:hint="eastAsia" w:ascii="仿宋" w:hAnsi="仿宋" w:eastAsia="仿宋" w:cs="仿宋"/>
                <w:color w:val="auto"/>
                <w:kern w:val="0"/>
                <w:sz w:val="24"/>
                <w:szCs w:val="24"/>
                <w:highlight w:val="none"/>
              </w:rPr>
              <w:t>件具有</w:t>
            </w:r>
            <w:r>
              <w:rPr>
                <w:rFonts w:hint="eastAsia" w:ascii="仿宋" w:hAnsi="仿宋" w:eastAsia="仿宋" w:cs="仿宋"/>
                <w:color w:val="auto"/>
                <w:kern w:val="0"/>
                <w:sz w:val="24"/>
                <w:szCs w:val="24"/>
                <w:highlight w:val="none"/>
                <w:cs/>
              </w:rPr>
              <w:t>对</w:t>
            </w:r>
            <w:r>
              <w:rPr>
                <w:rFonts w:hint="eastAsia" w:ascii="仿宋" w:hAnsi="仿宋" w:eastAsia="仿宋" w:cs="仿宋"/>
                <w:color w:val="auto"/>
                <w:kern w:val="0"/>
                <w:sz w:val="24"/>
                <w:szCs w:val="24"/>
                <w:highlight w:val="none"/>
              </w:rPr>
              <w:t>待</w:t>
            </w:r>
            <w:r>
              <w:rPr>
                <w:rFonts w:hint="eastAsia" w:ascii="仿宋" w:hAnsi="仿宋" w:eastAsia="仿宋" w:cs="仿宋"/>
                <w:color w:val="auto"/>
                <w:kern w:val="0"/>
                <w:sz w:val="24"/>
                <w:szCs w:val="24"/>
                <w:highlight w:val="none"/>
                <w:cs/>
              </w:rPr>
              <w:t>测终</w:t>
            </w:r>
            <w:r>
              <w:rPr>
                <w:rFonts w:hint="eastAsia" w:ascii="仿宋" w:hAnsi="仿宋" w:eastAsia="仿宋" w:cs="仿宋"/>
                <w:color w:val="auto"/>
                <w:kern w:val="0"/>
                <w:sz w:val="24"/>
                <w:szCs w:val="24"/>
                <w:highlight w:val="none"/>
              </w:rPr>
              <w:t>端</w:t>
            </w:r>
            <w:r>
              <w:rPr>
                <w:rFonts w:hint="eastAsia" w:ascii="仿宋" w:hAnsi="仿宋" w:eastAsia="仿宋" w:cs="仿宋"/>
                <w:color w:val="auto"/>
                <w:kern w:val="0"/>
                <w:sz w:val="24"/>
                <w:szCs w:val="24"/>
                <w:highlight w:val="none"/>
                <w:cs/>
              </w:rPr>
              <w:t>进</w:t>
            </w:r>
            <w:r>
              <w:rPr>
                <w:rFonts w:hint="eastAsia" w:ascii="仿宋" w:hAnsi="仿宋" w:eastAsia="仿宋" w:cs="仿宋"/>
                <w:color w:val="auto"/>
                <w:kern w:val="0"/>
                <w:sz w:val="24"/>
                <w:szCs w:val="24"/>
                <w:highlight w:val="none"/>
              </w:rPr>
              <w:t>行</w:t>
            </w:r>
            <w:r>
              <w:rPr>
                <w:rFonts w:hint="eastAsia" w:ascii="仿宋" w:hAnsi="仿宋" w:eastAsia="仿宋" w:cs="仿宋"/>
                <w:color w:val="auto"/>
                <w:kern w:val="0"/>
                <w:sz w:val="24"/>
                <w:szCs w:val="24"/>
                <w:highlight w:val="none"/>
                <w:cs/>
              </w:rPr>
              <w:t>远</w:t>
            </w:r>
            <w:r>
              <w:rPr>
                <w:rFonts w:hint="eastAsia" w:ascii="仿宋" w:hAnsi="仿宋" w:eastAsia="仿宋" w:cs="仿宋"/>
                <w:color w:val="auto"/>
                <w:kern w:val="0"/>
                <w:sz w:val="24"/>
                <w:szCs w:val="24"/>
                <w:highlight w:val="none"/>
              </w:rPr>
              <w:t>程控制的能力，从而</w:t>
            </w:r>
            <w:r>
              <w:rPr>
                <w:rFonts w:hint="eastAsia" w:ascii="仿宋" w:hAnsi="仿宋" w:eastAsia="仿宋" w:cs="仿宋"/>
                <w:color w:val="auto"/>
                <w:kern w:val="0"/>
                <w:sz w:val="24"/>
                <w:szCs w:val="24"/>
                <w:highlight w:val="none"/>
                <w:cs/>
              </w:rPr>
              <w:t>实现终</w:t>
            </w:r>
            <w:r>
              <w:rPr>
                <w:rFonts w:hint="eastAsia" w:ascii="仿宋" w:hAnsi="仿宋" w:eastAsia="仿宋" w:cs="仿宋"/>
                <w:color w:val="auto"/>
                <w:kern w:val="0"/>
                <w:sz w:val="24"/>
                <w:szCs w:val="24"/>
                <w:highlight w:val="none"/>
              </w:rPr>
              <w:t>端协议</w:t>
            </w:r>
            <w:r>
              <w:rPr>
                <w:rFonts w:hint="eastAsia" w:ascii="仿宋" w:hAnsi="仿宋" w:eastAsia="仿宋" w:cs="仿宋"/>
                <w:color w:val="auto"/>
                <w:kern w:val="0"/>
                <w:sz w:val="24"/>
                <w:szCs w:val="24"/>
                <w:highlight w:val="none"/>
                <w:cs/>
              </w:rPr>
              <w:t>测试</w:t>
            </w:r>
            <w:r>
              <w:rPr>
                <w:rFonts w:hint="eastAsia" w:ascii="仿宋" w:hAnsi="仿宋" w:eastAsia="仿宋" w:cs="仿宋"/>
                <w:color w:val="auto"/>
                <w:kern w:val="0"/>
                <w:sz w:val="24"/>
                <w:szCs w:val="24"/>
                <w:highlight w:val="none"/>
              </w:rPr>
              <w:t>的完全自</w:t>
            </w:r>
            <w:r>
              <w:rPr>
                <w:rFonts w:hint="eastAsia" w:ascii="仿宋" w:hAnsi="仿宋" w:eastAsia="仿宋" w:cs="仿宋"/>
                <w:color w:val="auto"/>
                <w:kern w:val="0"/>
                <w:sz w:val="24"/>
                <w:szCs w:val="24"/>
                <w:highlight w:val="none"/>
                <w:cs/>
              </w:rPr>
              <w:t>动</w:t>
            </w:r>
            <w:r>
              <w:rPr>
                <w:rFonts w:hint="eastAsia" w:ascii="仿宋" w:hAnsi="仿宋" w:eastAsia="仿宋" w:cs="仿宋"/>
                <w:color w:val="auto"/>
                <w:kern w:val="0"/>
                <w:sz w:val="24"/>
                <w:szCs w:val="24"/>
                <w:highlight w:val="none"/>
              </w:rPr>
              <w:t>化。</w:t>
            </w:r>
          </w:p>
          <w:p w14:paraId="0D38830F">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w:t>
            </w:r>
            <w:r>
              <w:rPr>
                <w:rFonts w:hint="eastAsia" w:ascii="仿宋" w:hAnsi="仿宋" w:eastAsia="仿宋" w:cs="仿宋"/>
                <w:color w:val="auto"/>
                <w:kern w:val="0"/>
                <w:sz w:val="24"/>
                <w:szCs w:val="24"/>
                <w:highlight w:val="none"/>
                <w:cs/>
              </w:rPr>
              <w:t>测试</w:t>
            </w:r>
            <w:r>
              <w:rPr>
                <w:rFonts w:hint="eastAsia" w:ascii="仿宋" w:hAnsi="仿宋" w:eastAsia="仿宋" w:cs="仿宋"/>
                <w:color w:val="auto"/>
                <w:kern w:val="0"/>
                <w:sz w:val="24"/>
                <w:szCs w:val="24"/>
                <w:highlight w:val="none"/>
              </w:rPr>
              <w:t>系</w:t>
            </w:r>
            <w:r>
              <w:rPr>
                <w:rFonts w:hint="eastAsia" w:ascii="仿宋" w:hAnsi="仿宋" w:eastAsia="仿宋" w:cs="仿宋"/>
                <w:color w:val="auto"/>
                <w:kern w:val="0"/>
                <w:sz w:val="24"/>
                <w:szCs w:val="24"/>
                <w:highlight w:val="none"/>
                <w:cs/>
              </w:rPr>
              <w:t>统</w:t>
            </w:r>
            <w:r>
              <w:rPr>
                <w:rFonts w:hint="eastAsia" w:ascii="仿宋" w:hAnsi="仿宋" w:eastAsia="仿宋" w:cs="仿宋"/>
                <w:color w:val="auto"/>
                <w:kern w:val="0"/>
                <w:sz w:val="24"/>
                <w:szCs w:val="24"/>
                <w:highlight w:val="none"/>
              </w:rPr>
              <w:t>需支持使用以太网口、串口</w:t>
            </w:r>
            <w:r>
              <w:rPr>
                <w:rFonts w:hint="eastAsia" w:ascii="仿宋" w:hAnsi="仿宋" w:eastAsia="仿宋" w:cs="仿宋"/>
                <w:color w:val="auto"/>
                <w:kern w:val="0"/>
                <w:sz w:val="24"/>
                <w:szCs w:val="24"/>
                <w:highlight w:val="none"/>
                <w:cs/>
              </w:rPr>
              <w:t>发</w:t>
            </w:r>
            <w:r>
              <w:rPr>
                <w:rFonts w:hint="eastAsia" w:ascii="仿宋" w:hAnsi="仿宋" w:eastAsia="仿宋" w:cs="仿宋"/>
                <w:color w:val="auto"/>
                <w:kern w:val="0"/>
                <w:sz w:val="24"/>
                <w:szCs w:val="24"/>
                <w:highlight w:val="none"/>
              </w:rPr>
              <w:t>送AT命令，从而</w:t>
            </w:r>
            <w:r>
              <w:rPr>
                <w:rFonts w:hint="eastAsia" w:ascii="仿宋" w:hAnsi="仿宋" w:eastAsia="仿宋" w:cs="仿宋"/>
                <w:color w:val="auto"/>
                <w:kern w:val="0"/>
                <w:sz w:val="24"/>
                <w:szCs w:val="24"/>
                <w:highlight w:val="none"/>
                <w:cs/>
              </w:rPr>
              <w:t>实现对</w:t>
            </w:r>
            <w:r>
              <w:rPr>
                <w:rFonts w:hint="eastAsia" w:ascii="仿宋" w:hAnsi="仿宋" w:eastAsia="仿宋" w:cs="仿宋"/>
                <w:color w:val="auto"/>
                <w:kern w:val="0"/>
                <w:sz w:val="24"/>
                <w:szCs w:val="24"/>
                <w:highlight w:val="none"/>
              </w:rPr>
              <w:t>待</w:t>
            </w:r>
            <w:r>
              <w:rPr>
                <w:rFonts w:hint="eastAsia" w:ascii="仿宋" w:hAnsi="仿宋" w:eastAsia="仿宋" w:cs="仿宋"/>
                <w:color w:val="auto"/>
                <w:kern w:val="0"/>
                <w:sz w:val="24"/>
                <w:szCs w:val="24"/>
                <w:highlight w:val="none"/>
                <w:cs/>
              </w:rPr>
              <w:t>测终</w:t>
            </w:r>
            <w:r>
              <w:rPr>
                <w:rFonts w:hint="eastAsia" w:ascii="仿宋" w:hAnsi="仿宋" w:eastAsia="仿宋" w:cs="仿宋"/>
                <w:color w:val="auto"/>
                <w:kern w:val="0"/>
                <w:sz w:val="24"/>
                <w:szCs w:val="24"/>
                <w:highlight w:val="none"/>
              </w:rPr>
              <w:t>端</w:t>
            </w:r>
            <w:r>
              <w:rPr>
                <w:rFonts w:hint="eastAsia" w:ascii="仿宋" w:hAnsi="仿宋" w:eastAsia="仿宋" w:cs="仿宋"/>
                <w:color w:val="auto"/>
                <w:kern w:val="0"/>
                <w:sz w:val="24"/>
                <w:szCs w:val="24"/>
                <w:highlight w:val="none"/>
                <w:cs/>
              </w:rPr>
              <w:t>进</w:t>
            </w:r>
            <w:r>
              <w:rPr>
                <w:rFonts w:hint="eastAsia" w:ascii="仿宋" w:hAnsi="仿宋" w:eastAsia="仿宋" w:cs="仿宋"/>
                <w:color w:val="auto"/>
                <w:kern w:val="0"/>
                <w:sz w:val="24"/>
                <w:szCs w:val="24"/>
                <w:highlight w:val="none"/>
              </w:rPr>
              <w:t>行</w:t>
            </w:r>
            <w:r>
              <w:rPr>
                <w:rFonts w:hint="eastAsia" w:ascii="仿宋" w:hAnsi="仿宋" w:eastAsia="仿宋" w:cs="仿宋"/>
                <w:color w:val="auto"/>
                <w:kern w:val="0"/>
                <w:sz w:val="24"/>
                <w:szCs w:val="24"/>
                <w:highlight w:val="none"/>
                <w:cs/>
              </w:rPr>
              <w:t>远</w:t>
            </w:r>
            <w:r>
              <w:rPr>
                <w:rFonts w:hint="eastAsia" w:ascii="仿宋" w:hAnsi="仿宋" w:eastAsia="仿宋" w:cs="仿宋"/>
                <w:color w:val="auto"/>
                <w:kern w:val="0"/>
                <w:sz w:val="24"/>
                <w:szCs w:val="24"/>
                <w:highlight w:val="none"/>
              </w:rPr>
              <w:t>程控制，</w:t>
            </w:r>
            <w:r>
              <w:rPr>
                <w:rFonts w:hint="eastAsia" w:ascii="仿宋" w:hAnsi="仿宋" w:eastAsia="仿宋" w:cs="仿宋"/>
                <w:color w:val="auto"/>
                <w:kern w:val="0"/>
                <w:sz w:val="24"/>
                <w:szCs w:val="24"/>
                <w:highlight w:val="none"/>
                <w:cs/>
              </w:rPr>
              <w:t>实现</w:t>
            </w:r>
            <w:r>
              <w:rPr>
                <w:rFonts w:hint="eastAsia" w:ascii="仿宋" w:hAnsi="仿宋" w:eastAsia="仿宋" w:cs="仿宋"/>
                <w:color w:val="auto"/>
                <w:kern w:val="0"/>
                <w:sz w:val="24"/>
                <w:szCs w:val="24"/>
                <w:highlight w:val="none"/>
              </w:rPr>
              <w:t>自</w:t>
            </w:r>
            <w:r>
              <w:rPr>
                <w:rFonts w:hint="eastAsia" w:ascii="仿宋" w:hAnsi="仿宋" w:eastAsia="仿宋" w:cs="仿宋"/>
                <w:color w:val="auto"/>
                <w:kern w:val="0"/>
                <w:sz w:val="24"/>
                <w:szCs w:val="24"/>
                <w:highlight w:val="none"/>
                <w:cs/>
              </w:rPr>
              <w:t>动</w:t>
            </w:r>
            <w:r>
              <w:rPr>
                <w:rFonts w:hint="eastAsia" w:ascii="仿宋" w:hAnsi="仿宋" w:eastAsia="仿宋" w:cs="仿宋"/>
                <w:color w:val="auto"/>
                <w:kern w:val="0"/>
                <w:sz w:val="24"/>
                <w:szCs w:val="24"/>
                <w:highlight w:val="none"/>
              </w:rPr>
              <w:t>化</w:t>
            </w:r>
            <w:r>
              <w:rPr>
                <w:rFonts w:hint="eastAsia" w:ascii="仿宋" w:hAnsi="仿宋" w:eastAsia="仿宋" w:cs="仿宋"/>
                <w:color w:val="auto"/>
                <w:kern w:val="0"/>
                <w:sz w:val="24"/>
                <w:szCs w:val="24"/>
                <w:highlight w:val="none"/>
                <w:cs/>
              </w:rPr>
              <w:t>测试</w:t>
            </w:r>
            <w:r>
              <w:rPr>
                <w:rFonts w:hint="eastAsia" w:ascii="仿宋" w:hAnsi="仿宋" w:eastAsia="仿宋" w:cs="仿宋"/>
                <w:color w:val="auto"/>
                <w:kern w:val="0"/>
                <w:sz w:val="24"/>
                <w:szCs w:val="24"/>
                <w:highlight w:val="none"/>
              </w:rPr>
              <w:t>。</w:t>
            </w:r>
          </w:p>
          <w:p w14:paraId="37053B8C">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3）支持通</w:t>
            </w:r>
            <w:r>
              <w:rPr>
                <w:rFonts w:hint="eastAsia" w:ascii="仿宋" w:hAnsi="仿宋" w:eastAsia="仿宋" w:cs="仿宋"/>
                <w:color w:val="auto"/>
                <w:kern w:val="0"/>
                <w:sz w:val="24"/>
                <w:szCs w:val="24"/>
                <w:highlight w:val="none"/>
                <w:cs/>
              </w:rPr>
              <w:t>过设备级联</w:t>
            </w:r>
            <w:r>
              <w:rPr>
                <w:rFonts w:hint="eastAsia" w:ascii="仿宋" w:hAnsi="仿宋" w:eastAsia="仿宋" w:cs="仿宋"/>
                <w:color w:val="auto"/>
                <w:kern w:val="0"/>
                <w:sz w:val="24"/>
                <w:szCs w:val="24"/>
                <w:highlight w:val="none"/>
              </w:rPr>
              <w:t>或者插</w:t>
            </w:r>
            <w:r>
              <w:rPr>
                <w:rFonts w:hint="eastAsia" w:ascii="仿宋" w:hAnsi="仿宋" w:eastAsia="仿宋" w:cs="仿宋"/>
                <w:color w:val="auto"/>
                <w:kern w:val="0"/>
                <w:sz w:val="24"/>
                <w:szCs w:val="24"/>
                <w:highlight w:val="none"/>
                <w:cs/>
              </w:rPr>
              <w:t>卡</w:t>
            </w:r>
            <w:r>
              <w:rPr>
                <w:rFonts w:hint="eastAsia" w:ascii="仿宋" w:hAnsi="仿宋" w:eastAsia="仿宋" w:cs="仿宋"/>
                <w:color w:val="auto"/>
                <w:kern w:val="0"/>
                <w:sz w:val="24"/>
                <w:szCs w:val="24"/>
                <w:highlight w:val="none"/>
              </w:rPr>
              <w:t>方式</w:t>
            </w:r>
            <w:r>
              <w:rPr>
                <w:rFonts w:hint="eastAsia" w:ascii="仿宋" w:hAnsi="仿宋" w:eastAsia="仿宋" w:cs="仿宋"/>
                <w:color w:val="auto"/>
                <w:kern w:val="0"/>
                <w:sz w:val="24"/>
                <w:szCs w:val="24"/>
                <w:highlight w:val="none"/>
                <w:cs/>
              </w:rPr>
              <w:t>实现</w:t>
            </w:r>
            <w:r>
              <w:rPr>
                <w:rFonts w:hint="eastAsia" w:ascii="仿宋" w:hAnsi="仿宋" w:eastAsia="仿宋" w:cs="仿宋"/>
                <w:color w:val="auto"/>
                <w:kern w:val="0"/>
                <w:sz w:val="24"/>
                <w:szCs w:val="24"/>
                <w:highlight w:val="none"/>
              </w:rPr>
              <w:t>小区数量的</w:t>
            </w:r>
            <w:r>
              <w:rPr>
                <w:rFonts w:hint="eastAsia" w:ascii="仿宋" w:hAnsi="仿宋" w:eastAsia="仿宋" w:cs="仿宋"/>
                <w:color w:val="auto"/>
                <w:kern w:val="0"/>
                <w:sz w:val="24"/>
                <w:szCs w:val="24"/>
                <w:highlight w:val="none"/>
                <w:cs/>
              </w:rPr>
              <w:t>扩</w:t>
            </w:r>
            <w:r>
              <w:rPr>
                <w:rFonts w:hint="eastAsia" w:ascii="仿宋" w:hAnsi="仿宋" w:eastAsia="仿宋" w:cs="仿宋"/>
                <w:color w:val="auto"/>
                <w:kern w:val="0"/>
                <w:sz w:val="24"/>
                <w:szCs w:val="24"/>
                <w:highlight w:val="none"/>
              </w:rPr>
              <w:t>展。</w:t>
            </w:r>
          </w:p>
          <w:p w14:paraId="0D97C217">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4）基于</w:t>
            </w:r>
            <w:r>
              <w:rPr>
                <w:rFonts w:hint="eastAsia" w:ascii="仿宋" w:hAnsi="仿宋" w:eastAsia="仿宋" w:cs="仿宋"/>
                <w:color w:val="auto"/>
                <w:kern w:val="0"/>
                <w:sz w:val="24"/>
                <w:szCs w:val="24"/>
                <w:highlight w:val="none"/>
                <w:cs/>
              </w:rPr>
              <w:t>图</w:t>
            </w:r>
            <w:r>
              <w:rPr>
                <w:rFonts w:hint="eastAsia" w:ascii="仿宋" w:hAnsi="仿宋" w:eastAsia="仿宋" w:cs="仿宋"/>
                <w:color w:val="auto"/>
                <w:kern w:val="0"/>
                <w:sz w:val="24"/>
                <w:szCs w:val="24"/>
                <w:highlight w:val="none"/>
              </w:rPr>
              <w:t>形化界面。</w:t>
            </w:r>
          </w:p>
          <w:p w14:paraId="089F401B">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不需要</w:t>
            </w:r>
            <w:r>
              <w:rPr>
                <w:rFonts w:hint="eastAsia" w:ascii="仿宋" w:hAnsi="仿宋" w:eastAsia="仿宋" w:cs="仿宋"/>
                <w:color w:val="auto"/>
                <w:kern w:val="0"/>
                <w:sz w:val="24"/>
                <w:szCs w:val="24"/>
                <w:highlight w:val="none"/>
                <w:cs/>
              </w:rPr>
              <w:t>额</w:t>
            </w:r>
            <w:r>
              <w:rPr>
                <w:rFonts w:hint="eastAsia" w:ascii="仿宋" w:hAnsi="仿宋" w:eastAsia="仿宋" w:cs="仿宋"/>
                <w:color w:val="auto"/>
                <w:kern w:val="0"/>
                <w:sz w:val="24"/>
                <w:szCs w:val="24"/>
                <w:highlight w:val="none"/>
              </w:rPr>
              <w:t>外的校准</w:t>
            </w:r>
            <w:r>
              <w:rPr>
                <w:rFonts w:hint="eastAsia" w:ascii="仿宋" w:hAnsi="仿宋" w:eastAsia="仿宋" w:cs="仿宋"/>
                <w:color w:val="auto"/>
                <w:kern w:val="0"/>
                <w:sz w:val="24"/>
                <w:szCs w:val="24"/>
                <w:highlight w:val="none"/>
                <w:cs/>
              </w:rPr>
              <w:t>设备</w:t>
            </w:r>
            <w:r>
              <w:rPr>
                <w:rFonts w:hint="eastAsia" w:ascii="仿宋" w:hAnsi="仿宋" w:eastAsia="仿宋" w:cs="仿宋"/>
                <w:color w:val="auto"/>
                <w:kern w:val="0"/>
                <w:sz w:val="24"/>
                <w:szCs w:val="24"/>
                <w:highlight w:val="none"/>
              </w:rPr>
              <w:t>和</w:t>
            </w:r>
            <w:r>
              <w:rPr>
                <w:rFonts w:hint="eastAsia" w:ascii="仿宋" w:hAnsi="仿宋" w:eastAsia="仿宋" w:cs="仿宋"/>
                <w:color w:val="auto"/>
                <w:kern w:val="0"/>
                <w:sz w:val="24"/>
                <w:szCs w:val="24"/>
                <w:highlight w:val="none"/>
                <w:cs/>
              </w:rPr>
              <w:t>专业</w:t>
            </w:r>
            <w:r>
              <w:rPr>
                <w:rFonts w:hint="eastAsia" w:ascii="仿宋" w:hAnsi="仿宋" w:eastAsia="仿宋" w:cs="仿宋"/>
                <w:color w:val="auto"/>
                <w:kern w:val="0"/>
                <w:sz w:val="24"/>
                <w:szCs w:val="24"/>
                <w:highlight w:val="none"/>
              </w:rPr>
              <w:t>技</w:t>
            </w:r>
            <w:r>
              <w:rPr>
                <w:rFonts w:hint="eastAsia" w:ascii="仿宋" w:hAnsi="仿宋" w:eastAsia="仿宋" w:cs="仿宋"/>
                <w:color w:val="auto"/>
                <w:kern w:val="0"/>
                <w:sz w:val="24"/>
                <w:szCs w:val="24"/>
                <w:highlight w:val="none"/>
                <w:cs/>
              </w:rPr>
              <w:t>术</w:t>
            </w:r>
            <w:r>
              <w:rPr>
                <w:rFonts w:hint="eastAsia" w:ascii="仿宋" w:hAnsi="仿宋" w:eastAsia="仿宋" w:cs="仿宋"/>
                <w:color w:val="auto"/>
                <w:kern w:val="0"/>
                <w:sz w:val="24"/>
                <w:szCs w:val="24"/>
                <w:highlight w:val="none"/>
              </w:rPr>
              <w:t>支持人</w:t>
            </w:r>
            <w:r>
              <w:rPr>
                <w:rFonts w:hint="eastAsia" w:ascii="仿宋" w:hAnsi="仿宋" w:eastAsia="仿宋" w:cs="仿宋"/>
                <w:color w:val="auto"/>
                <w:kern w:val="0"/>
                <w:sz w:val="24"/>
                <w:szCs w:val="24"/>
                <w:highlight w:val="none"/>
                <w:cs/>
              </w:rPr>
              <w:t>员</w:t>
            </w:r>
            <w:r>
              <w:rPr>
                <w:rFonts w:hint="eastAsia" w:ascii="仿宋" w:hAnsi="仿宋" w:eastAsia="仿宋" w:cs="仿宋"/>
                <w:color w:val="auto"/>
                <w:kern w:val="0"/>
                <w:sz w:val="24"/>
                <w:szCs w:val="24"/>
                <w:highlight w:val="none"/>
              </w:rPr>
              <w:t>，可自</w:t>
            </w:r>
            <w:r>
              <w:rPr>
                <w:rFonts w:hint="eastAsia" w:ascii="仿宋" w:hAnsi="仿宋" w:eastAsia="仿宋" w:cs="仿宋"/>
                <w:color w:val="auto"/>
                <w:kern w:val="0"/>
                <w:sz w:val="24"/>
                <w:szCs w:val="24"/>
                <w:highlight w:val="none"/>
                <w:cs/>
              </w:rPr>
              <w:t>动进</w:t>
            </w:r>
            <w:r>
              <w:rPr>
                <w:rFonts w:hint="eastAsia" w:ascii="仿宋" w:hAnsi="仿宋" w:eastAsia="仿宋" w:cs="仿宋"/>
                <w:color w:val="auto"/>
                <w:kern w:val="0"/>
                <w:sz w:val="24"/>
                <w:szCs w:val="24"/>
                <w:highlight w:val="none"/>
              </w:rPr>
              <w:t>行射</w:t>
            </w:r>
            <w:r>
              <w:rPr>
                <w:rFonts w:hint="eastAsia" w:ascii="仿宋" w:hAnsi="仿宋" w:eastAsia="仿宋" w:cs="仿宋"/>
                <w:color w:val="auto"/>
                <w:kern w:val="0"/>
                <w:sz w:val="24"/>
                <w:szCs w:val="24"/>
                <w:highlight w:val="none"/>
                <w:cs/>
              </w:rPr>
              <w:t>频链</w:t>
            </w:r>
            <w:r>
              <w:rPr>
                <w:rFonts w:hint="eastAsia" w:ascii="仿宋" w:hAnsi="仿宋" w:eastAsia="仿宋" w:cs="仿宋"/>
                <w:color w:val="auto"/>
                <w:kern w:val="0"/>
                <w:sz w:val="24"/>
                <w:szCs w:val="24"/>
                <w:highlight w:val="none"/>
              </w:rPr>
              <w:t>路的校准功能。</w:t>
            </w:r>
          </w:p>
          <w:p w14:paraId="3B5E2A1B">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cs/>
              </w:rPr>
              <w:t>为</w:t>
            </w:r>
            <w:r>
              <w:rPr>
                <w:rFonts w:hint="eastAsia" w:ascii="仿宋" w:hAnsi="仿宋" w:eastAsia="仿宋" w:cs="仿宋"/>
                <w:color w:val="auto"/>
                <w:kern w:val="0"/>
                <w:sz w:val="24"/>
                <w:szCs w:val="24"/>
                <w:highlight w:val="none"/>
              </w:rPr>
              <w:t>了保</w:t>
            </w:r>
            <w:r>
              <w:rPr>
                <w:rFonts w:hint="eastAsia" w:ascii="仿宋" w:hAnsi="仿宋" w:eastAsia="仿宋" w:cs="仿宋"/>
                <w:color w:val="auto"/>
                <w:kern w:val="0"/>
                <w:sz w:val="24"/>
                <w:szCs w:val="24"/>
                <w:highlight w:val="none"/>
                <w:cs/>
              </w:rPr>
              <w:t>证测试</w:t>
            </w:r>
            <w:r>
              <w:rPr>
                <w:rFonts w:hint="eastAsia" w:ascii="仿宋" w:hAnsi="仿宋" w:eastAsia="仿宋" w:cs="仿宋"/>
                <w:color w:val="auto"/>
                <w:kern w:val="0"/>
                <w:sz w:val="24"/>
                <w:szCs w:val="24"/>
                <w:highlight w:val="none"/>
              </w:rPr>
              <w:t>的可靠性和准</w:t>
            </w:r>
            <w:r>
              <w:rPr>
                <w:rFonts w:hint="eastAsia" w:ascii="仿宋" w:hAnsi="仿宋" w:eastAsia="仿宋" w:cs="仿宋"/>
                <w:color w:val="auto"/>
                <w:kern w:val="0"/>
                <w:sz w:val="24"/>
                <w:szCs w:val="24"/>
                <w:highlight w:val="none"/>
                <w:cs/>
              </w:rPr>
              <w:t>确</w:t>
            </w:r>
            <w:r>
              <w:rPr>
                <w:rFonts w:hint="eastAsia" w:ascii="仿宋" w:hAnsi="仿宋" w:eastAsia="仿宋" w:cs="仿宋"/>
                <w:color w:val="auto"/>
                <w:kern w:val="0"/>
                <w:sz w:val="24"/>
                <w:szCs w:val="24"/>
                <w:highlight w:val="none"/>
              </w:rPr>
              <w:t>性，系</w:t>
            </w:r>
            <w:r>
              <w:rPr>
                <w:rFonts w:hint="eastAsia" w:ascii="仿宋" w:hAnsi="仿宋" w:eastAsia="仿宋" w:cs="仿宋"/>
                <w:color w:val="auto"/>
                <w:kern w:val="0"/>
                <w:sz w:val="24"/>
                <w:szCs w:val="24"/>
                <w:highlight w:val="none"/>
                <w:cs/>
              </w:rPr>
              <w:t>统测</w:t>
            </w:r>
            <w:r>
              <w:rPr>
                <w:rFonts w:hint="eastAsia" w:ascii="仿宋" w:hAnsi="仿宋" w:eastAsia="仿宋" w:cs="仿宋"/>
                <w:color w:val="auto"/>
                <w:kern w:val="0"/>
                <w:sz w:val="24"/>
                <w:szCs w:val="24"/>
                <w:highlight w:val="none"/>
              </w:rPr>
              <w:t>量不</w:t>
            </w:r>
            <w:r>
              <w:rPr>
                <w:rFonts w:hint="eastAsia" w:ascii="仿宋" w:hAnsi="仿宋" w:eastAsia="仿宋" w:cs="仿宋"/>
                <w:color w:val="auto"/>
                <w:kern w:val="0"/>
                <w:sz w:val="24"/>
                <w:szCs w:val="24"/>
                <w:highlight w:val="none"/>
                <w:cs/>
              </w:rPr>
              <w:t>确</w:t>
            </w:r>
            <w:r>
              <w:rPr>
                <w:rFonts w:hint="eastAsia" w:ascii="仿宋" w:hAnsi="仿宋" w:eastAsia="仿宋" w:cs="仿宋"/>
                <w:color w:val="auto"/>
                <w:kern w:val="0"/>
                <w:sz w:val="24"/>
                <w:szCs w:val="24"/>
                <w:highlight w:val="none"/>
              </w:rPr>
              <w:t>定度</w:t>
            </w:r>
            <w:r>
              <w:rPr>
                <w:rFonts w:hint="eastAsia" w:ascii="仿宋" w:hAnsi="仿宋" w:eastAsia="仿宋" w:cs="仿宋"/>
                <w:color w:val="auto"/>
                <w:kern w:val="0"/>
                <w:sz w:val="24"/>
                <w:szCs w:val="24"/>
                <w:highlight w:val="none"/>
                <w:cs/>
              </w:rPr>
              <w:t>应满</w:t>
            </w:r>
            <w:r>
              <w:rPr>
                <w:rFonts w:hint="eastAsia" w:ascii="仿宋" w:hAnsi="仿宋" w:eastAsia="仿宋" w:cs="仿宋"/>
                <w:color w:val="auto"/>
                <w:kern w:val="0"/>
                <w:sz w:val="24"/>
                <w:szCs w:val="24"/>
                <w:highlight w:val="none"/>
              </w:rPr>
              <w:t>足3GPP</w:t>
            </w:r>
            <w:r>
              <w:rPr>
                <w:rFonts w:hint="eastAsia" w:ascii="仿宋" w:hAnsi="仿宋" w:eastAsia="仿宋" w:cs="仿宋"/>
                <w:color w:val="auto"/>
                <w:kern w:val="0"/>
                <w:sz w:val="24"/>
                <w:szCs w:val="24"/>
                <w:highlight w:val="none"/>
                <w:cs/>
              </w:rPr>
              <w:t>标</w:t>
            </w:r>
            <w:r>
              <w:rPr>
                <w:rFonts w:hint="eastAsia" w:ascii="仿宋" w:hAnsi="仿宋" w:eastAsia="仿宋" w:cs="仿宋"/>
                <w:color w:val="auto"/>
                <w:kern w:val="0"/>
                <w:sz w:val="24"/>
                <w:szCs w:val="24"/>
                <w:highlight w:val="none"/>
              </w:rPr>
              <w:t>准要求。</w:t>
            </w:r>
          </w:p>
          <w:p w14:paraId="74D317AD">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5.</w:t>
            </w:r>
            <w:r>
              <w:rPr>
                <w:rFonts w:hint="eastAsia" w:ascii="仿宋" w:hAnsi="仿宋" w:eastAsia="仿宋" w:cs="仿宋"/>
                <w:color w:val="auto"/>
                <w:kern w:val="0"/>
                <w:sz w:val="24"/>
                <w:szCs w:val="24"/>
                <w:highlight w:val="none"/>
                <w:cs/>
              </w:rPr>
              <w:t>测试</w:t>
            </w:r>
            <w:r>
              <w:rPr>
                <w:rFonts w:hint="eastAsia" w:ascii="仿宋" w:hAnsi="仿宋" w:eastAsia="仿宋" w:cs="仿宋"/>
                <w:color w:val="auto"/>
                <w:kern w:val="0"/>
                <w:sz w:val="24"/>
                <w:szCs w:val="24"/>
                <w:highlight w:val="none"/>
              </w:rPr>
              <w:t>系</w:t>
            </w:r>
            <w:r>
              <w:rPr>
                <w:rFonts w:hint="eastAsia" w:ascii="仿宋" w:hAnsi="仿宋" w:eastAsia="仿宋" w:cs="仿宋"/>
                <w:color w:val="auto"/>
                <w:kern w:val="0"/>
                <w:sz w:val="24"/>
                <w:szCs w:val="24"/>
                <w:highlight w:val="none"/>
                <w:cs/>
              </w:rPr>
              <w:t>统软</w:t>
            </w:r>
            <w:r>
              <w:rPr>
                <w:rFonts w:hint="eastAsia" w:ascii="仿宋" w:hAnsi="仿宋" w:eastAsia="仿宋" w:cs="仿宋"/>
                <w:color w:val="auto"/>
                <w:kern w:val="0"/>
                <w:sz w:val="24"/>
                <w:szCs w:val="24"/>
                <w:highlight w:val="none"/>
              </w:rPr>
              <w:t>件要求，并提供测试报告、测试系统整体搭建图片，软件界面截图。</w:t>
            </w:r>
          </w:p>
          <w:p w14:paraId="7DA5AA10">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1）在完成一次硬件</w:t>
            </w:r>
            <w:r>
              <w:rPr>
                <w:rFonts w:hint="eastAsia" w:ascii="仿宋" w:hAnsi="仿宋" w:eastAsia="仿宋" w:cs="仿宋"/>
                <w:color w:val="auto"/>
                <w:kern w:val="0"/>
                <w:sz w:val="24"/>
                <w:szCs w:val="24"/>
                <w:highlight w:val="none"/>
                <w:cs/>
              </w:rPr>
              <w:t>连</w:t>
            </w:r>
            <w:r>
              <w:rPr>
                <w:rFonts w:hint="eastAsia" w:ascii="仿宋" w:hAnsi="仿宋" w:eastAsia="仿宋" w:cs="仿宋"/>
                <w:color w:val="auto"/>
                <w:kern w:val="0"/>
                <w:sz w:val="24"/>
                <w:szCs w:val="24"/>
                <w:highlight w:val="none"/>
              </w:rPr>
              <w:t>接后，</w:t>
            </w:r>
            <w:r>
              <w:rPr>
                <w:rFonts w:hint="eastAsia" w:ascii="仿宋" w:hAnsi="仿宋" w:eastAsia="仿宋" w:cs="仿宋"/>
                <w:color w:val="auto"/>
                <w:kern w:val="0"/>
                <w:sz w:val="24"/>
                <w:szCs w:val="24"/>
                <w:highlight w:val="none"/>
                <w:cs/>
              </w:rPr>
              <w:t>测试</w:t>
            </w:r>
            <w:r>
              <w:rPr>
                <w:rFonts w:hint="eastAsia" w:ascii="仿宋" w:hAnsi="仿宋" w:eastAsia="仿宋" w:cs="仿宋"/>
                <w:color w:val="auto"/>
                <w:kern w:val="0"/>
                <w:sz w:val="24"/>
                <w:szCs w:val="24"/>
                <w:highlight w:val="none"/>
              </w:rPr>
              <w:t>完全由</w:t>
            </w:r>
            <w:r>
              <w:rPr>
                <w:rFonts w:hint="eastAsia" w:ascii="仿宋" w:hAnsi="仿宋" w:eastAsia="仿宋" w:cs="仿宋"/>
                <w:color w:val="auto"/>
                <w:kern w:val="0"/>
                <w:sz w:val="24"/>
                <w:szCs w:val="24"/>
                <w:highlight w:val="none"/>
                <w:cs/>
              </w:rPr>
              <w:t>软</w:t>
            </w:r>
            <w:r>
              <w:rPr>
                <w:rFonts w:hint="eastAsia" w:ascii="仿宋" w:hAnsi="仿宋" w:eastAsia="仿宋" w:cs="仿宋"/>
                <w:color w:val="auto"/>
                <w:kern w:val="0"/>
                <w:sz w:val="24"/>
                <w:szCs w:val="24"/>
                <w:highlight w:val="none"/>
              </w:rPr>
              <w:t>件来</w:t>
            </w:r>
            <w:r>
              <w:rPr>
                <w:rFonts w:hint="eastAsia" w:ascii="仿宋" w:hAnsi="仿宋" w:eastAsia="仿宋" w:cs="仿宋"/>
                <w:color w:val="auto"/>
                <w:kern w:val="0"/>
                <w:sz w:val="24"/>
                <w:szCs w:val="24"/>
                <w:highlight w:val="none"/>
                <w:cs/>
              </w:rPr>
              <w:t>进</w:t>
            </w:r>
            <w:r>
              <w:rPr>
                <w:rFonts w:hint="eastAsia" w:ascii="仿宋" w:hAnsi="仿宋" w:eastAsia="仿宋" w:cs="仿宋"/>
                <w:color w:val="auto"/>
                <w:kern w:val="0"/>
                <w:sz w:val="24"/>
                <w:szCs w:val="24"/>
                <w:highlight w:val="none"/>
              </w:rPr>
              <w:t>行控制，最</w:t>
            </w:r>
            <w:r>
              <w:rPr>
                <w:rFonts w:hint="eastAsia" w:ascii="仿宋" w:hAnsi="仿宋" w:eastAsia="仿宋" w:cs="仿宋"/>
                <w:color w:val="auto"/>
                <w:kern w:val="0"/>
                <w:sz w:val="24"/>
                <w:szCs w:val="24"/>
                <w:highlight w:val="none"/>
                <w:cs/>
              </w:rPr>
              <w:t>终</w:t>
            </w:r>
            <w:r>
              <w:rPr>
                <w:rFonts w:hint="eastAsia" w:ascii="仿宋" w:hAnsi="仿宋" w:eastAsia="仿宋" w:cs="仿宋"/>
                <w:color w:val="auto"/>
                <w:kern w:val="0"/>
                <w:sz w:val="24"/>
                <w:szCs w:val="24"/>
                <w:highlight w:val="none"/>
              </w:rPr>
              <w:t>出具完整、清晰的</w:t>
            </w:r>
            <w:r>
              <w:rPr>
                <w:rFonts w:hint="eastAsia" w:ascii="仿宋" w:hAnsi="仿宋" w:eastAsia="仿宋" w:cs="仿宋"/>
                <w:color w:val="auto"/>
                <w:kern w:val="0"/>
                <w:sz w:val="24"/>
                <w:szCs w:val="24"/>
                <w:highlight w:val="none"/>
                <w:cs/>
              </w:rPr>
              <w:t>电</w:t>
            </w:r>
            <w:r>
              <w:rPr>
                <w:rFonts w:hint="eastAsia" w:ascii="仿宋" w:hAnsi="仿宋" w:eastAsia="仿宋" w:cs="仿宋"/>
                <w:color w:val="auto"/>
                <w:kern w:val="0"/>
                <w:sz w:val="24"/>
                <w:szCs w:val="24"/>
                <w:highlight w:val="none"/>
              </w:rPr>
              <w:t>子版</w:t>
            </w:r>
            <w:r>
              <w:rPr>
                <w:rFonts w:hint="eastAsia" w:ascii="仿宋" w:hAnsi="仿宋" w:eastAsia="仿宋" w:cs="仿宋"/>
                <w:color w:val="auto"/>
                <w:kern w:val="0"/>
                <w:sz w:val="24"/>
                <w:szCs w:val="24"/>
                <w:highlight w:val="none"/>
                <w:cs/>
              </w:rPr>
              <w:t>测试报</w:t>
            </w:r>
            <w:r>
              <w:rPr>
                <w:rFonts w:hint="eastAsia" w:ascii="仿宋" w:hAnsi="仿宋" w:eastAsia="仿宋" w:cs="仿宋"/>
                <w:color w:val="auto"/>
                <w:kern w:val="0"/>
                <w:sz w:val="24"/>
                <w:szCs w:val="24"/>
                <w:highlight w:val="none"/>
              </w:rPr>
              <w:t>告。</w:t>
            </w:r>
          </w:p>
          <w:p w14:paraId="5DAA35F0">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2）具有</w:t>
            </w:r>
            <w:r>
              <w:rPr>
                <w:rFonts w:hint="eastAsia" w:ascii="仿宋" w:hAnsi="仿宋" w:eastAsia="仿宋" w:cs="仿宋"/>
                <w:color w:val="auto"/>
                <w:kern w:val="0"/>
                <w:sz w:val="24"/>
                <w:szCs w:val="24"/>
                <w:highlight w:val="none"/>
                <w:cs/>
              </w:rPr>
              <w:t>测试</w:t>
            </w:r>
            <w:r>
              <w:rPr>
                <w:rFonts w:hint="eastAsia" w:ascii="仿宋" w:hAnsi="仿宋" w:eastAsia="仿宋" w:cs="仿宋"/>
                <w:color w:val="auto"/>
                <w:kern w:val="0"/>
                <w:sz w:val="24"/>
                <w:szCs w:val="24"/>
                <w:highlight w:val="none"/>
              </w:rPr>
              <w:t>用例的</w:t>
            </w:r>
            <w:r>
              <w:rPr>
                <w:rFonts w:hint="eastAsia" w:ascii="仿宋" w:hAnsi="仿宋" w:eastAsia="仿宋" w:cs="仿宋"/>
                <w:color w:val="auto"/>
                <w:kern w:val="0"/>
                <w:sz w:val="24"/>
                <w:szCs w:val="24"/>
                <w:highlight w:val="none"/>
                <w:cs/>
              </w:rPr>
              <w:t>开</w:t>
            </w:r>
            <w:r>
              <w:rPr>
                <w:rFonts w:hint="eastAsia" w:ascii="仿宋" w:hAnsi="仿宋" w:eastAsia="仿宋" w:cs="仿宋"/>
                <w:color w:val="auto"/>
                <w:kern w:val="0"/>
                <w:sz w:val="24"/>
                <w:szCs w:val="24"/>
                <w:highlight w:val="none"/>
              </w:rPr>
              <w:t>始、停止、</w:t>
            </w:r>
            <w:r>
              <w:rPr>
                <w:rFonts w:hint="eastAsia" w:ascii="仿宋" w:hAnsi="仿宋" w:eastAsia="仿宋" w:cs="仿宋"/>
                <w:color w:val="auto"/>
                <w:kern w:val="0"/>
                <w:sz w:val="24"/>
                <w:szCs w:val="24"/>
                <w:highlight w:val="none"/>
                <w:cs/>
              </w:rPr>
              <w:t>暂</w:t>
            </w:r>
            <w:r>
              <w:rPr>
                <w:rFonts w:hint="eastAsia" w:ascii="仿宋" w:hAnsi="仿宋" w:eastAsia="仿宋" w:cs="仿宋"/>
                <w:color w:val="auto"/>
                <w:kern w:val="0"/>
                <w:sz w:val="24"/>
                <w:szCs w:val="24"/>
                <w:highlight w:val="none"/>
              </w:rPr>
              <w:t>停和</w:t>
            </w:r>
            <w:r>
              <w:rPr>
                <w:rFonts w:hint="eastAsia" w:ascii="仿宋" w:hAnsi="仿宋" w:eastAsia="仿宋" w:cs="仿宋"/>
                <w:color w:val="auto"/>
                <w:kern w:val="0"/>
                <w:sz w:val="24"/>
                <w:szCs w:val="24"/>
                <w:highlight w:val="none"/>
                <w:cs/>
              </w:rPr>
              <w:t>继续</w:t>
            </w:r>
            <w:r>
              <w:rPr>
                <w:rFonts w:hint="eastAsia" w:ascii="仿宋" w:hAnsi="仿宋" w:eastAsia="仿宋" w:cs="仿宋"/>
                <w:color w:val="auto"/>
                <w:kern w:val="0"/>
                <w:sz w:val="24"/>
                <w:szCs w:val="24"/>
                <w:highlight w:val="none"/>
              </w:rPr>
              <w:t>功能，具有</w:t>
            </w:r>
            <w:r>
              <w:rPr>
                <w:rFonts w:hint="eastAsia" w:ascii="仿宋" w:hAnsi="仿宋" w:eastAsia="仿宋" w:cs="仿宋"/>
                <w:color w:val="auto"/>
                <w:kern w:val="0"/>
                <w:sz w:val="24"/>
                <w:szCs w:val="24"/>
                <w:highlight w:val="none"/>
                <w:cs/>
              </w:rPr>
              <w:t>测试</w:t>
            </w:r>
            <w:r>
              <w:rPr>
                <w:rFonts w:hint="eastAsia" w:ascii="仿宋" w:hAnsi="仿宋" w:eastAsia="仿宋" w:cs="仿宋"/>
                <w:color w:val="auto"/>
                <w:kern w:val="0"/>
                <w:sz w:val="24"/>
                <w:szCs w:val="24"/>
                <w:highlight w:val="none"/>
              </w:rPr>
              <w:t>用例失</w:t>
            </w:r>
            <w:r>
              <w:rPr>
                <w:rFonts w:hint="eastAsia" w:ascii="仿宋" w:hAnsi="仿宋" w:eastAsia="仿宋" w:cs="仿宋"/>
                <w:color w:val="auto"/>
                <w:kern w:val="0"/>
                <w:sz w:val="24"/>
                <w:szCs w:val="24"/>
                <w:highlight w:val="none"/>
                <w:cs/>
              </w:rPr>
              <w:t>败</w:t>
            </w:r>
            <w:r>
              <w:rPr>
                <w:rFonts w:hint="eastAsia" w:ascii="仿宋" w:hAnsi="仿宋" w:eastAsia="仿宋" w:cs="仿宋"/>
                <w:color w:val="auto"/>
                <w:kern w:val="0"/>
                <w:sz w:val="24"/>
                <w:szCs w:val="24"/>
                <w:highlight w:val="none"/>
              </w:rPr>
              <w:t>自</w:t>
            </w:r>
            <w:r>
              <w:rPr>
                <w:rFonts w:hint="eastAsia" w:ascii="仿宋" w:hAnsi="仿宋" w:eastAsia="仿宋" w:cs="仿宋"/>
                <w:color w:val="auto"/>
                <w:kern w:val="0"/>
                <w:sz w:val="24"/>
                <w:szCs w:val="24"/>
                <w:highlight w:val="none"/>
                <w:cs/>
              </w:rPr>
              <w:t>动诊</w:t>
            </w:r>
            <w:r>
              <w:rPr>
                <w:rFonts w:hint="eastAsia" w:ascii="仿宋" w:hAnsi="仿宋" w:eastAsia="仿宋" w:cs="仿宋"/>
                <w:color w:val="auto"/>
                <w:kern w:val="0"/>
                <w:sz w:val="24"/>
                <w:szCs w:val="24"/>
                <w:highlight w:val="none"/>
              </w:rPr>
              <w:t>断功能。</w:t>
            </w:r>
          </w:p>
          <w:p w14:paraId="0FA05BAB">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3）具备选择单个测试用例运行或多个测试用例进行连续测试。</w:t>
            </w:r>
          </w:p>
          <w:p w14:paraId="3D37EF5D">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w:t>
            </w:r>
            <w:r>
              <w:rPr>
                <w:rFonts w:hint="eastAsia" w:ascii="仿宋" w:hAnsi="仿宋" w:eastAsia="仿宋" w:cs="仿宋"/>
                <w:color w:val="auto"/>
                <w:kern w:val="0"/>
                <w:sz w:val="24"/>
                <w:szCs w:val="24"/>
                <w:highlight w:val="none"/>
                <w:cs/>
              </w:rPr>
              <w:t>软</w:t>
            </w:r>
            <w:r>
              <w:rPr>
                <w:rFonts w:hint="eastAsia" w:ascii="仿宋" w:hAnsi="仿宋" w:eastAsia="仿宋" w:cs="仿宋"/>
                <w:color w:val="auto"/>
                <w:kern w:val="0"/>
                <w:sz w:val="24"/>
                <w:szCs w:val="24"/>
                <w:highlight w:val="none"/>
              </w:rPr>
              <w:t>件可以将采集的</w:t>
            </w:r>
            <w:r>
              <w:rPr>
                <w:rFonts w:hint="eastAsia" w:ascii="仿宋" w:hAnsi="仿宋" w:eastAsia="仿宋" w:cs="仿宋"/>
                <w:color w:val="auto"/>
                <w:kern w:val="0"/>
                <w:sz w:val="24"/>
                <w:szCs w:val="24"/>
                <w:highlight w:val="none"/>
                <w:cs/>
              </w:rPr>
              <w:t>测试结</w:t>
            </w:r>
            <w:r>
              <w:rPr>
                <w:rFonts w:hint="eastAsia" w:ascii="仿宋" w:hAnsi="仿宋" w:eastAsia="仿宋" w:cs="仿宋"/>
                <w:color w:val="auto"/>
                <w:kern w:val="0"/>
                <w:sz w:val="24"/>
                <w:szCs w:val="24"/>
                <w:highlight w:val="none"/>
              </w:rPr>
              <w:t>果以数据和</w:t>
            </w:r>
            <w:r>
              <w:rPr>
                <w:rFonts w:hint="eastAsia" w:ascii="仿宋" w:hAnsi="仿宋" w:eastAsia="仿宋" w:cs="仿宋"/>
                <w:color w:val="auto"/>
                <w:kern w:val="0"/>
                <w:sz w:val="24"/>
                <w:szCs w:val="24"/>
                <w:highlight w:val="none"/>
                <w:cs/>
              </w:rPr>
              <w:t>图</w:t>
            </w:r>
            <w:r>
              <w:rPr>
                <w:rFonts w:hint="eastAsia" w:ascii="仿宋" w:hAnsi="仿宋" w:eastAsia="仿宋" w:cs="仿宋"/>
                <w:color w:val="auto"/>
                <w:kern w:val="0"/>
                <w:sz w:val="24"/>
                <w:szCs w:val="24"/>
                <w:highlight w:val="none"/>
              </w:rPr>
              <w:t>表的形式</w:t>
            </w:r>
            <w:r>
              <w:rPr>
                <w:rFonts w:hint="eastAsia" w:ascii="仿宋" w:hAnsi="仿宋" w:eastAsia="仿宋" w:cs="仿宋"/>
                <w:color w:val="auto"/>
                <w:kern w:val="0"/>
                <w:sz w:val="24"/>
                <w:szCs w:val="24"/>
                <w:highlight w:val="none"/>
                <w:cs/>
              </w:rPr>
              <w:t>显</w:t>
            </w:r>
            <w:r>
              <w:rPr>
                <w:rFonts w:hint="eastAsia" w:ascii="仿宋" w:hAnsi="仿宋" w:eastAsia="仿宋" w:cs="仿宋"/>
                <w:color w:val="auto"/>
                <w:kern w:val="0"/>
                <w:sz w:val="24"/>
                <w:szCs w:val="24"/>
                <w:highlight w:val="none"/>
              </w:rPr>
              <w:t>示，并且自</w:t>
            </w:r>
            <w:r>
              <w:rPr>
                <w:rFonts w:hint="eastAsia" w:ascii="仿宋" w:hAnsi="仿宋" w:eastAsia="仿宋" w:cs="仿宋"/>
                <w:color w:val="auto"/>
                <w:kern w:val="0"/>
                <w:sz w:val="24"/>
                <w:szCs w:val="24"/>
                <w:highlight w:val="none"/>
                <w:cs/>
              </w:rPr>
              <w:t>动进</w:t>
            </w:r>
            <w:r>
              <w:rPr>
                <w:rFonts w:hint="eastAsia" w:ascii="仿宋" w:hAnsi="仿宋" w:eastAsia="仿宋" w:cs="仿宋"/>
                <w:color w:val="auto"/>
                <w:kern w:val="0"/>
                <w:sz w:val="24"/>
                <w:szCs w:val="24"/>
                <w:highlight w:val="none"/>
              </w:rPr>
              <w:t>行</w:t>
            </w:r>
            <w:r>
              <w:rPr>
                <w:rFonts w:hint="eastAsia" w:ascii="仿宋" w:hAnsi="仿宋" w:eastAsia="仿宋" w:cs="仿宋"/>
                <w:color w:val="auto"/>
                <w:kern w:val="0"/>
                <w:sz w:val="24"/>
                <w:szCs w:val="24"/>
                <w:highlight w:val="none"/>
                <w:cs/>
              </w:rPr>
              <w:t>链</w:t>
            </w:r>
            <w:r>
              <w:rPr>
                <w:rFonts w:hint="eastAsia" w:ascii="仿宋" w:hAnsi="仿宋" w:eastAsia="仿宋" w:cs="仿宋"/>
                <w:color w:val="auto"/>
                <w:kern w:val="0"/>
                <w:sz w:val="24"/>
                <w:szCs w:val="24"/>
                <w:highlight w:val="none"/>
              </w:rPr>
              <w:t>路衰</w:t>
            </w:r>
            <w:r>
              <w:rPr>
                <w:rFonts w:hint="eastAsia" w:ascii="仿宋" w:hAnsi="仿宋" w:eastAsia="仿宋" w:cs="仿宋"/>
                <w:color w:val="auto"/>
                <w:kern w:val="0"/>
                <w:sz w:val="24"/>
                <w:szCs w:val="24"/>
                <w:highlight w:val="none"/>
                <w:cs/>
              </w:rPr>
              <w:t>减补偿</w:t>
            </w:r>
            <w:r>
              <w:rPr>
                <w:rFonts w:hint="eastAsia" w:ascii="仿宋" w:hAnsi="仿宋" w:eastAsia="仿宋" w:cs="仿宋"/>
                <w:color w:val="auto"/>
                <w:kern w:val="0"/>
                <w:sz w:val="24"/>
                <w:szCs w:val="24"/>
                <w:highlight w:val="none"/>
              </w:rPr>
              <w:t>等数据</w:t>
            </w:r>
            <w:r>
              <w:rPr>
                <w:rFonts w:hint="eastAsia" w:ascii="仿宋" w:hAnsi="仿宋" w:eastAsia="仿宋" w:cs="仿宋"/>
                <w:color w:val="auto"/>
                <w:kern w:val="0"/>
                <w:sz w:val="24"/>
                <w:szCs w:val="24"/>
                <w:highlight w:val="none"/>
                <w:cs/>
              </w:rPr>
              <w:t>处</w:t>
            </w:r>
            <w:r>
              <w:rPr>
                <w:rFonts w:hint="eastAsia" w:ascii="仿宋" w:hAnsi="仿宋" w:eastAsia="仿宋" w:cs="仿宋"/>
                <w:color w:val="auto"/>
                <w:kern w:val="0"/>
                <w:sz w:val="24"/>
                <w:szCs w:val="24"/>
                <w:highlight w:val="none"/>
              </w:rPr>
              <w:t>理，自</w:t>
            </w:r>
            <w:r>
              <w:rPr>
                <w:rFonts w:hint="eastAsia" w:ascii="仿宋" w:hAnsi="仿宋" w:eastAsia="仿宋" w:cs="仿宋"/>
                <w:color w:val="auto"/>
                <w:kern w:val="0"/>
                <w:sz w:val="24"/>
                <w:szCs w:val="24"/>
                <w:highlight w:val="none"/>
                <w:cs/>
              </w:rPr>
              <w:t>动</w:t>
            </w:r>
            <w:r>
              <w:rPr>
                <w:rFonts w:hint="eastAsia" w:ascii="仿宋" w:hAnsi="仿宋" w:eastAsia="仿宋" w:cs="仿宋"/>
                <w:color w:val="auto"/>
                <w:kern w:val="0"/>
                <w:sz w:val="24"/>
                <w:szCs w:val="24"/>
                <w:highlight w:val="none"/>
              </w:rPr>
              <w:t>判定</w:t>
            </w:r>
            <w:r>
              <w:rPr>
                <w:rFonts w:hint="eastAsia" w:ascii="仿宋" w:hAnsi="仿宋" w:eastAsia="仿宋" w:cs="仿宋"/>
                <w:color w:val="auto"/>
                <w:kern w:val="0"/>
                <w:sz w:val="24"/>
                <w:szCs w:val="24"/>
                <w:highlight w:val="none"/>
                <w:cs/>
              </w:rPr>
              <w:t>测试结</w:t>
            </w:r>
            <w:r>
              <w:rPr>
                <w:rFonts w:hint="eastAsia" w:ascii="仿宋" w:hAnsi="仿宋" w:eastAsia="仿宋" w:cs="仿宋"/>
                <w:color w:val="auto"/>
                <w:kern w:val="0"/>
                <w:sz w:val="24"/>
                <w:szCs w:val="24"/>
                <w:highlight w:val="none"/>
              </w:rPr>
              <w:t>果是否</w:t>
            </w:r>
            <w:r>
              <w:rPr>
                <w:rFonts w:hint="eastAsia" w:ascii="仿宋" w:hAnsi="仿宋" w:eastAsia="仿宋" w:cs="仿宋"/>
                <w:color w:val="auto"/>
                <w:kern w:val="0"/>
                <w:sz w:val="24"/>
                <w:szCs w:val="24"/>
                <w:highlight w:val="none"/>
                <w:cs/>
              </w:rPr>
              <w:t>达标</w:t>
            </w:r>
            <w:r>
              <w:rPr>
                <w:rFonts w:hint="eastAsia" w:ascii="仿宋" w:hAnsi="仿宋" w:eastAsia="仿宋" w:cs="仿宋"/>
                <w:color w:val="auto"/>
                <w:kern w:val="0"/>
                <w:sz w:val="24"/>
                <w:szCs w:val="24"/>
                <w:highlight w:val="none"/>
              </w:rPr>
              <w:t>。</w:t>
            </w:r>
          </w:p>
          <w:p w14:paraId="3082A4FE">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5）信令流程</w:t>
            </w:r>
            <w:r>
              <w:rPr>
                <w:rFonts w:hint="eastAsia" w:ascii="仿宋" w:hAnsi="仿宋" w:eastAsia="仿宋" w:cs="仿宋"/>
                <w:color w:val="auto"/>
                <w:kern w:val="0"/>
                <w:sz w:val="24"/>
                <w:szCs w:val="24"/>
                <w:highlight w:val="none"/>
                <w:cs/>
              </w:rPr>
              <w:t>输</w:t>
            </w:r>
            <w:r>
              <w:rPr>
                <w:rFonts w:hint="eastAsia" w:ascii="仿宋" w:hAnsi="仿宋" w:eastAsia="仿宋" w:cs="仿宋"/>
                <w:color w:val="auto"/>
                <w:kern w:val="0"/>
                <w:sz w:val="24"/>
                <w:szCs w:val="24"/>
                <w:highlight w:val="none"/>
              </w:rPr>
              <w:t>出窗口支持不同消息分</w:t>
            </w:r>
            <w:r>
              <w:rPr>
                <w:rFonts w:hint="eastAsia" w:ascii="仿宋" w:hAnsi="仿宋" w:eastAsia="仿宋" w:cs="仿宋"/>
                <w:color w:val="auto"/>
                <w:kern w:val="0"/>
                <w:sz w:val="24"/>
                <w:szCs w:val="24"/>
                <w:highlight w:val="none"/>
                <w:cs/>
              </w:rPr>
              <w:t>类标识</w:t>
            </w:r>
            <w:r>
              <w:rPr>
                <w:rFonts w:hint="eastAsia" w:ascii="仿宋" w:hAnsi="仿宋" w:eastAsia="仿宋" w:cs="仿宋"/>
                <w:color w:val="auto"/>
                <w:kern w:val="0"/>
                <w:sz w:val="24"/>
                <w:szCs w:val="24"/>
                <w:highlight w:val="none"/>
              </w:rPr>
              <w:t>，如信令交互信息、</w:t>
            </w:r>
            <w:r>
              <w:rPr>
                <w:rFonts w:hint="eastAsia" w:ascii="仿宋" w:hAnsi="仿宋" w:eastAsia="仿宋" w:cs="仿宋"/>
                <w:color w:val="auto"/>
                <w:kern w:val="0"/>
                <w:sz w:val="24"/>
                <w:szCs w:val="24"/>
                <w:highlight w:val="none"/>
                <w:cs/>
              </w:rPr>
              <w:t>测试结</w:t>
            </w:r>
            <w:r>
              <w:rPr>
                <w:rFonts w:hint="eastAsia" w:ascii="仿宋" w:hAnsi="仿宋" w:eastAsia="仿宋" w:cs="仿宋"/>
                <w:color w:val="auto"/>
                <w:kern w:val="0"/>
                <w:sz w:val="24"/>
                <w:szCs w:val="24"/>
                <w:highlight w:val="none"/>
              </w:rPr>
              <w:t>果信息、控制</w:t>
            </w:r>
            <w:r>
              <w:rPr>
                <w:rFonts w:hint="eastAsia" w:ascii="仿宋" w:hAnsi="仿宋" w:eastAsia="仿宋" w:cs="仿宋"/>
                <w:color w:val="auto"/>
                <w:kern w:val="0"/>
                <w:sz w:val="24"/>
                <w:szCs w:val="24"/>
                <w:highlight w:val="none"/>
                <w:cs/>
              </w:rPr>
              <w:t>终</w:t>
            </w:r>
            <w:r>
              <w:rPr>
                <w:rFonts w:hint="eastAsia" w:ascii="仿宋" w:hAnsi="仿宋" w:eastAsia="仿宋" w:cs="仿宋"/>
                <w:color w:val="auto"/>
                <w:kern w:val="0"/>
                <w:sz w:val="24"/>
                <w:szCs w:val="24"/>
                <w:highlight w:val="none"/>
              </w:rPr>
              <w:t>端</w:t>
            </w:r>
            <w:r>
              <w:rPr>
                <w:rFonts w:hint="eastAsia" w:ascii="仿宋" w:hAnsi="仿宋" w:eastAsia="仿宋" w:cs="仿宋"/>
                <w:color w:val="auto"/>
                <w:kern w:val="0"/>
                <w:sz w:val="24"/>
                <w:szCs w:val="24"/>
                <w:highlight w:val="none"/>
                <w:cs/>
              </w:rPr>
              <w:t>开关</w:t>
            </w:r>
            <w:r>
              <w:rPr>
                <w:rFonts w:hint="eastAsia" w:ascii="仿宋" w:hAnsi="仿宋" w:eastAsia="仿宋" w:cs="仿宋"/>
                <w:color w:val="auto"/>
                <w:kern w:val="0"/>
                <w:sz w:val="24"/>
                <w:szCs w:val="24"/>
                <w:highlight w:val="none"/>
              </w:rPr>
              <w:t>机的信息等。</w:t>
            </w:r>
          </w:p>
          <w:p w14:paraId="7BE5BD53">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6）提供</w:t>
            </w:r>
            <w:r>
              <w:rPr>
                <w:rFonts w:hint="eastAsia" w:ascii="仿宋" w:hAnsi="仿宋" w:eastAsia="仿宋" w:cs="仿宋"/>
                <w:color w:val="auto"/>
                <w:kern w:val="0"/>
                <w:sz w:val="24"/>
                <w:szCs w:val="24"/>
                <w:highlight w:val="none"/>
                <w:cs/>
              </w:rPr>
              <w:t>测试过</w:t>
            </w:r>
            <w:r>
              <w:rPr>
                <w:rFonts w:hint="eastAsia" w:ascii="仿宋" w:hAnsi="仿宋" w:eastAsia="仿宋" w:cs="仿宋"/>
                <w:color w:val="auto"/>
                <w:kern w:val="0"/>
                <w:sz w:val="24"/>
                <w:szCs w:val="24"/>
                <w:highlight w:val="none"/>
              </w:rPr>
              <w:t>程中信令交互的流程</w:t>
            </w:r>
            <w:r>
              <w:rPr>
                <w:rFonts w:hint="eastAsia" w:ascii="仿宋" w:hAnsi="仿宋" w:eastAsia="仿宋" w:cs="仿宋"/>
                <w:color w:val="auto"/>
                <w:kern w:val="0"/>
                <w:sz w:val="24"/>
                <w:szCs w:val="24"/>
                <w:highlight w:val="none"/>
                <w:cs/>
              </w:rPr>
              <w:t>图</w:t>
            </w:r>
            <w:r>
              <w:rPr>
                <w:rFonts w:hint="eastAsia" w:ascii="仿宋" w:hAnsi="仿宋" w:eastAsia="仿宋" w:cs="仿宋"/>
                <w:color w:val="auto"/>
                <w:kern w:val="0"/>
                <w:sz w:val="24"/>
                <w:szCs w:val="24"/>
                <w:highlight w:val="none"/>
              </w:rPr>
              <w:t>。</w:t>
            </w:r>
          </w:p>
          <w:p w14:paraId="5EF5B696">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7）具</w:t>
            </w:r>
            <w:r>
              <w:rPr>
                <w:rFonts w:hint="eastAsia" w:ascii="仿宋" w:hAnsi="仿宋" w:eastAsia="仿宋" w:cs="仿宋"/>
                <w:color w:val="auto"/>
                <w:kern w:val="0"/>
                <w:sz w:val="24"/>
                <w:szCs w:val="24"/>
                <w:highlight w:val="none"/>
                <w:cs/>
              </w:rPr>
              <w:t>备测试过</w:t>
            </w:r>
            <w:r>
              <w:rPr>
                <w:rFonts w:hint="eastAsia" w:ascii="仿宋" w:hAnsi="仿宋" w:eastAsia="仿宋" w:cs="仿宋"/>
                <w:color w:val="auto"/>
                <w:kern w:val="0"/>
                <w:sz w:val="24"/>
                <w:szCs w:val="24"/>
                <w:highlight w:val="none"/>
              </w:rPr>
              <w:t>程中</w:t>
            </w:r>
            <w:r>
              <w:rPr>
                <w:rFonts w:hint="eastAsia" w:ascii="仿宋" w:hAnsi="仿宋" w:eastAsia="仿宋" w:cs="仿宋"/>
                <w:color w:val="auto"/>
                <w:kern w:val="0"/>
                <w:sz w:val="24"/>
                <w:szCs w:val="24"/>
                <w:highlight w:val="none"/>
                <w:cs/>
              </w:rPr>
              <w:t>异</w:t>
            </w:r>
            <w:r>
              <w:rPr>
                <w:rFonts w:hint="eastAsia" w:ascii="仿宋" w:hAnsi="仿宋" w:eastAsia="仿宋" w:cs="仿宋"/>
                <w:color w:val="auto"/>
                <w:kern w:val="0"/>
                <w:sz w:val="24"/>
                <w:szCs w:val="24"/>
                <w:highlight w:val="none"/>
              </w:rPr>
              <w:t>常事件的</w:t>
            </w:r>
            <w:r>
              <w:rPr>
                <w:rFonts w:hint="eastAsia" w:ascii="仿宋" w:hAnsi="仿宋" w:eastAsia="仿宋" w:cs="仿宋"/>
                <w:color w:val="auto"/>
                <w:kern w:val="0"/>
                <w:sz w:val="24"/>
                <w:szCs w:val="24"/>
                <w:highlight w:val="none"/>
                <w:cs/>
              </w:rPr>
              <w:t>处</w:t>
            </w:r>
            <w:r>
              <w:rPr>
                <w:rFonts w:hint="eastAsia" w:ascii="仿宋" w:hAnsi="仿宋" w:eastAsia="仿宋" w:cs="仿宋"/>
                <w:color w:val="auto"/>
                <w:kern w:val="0"/>
                <w:sz w:val="24"/>
                <w:szCs w:val="24"/>
                <w:highlight w:val="none"/>
              </w:rPr>
              <w:t>理能力。</w:t>
            </w:r>
          </w:p>
          <w:p w14:paraId="3671F787">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8）</w:t>
            </w:r>
            <w:r>
              <w:rPr>
                <w:rFonts w:hint="eastAsia" w:ascii="仿宋" w:hAnsi="仿宋" w:eastAsia="仿宋" w:cs="仿宋"/>
                <w:color w:val="auto"/>
                <w:kern w:val="0"/>
                <w:sz w:val="24"/>
                <w:szCs w:val="24"/>
                <w:highlight w:val="none"/>
                <w:cs/>
              </w:rPr>
              <w:t>软</w:t>
            </w:r>
            <w:r>
              <w:rPr>
                <w:rFonts w:hint="eastAsia" w:ascii="仿宋" w:hAnsi="仿宋" w:eastAsia="仿宋" w:cs="仿宋"/>
                <w:color w:val="auto"/>
                <w:kern w:val="0"/>
                <w:sz w:val="24"/>
                <w:szCs w:val="24"/>
                <w:highlight w:val="none"/>
              </w:rPr>
              <w:t>件可自</w:t>
            </w:r>
            <w:r>
              <w:rPr>
                <w:rFonts w:hint="eastAsia" w:ascii="仿宋" w:hAnsi="仿宋" w:eastAsia="仿宋" w:cs="仿宋"/>
                <w:color w:val="auto"/>
                <w:kern w:val="0"/>
                <w:sz w:val="24"/>
                <w:szCs w:val="24"/>
                <w:highlight w:val="none"/>
                <w:cs/>
              </w:rPr>
              <w:t>动</w:t>
            </w:r>
            <w:r>
              <w:rPr>
                <w:rFonts w:hint="eastAsia" w:ascii="仿宋" w:hAnsi="仿宋" w:eastAsia="仿宋" w:cs="仿宋"/>
                <w:color w:val="auto"/>
                <w:kern w:val="0"/>
                <w:sz w:val="24"/>
                <w:szCs w:val="24"/>
                <w:highlight w:val="none"/>
              </w:rPr>
              <w:t>生成</w:t>
            </w:r>
            <w:r>
              <w:rPr>
                <w:rFonts w:hint="eastAsia" w:ascii="仿宋" w:hAnsi="仿宋" w:eastAsia="仿宋" w:cs="仿宋"/>
                <w:color w:val="auto"/>
                <w:kern w:val="0"/>
                <w:sz w:val="24"/>
                <w:szCs w:val="24"/>
                <w:highlight w:val="none"/>
                <w:cs/>
              </w:rPr>
              <w:t>测试报</w:t>
            </w:r>
            <w:r>
              <w:rPr>
                <w:rFonts w:hint="eastAsia" w:ascii="仿宋" w:hAnsi="仿宋" w:eastAsia="仿宋" w:cs="仿宋"/>
                <w:color w:val="auto"/>
                <w:kern w:val="0"/>
                <w:sz w:val="24"/>
                <w:szCs w:val="24"/>
                <w:highlight w:val="none"/>
              </w:rPr>
              <w:t>告。</w:t>
            </w:r>
          </w:p>
          <w:p w14:paraId="268B23BC">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9）具备各个用例的</w:t>
            </w:r>
            <w:r>
              <w:rPr>
                <w:rFonts w:hint="eastAsia" w:ascii="仿宋" w:hAnsi="仿宋" w:eastAsia="仿宋" w:cs="仿宋"/>
                <w:color w:val="auto"/>
                <w:kern w:val="0"/>
                <w:sz w:val="24"/>
                <w:szCs w:val="24"/>
                <w:highlight w:val="none"/>
                <w:cs/>
              </w:rPr>
              <w:t>测试结</w:t>
            </w:r>
            <w:r>
              <w:rPr>
                <w:rFonts w:hint="eastAsia" w:ascii="仿宋" w:hAnsi="仿宋" w:eastAsia="仿宋" w:cs="仿宋"/>
                <w:color w:val="auto"/>
                <w:kern w:val="0"/>
                <w:sz w:val="24"/>
                <w:szCs w:val="24"/>
                <w:highlight w:val="none"/>
              </w:rPr>
              <w:t>果，</w:t>
            </w:r>
            <w:r>
              <w:rPr>
                <w:rFonts w:hint="eastAsia" w:ascii="仿宋" w:hAnsi="仿宋" w:eastAsia="仿宋" w:cs="仿宋"/>
                <w:color w:val="auto"/>
                <w:kern w:val="0"/>
                <w:sz w:val="24"/>
                <w:szCs w:val="24"/>
                <w:highlight w:val="none"/>
                <w:cs/>
              </w:rPr>
              <w:t>测试</w:t>
            </w:r>
            <w:r>
              <w:rPr>
                <w:rFonts w:hint="eastAsia" w:ascii="仿宋" w:hAnsi="仿宋" w:eastAsia="仿宋" w:cs="仿宋"/>
                <w:color w:val="auto"/>
                <w:kern w:val="0"/>
                <w:sz w:val="24"/>
                <w:szCs w:val="24"/>
                <w:highlight w:val="none"/>
              </w:rPr>
              <w:t>的</w:t>
            </w:r>
            <w:r>
              <w:rPr>
                <w:rFonts w:hint="eastAsia" w:ascii="仿宋" w:hAnsi="仿宋" w:eastAsia="仿宋" w:cs="仿宋"/>
                <w:color w:val="auto"/>
                <w:kern w:val="0"/>
                <w:sz w:val="24"/>
                <w:szCs w:val="24"/>
                <w:highlight w:val="none"/>
                <w:cs/>
              </w:rPr>
              <w:t>总</w:t>
            </w:r>
            <w:r>
              <w:rPr>
                <w:rFonts w:hint="eastAsia" w:ascii="仿宋" w:hAnsi="仿宋" w:eastAsia="仿宋" w:cs="仿宋"/>
                <w:color w:val="auto"/>
                <w:kern w:val="0"/>
                <w:sz w:val="24"/>
                <w:szCs w:val="24"/>
                <w:highlight w:val="none"/>
              </w:rPr>
              <w:t>次数，成功次数，失</w:t>
            </w:r>
            <w:r>
              <w:rPr>
                <w:rFonts w:hint="eastAsia" w:ascii="仿宋" w:hAnsi="仿宋" w:eastAsia="仿宋" w:cs="仿宋"/>
                <w:color w:val="auto"/>
                <w:kern w:val="0"/>
                <w:sz w:val="24"/>
                <w:szCs w:val="24"/>
                <w:highlight w:val="none"/>
                <w:cs/>
              </w:rPr>
              <w:t>败</w:t>
            </w:r>
            <w:r>
              <w:rPr>
                <w:rFonts w:hint="eastAsia" w:ascii="仿宋" w:hAnsi="仿宋" w:eastAsia="仿宋" w:cs="仿宋"/>
                <w:color w:val="auto"/>
                <w:kern w:val="0"/>
                <w:sz w:val="24"/>
                <w:szCs w:val="24"/>
                <w:highlight w:val="none"/>
              </w:rPr>
              <w:t>次数和</w:t>
            </w:r>
            <w:r>
              <w:rPr>
                <w:rFonts w:hint="eastAsia" w:ascii="仿宋" w:hAnsi="仿宋" w:eastAsia="仿宋" w:cs="仿宋"/>
                <w:color w:val="auto"/>
                <w:kern w:val="0"/>
                <w:sz w:val="24"/>
                <w:szCs w:val="24"/>
                <w:highlight w:val="none"/>
                <w:cs/>
              </w:rPr>
              <w:t>测试时间统计功能</w:t>
            </w:r>
            <w:r>
              <w:rPr>
                <w:rFonts w:hint="eastAsia" w:ascii="仿宋" w:hAnsi="仿宋" w:eastAsia="仿宋" w:cs="仿宋"/>
                <w:color w:val="auto"/>
                <w:kern w:val="0"/>
                <w:sz w:val="24"/>
                <w:szCs w:val="24"/>
                <w:highlight w:val="none"/>
              </w:rPr>
              <w:t>。</w:t>
            </w:r>
          </w:p>
          <w:p w14:paraId="37FC4475">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10）用例</w:t>
            </w:r>
            <w:r>
              <w:rPr>
                <w:rFonts w:hint="eastAsia" w:ascii="仿宋" w:hAnsi="仿宋" w:eastAsia="仿宋" w:cs="仿宋"/>
                <w:color w:val="auto"/>
                <w:kern w:val="0"/>
                <w:sz w:val="24"/>
                <w:szCs w:val="24"/>
                <w:highlight w:val="none"/>
                <w:cs/>
              </w:rPr>
              <w:t>检查</w:t>
            </w:r>
            <w:r>
              <w:rPr>
                <w:rFonts w:hint="eastAsia" w:ascii="仿宋" w:hAnsi="仿宋" w:eastAsia="仿宋" w:cs="仿宋"/>
                <w:color w:val="auto"/>
                <w:kern w:val="0"/>
                <w:sz w:val="24"/>
                <w:szCs w:val="24"/>
                <w:highlight w:val="none"/>
              </w:rPr>
              <w:t>点的参数</w:t>
            </w:r>
            <w:r>
              <w:rPr>
                <w:rFonts w:hint="eastAsia" w:ascii="仿宋" w:hAnsi="仿宋" w:eastAsia="仿宋" w:cs="仿宋"/>
                <w:color w:val="auto"/>
                <w:kern w:val="0"/>
                <w:sz w:val="24"/>
                <w:szCs w:val="24"/>
                <w:highlight w:val="none"/>
                <w:cs/>
              </w:rPr>
              <w:t>测</w:t>
            </w:r>
            <w:r>
              <w:rPr>
                <w:rFonts w:hint="eastAsia" w:ascii="仿宋" w:hAnsi="仿宋" w:eastAsia="仿宋" w:cs="仿宋"/>
                <w:color w:val="auto"/>
                <w:kern w:val="0"/>
                <w:sz w:val="24"/>
                <w:szCs w:val="24"/>
                <w:highlight w:val="none"/>
              </w:rPr>
              <w:t>量</w:t>
            </w:r>
            <w:r>
              <w:rPr>
                <w:rFonts w:hint="eastAsia" w:ascii="仿宋" w:hAnsi="仿宋" w:eastAsia="仿宋" w:cs="仿宋"/>
                <w:color w:val="auto"/>
                <w:kern w:val="0"/>
                <w:sz w:val="24"/>
                <w:szCs w:val="24"/>
                <w:highlight w:val="none"/>
                <w:cs/>
              </w:rPr>
              <w:t>值</w:t>
            </w:r>
            <w:r>
              <w:rPr>
                <w:rFonts w:hint="eastAsia" w:ascii="仿宋" w:hAnsi="仿宋" w:eastAsia="仿宋" w:cs="仿宋"/>
                <w:color w:val="auto"/>
                <w:kern w:val="0"/>
                <w:sz w:val="24"/>
                <w:szCs w:val="24"/>
                <w:highlight w:val="none"/>
              </w:rPr>
              <w:t>，提供</w:t>
            </w:r>
            <w:r>
              <w:rPr>
                <w:rFonts w:hint="eastAsia" w:ascii="仿宋" w:hAnsi="仿宋" w:eastAsia="仿宋" w:cs="仿宋"/>
                <w:color w:val="auto"/>
                <w:kern w:val="0"/>
                <w:sz w:val="24"/>
                <w:szCs w:val="24"/>
                <w:highlight w:val="none"/>
                <w:cs/>
              </w:rPr>
              <w:t>测</w:t>
            </w:r>
            <w:r>
              <w:rPr>
                <w:rFonts w:hint="eastAsia" w:ascii="仿宋" w:hAnsi="仿宋" w:eastAsia="仿宋" w:cs="仿宋"/>
                <w:color w:val="auto"/>
                <w:kern w:val="0"/>
                <w:sz w:val="24"/>
                <w:szCs w:val="24"/>
                <w:highlight w:val="none"/>
              </w:rPr>
              <w:t>量</w:t>
            </w:r>
            <w:r>
              <w:rPr>
                <w:rFonts w:hint="eastAsia" w:ascii="仿宋" w:hAnsi="仿宋" w:eastAsia="仿宋" w:cs="仿宋"/>
                <w:color w:val="auto"/>
                <w:kern w:val="0"/>
                <w:sz w:val="24"/>
                <w:szCs w:val="24"/>
                <w:highlight w:val="none"/>
                <w:cs/>
              </w:rPr>
              <w:t>值</w:t>
            </w:r>
            <w:r>
              <w:rPr>
                <w:rFonts w:hint="eastAsia" w:ascii="仿宋" w:hAnsi="仿宋" w:eastAsia="仿宋" w:cs="仿宋"/>
                <w:color w:val="auto"/>
                <w:kern w:val="0"/>
                <w:sz w:val="24"/>
                <w:szCs w:val="24"/>
                <w:highlight w:val="none"/>
              </w:rPr>
              <w:t>的排序和</w:t>
            </w:r>
            <w:r>
              <w:rPr>
                <w:rFonts w:hint="eastAsia" w:ascii="仿宋" w:hAnsi="仿宋" w:eastAsia="仿宋" w:cs="仿宋"/>
                <w:color w:val="auto"/>
                <w:kern w:val="0"/>
                <w:sz w:val="24"/>
                <w:szCs w:val="24"/>
                <w:highlight w:val="none"/>
                <w:cs/>
              </w:rPr>
              <w:t>筛选</w:t>
            </w:r>
            <w:r>
              <w:rPr>
                <w:rFonts w:hint="eastAsia" w:ascii="仿宋" w:hAnsi="仿宋" w:eastAsia="仿宋" w:cs="仿宋"/>
                <w:color w:val="auto"/>
                <w:kern w:val="0"/>
                <w:sz w:val="24"/>
                <w:szCs w:val="24"/>
                <w:highlight w:val="none"/>
              </w:rPr>
              <w:t>功能，若</w:t>
            </w:r>
            <w:r>
              <w:rPr>
                <w:rFonts w:hint="eastAsia" w:ascii="仿宋" w:hAnsi="仿宋" w:eastAsia="仿宋" w:cs="仿宋"/>
                <w:color w:val="auto"/>
                <w:kern w:val="0"/>
                <w:sz w:val="24"/>
                <w:szCs w:val="24"/>
                <w:highlight w:val="none"/>
                <w:cs/>
              </w:rPr>
              <w:t>测</w:t>
            </w:r>
            <w:r>
              <w:rPr>
                <w:rFonts w:hint="eastAsia" w:ascii="仿宋" w:hAnsi="仿宋" w:eastAsia="仿宋" w:cs="仿宋"/>
                <w:color w:val="auto"/>
                <w:kern w:val="0"/>
                <w:sz w:val="24"/>
                <w:szCs w:val="24"/>
                <w:highlight w:val="none"/>
              </w:rPr>
              <w:t>量</w:t>
            </w:r>
            <w:r>
              <w:rPr>
                <w:rFonts w:hint="eastAsia" w:ascii="仿宋" w:hAnsi="仿宋" w:eastAsia="仿宋" w:cs="仿宋"/>
                <w:color w:val="auto"/>
                <w:kern w:val="0"/>
                <w:sz w:val="24"/>
                <w:szCs w:val="24"/>
                <w:highlight w:val="none"/>
                <w:cs/>
              </w:rPr>
              <w:t>值</w:t>
            </w:r>
            <w:r>
              <w:rPr>
                <w:rFonts w:hint="eastAsia" w:ascii="仿宋" w:hAnsi="仿宋" w:eastAsia="仿宋" w:cs="仿宋"/>
                <w:color w:val="auto"/>
                <w:kern w:val="0"/>
                <w:sz w:val="24"/>
                <w:szCs w:val="24"/>
                <w:highlight w:val="none"/>
              </w:rPr>
              <w:t>与</w:t>
            </w:r>
            <w:r>
              <w:rPr>
                <w:rFonts w:hint="eastAsia" w:ascii="仿宋" w:hAnsi="仿宋" w:eastAsia="仿宋" w:cs="仿宋"/>
                <w:color w:val="auto"/>
                <w:kern w:val="0"/>
                <w:sz w:val="24"/>
                <w:szCs w:val="24"/>
                <w:highlight w:val="none"/>
                <w:cs/>
              </w:rPr>
              <w:t>测试</w:t>
            </w:r>
            <w:r>
              <w:rPr>
                <w:rFonts w:hint="eastAsia" w:ascii="仿宋" w:hAnsi="仿宋" w:eastAsia="仿宋" w:cs="仿宋"/>
                <w:color w:val="auto"/>
                <w:kern w:val="0"/>
                <w:sz w:val="24"/>
                <w:szCs w:val="24"/>
                <w:highlight w:val="none"/>
              </w:rPr>
              <w:t>用例</w:t>
            </w:r>
            <w:r>
              <w:rPr>
                <w:rFonts w:hint="eastAsia" w:ascii="仿宋" w:hAnsi="仿宋" w:eastAsia="仿宋" w:cs="仿宋"/>
                <w:color w:val="auto"/>
                <w:kern w:val="0"/>
                <w:sz w:val="24"/>
                <w:szCs w:val="24"/>
                <w:highlight w:val="none"/>
                <w:cs/>
              </w:rPr>
              <w:t>预</w:t>
            </w:r>
            <w:r>
              <w:rPr>
                <w:rFonts w:hint="eastAsia" w:ascii="仿宋" w:hAnsi="仿宋" w:eastAsia="仿宋" w:cs="仿宋"/>
                <w:color w:val="auto"/>
                <w:kern w:val="0"/>
                <w:sz w:val="24"/>
                <w:szCs w:val="24"/>
                <w:highlight w:val="none"/>
              </w:rPr>
              <w:t>期要求不符，</w:t>
            </w:r>
            <w:r>
              <w:rPr>
                <w:rFonts w:hint="eastAsia" w:ascii="仿宋" w:hAnsi="仿宋" w:eastAsia="仿宋" w:cs="仿宋"/>
                <w:color w:val="auto"/>
                <w:kern w:val="0"/>
                <w:sz w:val="24"/>
                <w:szCs w:val="24"/>
                <w:highlight w:val="none"/>
                <w:cs/>
              </w:rPr>
              <w:t>应</w:t>
            </w:r>
            <w:r>
              <w:rPr>
                <w:rFonts w:hint="eastAsia" w:ascii="仿宋" w:hAnsi="仿宋" w:eastAsia="仿宋" w:cs="仿宋"/>
                <w:color w:val="auto"/>
                <w:kern w:val="0"/>
                <w:sz w:val="24"/>
                <w:szCs w:val="24"/>
                <w:highlight w:val="none"/>
              </w:rPr>
              <w:t>突出</w:t>
            </w:r>
            <w:r>
              <w:rPr>
                <w:rFonts w:hint="eastAsia" w:ascii="仿宋" w:hAnsi="仿宋" w:eastAsia="仿宋" w:cs="仿宋"/>
                <w:color w:val="auto"/>
                <w:kern w:val="0"/>
                <w:sz w:val="24"/>
                <w:szCs w:val="24"/>
                <w:highlight w:val="none"/>
                <w:cs/>
              </w:rPr>
              <w:t>显</w:t>
            </w:r>
            <w:r>
              <w:rPr>
                <w:rFonts w:hint="eastAsia" w:ascii="仿宋" w:hAnsi="仿宋" w:eastAsia="仿宋" w:cs="仿宋"/>
                <w:color w:val="auto"/>
                <w:kern w:val="0"/>
                <w:sz w:val="24"/>
                <w:szCs w:val="24"/>
                <w:highlight w:val="none"/>
              </w:rPr>
              <w:t>示</w:t>
            </w:r>
            <w:r>
              <w:rPr>
                <w:rFonts w:hint="eastAsia" w:ascii="仿宋" w:hAnsi="仿宋" w:eastAsia="仿宋" w:cs="仿宋"/>
                <w:color w:val="auto"/>
                <w:kern w:val="0"/>
                <w:sz w:val="24"/>
                <w:szCs w:val="24"/>
                <w:highlight w:val="none"/>
                <w:cs/>
              </w:rPr>
              <w:t>该测</w:t>
            </w:r>
            <w:r>
              <w:rPr>
                <w:rFonts w:hint="eastAsia" w:ascii="仿宋" w:hAnsi="仿宋" w:eastAsia="仿宋" w:cs="仿宋"/>
                <w:color w:val="auto"/>
                <w:kern w:val="0"/>
                <w:sz w:val="24"/>
                <w:szCs w:val="24"/>
                <w:highlight w:val="none"/>
              </w:rPr>
              <w:t>量</w:t>
            </w:r>
            <w:r>
              <w:rPr>
                <w:rFonts w:hint="eastAsia" w:ascii="仿宋" w:hAnsi="仿宋" w:eastAsia="仿宋" w:cs="仿宋"/>
                <w:color w:val="auto"/>
                <w:kern w:val="0"/>
                <w:sz w:val="24"/>
                <w:szCs w:val="24"/>
                <w:highlight w:val="none"/>
                <w:cs/>
              </w:rPr>
              <w:t>值</w:t>
            </w:r>
            <w:r>
              <w:rPr>
                <w:rFonts w:hint="eastAsia" w:ascii="仿宋" w:hAnsi="仿宋" w:eastAsia="仿宋" w:cs="仿宋"/>
                <w:color w:val="auto"/>
                <w:kern w:val="0"/>
                <w:sz w:val="24"/>
                <w:szCs w:val="24"/>
                <w:highlight w:val="none"/>
              </w:rPr>
              <w:t>。</w:t>
            </w:r>
          </w:p>
          <w:p w14:paraId="5040F052">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11）</w:t>
            </w:r>
            <w:r>
              <w:rPr>
                <w:rFonts w:hint="eastAsia" w:ascii="仿宋" w:hAnsi="仿宋" w:eastAsia="仿宋" w:cs="仿宋"/>
                <w:color w:val="auto"/>
                <w:kern w:val="0"/>
                <w:sz w:val="24"/>
                <w:szCs w:val="24"/>
                <w:highlight w:val="none"/>
                <w:cs/>
              </w:rPr>
              <w:t>测试报</w:t>
            </w:r>
            <w:r>
              <w:rPr>
                <w:rFonts w:hint="eastAsia" w:ascii="仿宋" w:hAnsi="仿宋" w:eastAsia="仿宋" w:cs="仿宋"/>
                <w:color w:val="auto"/>
                <w:kern w:val="0"/>
                <w:sz w:val="24"/>
                <w:szCs w:val="24"/>
                <w:highlight w:val="none"/>
              </w:rPr>
              <w:t>告</w:t>
            </w:r>
            <w:r>
              <w:rPr>
                <w:rFonts w:hint="eastAsia" w:ascii="仿宋" w:hAnsi="仿宋" w:eastAsia="仿宋" w:cs="仿宋"/>
                <w:color w:val="auto"/>
                <w:kern w:val="0"/>
                <w:sz w:val="24"/>
                <w:szCs w:val="24"/>
                <w:highlight w:val="none"/>
                <w:cs/>
              </w:rPr>
              <w:t>应</w:t>
            </w:r>
            <w:r>
              <w:rPr>
                <w:rFonts w:hint="eastAsia" w:ascii="仿宋" w:hAnsi="仿宋" w:eastAsia="仿宋" w:cs="仿宋"/>
                <w:color w:val="auto"/>
                <w:kern w:val="0"/>
                <w:sz w:val="24"/>
                <w:szCs w:val="24"/>
                <w:highlight w:val="none"/>
              </w:rPr>
              <w:t>能被保存到默</w:t>
            </w:r>
            <w:r>
              <w:rPr>
                <w:rFonts w:hint="eastAsia" w:ascii="仿宋" w:hAnsi="仿宋" w:eastAsia="仿宋" w:cs="仿宋"/>
                <w:color w:val="auto"/>
                <w:kern w:val="0"/>
                <w:sz w:val="24"/>
                <w:szCs w:val="24"/>
                <w:highlight w:val="none"/>
                <w:cs/>
              </w:rPr>
              <w:t>认</w:t>
            </w:r>
            <w:r>
              <w:rPr>
                <w:rFonts w:hint="eastAsia" w:ascii="仿宋" w:hAnsi="仿宋" w:eastAsia="仿宋" w:cs="仿宋"/>
                <w:color w:val="auto"/>
                <w:kern w:val="0"/>
                <w:sz w:val="24"/>
                <w:szCs w:val="24"/>
                <w:highlight w:val="none"/>
              </w:rPr>
              <w:t>或用</w:t>
            </w:r>
            <w:r>
              <w:rPr>
                <w:rFonts w:hint="eastAsia" w:ascii="仿宋" w:hAnsi="仿宋" w:eastAsia="仿宋" w:cs="仿宋"/>
                <w:color w:val="auto"/>
                <w:kern w:val="0"/>
                <w:sz w:val="24"/>
                <w:szCs w:val="24"/>
                <w:highlight w:val="none"/>
                <w:cs/>
              </w:rPr>
              <w:t>户</w:t>
            </w:r>
            <w:r>
              <w:rPr>
                <w:rFonts w:hint="eastAsia" w:ascii="仿宋" w:hAnsi="仿宋" w:eastAsia="仿宋" w:cs="仿宋"/>
                <w:color w:val="auto"/>
                <w:kern w:val="0"/>
                <w:sz w:val="24"/>
                <w:szCs w:val="24"/>
                <w:highlight w:val="none"/>
              </w:rPr>
              <w:t>指定的文件目</w:t>
            </w:r>
            <w:r>
              <w:rPr>
                <w:rFonts w:hint="eastAsia" w:ascii="仿宋" w:hAnsi="仿宋" w:eastAsia="仿宋" w:cs="仿宋"/>
                <w:color w:val="auto"/>
                <w:kern w:val="0"/>
                <w:sz w:val="24"/>
                <w:szCs w:val="24"/>
                <w:highlight w:val="none"/>
                <w:cs/>
              </w:rPr>
              <w:t>录</w:t>
            </w:r>
            <w:r>
              <w:rPr>
                <w:rFonts w:hint="eastAsia" w:ascii="仿宋" w:hAnsi="仿宋" w:eastAsia="仿宋" w:cs="仿宋"/>
                <w:color w:val="auto"/>
                <w:kern w:val="0"/>
                <w:sz w:val="24"/>
                <w:szCs w:val="24"/>
                <w:highlight w:val="none"/>
              </w:rPr>
              <w:t>下。</w:t>
            </w:r>
          </w:p>
          <w:p w14:paraId="69214EF9">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12）若</w:t>
            </w:r>
            <w:r>
              <w:rPr>
                <w:rFonts w:hint="eastAsia" w:ascii="仿宋" w:hAnsi="仿宋" w:eastAsia="仿宋" w:cs="仿宋"/>
                <w:color w:val="auto"/>
                <w:kern w:val="0"/>
                <w:sz w:val="24"/>
                <w:szCs w:val="24"/>
                <w:highlight w:val="none"/>
                <w:cs/>
              </w:rPr>
              <w:t>测试过</w:t>
            </w:r>
            <w:r>
              <w:rPr>
                <w:rFonts w:hint="eastAsia" w:ascii="仿宋" w:hAnsi="仿宋" w:eastAsia="仿宋" w:cs="仿宋"/>
                <w:color w:val="auto"/>
                <w:kern w:val="0"/>
                <w:sz w:val="24"/>
                <w:szCs w:val="24"/>
                <w:highlight w:val="none"/>
              </w:rPr>
              <w:t>程非正常</w:t>
            </w:r>
            <w:r>
              <w:rPr>
                <w:rFonts w:hint="eastAsia" w:ascii="仿宋" w:hAnsi="仿宋" w:eastAsia="仿宋" w:cs="仿宋"/>
                <w:color w:val="auto"/>
                <w:kern w:val="0"/>
                <w:sz w:val="24"/>
                <w:szCs w:val="24"/>
                <w:highlight w:val="none"/>
                <w:cs/>
              </w:rPr>
              <w:t>结</w:t>
            </w:r>
            <w:r>
              <w:rPr>
                <w:rFonts w:hint="eastAsia" w:ascii="仿宋" w:hAnsi="仿宋" w:eastAsia="仿宋" w:cs="仿宋"/>
                <w:color w:val="auto"/>
                <w:kern w:val="0"/>
                <w:sz w:val="24"/>
                <w:szCs w:val="24"/>
                <w:highlight w:val="none"/>
              </w:rPr>
              <w:t>束，</w:t>
            </w:r>
            <w:r>
              <w:rPr>
                <w:rFonts w:hint="eastAsia" w:ascii="仿宋" w:hAnsi="仿宋" w:eastAsia="仿宋" w:cs="仿宋"/>
                <w:color w:val="auto"/>
                <w:kern w:val="0"/>
                <w:sz w:val="24"/>
                <w:szCs w:val="24"/>
                <w:highlight w:val="none"/>
                <w:cs/>
              </w:rPr>
              <w:t>测试报</w:t>
            </w:r>
            <w:r>
              <w:rPr>
                <w:rFonts w:hint="eastAsia" w:ascii="仿宋" w:hAnsi="仿宋" w:eastAsia="仿宋" w:cs="仿宋"/>
                <w:color w:val="auto"/>
                <w:kern w:val="0"/>
                <w:sz w:val="24"/>
                <w:szCs w:val="24"/>
                <w:highlight w:val="none"/>
              </w:rPr>
              <w:t>告</w:t>
            </w:r>
            <w:r>
              <w:rPr>
                <w:rFonts w:hint="eastAsia" w:ascii="仿宋" w:hAnsi="仿宋" w:eastAsia="仿宋" w:cs="仿宋"/>
                <w:color w:val="auto"/>
                <w:kern w:val="0"/>
                <w:sz w:val="24"/>
                <w:szCs w:val="24"/>
                <w:highlight w:val="none"/>
                <w:cs/>
              </w:rPr>
              <w:t>应显</w:t>
            </w:r>
            <w:r>
              <w:rPr>
                <w:rFonts w:hint="eastAsia" w:ascii="仿宋" w:hAnsi="仿宋" w:eastAsia="仿宋" w:cs="仿宋"/>
                <w:color w:val="auto"/>
                <w:kern w:val="0"/>
                <w:sz w:val="24"/>
                <w:szCs w:val="24"/>
                <w:highlight w:val="none"/>
              </w:rPr>
              <w:t>示</w:t>
            </w:r>
            <w:r>
              <w:rPr>
                <w:rFonts w:hint="eastAsia" w:ascii="仿宋" w:hAnsi="仿宋" w:eastAsia="仿宋" w:cs="仿宋"/>
                <w:color w:val="auto"/>
                <w:kern w:val="0"/>
                <w:sz w:val="24"/>
                <w:szCs w:val="24"/>
                <w:highlight w:val="none"/>
                <w:cs/>
              </w:rPr>
              <w:t>详细</w:t>
            </w:r>
            <w:r>
              <w:rPr>
                <w:rFonts w:hint="eastAsia" w:ascii="仿宋" w:hAnsi="仿宋" w:eastAsia="仿宋" w:cs="仿宋"/>
                <w:color w:val="auto"/>
                <w:kern w:val="0"/>
                <w:sz w:val="24"/>
                <w:szCs w:val="24"/>
                <w:highlight w:val="none"/>
              </w:rPr>
              <w:t>的中断点和中断原因。</w:t>
            </w:r>
          </w:p>
          <w:p w14:paraId="42F3D263">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13）</w:t>
            </w:r>
            <w:r>
              <w:rPr>
                <w:rFonts w:hint="eastAsia" w:ascii="仿宋" w:hAnsi="仿宋" w:eastAsia="仿宋" w:cs="仿宋"/>
                <w:color w:val="auto"/>
                <w:kern w:val="0"/>
                <w:sz w:val="24"/>
                <w:szCs w:val="24"/>
                <w:highlight w:val="none"/>
                <w:cs/>
              </w:rPr>
              <w:t>测试</w:t>
            </w:r>
            <w:r>
              <w:rPr>
                <w:rFonts w:hint="eastAsia" w:ascii="仿宋" w:hAnsi="仿宋" w:eastAsia="仿宋" w:cs="仿宋"/>
                <w:color w:val="auto"/>
                <w:kern w:val="0"/>
                <w:sz w:val="24"/>
                <w:szCs w:val="24"/>
                <w:highlight w:val="none"/>
              </w:rPr>
              <w:t>系</w:t>
            </w:r>
            <w:r>
              <w:rPr>
                <w:rFonts w:hint="eastAsia" w:ascii="仿宋" w:hAnsi="仿宋" w:eastAsia="仿宋" w:cs="仿宋"/>
                <w:color w:val="auto"/>
                <w:kern w:val="0"/>
                <w:sz w:val="24"/>
                <w:szCs w:val="24"/>
                <w:highlight w:val="none"/>
                <w:cs/>
              </w:rPr>
              <w:t>统应</w:t>
            </w:r>
            <w:r>
              <w:rPr>
                <w:rFonts w:hint="eastAsia" w:ascii="仿宋" w:hAnsi="仿宋" w:eastAsia="仿宋" w:cs="仿宋"/>
                <w:color w:val="auto"/>
                <w:kern w:val="0"/>
                <w:sz w:val="24"/>
                <w:szCs w:val="24"/>
                <w:highlight w:val="none"/>
              </w:rPr>
              <w:t>能</w:t>
            </w:r>
            <w:r>
              <w:rPr>
                <w:rFonts w:hint="eastAsia" w:ascii="仿宋" w:hAnsi="仿宋" w:eastAsia="仿宋" w:cs="仿宋"/>
                <w:color w:val="auto"/>
                <w:kern w:val="0"/>
                <w:sz w:val="24"/>
                <w:szCs w:val="24"/>
                <w:highlight w:val="none"/>
                <w:cs/>
              </w:rPr>
              <w:t>记录详细</w:t>
            </w:r>
            <w:r>
              <w:rPr>
                <w:rFonts w:hint="eastAsia" w:ascii="仿宋" w:hAnsi="仿宋" w:eastAsia="仿宋" w:cs="仿宋"/>
                <w:color w:val="auto"/>
                <w:kern w:val="0"/>
                <w:sz w:val="24"/>
                <w:szCs w:val="24"/>
                <w:highlight w:val="none"/>
              </w:rPr>
              <w:t>清晰的LOG，以供用</w:t>
            </w:r>
            <w:r>
              <w:rPr>
                <w:rFonts w:hint="eastAsia" w:ascii="仿宋" w:hAnsi="仿宋" w:eastAsia="仿宋" w:cs="仿宋"/>
                <w:color w:val="auto"/>
                <w:kern w:val="0"/>
                <w:sz w:val="24"/>
                <w:szCs w:val="24"/>
                <w:highlight w:val="none"/>
                <w:cs/>
              </w:rPr>
              <w:t>户查询</w:t>
            </w:r>
            <w:r>
              <w:rPr>
                <w:rFonts w:hint="eastAsia" w:ascii="仿宋" w:hAnsi="仿宋" w:eastAsia="仿宋" w:cs="仿宋"/>
                <w:color w:val="auto"/>
                <w:kern w:val="0"/>
                <w:sz w:val="24"/>
                <w:szCs w:val="24"/>
                <w:highlight w:val="none"/>
              </w:rPr>
              <w:t>。</w:t>
            </w:r>
          </w:p>
          <w:p w14:paraId="4260C737">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14）</w:t>
            </w:r>
            <w:r>
              <w:rPr>
                <w:rFonts w:hint="eastAsia" w:ascii="仿宋" w:hAnsi="仿宋" w:eastAsia="仿宋" w:cs="仿宋"/>
                <w:color w:val="auto"/>
                <w:kern w:val="0"/>
                <w:sz w:val="24"/>
                <w:szCs w:val="24"/>
                <w:highlight w:val="none"/>
                <w:cs/>
              </w:rPr>
              <w:t>软</w:t>
            </w:r>
            <w:r>
              <w:rPr>
                <w:rFonts w:hint="eastAsia" w:ascii="仿宋" w:hAnsi="仿宋" w:eastAsia="仿宋" w:cs="仿宋"/>
                <w:color w:val="auto"/>
                <w:kern w:val="0"/>
                <w:sz w:val="24"/>
                <w:szCs w:val="24"/>
                <w:highlight w:val="none"/>
              </w:rPr>
              <w:t>件</w:t>
            </w:r>
            <w:r>
              <w:rPr>
                <w:rFonts w:hint="eastAsia" w:ascii="仿宋" w:hAnsi="仿宋" w:eastAsia="仿宋" w:cs="仿宋"/>
                <w:color w:val="auto"/>
                <w:kern w:val="0"/>
                <w:sz w:val="24"/>
                <w:szCs w:val="24"/>
                <w:highlight w:val="none"/>
                <w:cs/>
              </w:rPr>
              <w:t>应</w:t>
            </w:r>
            <w:r>
              <w:rPr>
                <w:rFonts w:hint="eastAsia" w:ascii="仿宋" w:hAnsi="仿宋" w:eastAsia="仿宋" w:cs="仿宋"/>
                <w:color w:val="auto"/>
                <w:kern w:val="0"/>
                <w:sz w:val="24"/>
                <w:szCs w:val="24"/>
                <w:highlight w:val="none"/>
              </w:rPr>
              <w:t>采用功能化模</w:t>
            </w:r>
            <w:r>
              <w:rPr>
                <w:rFonts w:hint="eastAsia" w:ascii="仿宋" w:hAnsi="仿宋" w:eastAsia="仿宋" w:cs="仿宋"/>
                <w:color w:val="auto"/>
                <w:kern w:val="0"/>
                <w:sz w:val="24"/>
                <w:szCs w:val="24"/>
                <w:highlight w:val="none"/>
                <w:cs/>
              </w:rPr>
              <w:t>块</w:t>
            </w:r>
            <w:r>
              <w:rPr>
                <w:rFonts w:hint="eastAsia" w:ascii="仿宋" w:hAnsi="仿宋" w:eastAsia="仿宋" w:cs="仿宋"/>
                <w:color w:val="auto"/>
                <w:kern w:val="0"/>
                <w:sz w:val="24"/>
                <w:szCs w:val="24"/>
                <w:highlight w:val="none"/>
              </w:rPr>
              <w:t>的</w:t>
            </w:r>
            <w:r>
              <w:rPr>
                <w:rFonts w:hint="eastAsia" w:ascii="仿宋" w:hAnsi="仿宋" w:eastAsia="仿宋" w:cs="仿宋"/>
                <w:color w:val="auto"/>
                <w:kern w:val="0"/>
                <w:sz w:val="24"/>
                <w:szCs w:val="24"/>
                <w:highlight w:val="none"/>
                <w:cs/>
              </w:rPr>
              <w:t>结构设计</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cs/>
              </w:rPr>
              <w:t>应</w:t>
            </w:r>
            <w:r>
              <w:rPr>
                <w:rFonts w:hint="eastAsia" w:ascii="仿宋" w:hAnsi="仿宋" w:eastAsia="仿宋" w:cs="仿宋"/>
                <w:color w:val="auto"/>
                <w:kern w:val="0"/>
                <w:sz w:val="24"/>
                <w:szCs w:val="24"/>
                <w:highlight w:val="none"/>
              </w:rPr>
              <w:t>采用</w:t>
            </w:r>
            <w:r>
              <w:rPr>
                <w:rFonts w:hint="eastAsia" w:ascii="仿宋" w:hAnsi="仿宋" w:eastAsia="仿宋" w:cs="仿宋"/>
                <w:color w:val="auto"/>
                <w:kern w:val="0"/>
                <w:sz w:val="24"/>
                <w:szCs w:val="24"/>
                <w:highlight w:val="none"/>
                <w:cs/>
              </w:rPr>
              <w:t>统</w:t>
            </w:r>
            <w:r>
              <w:rPr>
                <w:rFonts w:hint="eastAsia" w:ascii="仿宋" w:hAnsi="仿宋" w:eastAsia="仿宋" w:cs="仿宋"/>
                <w:color w:val="auto"/>
                <w:kern w:val="0"/>
                <w:sz w:val="24"/>
                <w:szCs w:val="24"/>
                <w:highlight w:val="none"/>
              </w:rPr>
              <w:t>一</w:t>
            </w:r>
            <w:r>
              <w:rPr>
                <w:rFonts w:hint="eastAsia" w:ascii="仿宋" w:hAnsi="仿宋" w:eastAsia="仿宋" w:cs="仿宋"/>
                <w:color w:val="auto"/>
                <w:kern w:val="0"/>
                <w:sz w:val="24"/>
                <w:szCs w:val="24"/>
                <w:highlight w:val="none"/>
                <w:cs/>
              </w:rPr>
              <w:t>标</w:t>
            </w:r>
            <w:r>
              <w:rPr>
                <w:rFonts w:hint="eastAsia" w:ascii="仿宋" w:hAnsi="仿宋" w:eastAsia="仿宋" w:cs="仿宋"/>
                <w:color w:val="auto"/>
                <w:kern w:val="0"/>
                <w:sz w:val="24"/>
                <w:szCs w:val="24"/>
                <w:highlight w:val="none"/>
              </w:rPr>
              <w:t>准的数据接口（SCPI Standard Command for Programmable Instrumentation），便于今后</w:t>
            </w:r>
            <w:r>
              <w:rPr>
                <w:rFonts w:hint="eastAsia" w:ascii="仿宋" w:hAnsi="仿宋" w:eastAsia="仿宋" w:cs="仿宋"/>
                <w:color w:val="auto"/>
                <w:kern w:val="0"/>
                <w:sz w:val="24"/>
                <w:szCs w:val="24"/>
                <w:highlight w:val="none"/>
                <w:cs/>
              </w:rPr>
              <w:t>测试</w:t>
            </w:r>
            <w:r>
              <w:rPr>
                <w:rFonts w:hint="eastAsia" w:ascii="仿宋" w:hAnsi="仿宋" w:eastAsia="仿宋" w:cs="仿宋"/>
                <w:color w:val="auto"/>
                <w:kern w:val="0"/>
                <w:sz w:val="24"/>
                <w:szCs w:val="24"/>
                <w:highlight w:val="none"/>
              </w:rPr>
              <w:t>功能的</w:t>
            </w:r>
            <w:r>
              <w:rPr>
                <w:rFonts w:hint="eastAsia" w:ascii="仿宋" w:hAnsi="仿宋" w:eastAsia="仿宋" w:cs="仿宋"/>
                <w:color w:val="auto"/>
                <w:kern w:val="0"/>
                <w:sz w:val="24"/>
                <w:szCs w:val="24"/>
                <w:highlight w:val="none"/>
                <w:cs/>
              </w:rPr>
              <w:t>扩</w:t>
            </w:r>
            <w:r>
              <w:rPr>
                <w:rFonts w:hint="eastAsia" w:ascii="仿宋" w:hAnsi="仿宋" w:eastAsia="仿宋" w:cs="仿宋"/>
                <w:color w:val="auto"/>
                <w:kern w:val="0"/>
                <w:sz w:val="24"/>
                <w:szCs w:val="24"/>
                <w:highlight w:val="none"/>
              </w:rPr>
              <w:t>展升</w:t>
            </w:r>
            <w:r>
              <w:rPr>
                <w:rFonts w:hint="eastAsia" w:ascii="仿宋" w:hAnsi="仿宋" w:eastAsia="仿宋" w:cs="仿宋"/>
                <w:color w:val="auto"/>
                <w:kern w:val="0"/>
                <w:sz w:val="24"/>
                <w:szCs w:val="24"/>
                <w:highlight w:val="none"/>
                <w:cs/>
              </w:rPr>
              <w:t>级</w:t>
            </w:r>
            <w:r>
              <w:rPr>
                <w:rFonts w:hint="eastAsia" w:ascii="仿宋" w:hAnsi="仿宋" w:eastAsia="仿宋" w:cs="仿宋"/>
                <w:color w:val="auto"/>
                <w:kern w:val="0"/>
                <w:sz w:val="24"/>
                <w:szCs w:val="24"/>
                <w:highlight w:val="none"/>
              </w:rPr>
              <w:t>。</w:t>
            </w:r>
          </w:p>
          <w:p w14:paraId="72202E24">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15）</w:t>
            </w:r>
            <w:r>
              <w:rPr>
                <w:rFonts w:hint="eastAsia" w:ascii="仿宋" w:hAnsi="仿宋" w:eastAsia="仿宋" w:cs="仿宋"/>
                <w:color w:val="auto"/>
                <w:kern w:val="0"/>
                <w:sz w:val="24"/>
                <w:szCs w:val="24"/>
                <w:highlight w:val="none"/>
                <w:cs/>
              </w:rPr>
              <w:t>软</w:t>
            </w:r>
            <w:r>
              <w:rPr>
                <w:rFonts w:hint="eastAsia" w:ascii="仿宋" w:hAnsi="仿宋" w:eastAsia="仿宋" w:cs="仿宋"/>
                <w:color w:val="auto"/>
                <w:kern w:val="0"/>
                <w:sz w:val="24"/>
                <w:szCs w:val="24"/>
                <w:highlight w:val="none"/>
              </w:rPr>
              <w:t>件</w:t>
            </w:r>
            <w:r>
              <w:rPr>
                <w:rFonts w:hint="eastAsia" w:ascii="仿宋" w:hAnsi="仿宋" w:eastAsia="仿宋" w:cs="仿宋"/>
                <w:color w:val="auto"/>
                <w:kern w:val="0"/>
                <w:sz w:val="24"/>
                <w:szCs w:val="24"/>
                <w:highlight w:val="none"/>
                <w:cs/>
              </w:rPr>
              <w:t>应</w:t>
            </w:r>
            <w:r>
              <w:rPr>
                <w:rFonts w:hint="eastAsia" w:ascii="仿宋" w:hAnsi="仿宋" w:eastAsia="仿宋" w:cs="仿宋"/>
                <w:color w:val="auto"/>
                <w:kern w:val="0"/>
                <w:sz w:val="24"/>
                <w:szCs w:val="24"/>
                <w:highlight w:val="none"/>
              </w:rPr>
              <w:t>能</w:t>
            </w:r>
            <w:r>
              <w:rPr>
                <w:rFonts w:hint="eastAsia" w:ascii="仿宋" w:hAnsi="仿宋" w:eastAsia="仿宋" w:cs="仿宋"/>
                <w:color w:val="auto"/>
                <w:kern w:val="0"/>
                <w:sz w:val="24"/>
                <w:szCs w:val="24"/>
                <w:highlight w:val="none"/>
                <w:cs/>
              </w:rPr>
              <w:t>记录历</w:t>
            </w:r>
            <w:r>
              <w:rPr>
                <w:rFonts w:hint="eastAsia" w:ascii="仿宋" w:hAnsi="仿宋" w:eastAsia="仿宋" w:cs="仿宋"/>
                <w:color w:val="auto"/>
                <w:kern w:val="0"/>
                <w:sz w:val="24"/>
                <w:szCs w:val="24"/>
                <w:highlight w:val="none"/>
              </w:rPr>
              <w:t>史</w:t>
            </w:r>
            <w:r>
              <w:rPr>
                <w:rFonts w:hint="eastAsia" w:ascii="仿宋" w:hAnsi="仿宋" w:eastAsia="仿宋" w:cs="仿宋"/>
                <w:color w:val="auto"/>
                <w:kern w:val="0"/>
                <w:sz w:val="24"/>
                <w:szCs w:val="24"/>
                <w:highlight w:val="none"/>
                <w:cs/>
              </w:rPr>
              <w:t>测试记录</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cs/>
              </w:rPr>
              <w:t>测试</w:t>
            </w:r>
            <w:r>
              <w:rPr>
                <w:rFonts w:hint="eastAsia" w:ascii="仿宋" w:hAnsi="仿宋" w:eastAsia="仿宋" w:cs="仿宋"/>
                <w:color w:val="auto"/>
                <w:kern w:val="0"/>
                <w:sz w:val="24"/>
                <w:szCs w:val="24"/>
                <w:highlight w:val="none"/>
              </w:rPr>
              <w:t>信息和</w:t>
            </w:r>
            <w:r>
              <w:rPr>
                <w:rFonts w:hint="eastAsia" w:ascii="仿宋" w:hAnsi="仿宋" w:eastAsia="仿宋" w:cs="仿宋"/>
                <w:color w:val="auto"/>
                <w:kern w:val="0"/>
                <w:sz w:val="24"/>
                <w:szCs w:val="24"/>
                <w:highlight w:val="none"/>
                <w:cs/>
              </w:rPr>
              <w:t>详细</w:t>
            </w:r>
            <w:r>
              <w:rPr>
                <w:rFonts w:hint="eastAsia" w:ascii="仿宋" w:hAnsi="仿宋" w:eastAsia="仿宋" w:cs="仿宋"/>
                <w:color w:val="auto"/>
                <w:kern w:val="0"/>
                <w:sz w:val="24"/>
                <w:szCs w:val="24"/>
                <w:highlight w:val="none"/>
              </w:rPr>
              <w:t>清晰的LOG，以供用</w:t>
            </w:r>
            <w:r>
              <w:rPr>
                <w:rFonts w:hint="eastAsia" w:ascii="仿宋" w:hAnsi="仿宋" w:eastAsia="仿宋" w:cs="仿宋"/>
                <w:color w:val="auto"/>
                <w:kern w:val="0"/>
                <w:sz w:val="24"/>
                <w:szCs w:val="24"/>
                <w:highlight w:val="none"/>
                <w:cs/>
              </w:rPr>
              <w:t>户查询</w:t>
            </w:r>
            <w:r>
              <w:rPr>
                <w:rFonts w:hint="eastAsia" w:ascii="仿宋" w:hAnsi="仿宋" w:eastAsia="仿宋" w:cs="仿宋"/>
                <w:color w:val="auto"/>
                <w:kern w:val="0"/>
                <w:sz w:val="24"/>
                <w:szCs w:val="24"/>
                <w:highlight w:val="none"/>
              </w:rPr>
              <w:t>。</w:t>
            </w:r>
          </w:p>
        </w:tc>
      </w:tr>
      <w:tr w14:paraId="296AE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568" w:type="dxa"/>
            <w:noWrap w:val="0"/>
            <w:vAlign w:val="center"/>
          </w:tcPr>
          <w:p w14:paraId="344795B9">
            <w:pPr>
              <w:keepNext w:val="0"/>
              <w:keepLines w:val="0"/>
              <w:pageBreakBefore w:val="0"/>
              <w:widowControl w:val="0"/>
              <w:kinsoku/>
              <w:overflowPunct/>
              <w:topLinePunct w:val="0"/>
              <w:autoSpaceDE/>
              <w:autoSpaceDN/>
              <w:bidi w:val="0"/>
              <w:adjustRightInd/>
              <w:spacing w:line="500" w:lineRule="exact"/>
              <w:jc w:val="center"/>
              <w:textAlignment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2</w:t>
            </w:r>
          </w:p>
        </w:tc>
        <w:tc>
          <w:tcPr>
            <w:tcW w:w="1048" w:type="dxa"/>
            <w:noWrap w:val="0"/>
            <w:vAlign w:val="center"/>
          </w:tcPr>
          <w:p w14:paraId="2EEB546C">
            <w:pPr>
              <w:keepNext w:val="0"/>
              <w:keepLines w:val="0"/>
              <w:pageBreakBefore w:val="0"/>
              <w:widowControl w:val="0"/>
              <w:kinsoku/>
              <w:overflowPunct/>
              <w:topLinePunct w:val="0"/>
              <w:autoSpaceDE/>
              <w:autoSpaceDN/>
              <w:bidi w:val="0"/>
              <w:adjustRightInd/>
              <w:spacing w:line="500" w:lineRule="exact"/>
              <w:jc w:val="center"/>
              <w:textAlignment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eastAsia="zh-CN"/>
              </w:rPr>
              <w:t>宽带无线电通信测试仪</w:t>
            </w:r>
          </w:p>
        </w:tc>
        <w:tc>
          <w:tcPr>
            <w:tcW w:w="675" w:type="dxa"/>
            <w:noWrap w:val="0"/>
            <w:vAlign w:val="center"/>
          </w:tcPr>
          <w:p w14:paraId="2DF3D4A0">
            <w:pPr>
              <w:keepNext w:val="0"/>
              <w:keepLines w:val="0"/>
              <w:pageBreakBefore w:val="0"/>
              <w:widowControl w:val="0"/>
              <w:kinsoku/>
              <w:overflowPunct/>
              <w:topLinePunct w:val="0"/>
              <w:autoSpaceDE/>
              <w:autoSpaceDN/>
              <w:bidi w:val="0"/>
              <w:adjustRightInd/>
              <w:spacing w:line="500" w:lineRule="exact"/>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w:t>
            </w:r>
          </w:p>
        </w:tc>
        <w:tc>
          <w:tcPr>
            <w:tcW w:w="675" w:type="dxa"/>
            <w:noWrap w:val="0"/>
            <w:vAlign w:val="center"/>
          </w:tcPr>
          <w:p w14:paraId="3821088B">
            <w:pPr>
              <w:keepNext w:val="0"/>
              <w:keepLines w:val="0"/>
              <w:pageBreakBefore w:val="0"/>
              <w:widowControl w:val="0"/>
              <w:kinsoku/>
              <w:overflowPunct/>
              <w:topLinePunct w:val="0"/>
              <w:autoSpaceDE/>
              <w:autoSpaceDN/>
              <w:bidi w:val="0"/>
              <w:adjustRightInd/>
              <w:spacing w:line="500" w:lineRule="exact"/>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台</w:t>
            </w:r>
          </w:p>
        </w:tc>
        <w:tc>
          <w:tcPr>
            <w:tcW w:w="7035" w:type="dxa"/>
            <w:noWrap w:val="0"/>
            <w:vAlign w:val="center"/>
          </w:tcPr>
          <w:p w14:paraId="05279E9F">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cs/>
              </w:rPr>
            </w:pPr>
            <w:r>
              <w:rPr>
                <w:rFonts w:hint="eastAsia" w:ascii="仿宋" w:hAnsi="仿宋" w:eastAsia="仿宋" w:cs="仿宋"/>
                <w:color w:val="auto"/>
                <w:kern w:val="0"/>
                <w:sz w:val="24"/>
                <w:szCs w:val="24"/>
                <w:highlight w:val="none"/>
                <w:cs/>
              </w:rPr>
              <w:t>无线综合测试仪要求如下，并提供产品手册、产品指标材料佐证。</w:t>
            </w:r>
          </w:p>
          <w:p w14:paraId="7062DAC4">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cs/>
              </w:rPr>
            </w:pPr>
            <w:r>
              <w:rPr>
                <w:rFonts w:hint="eastAsia" w:ascii="仿宋" w:hAnsi="仿宋" w:eastAsia="仿宋" w:cs="仿宋"/>
                <w:color w:val="auto"/>
                <w:kern w:val="0"/>
                <w:sz w:val="24"/>
                <w:szCs w:val="24"/>
                <w:highlight w:val="none"/>
                <w:cs w:val="0"/>
                <w:lang w:val="en-US" w:eastAsia="zh-CN"/>
              </w:rPr>
              <w:t>1）</w:t>
            </w:r>
            <w:r>
              <w:rPr>
                <w:rFonts w:hint="eastAsia" w:ascii="仿宋" w:hAnsi="仿宋" w:eastAsia="仿宋" w:cs="仿宋"/>
                <w:color w:val="auto"/>
                <w:kern w:val="0"/>
                <w:sz w:val="24"/>
                <w:szCs w:val="24"/>
                <w:highlight w:val="none"/>
                <w:cs/>
              </w:rPr>
              <w:t>▲频率范围至少覆盖70M-6GHz,射频通道带宽不低于160MHz;</w:t>
            </w:r>
          </w:p>
          <w:p w14:paraId="3461D3F0">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cs/>
              </w:rPr>
            </w:pPr>
            <w:r>
              <w:rPr>
                <w:rFonts w:hint="eastAsia" w:ascii="仿宋" w:hAnsi="仿宋" w:eastAsia="仿宋" w:cs="仿宋"/>
                <w:color w:val="auto"/>
                <w:kern w:val="0"/>
                <w:sz w:val="24"/>
                <w:szCs w:val="24"/>
                <w:highlight w:val="none"/>
                <w:cs/>
              </w:rPr>
              <w:t>2）▲射频通道数不低于2通道；</w:t>
            </w:r>
          </w:p>
          <w:p w14:paraId="6DCD237F">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cs/>
              </w:rPr>
            </w:pPr>
            <w:r>
              <w:rPr>
                <w:rFonts w:hint="eastAsia" w:ascii="仿宋" w:hAnsi="仿宋" w:eastAsia="仿宋" w:cs="仿宋"/>
                <w:color w:val="auto"/>
                <w:kern w:val="0"/>
                <w:sz w:val="24"/>
                <w:szCs w:val="24"/>
                <w:highlight w:val="none"/>
                <w:cs/>
              </w:rPr>
              <w:t>3）发射机功率范围：–120dBmto+3dBm（100MHzto3300MHz单音）;</w:t>
            </w:r>
          </w:p>
          <w:p w14:paraId="592AD575">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cs/>
              </w:rPr>
            </w:pPr>
            <w:r>
              <w:rPr>
                <w:rFonts w:hint="eastAsia" w:ascii="仿宋" w:hAnsi="仿宋" w:eastAsia="仿宋" w:cs="仿宋"/>
                <w:color w:val="auto"/>
                <w:kern w:val="0"/>
                <w:sz w:val="24"/>
                <w:szCs w:val="24"/>
                <w:highlight w:val="none"/>
                <w:cs/>
              </w:rPr>
              <w:t>4）发射机功率精度:</w:t>
            </w:r>
            <w:r>
              <w:rPr>
                <w:rFonts w:hint="eastAsia" w:ascii="仿宋" w:hAnsi="仿宋" w:eastAsia="仿宋" w:cs="仿宋"/>
                <w:color w:val="auto"/>
                <w:kern w:val="0"/>
                <w:sz w:val="24"/>
                <w:szCs w:val="24"/>
                <w:highlight w:val="none"/>
                <w:cs w:val="0"/>
                <w:lang w:val="en-US" w:eastAsia="zh-CN"/>
              </w:rPr>
              <w:t>＜</w:t>
            </w:r>
            <w:r>
              <w:rPr>
                <w:rFonts w:hint="eastAsia" w:ascii="仿宋" w:hAnsi="仿宋" w:eastAsia="仿宋" w:cs="仿宋"/>
                <w:color w:val="auto"/>
                <w:kern w:val="0"/>
                <w:sz w:val="24"/>
                <w:szCs w:val="24"/>
                <w:highlight w:val="none"/>
                <w:cs/>
              </w:rPr>
              <w:t>1.2dB;</w:t>
            </w:r>
          </w:p>
          <w:p w14:paraId="0C39429D">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cs/>
              </w:rPr>
            </w:pPr>
            <w:r>
              <w:rPr>
                <w:rFonts w:hint="eastAsia" w:ascii="仿宋" w:hAnsi="仿宋" w:eastAsia="仿宋" w:cs="仿宋"/>
                <w:color w:val="auto"/>
                <w:kern w:val="0"/>
                <w:sz w:val="24"/>
                <w:szCs w:val="24"/>
                <w:highlight w:val="none"/>
                <w:cs/>
              </w:rPr>
              <w:t>5）相位噪声：≥1MHz处</w:t>
            </w:r>
            <w:r>
              <w:rPr>
                <w:rFonts w:hint="eastAsia" w:ascii="仿宋" w:hAnsi="仿宋" w:eastAsia="仿宋" w:cs="仿宋"/>
                <w:color w:val="auto"/>
                <w:kern w:val="0"/>
                <w:sz w:val="24"/>
                <w:szCs w:val="24"/>
                <w:highlight w:val="none"/>
                <w:cs w:val="0"/>
                <w:lang w:val="en-US" w:eastAsia="zh-CN"/>
              </w:rPr>
              <w:t>＜</w:t>
            </w:r>
            <w:r>
              <w:rPr>
                <w:rFonts w:hint="eastAsia" w:ascii="仿宋" w:hAnsi="仿宋" w:eastAsia="仿宋" w:cs="仿宋"/>
                <w:color w:val="auto"/>
                <w:kern w:val="0"/>
                <w:sz w:val="24"/>
                <w:szCs w:val="24"/>
                <w:highlight w:val="none"/>
                <w:cs/>
              </w:rPr>
              <w:t>–120dBc,1Hz（70MHzto3300MHz）;</w:t>
            </w:r>
          </w:p>
          <w:p w14:paraId="0AE90F2A">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cs/>
              </w:rPr>
            </w:pPr>
            <w:r>
              <w:rPr>
                <w:rFonts w:hint="eastAsia" w:ascii="仿宋" w:hAnsi="仿宋" w:eastAsia="仿宋" w:cs="仿宋"/>
                <w:color w:val="auto"/>
                <w:kern w:val="0"/>
                <w:sz w:val="24"/>
                <w:szCs w:val="24"/>
                <w:highlight w:val="none"/>
                <w:cs/>
              </w:rPr>
              <w:t>功率分辨率0.01dB;</w:t>
            </w:r>
          </w:p>
          <w:p w14:paraId="152D5E78">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cs/>
              </w:rPr>
            </w:pPr>
            <w:r>
              <w:rPr>
                <w:rFonts w:hint="eastAsia" w:ascii="仿宋" w:hAnsi="仿宋" w:eastAsia="仿宋" w:cs="仿宋"/>
                <w:color w:val="auto"/>
                <w:kern w:val="0"/>
                <w:sz w:val="24"/>
                <w:szCs w:val="24"/>
                <w:highlight w:val="none"/>
                <w:cs/>
              </w:rPr>
              <w:t>6）频率漂移：±5×10–</w:t>
            </w:r>
            <w:r>
              <w:rPr>
                <w:rFonts w:hint="eastAsia" w:ascii="仿宋" w:hAnsi="仿宋" w:eastAsia="仿宋" w:cs="仿宋"/>
                <w:color w:val="auto"/>
                <w:kern w:val="0"/>
                <w:sz w:val="24"/>
                <w:szCs w:val="24"/>
                <w:highlight w:val="none"/>
                <w:vertAlign w:val="superscript"/>
                <w:cs/>
              </w:rPr>
              <w:t>9</w:t>
            </w:r>
            <w:r>
              <w:rPr>
                <w:rFonts w:hint="eastAsia" w:ascii="仿宋" w:hAnsi="仿宋" w:eastAsia="仿宋" w:cs="仿宋"/>
                <w:color w:val="auto"/>
                <w:kern w:val="0"/>
                <w:sz w:val="24"/>
                <w:szCs w:val="24"/>
                <w:highlight w:val="none"/>
                <w:cs/>
              </w:rPr>
              <w:t>；（无量纲）</w:t>
            </w:r>
          </w:p>
          <w:p w14:paraId="6111D41A">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cs/>
              </w:rPr>
            </w:pPr>
            <w:r>
              <w:rPr>
                <w:rFonts w:hint="eastAsia" w:ascii="仿宋" w:hAnsi="仿宋" w:eastAsia="仿宋" w:cs="仿宋"/>
                <w:color w:val="auto"/>
                <w:kern w:val="0"/>
                <w:sz w:val="24"/>
                <w:szCs w:val="24"/>
                <w:highlight w:val="none"/>
                <w:cs/>
              </w:rPr>
              <w:t>7）仪表接口，具备EthernetRJ-45connector,1000Mbps，USB3.0USB2.0接口，输入输出触发接口（BNC)，具有功率计输入接口；</w:t>
            </w:r>
          </w:p>
          <w:p w14:paraId="43AE958F">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cs/>
              </w:rPr>
            </w:pPr>
            <w:r>
              <w:rPr>
                <w:rFonts w:hint="eastAsia" w:ascii="仿宋" w:hAnsi="仿宋" w:eastAsia="仿宋" w:cs="仿宋"/>
                <w:color w:val="auto"/>
                <w:kern w:val="0"/>
                <w:sz w:val="24"/>
                <w:szCs w:val="24"/>
                <w:highlight w:val="none"/>
                <w:cs/>
              </w:rPr>
              <w:t>8）▲可支持LTE包含cat1cat1bis通讯制式的基站模拟，模拟IMS网元，可以支持VoLTE支持物理层和IP层数据吞吐率测试；</w:t>
            </w:r>
          </w:p>
          <w:p w14:paraId="56DDB2C8">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cs/>
              </w:rPr>
            </w:pPr>
            <w:r>
              <w:rPr>
                <w:rFonts w:hint="eastAsia" w:ascii="仿宋" w:hAnsi="仿宋" w:eastAsia="仿宋" w:cs="仿宋"/>
                <w:color w:val="auto"/>
                <w:kern w:val="0"/>
                <w:sz w:val="24"/>
                <w:szCs w:val="24"/>
                <w:highlight w:val="none"/>
                <w:cs/>
              </w:rPr>
              <w:t>9）支持LTE（R8-R14）终端测试，基于3GPPTS36.521-1规范的终端的发射机测试、接收机测试和性</w:t>
            </w:r>
            <w:r>
              <w:rPr>
                <w:rFonts w:hint="eastAsia" w:ascii="仿宋" w:hAnsi="仿宋" w:eastAsia="仿宋" w:cs="仿宋"/>
                <w:color w:val="auto"/>
                <w:kern w:val="0"/>
                <w:sz w:val="24"/>
                <w:szCs w:val="24"/>
                <w:highlight w:val="none"/>
                <w:cs w:val="0"/>
                <w:lang w:val="en-US" w:eastAsia="zh-CN"/>
              </w:rPr>
              <w:t>能</w:t>
            </w:r>
            <w:r>
              <w:rPr>
                <w:rFonts w:hint="eastAsia" w:ascii="仿宋" w:hAnsi="仿宋" w:eastAsia="仿宋" w:cs="仿宋"/>
                <w:color w:val="auto"/>
                <w:kern w:val="0"/>
                <w:sz w:val="24"/>
                <w:szCs w:val="24"/>
                <w:highlight w:val="none"/>
                <w:cs/>
              </w:rPr>
              <w:t>测试的测量过程和测量方法；</w:t>
            </w:r>
          </w:p>
          <w:p w14:paraId="0EA164A6">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cs/>
              </w:rPr>
            </w:pPr>
            <w:r>
              <w:rPr>
                <w:rFonts w:hint="eastAsia" w:ascii="仿宋" w:hAnsi="仿宋" w:eastAsia="仿宋" w:cs="仿宋"/>
                <w:color w:val="auto"/>
                <w:kern w:val="0"/>
                <w:sz w:val="24"/>
                <w:szCs w:val="24"/>
                <w:highlight w:val="none"/>
                <w:cs/>
              </w:rPr>
              <w:t>10）具备自动化工具，可基于3GPPTS36.521-1规范，自动化执行相应测试；</w:t>
            </w:r>
          </w:p>
          <w:p w14:paraId="07B3C7D0">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left"/>
              <w:textAlignment w:val="center"/>
              <w:rPr>
                <w:rFonts w:hint="eastAsia" w:ascii="仿宋" w:hAnsi="仿宋" w:eastAsia="仿宋" w:cs="仿宋"/>
                <w:color w:val="auto"/>
                <w:kern w:val="0"/>
                <w:sz w:val="24"/>
                <w:szCs w:val="24"/>
                <w:highlight w:val="none"/>
                <w:cs/>
                <w:lang w:val="en-US" w:eastAsia="zh-CN"/>
              </w:rPr>
            </w:pPr>
            <w:r>
              <w:rPr>
                <w:rFonts w:hint="eastAsia" w:ascii="仿宋" w:hAnsi="仿宋" w:eastAsia="仿宋" w:cs="仿宋"/>
                <w:color w:val="auto"/>
                <w:kern w:val="0"/>
                <w:sz w:val="24"/>
                <w:szCs w:val="24"/>
                <w:highlight w:val="none"/>
                <w:cs/>
              </w:rPr>
              <w:t>11）▲预留升级端口，可以通过软件升级支持WCDMA/HSPA+、GSM/GPRS/EGPRSCDMA20001xRTT/EV-DO/D-SCDMA/WLAN/蓝牙信令测试，包括802.11,ax,ac,a,b,g,n等标准的信令及非信令测试功能。</w:t>
            </w:r>
          </w:p>
        </w:tc>
      </w:tr>
      <w:tr w14:paraId="377C9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2291" w:type="dxa"/>
            <w:gridSpan w:val="3"/>
            <w:noWrap w:val="0"/>
            <w:vAlign w:val="center"/>
          </w:tcPr>
          <w:p w14:paraId="4CF6478C">
            <w:pPr>
              <w:keepNext w:val="0"/>
              <w:keepLines w:val="0"/>
              <w:pageBreakBefore w:val="0"/>
              <w:widowControl w:val="0"/>
              <w:kinsoku/>
              <w:overflowPunct/>
              <w:topLinePunct w:val="0"/>
              <w:autoSpaceDE/>
              <w:autoSpaceDN/>
              <w:bidi w:val="0"/>
              <w:adjustRightInd/>
              <w:spacing w:line="5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质量标准</w:t>
            </w:r>
          </w:p>
        </w:tc>
        <w:tc>
          <w:tcPr>
            <w:tcW w:w="7710" w:type="dxa"/>
            <w:gridSpan w:val="2"/>
            <w:noWrap w:val="0"/>
            <w:vAlign w:val="center"/>
          </w:tcPr>
          <w:p w14:paraId="63D28769">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符合设备制造厂家合格产品的出厂质量标准。</w:t>
            </w:r>
          </w:p>
        </w:tc>
      </w:tr>
      <w:tr w14:paraId="16D32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2291" w:type="dxa"/>
            <w:gridSpan w:val="3"/>
            <w:noWrap w:val="0"/>
            <w:vAlign w:val="center"/>
          </w:tcPr>
          <w:p w14:paraId="2C358421">
            <w:pPr>
              <w:keepNext w:val="0"/>
              <w:keepLines w:val="0"/>
              <w:pageBreakBefore w:val="0"/>
              <w:widowControl w:val="0"/>
              <w:kinsoku/>
              <w:overflowPunct/>
              <w:topLinePunct w:val="0"/>
              <w:autoSpaceDE/>
              <w:autoSpaceDN/>
              <w:bidi w:val="0"/>
              <w:adjustRightInd/>
              <w:spacing w:line="5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验收条件及标准</w:t>
            </w:r>
          </w:p>
        </w:tc>
        <w:tc>
          <w:tcPr>
            <w:tcW w:w="7710" w:type="dxa"/>
            <w:gridSpan w:val="2"/>
            <w:noWrap w:val="0"/>
            <w:vAlign w:val="center"/>
          </w:tcPr>
          <w:p w14:paraId="1CDD07B9">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设备需全新、完好、无破损，按照技术要求的各项指标进行验收。</w:t>
            </w:r>
          </w:p>
        </w:tc>
      </w:tr>
      <w:tr w14:paraId="6D9FB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2291" w:type="dxa"/>
            <w:gridSpan w:val="3"/>
            <w:noWrap w:val="0"/>
            <w:vAlign w:val="center"/>
          </w:tcPr>
          <w:p w14:paraId="41945BCE">
            <w:pPr>
              <w:keepNext w:val="0"/>
              <w:keepLines w:val="0"/>
              <w:pageBreakBefore w:val="0"/>
              <w:widowControl w:val="0"/>
              <w:kinsoku/>
              <w:overflowPunct/>
              <w:topLinePunct w:val="0"/>
              <w:autoSpaceDE/>
              <w:autoSpaceDN/>
              <w:bidi w:val="0"/>
              <w:adjustRightInd/>
              <w:spacing w:line="5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验收方法及方案</w:t>
            </w:r>
          </w:p>
        </w:tc>
        <w:tc>
          <w:tcPr>
            <w:tcW w:w="7710" w:type="dxa"/>
            <w:gridSpan w:val="2"/>
            <w:noWrap w:val="0"/>
            <w:vAlign w:val="center"/>
          </w:tcPr>
          <w:p w14:paraId="41FDB8C7">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设备开机试运行，测试设备的技术性能指标，确认各项功能正常运行，同时检查随机文件应齐整。</w:t>
            </w:r>
          </w:p>
        </w:tc>
      </w:tr>
      <w:tr w14:paraId="74422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10001" w:type="dxa"/>
            <w:gridSpan w:val="5"/>
            <w:tcBorders>
              <w:top w:val="single" w:color="auto" w:sz="4" w:space="0"/>
              <w:left w:val="single" w:color="auto" w:sz="4" w:space="0"/>
              <w:bottom w:val="single" w:color="auto" w:sz="4" w:space="0"/>
              <w:right w:val="single" w:color="auto" w:sz="4" w:space="0"/>
            </w:tcBorders>
            <w:noWrap w:val="0"/>
            <w:vAlign w:val="center"/>
          </w:tcPr>
          <w:p w14:paraId="474D40EA">
            <w:pPr>
              <w:adjustRightInd w:val="0"/>
              <w:snapToGrid w:val="0"/>
              <w:spacing w:line="350" w:lineRule="exact"/>
              <w:jc w:val="left"/>
              <w:rPr>
                <w:rFonts w:hint="eastAsia" w:ascii="仿宋" w:hAnsi="仿宋" w:eastAsia="仿宋" w:cs="仿宋"/>
                <w:b/>
                <w:color w:val="auto"/>
                <w:sz w:val="22"/>
                <w:szCs w:val="22"/>
                <w:highlight w:val="none"/>
              </w:rPr>
            </w:pPr>
            <w:r>
              <w:rPr>
                <w:rFonts w:hint="eastAsia" w:ascii="仿宋" w:hAnsi="仿宋" w:eastAsia="仿宋" w:cs="仿宋"/>
                <w:b/>
                <w:color w:val="auto"/>
                <w:sz w:val="22"/>
                <w:szCs w:val="22"/>
                <w:highlight w:val="none"/>
              </w:rPr>
              <w:t>核心产品：本</w:t>
            </w:r>
            <w:r>
              <w:rPr>
                <w:rFonts w:hint="eastAsia" w:ascii="仿宋" w:hAnsi="仿宋" w:eastAsia="仿宋" w:cs="仿宋"/>
                <w:b/>
                <w:color w:val="auto"/>
                <w:sz w:val="22"/>
                <w:szCs w:val="22"/>
                <w:highlight w:val="none"/>
                <w:lang w:val="en-US" w:eastAsia="zh-CN"/>
              </w:rPr>
              <w:t>项目</w:t>
            </w:r>
            <w:r>
              <w:rPr>
                <w:rFonts w:hint="eastAsia" w:ascii="仿宋" w:hAnsi="仿宋" w:eastAsia="仿宋" w:cs="仿宋"/>
                <w:b/>
                <w:color w:val="auto"/>
                <w:sz w:val="22"/>
                <w:szCs w:val="22"/>
                <w:highlight w:val="none"/>
              </w:rPr>
              <w:t>核心产品为第</w:t>
            </w:r>
            <w:r>
              <w:rPr>
                <w:rFonts w:hint="eastAsia" w:ascii="仿宋" w:hAnsi="仿宋" w:eastAsia="仿宋" w:cs="仿宋"/>
                <w:b/>
                <w:color w:val="auto"/>
                <w:sz w:val="22"/>
                <w:szCs w:val="22"/>
                <w:highlight w:val="none"/>
                <w:u w:val="single"/>
              </w:rPr>
              <w:t xml:space="preserve"> </w:t>
            </w:r>
            <w:r>
              <w:rPr>
                <w:rFonts w:hint="eastAsia" w:ascii="仿宋" w:hAnsi="仿宋" w:eastAsia="仿宋" w:cs="仿宋"/>
                <w:b/>
                <w:color w:val="auto"/>
                <w:sz w:val="22"/>
                <w:szCs w:val="22"/>
                <w:highlight w:val="none"/>
                <w:u w:val="single"/>
                <w:lang w:val="en-US" w:eastAsia="zh-CN"/>
              </w:rPr>
              <w:t xml:space="preserve"> 1</w:t>
            </w:r>
            <w:r>
              <w:rPr>
                <w:rFonts w:hint="eastAsia" w:ascii="仿宋" w:hAnsi="仿宋" w:eastAsia="仿宋" w:cs="仿宋"/>
                <w:b/>
                <w:color w:val="auto"/>
                <w:sz w:val="22"/>
                <w:szCs w:val="22"/>
                <w:highlight w:val="none"/>
                <w:u w:val="single"/>
              </w:rPr>
              <w:t xml:space="preserve"> </w:t>
            </w:r>
            <w:r>
              <w:rPr>
                <w:rFonts w:hint="eastAsia" w:ascii="仿宋" w:hAnsi="仿宋" w:eastAsia="仿宋" w:cs="仿宋"/>
                <w:b/>
                <w:color w:val="auto"/>
                <w:sz w:val="22"/>
                <w:szCs w:val="22"/>
                <w:highlight w:val="none"/>
              </w:rPr>
              <w:t>项标的</w:t>
            </w:r>
            <w:r>
              <w:rPr>
                <w:rFonts w:hint="eastAsia" w:ascii="仿宋" w:hAnsi="仿宋" w:eastAsia="仿宋" w:cs="仿宋"/>
                <w:b/>
                <w:color w:val="auto"/>
                <w:sz w:val="22"/>
                <w:szCs w:val="22"/>
                <w:highlight w:val="none"/>
                <w:u w:val="single"/>
                <w:lang w:val="en-US" w:eastAsia="zh-CN"/>
              </w:rPr>
              <w:t xml:space="preserve"> 通信自动化研发与测试系统（PCT测试环境）</w:t>
            </w:r>
            <w:r>
              <w:rPr>
                <w:rFonts w:hint="eastAsia" w:ascii="仿宋" w:hAnsi="仿宋" w:eastAsia="仿宋" w:cs="仿宋"/>
                <w:b/>
                <w:color w:val="auto"/>
                <w:sz w:val="22"/>
                <w:szCs w:val="22"/>
                <w:highlight w:val="none"/>
              </w:rPr>
              <w:t>。</w:t>
            </w:r>
          </w:p>
        </w:tc>
      </w:tr>
      <w:tr w14:paraId="0B69B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0001" w:type="dxa"/>
            <w:gridSpan w:val="5"/>
            <w:noWrap w:val="0"/>
            <w:vAlign w:val="center"/>
          </w:tcPr>
          <w:p w14:paraId="27363026">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二、商务要求表</w:t>
            </w:r>
          </w:p>
        </w:tc>
      </w:tr>
      <w:tr w14:paraId="21509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91" w:type="dxa"/>
            <w:gridSpan w:val="3"/>
            <w:noWrap w:val="0"/>
            <w:vAlign w:val="center"/>
          </w:tcPr>
          <w:p w14:paraId="41456342">
            <w:pPr>
              <w:keepNext w:val="0"/>
              <w:keepLines w:val="0"/>
              <w:pageBreakBefore w:val="0"/>
              <w:widowControl w:val="0"/>
              <w:kinsoku/>
              <w:overflowPunct/>
              <w:topLinePunct w:val="0"/>
              <w:autoSpaceDE/>
              <w:autoSpaceDN/>
              <w:bidi w:val="0"/>
              <w:adjustRightInd/>
              <w:spacing w:line="5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质保期</w:t>
            </w:r>
          </w:p>
        </w:tc>
        <w:tc>
          <w:tcPr>
            <w:tcW w:w="7710" w:type="dxa"/>
            <w:gridSpan w:val="2"/>
            <w:noWrap w:val="0"/>
            <w:vAlign w:val="center"/>
          </w:tcPr>
          <w:p w14:paraId="078D7FC7">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按国家有关产品“三包”规定执行“三包”，保期不少于</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年（设备技术要求栏中有特别注明的除外），保修期内上门维修免收维修费和元器件费，并提供终身维修服务。</w:t>
            </w:r>
          </w:p>
        </w:tc>
      </w:tr>
      <w:tr w14:paraId="18F0B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91" w:type="dxa"/>
            <w:gridSpan w:val="3"/>
            <w:noWrap w:val="0"/>
            <w:vAlign w:val="center"/>
          </w:tcPr>
          <w:p w14:paraId="4B2E7730">
            <w:pPr>
              <w:keepNext w:val="0"/>
              <w:keepLines w:val="0"/>
              <w:pageBreakBefore w:val="0"/>
              <w:widowControl w:val="0"/>
              <w:kinsoku/>
              <w:overflowPunct/>
              <w:topLinePunct w:val="0"/>
              <w:autoSpaceDE/>
              <w:autoSpaceDN/>
              <w:bidi w:val="0"/>
              <w:adjustRightInd/>
              <w:spacing w:line="5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售后及技术服务要求</w:t>
            </w:r>
          </w:p>
        </w:tc>
        <w:tc>
          <w:tcPr>
            <w:tcW w:w="7710" w:type="dxa"/>
            <w:gridSpan w:val="2"/>
            <w:noWrap w:val="0"/>
            <w:vAlign w:val="center"/>
          </w:tcPr>
          <w:p w14:paraId="075CB56B">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免费送货上门，免费安装、免费调试，免费提供不少于2个工作日的现场操作培训，培训内容应包括设备操作、日常维护、软件使用及数据处理等，确保不少于3名操作人员能够独立使用仪器；若设备自带软件，则在保修期免费升级；其余按投标人承诺进行。</w:t>
            </w:r>
          </w:p>
          <w:p w14:paraId="1058A8E5">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提供售后服务联系电话及联系人，免费质保期内，接到报障电话在承诺时间内派工程技术人员上门维修解决问题。如果需要更换配件的，要求更换的配件应跟被更换的品牌、类型相一致或者是同类同档次的替代品，后者需征得用户方管理人员同意。</w:t>
            </w:r>
          </w:p>
          <w:p w14:paraId="2DEE03CF">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3、提供保修期外零配件优惠供应方案。</w:t>
            </w:r>
          </w:p>
        </w:tc>
      </w:tr>
      <w:tr w14:paraId="4AD9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91" w:type="dxa"/>
            <w:gridSpan w:val="3"/>
            <w:noWrap w:val="0"/>
            <w:vAlign w:val="center"/>
          </w:tcPr>
          <w:p w14:paraId="60C4AFDE">
            <w:pPr>
              <w:keepNext w:val="0"/>
              <w:keepLines w:val="0"/>
              <w:pageBreakBefore w:val="0"/>
              <w:widowControl w:val="0"/>
              <w:kinsoku/>
              <w:overflowPunct/>
              <w:topLinePunct w:val="0"/>
              <w:autoSpaceDE/>
              <w:autoSpaceDN/>
              <w:bidi w:val="0"/>
              <w:adjustRightInd/>
              <w:spacing w:line="5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交货时间及地点</w:t>
            </w:r>
          </w:p>
        </w:tc>
        <w:tc>
          <w:tcPr>
            <w:tcW w:w="7710" w:type="dxa"/>
            <w:gridSpan w:val="2"/>
            <w:noWrap w:val="0"/>
            <w:vAlign w:val="center"/>
          </w:tcPr>
          <w:p w14:paraId="3E863E92">
            <w:pPr>
              <w:keepNext w:val="0"/>
              <w:keepLines w:val="0"/>
              <w:pageBreakBefore w:val="0"/>
              <w:kinsoku/>
              <w:wordWrap w:val="0"/>
              <w:overflowPunct/>
              <w:topLinePunct w:val="0"/>
              <w:autoSpaceDE/>
              <w:autoSpaceDN/>
              <w:bidi w:val="0"/>
              <w:adjustRightInd/>
              <w:snapToGrid/>
              <w:spacing w:line="360" w:lineRule="auto"/>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交货期：</w:t>
            </w:r>
            <w:r>
              <w:rPr>
                <w:rFonts w:hint="default" w:ascii="Calibri" w:hAnsi="Calibri" w:eastAsia="仿宋" w:cs="Calibri"/>
                <w:color w:val="auto"/>
                <w:sz w:val="24"/>
                <w:szCs w:val="24"/>
                <w:highlight w:val="none"/>
              </w:rPr>
              <w:t>①</w:t>
            </w:r>
            <w:r>
              <w:rPr>
                <w:rFonts w:hint="eastAsia" w:ascii="仿宋" w:hAnsi="仿宋" w:eastAsia="仿宋" w:cs="仿宋"/>
                <w:color w:val="auto"/>
                <w:sz w:val="24"/>
                <w:szCs w:val="24"/>
                <w:highlight w:val="none"/>
                <w:lang w:val="en-US" w:eastAsia="zh-CN"/>
              </w:rPr>
              <w:t>进口产品:自收到信用证后180日内必须到货，设备进场后7个工作日内安装调试合格;在设备交货前1个月，中标供应商应通知采购人有关设备安装的环境与安装条件，采购人做好设备安装前的准备工作。</w:t>
            </w:r>
            <w:r>
              <w:rPr>
                <w:rFonts w:hint="default" w:ascii="Calibri" w:hAnsi="Calibri" w:eastAsia="仿宋" w:cs="Calibri"/>
                <w:color w:val="auto"/>
                <w:sz w:val="24"/>
                <w:szCs w:val="24"/>
                <w:highlight w:val="none"/>
                <w:lang w:val="en-US" w:eastAsia="zh-CN"/>
              </w:rPr>
              <w:t>②</w:t>
            </w:r>
            <w:r>
              <w:rPr>
                <w:rFonts w:hint="eastAsia" w:ascii="仿宋" w:hAnsi="仿宋" w:eastAsia="仿宋" w:cs="仿宋"/>
                <w:color w:val="auto"/>
                <w:sz w:val="24"/>
                <w:szCs w:val="24"/>
                <w:highlight w:val="none"/>
                <w:lang w:val="en-US" w:eastAsia="zh-CN"/>
              </w:rPr>
              <w:t>国产产品:自签订合同之日起30日内必须到货，并安装调试验收合格。</w:t>
            </w:r>
          </w:p>
          <w:p w14:paraId="7596B465">
            <w:pPr>
              <w:keepNext w:val="0"/>
              <w:keepLines w:val="0"/>
              <w:pageBreakBefore w:val="0"/>
              <w:kinsoku/>
              <w:wordWrap w:val="0"/>
              <w:overflowPunct/>
              <w:topLinePunct w:val="0"/>
              <w:autoSpaceDE/>
              <w:autoSpaceDN/>
              <w:bidi w:val="0"/>
              <w:adjustRightInd/>
              <w:snapToGrid/>
              <w:spacing w:line="360" w:lineRule="auto"/>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交货地点：广西桂林市采购人指定地点</w:t>
            </w:r>
          </w:p>
        </w:tc>
      </w:tr>
      <w:tr w14:paraId="22803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2291" w:type="dxa"/>
            <w:gridSpan w:val="3"/>
            <w:noWrap w:val="0"/>
            <w:vAlign w:val="center"/>
          </w:tcPr>
          <w:p w14:paraId="0720A895">
            <w:pPr>
              <w:keepNext w:val="0"/>
              <w:keepLines w:val="0"/>
              <w:pageBreakBefore w:val="0"/>
              <w:widowControl w:val="0"/>
              <w:kinsoku/>
              <w:overflowPunct/>
              <w:topLinePunct w:val="0"/>
              <w:autoSpaceDE/>
              <w:autoSpaceDN/>
              <w:bidi w:val="0"/>
              <w:adjustRightInd/>
              <w:spacing w:line="5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付款条件</w:t>
            </w:r>
          </w:p>
        </w:tc>
        <w:tc>
          <w:tcPr>
            <w:tcW w:w="7710" w:type="dxa"/>
            <w:gridSpan w:val="2"/>
            <w:noWrap w:val="0"/>
            <w:vAlign w:val="center"/>
          </w:tcPr>
          <w:p w14:paraId="7054FBF0">
            <w:pPr>
              <w:keepNext w:val="0"/>
              <w:keepLines w:val="0"/>
              <w:pageBreakBefore w:val="0"/>
              <w:numPr>
                <w:ilvl w:val="0"/>
                <w:numId w:val="0"/>
              </w:numPr>
              <w:kinsoku/>
              <w:overflowPunct/>
              <w:topLinePunct w:val="0"/>
              <w:autoSpaceDE/>
              <w:autoSpaceDN/>
              <w:bidi w:val="0"/>
              <w:adjustRightInd/>
              <w:spacing w:line="500" w:lineRule="exact"/>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1、</w:t>
            </w:r>
            <w:r>
              <w:rPr>
                <w:rFonts w:hint="eastAsia" w:ascii="仿宋" w:hAnsi="仿宋" w:eastAsia="仿宋" w:cs="仿宋"/>
                <w:color w:val="auto"/>
                <w:sz w:val="24"/>
                <w:szCs w:val="24"/>
                <w:highlight w:val="none"/>
              </w:rPr>
              <w:t>进口产品：100%信用证，90%凭发货方发货单据支付，10%验收合格后凭采购方验收报告7日内付清。</w:t>
            </w:r>
          </w:p>
          <w:p w14:paraId="59E9239D">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2、国产</w:t>
            </w:r>
            <w:r>
              <w:rPr>
                <w:rFonts w:hint="eastAsia" w:ascii="仿宋" w:hAnsi="仿宋" w:eastAsia="仿宋" w:cs="仿宋"/>
                <w:color w:val="auto"/>
                <w:sz w:val="24"/>
                <w:szCs w:val="24"/>
                <w:highlight w:val="none"/>
              </w:rPr>
              <w:t>产品：本项目预付款为合同总金额的30%，在合同生效以及具备实施条件后，采购人在10个工作日内支付预付款；在交货验收合格、培训指导完成及设备正常使用后，成交供应商在3日内开具增值税专用发票给采购人，采购人收到增值税专用发票后10个工作日内支付70％的合同金额（无息）。</w:t>
            </w:r>
          </w:p>
        </w:tc>
      </w:tr>
      <w:tr w14:paraId="53144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91" w:type="dxa"/>
            <w:gridSpan w:val="3"/>
            <w:noWrap w:val="0"/>
            <w:vAlign w:val="center"/>
          </w:tcPr>
          <w:p w14:paraId="11E9AB18">
            <w:pPr>
              <w:keepNext w:val="0"/>
              <w:keepLines w:val="0"/>
              <w:pageBreakBefore w:val="0"/>
              <w:widowControl w:val="0"/>
              <w:kinsoku/>
              <w:overflowPunct/>
              <w:topLinePunct w:val="0"/>
              <w:autoSpaceDE/>
              <w:autoSpaceDN/>
              <w:bidi w:val="0"/>
              <w:adjustRightInd/>
              <w:spacing w:line="5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报价要求</w:t>
            </w:r>
          </w:p>
        </w:tc>
        <w:tc>
          <w:tcPr>
            <w:tcW w:w="7710" w:type="dxa"/>
            <w:gridSpan w:val="2"/>
            <w:noWrap w:val="0"/>
            <w:vAlign w:val="center"/>
          </w:tcPr>
          <w:p w14:paraId="347D5A68">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投标人的报价为采购人指定地点的现场交货价，包括：</w:t>
            </w:r>
          </w:p>
          <w:p w14:paraId="09F7ED2F">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（1）货物的价格；</w:t>
            </w:r>
          </w:p>
          <w:p w14:paraId="6DD24528">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（2）货物的标准附件、备品备件、专用工具的价格；</w:t>
            </w:r>
          </w:p>
          <w:p w14:paraId="456843DE">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（3）运输、装卸、调试、培训、技术支持、人工、上门服务、售后服务等费用；</w:t>
            </w:r>
          </w:p>
          <w:p w14:paraId="41D2E352">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（4）必要的保险费用和各项税费；</w:t>
            </w:r>
          </w:p>
          <w:p w14:paraId="26DD3640">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（5）安装调试费用；以及合同明示或暗示的所有责任、义务和一般风险等一切费用。</w:t>
            </w:r>
          </w:p>
        </w:tc>
      </w:tr>
      <w:tr w14:paraId="187D1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1" w:type="dxa"/>
            <w:gridSpan w:val="3"/>
            <w:noWrap w:val="0"/>
            <w:vAlign w:val="center"/>
          </w:tcPr>
          <w:p w14:paraId="527178E7">
            <w:pPr>
              <w:keepNext w:val="0"/>
              <w:keepLines w:val="0"/>
              <w:pageBreakBefore w:val="0"/>
              <w:widowControl w:val="0"/>
              <w:kinsoku/>
              <w:overflowPunct/>
              <w:topLinePunct w:val="0"/>
              <w:autoSpaceDE/>
              <w:autoSpaceDN/>
              <w:bidi w:val="0"/>
              <w:adjustRightInd/>
              <w:spacing w:line="5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验收要求</w:t>
            </w:r>
          </w:p>
        </w:tc>
        <w:tc>
          <w:tcPr>
            <w:tcW w:w="7710" w:type="dxa"/>
            <w:gridSpan w:val="2"/>
            <w:noWrap w:val="0"/>
            <w:vAlign w:val="center"/>
          </w:tcPr>
          <w:p w14:paraId="53A3BDD3">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投标产品须是按厂家出厂标准配置提供的整套全新，具备正规合法经销渠道，符合国家各项有关质量标准的合格产品。相关部件及服务须满足本表中各项要求。所有设备除满足招标文件要求及投标文件承诺的技术参数和配置外，其余均按国家标准及生产厂家出厂标准配置，若产品在运输过程中损坏须无偿调换同样款产品。</w:t>
            </w:r>
          </w:p>
          <w:p w14:paraId="12BDBCE7">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合同签订之后，采购人有权要求中标供应商提供所投主要产品进行功能测试，如有配置或功能不能满足采购要求，按违约处理，采购人有权解除合同，必要时采购人有权要求有资质的第三方检测机构进行检测。</w:t>
            </w:r>
          </w:p>
          <w:p w14:paraId="2D09D62F">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供应商所提供的产品必须为原装正品的、全新的、完好无破损且为未开箱状态、符合有关质量标准的产品；设备到货安装前，采购人现场根据采购文件要求及投标文件承诺逐条对应进行核验（必要时，采购人有权要求供应商对各项指标进行现场演示），核验不合格或中标供应商未按采购人要求提供现场演示或技术功能无法达到相应技术要求的，按违约处理，采购人有权全部退货，同时报相关监督管理部门处理，由此造成采购人经济损失的由中标供应商负责承担全部赔偿责任。</w:t>
            </w:r>
          </w:p>
          <w:p w14:paraId="144318EB">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4、验收方式和验收材料要求</w:t>
            </w:r>
          </w:p>
          <w:p w14:paraId="63098B77">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（1）采购人在项目完成且收到中标供应商验收申请后5个工作日内组织开展履约验收；</w:t>
            </w:r>
          </w:p>
          <w:p w14:paraId="05181044">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中标供应商必须提供合格的验收材料，验收材料包括但不限于①验收申请书（原件）、②中标通知书复印件、③合同（包括附件加盖采购代理机构章的格式合同中规定的附件）复印件；④项目实施过程文件、⑤货物的证明文件、⑥货物的技术资料、⑦培训记录等。</w:t>
            </w:r>
          </w:p>
          <w:p w14:paraId="62191A3F">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5、</w:t>
            </w:r>
            <w:r>
              <w:rPr>
                <w:rFonts w:hint="eastAsia" w:ascii="仿宋" w:hAnsi="仿宋" w:eastAsia="仿宋" w:cs="仿宋"/>
                <w:bCs/>
                <w:color w:val="auto"/>
                <w:sz w:val="24"/>
                <w:szCs w:val="24"/>
                <w:highlight w:val="none"/>
                <w:lang w:eastAsia="zh-CN"/>
              </w:rPr>
              <w:t>中标供应商</w:t>
            </w:r>
            <w:r>
              <w:rPr>
                <w:rFonts w:hint="eastAsia" w:ascii="仿宋" w:hAnsi="仿宋" w:eastAsia="仿宋" w:cs="仿宋"/>
                <w:bCs/>
                <w:color w:val="auto"/>
                <w:sz w:val="24"/>
                <w:szCs w:val="24"/>
                <w:highlight w:val="none"/>
              </w:rPr>
              <w:t>须在中标通知书发出后、合同签订前，向采购人提供所投产品的原厂售后服务承诺书原件，承诺质保期不低于</w:t>
            </w:r>
            <w:r>
              <w:rPr>
                <w:rFonts w:hint="eastAsia" w:ascii="仿宋" w:hAnsi="仿宋" w:eastAsia="仿宋" w:cs="仿宋"/>
                <w:bCs/>
                <w:color w:val="auto"/>
                <w:sz w:val="24"/>
                <w:szCs w:val="24"/>
                <w:highlight w:val="none"/>
                <w:lang w:val="en-US" w:eastAsia="zh-CN"/>
              </w:rPr>
              <w:t>1</w:t>
            </w:r>
            <w:r>
              <w:rPr>
                <w:rFonts w:hint="eastAsia" w:ascii="仿宋" w:hAnsi="仿宋" w:eastAsia="仿宋" w:cs="仿宋"/>
                <w:bCs/>
                <w:color w:val="auto"/>
                <w:sz w:val="24"/>
                <w:szCs w:val="24"/>
                <w:highlight w:val="none"/>
              </w:rPr>
              <w:t>年，未能在采购人书面通知的合理期限（如5个工作日）内提供的，视为</w:t>
            </w:r>
            <w:r>
              <w:rPr>
                <w:rFonts w:hint="eastAsia" w:ascii="仿宋" w:hAnsi="仿宋" w:eastAsia="仿宋" w:cs="仿宋"/>
                <w:bCs/>
                <w:color w:val="auto"/>
                <w:sz w:val="24"/>
                <w:szCs w:val="24"/>
                <w:highlight w:val="none"/>
                <w:lang w:eastAsia="zh-CN"/>
              </w:rPr>
              <w:t>中标供应商</w:t>
            </w:r>
            <w:r>
              <w:rPr>
                <w:rFonts w:hint="eastAsia" w:ascii="仿宋" w:hAnsi="仿宋" w:eastAsia="仿宋" w:cs="仿宋"/>
                <w:bCs/>
                <w:color w:val="auto"/>
                <w:sz w:val="24"/>
                <w:szCs w:val="24"/>
                <w:highlight w:val="none"/>
              </w:rPr>
              <w:t>无正当理由放弃中标资格或拒不签订合同，采购人有权取消其中标资格，并依据招标文件及《民法典》第五百七十七条追究其缔约过失责任或违约责任，包括但不限于：赔偿采购人因此遭受的损失（包括但不限于重新采购的成本、重新采购中标价与原中标价的差额等），同时将相关情况报送财政部门。</w:t>
            </w:r>
          </w:p>
        </w:tc>
      </w:tr>
      <w:tr w14:paraId="5A9A0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91" w:type="dxa"/>
            <w:gridSpan w:val="3"/>
            <w:noWrap w:val="0"/>
            <w:vAlign w:val="center"/>
          </w:tcPr>
          <w:p w14:paraId="3B69814F">
            <w:pPr>
              <w:keepNext w:val="0"/>
              <w:keepLines w:val="0"/>
              <w:pageBreakBefore w:val="0"/>
              <w:widowControl w:val="0"/>
              <w:kinsoku/>
              <w:overflowPunct/>
              <w:topLinePunct w:val="0"/>
              <w:autoSpaceDE/>
              <w:autoSpaceDN/>
              <w:bidi w:val="0"/>
              <w:adjustRightInd/>
              <w:spacing w:line="5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履约保证金收取及退付</w:t>
            </w:r>
          </w:p>
        </w:tc>
        <w:tc>
          <w:tcPr>
            <w:tcW w:w="7710" w:type="dxa"/>
            <w:gridSpan w:val="2"/>
            <w:noWrap w:val="0"/>
            <w:vAlign w:val="center"/>
          </w:tcPr>
          <w:p w14:paraId="41DE6AFE">
            <w:pPr>
              <w:keepNext w:val="0"/>
              <w:keepLines w:val="0"/>
              <w:pageBreakBefore w:val="0"/>
              <w:widowControl w:val="0"/>
              <w:numPr>
                <w:ilvl w:val="0"/>
                <w:numId w:val="4"/>
              </w:numPr>
              <w:kinsoku/>
              <w:overflowPunct/>
              <w:topLinePunct w:val="0"/>
              <w:autoSpaceDE/>
              <w:autoSpaceDN/>
              <w:bidi w:val="0"/>
              <w:adjustRightInd/>
              <w:spacing w:line="500" w:lineRule="exac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履约保证金收取</w:t>
            </w:r>
            <w:r>
              <w:rPr>
                <w:rFonts w:hint="eastAsia" w:ascii="仿宋" w:hAnsi="仿宋" w:eastAsia="仿宋" w:cs="仿宋"/>
                <w:color w:val="auto"/>
                <w:sz w:val="24"/>
                <w:szCs w:val="24"/>
                <w:highlight w:val="none"/>
              </w:rPr>
              <w:t>：履约保证金金额按成交价的5%（人民币，四舍五入到元）缴纳（中标供应商被认定为中小微企业的缴纳金额按成交价的2%）。由中标供应商在签订合同前将履约保证金以支票、汇票、本票等非现金方式缴入采购人指定账户。采购人开具履约保证金财务凭证给中标供应商。</w:t>
            </w:r>
          </w:p>
          <w:p w14:paraId="18948392">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b/>
                <w:bCs/>
                <w:color w:val="auto"/>
                <w:sz w:val="24"/>
                <w:szCs w:val="24"/>
                <w:highlight w:val="none"/>
              </w:rPr>
              <w:t>履约保证金退付</w:t>
            </w:r>
            <w:r>
              <w:rPr>
                <w:rFonts w:hint="eastAsia" w:ascii="仿宋" w:hAnsi="仿宋" w:eastAsia="仿宋" w:cs="仿宋"/>
                <w:color w:val="auto"/>
                <w:sz w:val="24"/>
                <w:szCs w:val="24"/>
                <w:highlight w:val="none"/>
              </w:rPr>
              <w:t>：中标供应商履行完合同约定权利义务事项且保修期满后无违约情况，凭《项目验收单》和履约保证金交纳凭证向采购人申请办理退还手续，采购人不得额外要求中标供应商提交其他证明材料，并应当自收到退还资料之日起5个工作日内退还其履约保证金（无息）。如中标供应商不按双方签订的合同规定履约，则没收其全部履约保证金，履约保证金不足以赔偿损失的，按实际损失赔偿。</w:t>
            </w:r>
          </w:p>
          <w:p w14:paraId="05A6AF1A">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3、履约保证金递交方式：</w:t>
            </w:r>
            <w:r>
              <w:rPr>
                <w:rFonts w:hint="eastAsia" w:ascii="仿宋" w:hAnsi="仿宋" w:eastAsia="仿宋" w:cs="仿宋"/>
                <w:color w:val="auto"/>
                <w:sz w:val="24"/>
                <w:szCs w:val="24"/>
                <w:highlight w:val="none"/>
              </w:rPr>
              <w:t>支票、汇票、本票等非现金方式。由中标供应商在签订合同前按规定的金额直接缴入以下采购人账户。凭履约保证金缴纳凭证签订合同。</w:t>
            </w:r>
          </w:p>
          <w:p w14:paraId="61585FA2">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开户名称：桂林电子科技大学</w:t>
            </w:r>
          </w:p>
          <w:p w14:paraId="0243C31B">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开户银行：桂林市工商银行屏风支行</w:t>
            </w:r>
          </w:p>
          <w:p w14:paraId="260AE9CC">
            <w:pPr>
              <w:keepNext w:val="0"/>
              <w:keepLines w:val="0"/>
              <w:pageBreakBefore w:val="0"/>
              <w:widowControl w:val="0"/>
              <w:kinsoku/>
              <w:overflowPunct/>
              <w:topLinePunct w:val="0"/>
              <w:autoSpaceDE/>
              <w:autoSpaceDN/>
              <w:bidi w:val="0"/>
              <w:adjustRightInd/>
              <w:spacing w:line="5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银行账号：2103215209249017694</w:t>
            </w:r>
          </w:p>
        </w:tc>
      </w:tr>
      <w:tr w14:paraId="6C0E1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91" w:type="dxa"/>
            <w:gridSpan w:val="3"/>
            <w:noWrap w:val="0"/>
            <w:vAlign w:val="center"/>
          </w:tcPr>
          <w:p w14:paraId="16516650">
            <w:pPr>
              <w:keepNext w:val="0"/>
              <w:keepLines w:val="0"/>
              <w:pageBreakBefore w:val="0"/>
              <w:widowControl w:val="0"/>
              <w:kinsoku/>
              <w:overflowPunct/>
              <w:topLinePunct w:val="0"/>
              <w:autoSpaceDE/>
              <w:autoSpaceDN/>
              <w:bidi w:val="0"/>
              <w:adjustRightInd/>
              <w:spacing w:line="5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其他要求</w:t>
            </w:r>
          </w:p>
        </w:tc>
        <w:tc>
          <w:tcPr>
            <w:tcW w:w="7710" w:type="dxa"/>
            <w:gridSpan w:val="2"/>
            <w:noWrap w:val="0"/>
            <w:vAlign w:val="center"/>
          </w:tcPr>
          <w:p w14:paraId="4C698CF3">
            <w:pPr>
              <w:keepNext w:val="0"/>
              <w:keepLines w:val="0"/>
              <w:pageBreakBefore w:val="0"/>
              <w:widowControl w:val="0"/>
              <w:kinsoku/>
              <w:wordWrap/>
              <w:overflowPunct/>
              <w:topLinePunct w:val="0"/>
              <w:autoSpaceDE/>
              <w:autoSpaceDN/>
              <w:bidi w:val="0"/>
              <w:adjustRightInd/>
              <w:spacing w:line="5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所提供的任何材料应当真实有效，如在评审过程中发现供应商在投标文件中提供任何虚假材料的，按投标无效处理，采购人有权汇报监督管理部门处理；中标后，采购人发现供应商在投标文件中提供任何虚假材料的，采购人有权汇报监督管理部门处理，且中标供应商须依照《中华人民共和国消费者权益保护法》赔偿采购人，民事赔偿并不免除违法中标供应商的法律责任。</w:t>
            </w:r>
          </w:p>
          <w:p w14:paraId="7D97913A">
            <w:pPr>
              <w:keepNext w:val="0"/>
              <w:keepLines w:val="0"/>
              <w:pageBreakBefore w:val="0"/>
              <w:widowControl w:val="0"/>
              <w:kinsoku/>
              <w:wordWrap/>
              <w:overflowPunct/>
              <w:topLinePunct w:val="0"/>
              <w:autoSpaceDE/>
              <w:autoSpaceDN/>
              <w:bidi w:val="0"/>
              <w:adjustRightInd/>
              <w:spacing w:line="5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2、本项目货物涉及的产品及其配件包括但不限于各类芯片等必须符合国家有关政策规定，不得使用国家禁止使用范围内的产品及其配件，否则投标无效。</w:t>
            </w:r>
          </w:p>
          <w:p w14:paraId="65F57CEB">
            <w:pPr>
              <w:keepNext w:val="0"/>
              <w:keepLines w:val="0"/>
              <w:pageBreakBefore w:val="0"/>
              <w:widowControl w:val="0"/>
              <w:kinsoku/>
              <w:wordWrap/>
              <w:overflowPunct/>
              <w:topLinePunct w:val="0"/>
              <w:autoSpaceDE/>
              <w:autoSpaceDN/>
              <w:bidi w:val="0"/>
              <w:adjustRightInd/>
              <w:spacing w:line="5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供应商必须保证所提供的系统及相关服务涉及到的知识产权和相关技术资料是合法取得的，采购人在使用产品及服务时不会侵犯任何第三方的专利权、商标权、工业设计权或其他权利，不会因为采购人的使用遭受第三方侵权指控，包括被责令致歉、停止使用、追偿或要求赔偿损失等。否则，供应商负责解决由此引起的一切纠纷，采购人有权追究供应商的法律责任，其不利后果由供应商全部承担。</w:t>
            </w:r>
          </w:p>
          <w:p w14:paraId="408BC059">
            <w:pPr>
              <w:keepNext w:val="0"/>
              <w:keepLines w:val="0"/>
              <w:pageBreakBefore w:val="0"/>
              <w:widowControl w:val="0"/>
              <w:kinsoku/>
              <w:wordWrap/>
              <w:overflowPunct/>
              <w:topLinePunct w:val="0"/>
              <w:autoSpaceDE/>
              <w:autoSpaceDN/>
              <w:bidi w:val="0"/>
              <w:adjustRightInd/>
              <w:spacing w:line="5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4、若供应商为本项目标的及标的涉及的相关材料、设备、人员、运输等购买保险的，相关费用由供应商自行承担。</w:t>
            </w:r>
          </w:p>
          <w:p w14:paraId="47A02670">
            <w:pPr>
              <w:keepNext w:val="0"/>
              <w:keepLines w:val="0"/>
              <w:pageBreakBefore w:val="0"/>
              <w:widowControl w:val="0"/>
              <w:kinsoku/>
              <w:wordWrap/>
              <w:overflowPunct/>
              <w:topLinePunct w:val="0"/>
              <w:autoSpaceDE/>
              <w:autoSpaceDN/>
              <w:bidi w:val="0"/>
              <w:adjustRightInd/>
              <w:spacing w:line="5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
              </w:rPr>
              <w:t>5、</w:t>
            </w:r>
            <w:r>
              <w:rPr>
                <w:rFonts w:hint="eastAsia" w:ascii="仿宋" w:hAnsi="仿宋" w:eastAsia="仿宋" w:cs="仿宋"/>
                <w:color w:val="auto"/>
                <w:sz w:val="24"/>
                <w:szCs w:val="24"/>
                <w:highlight w:val="none"/>
              </w:rPr>
              <w:t>为确保得到可靠的售后服务，要求中标供应商必须在签订合同后，3个工作日内提供所投所有产品生产厂家出具的原厂售后服务保证书原件、授权书原件、技术参数确认函，并加盖原厂商公章。</w:t>
            </w:r>
          </w:p>
          <w:p w14:paraId="22D8E43C">
            <w:pPr>
              <w:keepNext w:val="0"/>
              <w:keepLines w:val="0"/>
              <w:pageBreakBefore w:val="0"/>
              <w:widowControl w:val="0"/>
              <w:kinsoku/>
              <w:wordWrap/>
              <w:overflowPunct/>
              <w:topLinePunct w:val="0"/>
              <w:autoSpaceDE/>
              <w:autoSpaceDN/>
              <w:bidi w:val="0"/>
              <w:adjustRightInd/>
              <w:spacing w:line="5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6、要求供应商以及所投产品生产厂家均具有良好的商业信誉，未在信用中国或中国政府采购网被列入失信名单。</w:t>
            </w:r>
          </w:p>
          <w:p w14:paraId="4AB0039C">
            <w:pPr>
              <w:pageBreakBefore w:val="0"/>
              <w:kinsoku/>
              <w:overflowPunct/>
              <w:topLinePunct w:val="0"/>
              <w:bidi w:val="0"/>
              <w:spacing w:line="500" w:lineRule="exac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7、</w:t>
            </w:r>
            <w:r>
              <w:rPr>
                <w:rFonts w:hint="eastAsia" w:ascii="仿宋" w:hAnsi="仿宋" w:eastAsia="仿宋" w:cs="仿宋"/>
                <w:b/>
                <w:bCs/>
                <w:color w:val="auto"/>
                <w:sz w:val="24"/>
                <w:szCs w:val="24"/>
                <w:highlight w:val="none"/>
              </w:rPr>
              <w:t>本项目</w:t>
            </w:r>
            <w:r>
              <w:rPr>
                <w:rFonts w:hint="eastAsia" w:ascii="仿宋" w:hAnsi="仿宋" w:eastAsia="仿宋" w:cs="仿宋"/>
                <w:b/>
                <w:bCs/>
                <w:color w:val="auto"/>
                <w:sz w:val="24"/>
                <w:szCs w:val="24"/>
                <w:highlight w:val="none"/>
                <w:lang w:val="en-US" w:eastAsia="zh-CN"/>
              </w:rPr>
              <w:t>标项1“通信自动化研发与测试系统（PCT测试环境）”、标项2“宽带无线电通信测试仪”</w:t>
            </w:r>
            <w:r>
              <w:rPr>
                <w:rFonts w:hint="eastAsia" w:ascii="仿宋" w:hAnsi="仿宋" w:eastAsia="仿宋" w:cs="仿宋"/>
                <w:color w:val="auto"/>
                <w:kern w:val="2"/>
                <w:sz w:val="24"/>
                <w:szCs w:val="24"/>
                <w:highlight w:val="none"/>
                <w:lang w:val="en-US" w:eastAsia="zh-CN" w:bidi="ar-SA"/>
              </w:rPr>
              <w:t>货物已按规定办理进口产品采购审核有关手续（即通过中国海关报关验放进入中国境内且产自关境外的产品），中标人负责办理进口产品有关报关等手续及所有相关费用，采购人不再支付额外费用。采购人协助办理免税审批手续。中标人按照提供给高校的教育行业优惠折扣进行报价，进口设备投标报价按免税到岸价（CIP桂林）及第3点所含的各项费用，人民币报价。货物涉及的各项费用（包含进出口代理公司佣金、海关办证费、报关费、报检费、银行手续费、运杂费、及其它全部费用的总和）由中标人自行与进出口代理公司结算，采购人不再支付除中标价以外的任何费用。</w:t>
            </w:r>
          </w:p>
          <w:p w14:paraId="72697787">
            <w:pPr>
              <w:widowControl w:val="0"/>
              <w:kinsoku/>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p w14:paraId="1EBD40BD">
            <w:pPr>
              <w:widowControl w:val="0"/>
              <w:kinsoku/>
              <w:spacing w:line="400" w:lineRule="exact"/>
              <w:ind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1.允许接受进口产品的，</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rPr>
              <w:t>可以选用进口产品参与</w:t>
            </w:r>
            <w:r>
              <w:rPr>
                <w:rFonts w:hint="eastAsia" w:ascii="仿宋" w:hAnsi="仿宋" w:eastAsia="仿宋" w:cs="仿宋"/>
                <w:color w:val="auto"/>
                <w:sz w:val="24"/>
                <w:szCs w:val="24"/>
                <w:highlight w:val="none"/>
                <w:lang w:eastAsia="zh-CN"/>
              </w:rPr>
              <w:t>竞</w:t>
            </w:r>
            <w:r>
              <w:rPr>
                <w:rFonts w:hint="eastAsia" w:ascii="仿宋" w:hAnsi="仿宋" w:eastAsia="仿宋" w:cs="仿宋"/>
                <w:color w:val="auto"/>
                <w:sz w:val="24"/>
                <w:szCs w:val="24"/>
                <w:highlight w:val="none"/>
              </w:rPr>
              <w:t>标，但不排斥国内产品。</w:t>
            </w:r>
          </w:p>
          <w:p w14:paraId="32968D15">
            <w:pPr>
              <w:widowControl w:val="0"/>
              <w:kinsoku/>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2.如本项目接受进口产品，</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选择提供进口产品的，则提供的必须为全套全新原装进口产品，报价中应包括关税等所有进口环节费用并由</w:t>
            </w:r>
            <w:r>
              <w:rPr>
                <w:rFonts w:hint="eastAsia" w:ascii="仿宋" w:hAnsi="仿宋" w:eastAsia="仿宋" w:cs="仿宋"/>
                <w:color w:val="auto"/>
                <w:sz w:val="24"/>
                <w:szCs w:val="24"/>
                <w:highlight w:val="none"/>
                <w:lang w:val="en-US" w:eastAsia="zh-CN"/>
              </w:rPr>
              <w:t>中标人</w:t>
            </w:r>
            <w:r>
              <w:rPr>
                <w:rFonts w:hint="eastAsia" w:ascii="仿宋" w:hAnsi="仿宋" w:eastAsia="仿宋" w:cs="仿宋"/>
                <w:color w:val="auto"/>
                <w:sz w:val="24"/>
                <w:szCs w:val="24"/>
                <w:highlight w:val="none"/>
              </w:rPr>
              <w:t>办理进口相关手续，</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报价中应自行考虑海关关税政策变化带来的风险，</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不承担该政策变化所造成的费用增加。</w:t>
            </w:r>
          </w:p>
          <w:p w14:paraId="06903983">
            <w:pPr>
              <w:pStyle w:val="2"/>
              <w:widowControl w:val="0"/>
              <w:kinsoku/>
              <w:spacing w:line="400" w:lineRule="exact"/>
              <w:ind w:firstLine="480" w:firstLineChars="200"/>
              <w:rPr>
                <w:rFonts w:hint="eastAsia" w:ascii="仿宋" w:hAnsi="仿宋" w:eastAsia="仿宋" w:cs="仿宋"/>
                <w:b/>
                <w:color w:val="auto"/>
                <w:sz w:val="24"/>
                <w:szCs w:val="24"/>
                <w:highlight w:val="none"/>
                <w:lang w:eastAsia="zh-CN"/>
              </w:rPr>
            </w:pPr>
            <w:r>
              <w:rPr>
                <w:rFonts w:hint="eastAsia" w:ascii="仿宋" w:hAnsi="仿宋" w:eastAsia="仿宋" w:cs="仿宋"/>
                <w:color w:val="auto"/>
                <w:sz w:val="24"/>
                <w:szCs w:val="24"/>
                <w:highlight w:val="none"/>
              </w:rPr>
              <w:t>3.进口产品是指通过中国海关报关验放进入中国境内且产自关境外的产品。即所谓进口产品是指制造过程均在国外，如果产品在国内组装，其中的零部件（包括核心部件）是进口产品，则应当视为非进口产品。</w:t>
            </w:r>
          </w:p>
          <w:p w14:paraId="758AA6DE">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4.其余内容以《政府采购进口产品管理办法》（财库〔2007〕119 号）和《关于政府采购进口产品管理有关问题的通知财办库》（财库[2008]248号）的相关规定为准</w:t>
            </w:r>
            <w:r>
              <w:rPr>
                <w:rFonts w:hint="eastAsia" w:ascii="仿宋" w:hAnsi="仿宋" w:eastAsia="仿宋" w:cs="仿宋"/>
                <w:color w:val="auto"/>
                <w:sz w:val="24"/>
                <w:szCs w:val="24"/>
                <w:highlight w:val="none"/>
                <w:lang w:val="en-US" w:eastAsia="zh-CN"/>
              </w:rPr>
              <w:t>。</w:t>
            </w:r>
          </w:p>
          <w:p w14:paraId="49F9C51C">
            <w:pPr>
              <w:keepNext w:val="0"/>
              <w:keepLines w:val="0"/>
              <w:pageBreakBefore w:val="0"/>
              <w:widowControl w:val="0"/>
              <w:kinsoku/>
              <w:wordWrap/>
              <w:overflowPunct/>
              <w:topLinePunct w:val="0"/>
              <w:autoSpaceDE/>
              <w:autoSpaceDN/>
              <w:bidi w:val="0"/>
              <w:adjustRightInd/>
              <w:spacing w:line="5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8、本项目采购预算金额（人民币）：</w:t>
            </w:r>
            <w:r>
              <w:rPr>
                <w:rFonts w:hint="eastAsia" w:ascii="仿宋" w:hAnsi="仿宋" w:eastAsia="仿宋" w:cs="仿宋"/>
                <w:color w:val="auto"/>
                <w:sz w:val="24"/>
                <w:szCs w:val="24"/>
                <w:highlight w:val="none"/>
                <w:lang w:val="en-US" w:eastAsia="zh-CN"/>
              </w:rPr>
              <w:t>肆佰叁拾壹万伍仟元整</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4315000</w:t>
            </w:r>
            <w:r>
              <w:rPr>
                <w:rFonts w:hint="eastAsia" w:ascii="仿宋" w:hAnsi="仿宋" w:eastAsia="仿宋" w:cs="仿宋"/>
                <w:color w:val="auto"/>
                <w:sz w:val="24"/>
                <w:szCs w:val="24"/>
                <w:highlight w:val="none"/>
              </w:rPr>
              <w:t>.00</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投标报价超过采购预算金额的，投标文件按无效处理。投标报价包括本次招标采购范围内技术服务费、货物价款、货物随配标准附件等的送货上门、安装调试、现场技术、使用培训、售后服务、验收检验及税金等所有费用的总和，供应商应综合考虑在报价中，采购人不再另行支付投标报价之外的任何费用。</w:t>
            </w:r>
          </w:p>
        </w:tc>
      </w:tr>
    </w:tbl>
    <w:p w14:paraId="4C550A7E">
      <w:pPr>
        <w:numPr>
          <w:ilvl w:val="0"/>
          <w:numId w:val="0"/>
        </w:numPr>
        <w:rPr>
          <w:rFonts w:hint="eastAsia" w:ascii="仿宋" w:hAnsi="仿宋" w:eastAsia="仿宋" w:cs="仿宋"/>
          <w:b/>
          <w:bCs/>
          <w:color w:val="auto"/>
          <w:sz w:val="24"/>
          <w:highlight w:val="none"/>
        </w:rPr>
      </w:pPr>
      <w:r>
        <w:rPr>
          <w:rFonts w:hint="eastAsia" w:ascii="仿宋" w:hAnsi="仿宋" w:eastAsia="仿宋" w:cs="仿宋"/>
          <w:b/>
          <w:bCs/>
          <w:color w:val="auto"/>
          <w:sz w:val="24"/>
          <w:szCs w:val="24"/>
          <w:highlight w:val="none"/>
        </w:rPr>
        <w:br w:type="page"/>
      </w:r>
      <w:bookmarkStart w:id="55" w:name="_Toc254970490"/>
      <w:bookmarkStart w:id="56" w:name="_Toc254970631"/>
      <w:r>
        <w:rPr>
          <w:rFonts w:hint="eastAsia" w:ascii="仿宋" w:hAnsi="仿宋" w:eastAsia="仿宋" w:cs="仿宋"/>
          <w:b/>
          <w:bCs/>
          <w:color w:val="auto"/>
          <w:sz w:val="24"/>
          <w:highlight w:val="none"/>
        </w:rPr>
        <w:t>附件1：</w:t>
      </w:r>
    </w:p>
    <w:bookmarkEnd w:id="55"/>
    <w:bookmarkEnd w:id="56"/>
    <w:p w14:paraId="04F709F5">
      <w:pPr>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中小微企业划型标准</w:t>
      </w:r>
    </w:p>
    <w:tbl>
      <w:tblPr>
        <w:tblStyle w:val="51"/>
        <w:tblW w:w="103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0"/>
        <w:gridCol w:w="1502"/>
        <w:gridCol w:w="778"/>
        <w:gridCol w:w="1234"/>
        <w:gridCol w:w="1867"/>
        <w:gridCol w:w="1686"/>
        <w:gridCol w:w="966"/>
      </w:tblGrid>
      <w:tr w14:paraId="24DE5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exact"/>
          <w:tblHeader/>
          <w:jc w:val="center"/>
        </w:trPr>
        <w:tc>
          <w:tcPr>
            <w:tcW w:w="2320" w:type="dxa"/>
            <w:shd w:val="clear" w:color="auto" w:fill="FFFFFF"/>
            <w:vAlign w:val="center"/>
          </w:tcPr>
          <w:p w14:paraId="222D06D7">
            <w:pPr>
              <w:widowControl/>
              <w:spacing w:line="240" w:lineRule="exact"/>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行业名称</w:t>
            </w:r>
          </w:p>
        </w:tc>
        <w:tc>
          <w:tcPr>
            <w:tcW w:w="1502" w:type="dxa"/>
            <w:shd w:val="clear" w:color="auto" w:fill="FFFFFF"/>
            <w:vAlign w:val="center"/>
          </w:tcPr>
          <w:p w14:paraId="5A24DF16">
            <w:pPr>
              <w:widowControl/>
              <w:spacing w:line="240" w:lineRule="exact"/>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指标名称</w:t>
            </w:r>
          </w:p>
        </w:tc>
        <w:tc>
          <w:tcPr>
            <w:tcW w:w="778" w:type="dxa"/>
            <w:shd w:val="clear" w:color="auto" w:fill="FFFFFF"/>
            <w:vAlign w:val="center"/>
          </w:tcPr>
          <w:p w14:paraId="37BE8DDE">
            <w:pPr>
              <w:widowControl/>
              <w:spacing w:line="240" w:lineRule="exact"/>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计量</w:t>
            </w:r>
            <w:r>
              <w:rPr>
                <w:rFonts w:hint="eastAsia" w:ascii="仿宋" w:hAnsi="仿宋" w:eastAsia="仿宋" w:cs="仿宋"/>
                <w:b/>
                <w:bCs/>
                <w:color w:val="auto"/>
                <w:kern w:val="0"/>
                <w:szCs w:val="21"/>
                <w:highlight w:val="none"/>
              </w:rPr>
              <w:br w:type="textWrapping"/>
            </w:r>
            <w:r>
              <w:rPr>
                <w:rFonts w:hint="eastAsia" w:ascii="仿宋" w:hAnsi="仿宋" w:eastAsia="仿宋" w:cs="仿宋"/>
                <w:b/>
                <w:bCs/>
                <w:color w:val="auto"/>
                <w:kern w:val="0"/>
                <w:szCs w:val="21"/>
                <w:highlight w:val="none"/>
              </w:rPr>
              <w:t>单位</w:t>
            </w:r>
          </w:p>
        </w:tc>
        <w:tc>
          <w:tcPr>
            <w:tcW w:w="1234" w:type="dxa"/>
            <w:shd w:val="clear" w:color="auto" w:fill="FFFFFF"/>
            <w:vAlign w:val="center"/>
          </w:tcPr>
          <w:p w14:paraId="51E080D5">
            <w:pPr>
              <w:widowControl/>
              <w:spacing w:line="240" w:lineRule="exact"/>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大型</w:t>
            </w:r>
          </w:p>
        </w:tc>
        <w:tc>
          <w:tcPr>
            <w:tcW w:w="1867" w:type="dxa"/>
            <w:shd w:val="clear" w:color="auto" w:fill="FFFFFF"/>
            <w:vAlign w:val="center"/>
          </w:tcPr>
          <w:p w14:paraId="4FE60FC6">
            <w:pPr>
              <w:widowControl/>
              <w:spacing w:line="240" w:lineRule="exact"/>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中型</w:t>
            </w:r>
          </w:p>
        </w:tc>
        <w:tc>
          <w:tcPr>
            <w:tcW w:w="1686" w:type="dxa"/>
            <w:shd w:val="clear" w:color="auto" w:fill="FFFFFF"/>
            <w:vAlign w:val="center"/>
          </w:tcPr>
          <w:p w14:paraId="5D040B2B">
            <w:pPr>
              <w:widowControl/>
              <w:spacing w:line="240" w:lineRule="exact"/>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小型</w:t>
            </w:r>
          </w:p>
        </w:tc>
        <w:tc>
          <w:tcPr>
            <w:tcW w:w="966" w:type="dxa"/>
            <w:shd w:val="clear" w:color="auto" w:fill="FFFFFF"/>
            <w:vAlign w:val="center"/>
          </w:tcPr>
          <w:p w14:paraId="121F36DD">
            <w:pPr>
              <w:widowControl/>
              <w:spacing w:line="240" w:lineRule="exact"/>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微型</w:t>
            </w:r>
          </w:p>
        </w:tc>
      </w:tr>
      <w:tr w14:paraId="6234A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320" w:type="dxa"/>
            <w:vAlign w:val="center"/>
          </w:tcPr>
          <w:p w14:paraId="0FFCBB90">
            <w:pPr>
              <w:widowControl/>
              <w:spacing w:line="240" w:lineRule="exact"/>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农、林、牧、渔业</w:t>
            </w:r>
          </w:p>
        </w:tc>
        <w:tc>
          <w:tcPr>
            <w:tcW w:w="1502" w:type="dxa"/>
            <w:vAlign w:val="center"/>
          </w:tcPr>
          <w:p w14:paraId="7919A11B">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营业收入(Y)</w:t>
            </w:r>
          </w:p>
        </w:tc>
        <w:tc>
          <w:tcPr>
            <w:tcW w:w="778" w:type="dxa"/>
            <w:vAlign w:val="center"/>
          </w:tcPr>
          <w:p w14:paraId="6F697E16">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万元</w:t>
            </w:r>
          </w:p>
        </w:tc>
        <w:tc>
          <w:tcPr>
            <w:tcW w:w="1234" w:type="dxa"/>
            <w:vAlign w:val="center"/>
          </w:tcPr>
          <w:p w14:paraId="171A8705">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Y≥20000</w:t>
            </w:r>
          </w:p>
        </w:tc>
        <w:tc>
          <w:tcPr>
            <w:tcW w:w="1867" w:type="dxa"/>
            <w:vAlign w:val="center"/>
          </w:tcPr>
          <w:p w14:paraId="7A3B6F46">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500≤Y＜20000</w:t>
            </w:r>
          </w:p>
        </w:tc>
        <w:tc>
          <w:tcPr>
            <w:tcW w:w="1686" w:type="dxa"/>
            <w:vAlign w:val="center"/>
          </w:tcPr>
          <w:p w14:paraId="24320521">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50≤Y＜500</w:t>
            </w:r>
          </w:p>
        </w:tc>
        <w:tc>
          <w:tcPr>
            <w:tcW w:w="966" w:type="dxa"/>
            <w:vAlign w:val="center"/>
          </w:tcPr>
          <w:p w14:paraId="6EABDC01">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Y＜50</w:t>
            </w:r>
          </w:p>
        </w:tc>
      </w:tr>
      <w:tr w14:paraId="2E306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320" w:type="dxa"/>
            <w:vMerge w:val="restart"/>
            <w:vAlign w:val="center"/>
          </w:tcPr>
          <w:p w14:paraId="11DF2A35">
            <w:pPr>
              <w:widowControl/>
              <w:spacing w:line="240" w:lineRule="exact"/>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工业*</w:t>
            </w:r>
          </w:p>
        </w:tc>
        <w:tc>
          <w:tcPr>
            <w:tcW w:w="1502" w:type="dxa"/>
            <w:vAlign w:val="center"/>
          </w:tcPr>
          <w:p w14:paraId="34FB4C45">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从业人员(X)</w:t>
            </w:r>
          </w:p>
        </w:tc>
        <w:tc>
          <w:tcPr>
            <w:tcW w:w="778" w:type="dxa"/>
            <w:vAlign w:val="center"/>
          </w:tcPr>
          <w:p w14:paraId="30480917">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人</w:t>
            </w:r>
          </w:p>
        </w:tc>
        <w:tc>
          <w:tcPr>
            <w:tcW w:w="1234" w:type="dxa"/>
            <w:vAlign w:val="center"/>
          </w:tcPr>
          <w:p w14:paraId="1A5DFA8B">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X≥1000</w:t>
            </w:r>
          </w:p>
        </w:tc>
        <w:tc>
          <w:tcPr>
            <w:tcW w:w="1867" w:type="dxa"/>
            <w:vAlign w:val="center"/>
          </w:tcPr>
          <w:p w14:paraId="7C508A6B">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300≤X＜1000</w:t>
            </w:r>
          </w:p>
        </w:tc>
        <w:tc>
          <w:tcPr>
            <w:tcW w:w="1686" w:type="dxa"/>
            <w:vAlign w:val="center"/>
          </w:tcPr>
          <w:p w14:paraId="07EACA8E">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20≤X＜300</w:t>
            </w:r>
          </w:p>
        </w:tc>
        <w:tc>
          <w:tcPr>
            <w:tcW w:w="966" w:type="dxa"/>
            <w:vAlign w:val="center"/>
          </w:tcPr>
          <w:p w14:paraId="2C2FE60B">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X＜20</w:t>
            </w:r>
          </w:p>
        </w:tc>
      </w:tr>
      <w:tr w14:paraId="11659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320" w:type="dxa"/>
            <w:vMerge w:val="continue"/>
            <w:vAlign w:val="center"/>
          </w:tcPr>
          <w:p w14:paraId="4C7BA06A">
            <w:pPr>
              <w:widowControl/>
              <w:spacing w:line="240" w:lineRule="exact"/>
              <w:jc w:val="left"/>
              <w:rPr>
                <w:rFonts w:hint="eastAsia" w:ascii="仿宋" w:hAnsi="仿宋" w:eastAsia="仿宋" w:cs="仿宋"/>
                <w:color w:val="auto"/>
                <w:kern w:val="0"/>
                <w:szCs w:val="21"/>
                <w:highlight w:val="none"/>
              </w:rPr>
            </w:pPr>
          </w:p>
        </w:tc>
        <w:tc>
          <w:tcPr>
            <w:tcW w:w="1502" w:type="dxa"/>
            <w:vAlign w:val="center"/>
          </w:tcPr>
          <w:p w14:paraId="25D807FD">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营业收入(Y)</w:t>
            </w:r>
          </w:p>
        </w:tc>
        <w:tc>
          <w:tcPr>
            <w:tcW w:w="778" w:type="dxa"/>
            <w:vAlign w:val="center"/>
          </w:tcPr>
          <w:p w14:paraId="70F17A00">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万元</w:t>
            </w:r>
          </w:p>
        </w:tc>
        <w:tc>
          <w:tcPr>
            <w:tcW w:w="1234" w:type="dxa"/>
            <w:vAlign w:val="center"/>
          </w:tcPr>
          <w:p w14:paraId="0C3FFAA6">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Y≥40000</w:t>
            </w:r>
          </w:p>
        </w:tc>
        <w:tc>
          <w:tcPr>
            <w:tcW w:w="1867" w:type="dxa"/>
            <w:vAlign w:val="center"/>
          </w:tcPr>
          <w:p w14:paraId="0B49B776">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2000≤Y＜40000</w:t>
            </w:r>
          </w:p>
        </w:tc>
        <w:tc>
          <w:tcPr>
            <w:tcW w:w="1686" w:type="dxa"/>
            <w:vAlign w:val="center"/>
          </w:tcPr>
          <w:p w14:paraId="56E56850">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300≤Y＜2000</w:t>
            </w:r>
          </w:p>
        </w:tc>
        <w:tc>
          <w:tcPr>
            <w:tcW w:w="966" w:type="dxa"/>
            <w:vAlign w:val="center"/>
          </w:tcPr>
          <w:p w14:paraId="31073723">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Y＜300</w:t>
            </w:r>
          </w:p>
        </w:tc>
      </w:tr>
      <w:tr w14:paraId="5038F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320" w:type="dxa"/>
            <w:vMerge w:val="restart"/>
            <w:vAlign w:val="center"/>
          </w:tcPr>
          <w:p w14:paraId="58626E49">
            <w:pPr>
              <w:widowControl/>
              <w:spacing w:line="240" w:lineRule="exact"/>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建筑业</w:t>
            </w:r>
          </w:p>
        </w:tc>
        <w:tc>
          <w:tcPr>
            <w:tcW w:w="1502" w:type="dxa"/>
            <w:vAlign w:val="center"/>
          </w:tcPr>
          <w:p w14:paraId="1F8EA28A">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营业收入(Y)</w:t>
            </w:r>
          </w:p>
        </w:tc>
        <w:tc>
          <w:tcPr>
            <w:tcW w:w="778" w:type="dxa"/>
            <w:vAlign w:val="center"/>
          </w:tcPr>
          <w:p w14:paraId="35713F47">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万元</w:t>
            </w:r>
          </w:p>
        </w:tc>
        <w:tc>
          <w:tcPr>
            <w:tcW w:w="1234" w:type="dxa"/>
            <w:vAlign w:val="center"/>
          </w:tcPr>
          <w:p w14:paraId="6A3A1E6C">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Y≥80000</w:t>
            </w:r>
          </w:p>
        </w:tc>
        <w:tc>
          <w:tcPr>
            <w:tcW w:w="1867" w:type="dxa"/>
            <w:vAlign w:val="center"/>
          </w:tcPr>
          <w:p w14:paraId="5690654A">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6000≤Y＜80000</w:t>
            </w:r>
          </w:p>
        </w:tc>
        <w:tc>
          <w:tcPr>
            <w:tcW w:w="1686" w:type="dxa"/>
            <w:vAlign w:val="center"/>
          </w:tcPr>
          <w:p w14:paraId="269C4BAC">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300≤Y＜6000</w:t>
            </w:r>
          </w:p>
        </w:tc>
        <w:tc>
          <w:tcPr>
            <w:tcW w:w="966" w:type="dxa"/>
            <w:vAlign w:val="center"/>
          </w:tcPr>
          <w:p w14:paraId="249FA6C8">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Y＜300</w:t>
            </w:r>
          </w:p>
        </w:tc>
      </w:tr>
      <w:tr w14:paraId="0BB70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320" w:type="dxa"/>
            <w:vMerge w:val="continue"/>
            <w:vAlign w:val="center"/>
          </w:tcPr>
          <w:p w14:paraId="027586EE">
            <w:pPr>
              <w:widowControl/>
              <w:spacing w:line="240" w:lineRule="exact"/>
              <w:jc w:val="left"/>
              <w:rPr>
                <w:rFonts w:hint="eastAsia" w:ascii="仿宋" w:hAnsi="仿宋" w:eastAsia="仿宋" w:cs="仿宋"/>
                <w:color w:val="auto"/>
                <w:kern w:val="0"/>
                <w:szCs w:val="21"/>
                <w:highlight w:val="none"/>
              </w:rPr>
            </w:pPr>
          </w:p>
        </w:tc>
        <w:tc>
          <w:tcPr>
            <w:tcW w:w="1502" w:type="dxa"/>
            <w:vAlign w:val="center"/>
          </w:tcPr>
          <w:p w14:paraId="54FC899B">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资产总额(Z)</w:t>
            </w:r>
          </w:p>
        </w:tc>
        <w:tc>
          <w:tcPr>
            <w:tcW w:w="778" w:type="dxa"/>
            <w:vAlign w:val="center"/>
          </w:tcPr>
          <w:p w14:paraId="0B7427D3">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万元</w:t>
            </w:r>
          </w:p>
        </w:tc>
        <w:tc>
          <w:tcPr>
            <w:tcW w:w="1234" w:type="dxa"/>
            <w:vAlign w:val="center"/>
          </w:tcPr>
          <w:p w14:paraId="1B9601EF">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Z≥80000</w:t>
            </w:r>
          </w:p>
        </w:tc>
        <w:tc>
          <w:tcPr>
            <w:tcW w:w="1867" w:type="dxa"/>
            <w:vAlign w:val="center"/>
          </w:tcPr>
          <w:p w14:paraId="798905FE">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5000≤Z＜80000</w:t>
            </w:r>
          </w:p>
        </w:tc>
        <w:tc>
          <w:tcPr>
            <w:tcW w:w="1686" w:type="dxa"/>
            <w:vAlign w:val="center"/>
          </w:tcPr>
          <w:p w14:paraId="17548088">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300≤Z＜5000</w:t>
            </w:r>
          </w:p>
        </w:tc>
        <w:tc>
          <w:tcPr>
            <w:tcW w:w="966" w:type="dxa"/>
            <w:vAlign w:val="center"/>
          </w:tcPr>
          <w:p w14:paraId="7B4DDE18">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Z＜300</w:t>
            </w:r>
          </w:p>
        </w:tc>
      </w:tr>
      <w:tr w14:paraId="58924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320" w:type="dxa"/>
            <w:vMerge w:val="restart"/>
            <w:vAlign w:val="center"/>
          </w:tcPr>
          <w:p w14:paraId="6982EE97">
            <w:pPr>
              <w:widowControl/>
              <w:spacing w:line="240" w:lineRule="exact"/>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批发业</w:t>
            </w:r>
          </w:p>
        </w:tc>
        <w:tc>
          <w:tcPr>
            <w:tcW w:w="1502" w:type="dxa"/>
            <w:vAlign w:val="center"/>
          </w:tcPr>
          <w:p w14:paraId="3E8747A5">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从业人员(X)</w:t>
            </w:r>
          </w:p>
        </w:tc>
        <w:tc>
          <w:tcPr>
            <w:tcW w:w="778" w:type="dxa"/>
            <w:vAlign w:val="center"/>
          </w:tcPr>
          <w:p w14:paraId="5BD00F00">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人</w:t>
            </w:r>
          </w:p>
        </w:tc>
        <w:tc>
          <w:tcPr>
            <w:tcW w:w="1234" w:type="dxa"/>
            <w:vAlign w:val="center"/>
          </w:tcPr>
          <w:p w14:paraId="01A18357">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X≥200</w:t>
            </w:r>
          </w:p>
        </w:tc>
        <w:tc>
          <w:tcPr>
            <w:tcW w:w="1867" w:type="dxa"/>
            <w:vAlign w:val="center"/>
          </w:tcPr>
          <w:p w14:paraId="2A2A30C1">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20≤X＜200</w:t>
            </w:r>
          </w:p>
        </w:tc>
        <w:tc>
          <w:tcPr>
            <w:tcW w:w="1686" w:type="dxa"/>
            <w:vAlign w:val="center"/>
          </w:tcPr>
          <w:p w14:paraId="11682A07">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5≤X＜20</w:t>
            </w:r>
          </w:p>
        </w:tc>
        <w:tc>
          <w:tcPr>
            <w:tcW w:w="966" w:type="dxa"/>
            <w:vAlign w:val="center"/>
          </w:tcPr>
          <w:p w14:paraId="2A21C3A8">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X＜5</w:t>
            </w:r>
          </w:p>
        </w:tc>
      </w:tr>
      <w:tr w14:paraId="6D420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320" w:type="dxa"/>
            <w:vMerge w:val="continue"/>
            <w:vAlign w:val="center"/>
          </w:tcPr>
          <w:p w14:paraId="472CB27C">
            <w:pPr>
              <w:widowControl/>
              <w:spacing w:line="240" w:lineRule="exact"/>
              <w:jc w:val="left"/>
              <w:rPr>
                <w:rFonts w:hint="eastAsia" w:ascii="仿宋" w:hAnsi="仿宋" w:eastAsia="仿宋" w:cs="仿宋"/>
                <w:color w:val="auto"/>
                <w:kern w:val="0"/>
                <w:szCs w:val="21"/>
                <w:highlight w:val="none"/>
              </w:rPr>
            </w:pPr>
          </w:p>
        </w:tc>
        <w:tc>
          <w:tcPr>
            <w:tcW w:w="1502" w:type="dxa"/>
            <w:vAlign w:val="center"/>
          </w:tcPr>
          <w:p w14:paraId="11704CB8">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营业收入(Y)</w:t>
            </w:r>
          </w:p>
        </w:tc>
        <w:tc>
          <w:tcPr>
            <w:tcW w:w="778" w:type="dxa"/>
            <w:vAlign w:val="center"/>
          </w:tcPr>
          <w:p w14:paraId="16880A25">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万元</w:t>
            </w:r>
          </w:p>
        </w:tc>
        <w:tc>
          <w:tcPr>
            <w:tcW w:w="1234" w:type="dxa"/>
            <w:vAlign w:val="center"/>
          </w:tcPr>
          <w:p w14:paraId="6E9AF145">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Y≥40000</w:t>
            </w:r>
          </w:p>
        </w:tc>
        <w:tc>
          <w:tcPr>
            <w:tcW w:w="1867" w:type="dxa"/>
            <w:vAlign w:val="center"/>
          </w:tcPr>
          <w:p w14:paraId="64902E7A">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5000≤Y＜40000</w:t>
            </w:r>
          </w:p>
        </w:tc>
        <w:tc>
          <w:tcPr>
            <w:tcW w:w="1686" w:type="dxa"/>
            <w:vAlign w:val="center"/>
          </w:tcPr>
          <w:p w14:paraId="67479161">
            <w:pPr>
              <w:widowControl/>
              <w:spacing w:line="240" w:lineRule="exact"/>
              <w:ind w:left="-1" w:leftChars="-1" w:hanging="1"/>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1000≤Y＜5000</w:t>
            </w:r>
          </w:p>
        </w:tc>
        <w:tc>
          <w:tcPr>
            <w:tcW w:w="966" w:type="dxa"/>
            <w:vAlign w:val="center"/>
          </w:tcPr>
          <w:p w14:paraId="0B473444">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Y＜1000</w:t>
            </w:r>
          </w:p>
        </w:tc>
      </w:tr>
      <w:tr w14:paraId="7D6D5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320" w:type="dxa"/>
            <w:vMerge w:val="restart"/>
            <w:vAlign w:val="center"/>
          </w:tcPr>
          <w:p w14:paraId="56FD37F7">
            <w:pPr>
              <w:widowControl/>
              <w:spacing w:line="240" w:lineRule="exact"/>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零售业</w:t>
            </w:r>
          </w:p>
        </w:tc>
        <w:tc>
          <w:tcPr>
            <w:tcW w:w="1502" w:type="dxa"/>
            <w:vAlign w:val="center"/>
          </w:tcPr>
          <w:p w14:paraId="42345AC4">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从业人员(X)</w:t>
            </w:r>
          </w:p>
        </w:tc>
        <w:tc>
          <w:tcPr>
            <w:tcW w:w="778" w:type="dxa"/>
            <w:vAlign w:val="center"/>
          </w:tcPr>
          <w:p w14:paraId="54AFEC50">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人</w:t>
            </w:r>
          </w:p>
        </w:tc>
        <w:tc>
          <w:tcPr>
            <w:tcW w:w="1234" w:type="dxa"/>
            <w:vAlign w:val="center"/>
          </w:tcPr>
          <w:p w14:paraId="1FD2ECDE">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X≥300</w:t>
            </w:r>
          </w:p>
        </w:tc>
        <w:tc>
          <w:tcPr>
            <w:tcW w:w="1867" w:type="dxa"/>
            <w:vAlign w:val="center"/>
          </w:tcPr>
          <w:p w14:paraId="340D0499">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50≤X＜300</w:t>
            </w:r>
          </w:p>
        </w:tc>
        <w:tc>
          <w:tcPr>
            <w:tcW w:w="1686" w:type="dxa"/>
            <w:vAlign w:val="center"/>
          </w:tcPr>
          <w:p w14:paraId="4A978880">
            <w:pPr>
              <w:widowControl/>
              <w:spacing w:line="240" w:lineRule="exact"/>
              <w:ind w:left="-1" w:leftChars="-1" w:hanging="1"/>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xml:space="preserve">10≤X＜50 </w:t>
            </w:r>
          </w:p>
        </w:tc>
        <w:tc>
          <w:tcPr>
            <w:tcW w:w="966" w:type="dxa"/>
            <w:vAlign w:val="center"/>
          </w:tcPr>
          <w:p w14:paraId="15E65C08">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X＜10</w:t>
            </w:r>
          </w:p>
        </w:tc>
      </w:tr>
      <w:tr w14:paraId="6E523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320" w:type="dxa"/>
            <w:vMerge w:val="continue"/>
            <w:vAlign w:val="center"/>
          </w:tcPr>
          <w:p w14:paraId="0D4D290D">
            <w:pPr>
              <w:widowControl/>
              <w:spacing w:line="240" w:lineRule="exact"/>
              <w:jc w:val="left"/>
              <w:rPr>
                <w:rFonts w:hint="eastAsia" w:ascii="仿宋" w:hAnsi="仿宋" w:eastAsia="仿宋" w:cs="仿宋"/>
                <w:color w:val="auto"/>
                <w:kern w:val="0"/>
                <w:szCs w:val="21"/>
                <w:highlight w:val="none"/>
              </w:rPr>
            </w:pPr>
          </w:p>
        </w:tc>
        <w:tc>
          <w:tcPr>
            <w:tcW w:w="1502" w:type="dxa"/>
            <w:vAlign w:val="center"/>
          </w:tcPr>
          <w:p w14:paraId="5EF90262">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营业收入(Y)</w:t>
            </w:r>
          </w:p>
        </w:tc>
        <w:tc>
          <w:tcPr>
            <w:tcW w:w="778" w:type="dxa"/>
            <w:vAlign w:val="center"/>
          </w:tcPr>
          <w:p w14:paraId="3D9D8190">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万元</w:t>
            </w:r>
          </w:p>
        </w:tc>
        <w:tc>
          <w:tcPr>
            <w:tcW w:w="1234" w:type="dxa"/>
            <w:vAlign w:val="center"/>
          </w:tcPr>
          <w:p w14:paraId="69C8B2C7">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Y≥20000</w:t>
            </w:r>
          </w:p>
        </w:tc>
        <w:tc>
          <w:tcPr>
            <w:tcW w:w="1867" w:type="dxa"/>
            <w:vAlign w:val="center"/>
          </w:tcPr>
          <w:p w14:paraId="320EC4F6">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500≤Y＜20000</w:t>
            </w:r>
          </w:p>
        </w:tc>
        <w:tc>
          <w:tcPr>
            <w:tcW w:w="1686" w:type="dxa"/>
            <w:vAlign w:val="center"/>
          </w:tcPr>
          <w:p w14:paraId="743B3849">
            <w:pPr>
              <w:widowControl/>
              <w:spacing w:line="240" w:lineRule="exact"/>
              <w:ind w:left="-1" w:leftChars="-1" w:hanging="1"/>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100≤Y＜500</w:t>
            </w:r>
          </w:p>
        </w:tc>
        <w:tc>
          <w:tcPr>
            <w:tcW w:w="966" w:type="dxa"/>
            <w:vAlign w:val="center"/>
          </w:tcPr>
          <w:p w14:paraId="40DDDCF2">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Y＜100</w:t>
            </w:r>
          </w:p>
        </w:tc>
      </w:tr>
      <w:tr w14:paraId="71AC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320" w:type="dxa"/>
            <w:vMerge w:val="restart"/>
            <w:vAlign w:val="center"/>
          </w:tcPr>
          <w:p w14:paraId="0ACB4BEE">
            <w:pPr>
              <w:widowControl/>
              <w:spacing w:line="240" w:lineRule="exact"/>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交通运输业*</w:t>
            </w:r>
          </w:p>
        </w:tc>
        <w:tc>
          <w:tcPr>
            <w:tcW w:w="1502" w:type="dxa"/>
            <w:vAlign w:val="center"/>
          </w:tcPr>
          <w:p w14:paraId="634BC2B4">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从业人员(X)</w:t>
            </w:r>
          </w:p>
        </w:tc>
        <w:tc>
          <w:tcPr>
            <w:tcW w:w="778" w:type="dxa"/>
            <w:vAlign w:val="center"/>
          </w:tcPr>
          <w:p w14:paraId="5C82E820">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人</w:t>
            </w:r>
          </w:p>
        </w:tc>
        <w:tc>
          <w:tcPr>
            <w:tcW w:w="1234" w:type="dxa"/>
            <w:vAlign w:val="center"/>
          </w:tcPr>
          <w:p w14:paraId="1B8EA90D">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X≥1000</w:t>
            </w:r>
          </w:p>
        </w:tc>
        <w:tc>
          <w:tcPr>
            <w:tcW w:w="1867" w:type="dxa"/>
            <w:vAlign w:val="center"/>
          </w:tcPr>
          <w:p w14:paraId="7B795D91">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300≤X＜1000</w:t>
            </w:r>
          </w:p>
        </w:tc>
        <w:tc>
          <w:tcPr>
            <w:tcW w:w="1686" w:type="dxa"/>
            <w:vAlign w:val="center"/>
          </w:tcPr>
          <w:p w14:paraId="553F9C5C">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20≤X＜300</w:t>
            </w:r>
          </w:p>
        </w:tc>
        <w:tc>
          <w:tcPr>
            <w:tcW w:w="966" w:type="dxa"/>
            <w:vAlign w:val="center"/>
          </w:tcPr>
          <w:p w14:paraId="41D9DB69">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X＜20</w:t>
            </w:r>
          </w:p>
        </w:tc>
      </w:tr>
      <w:tr w14:paraId="012F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320" w:type="dxa"/>
            <w:vMerge w:val="continue"/>
            <w:vAlign w:val="center"/>
          </w:tcPr>
          <w:p w14:paraId="4F14E604">
            <w:pPr>
              <w:widowControl/>
              <w:spacing w:line="240" w:lineRule="exact"/>
              <w:jc w:val="left"/>
              <w:rPr>
                <w:rFonts w:hint="eastAsia" w:ascii="仿宋" w:hAnsi="仿宋" w:eastAsia="仿宋" w:cs="仿宋"/>
                <w:color w:val="auto"/>
                <w:kern w:val="0"/>
                <w:szCs w:val="21"/>
                <w:highlight w:val="none"/>
              </w:rPr>
            </w:pPr>
          </w:p>
        </w:tc>
        <w:tc>
          <w:tcPr>
            <w:tcW w:w="1502" w:type="dxa"/>
            <w:vAlign w:val="center"/>
          </w:tcPr>
          <w:p w14:paraId="2DAD9785">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营业收入(Y)</w:t>
            </w:r>
          </w:p>
        </w:tc>
        <w:tc>
          <w:tcPr>
            <w:tcW w:w="778" w:type="dxa"/>
            <w:vAlign w:val="center"/>
          </w:tcPr>
          <w:p w14:paraId="2E30C38C">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万元</w:t>
            </w:r>
          </w:p>
        </w:tc>
        <w:tc>
          <w:tcPr>
            <w:tcW w:w="1234" w:type="dxa"/>
            <w:vAlign w:val="center"/>
          </w:tcPr>
          <w:p w14:paraId="6B5854A9">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Y≥30000</w:t>
            </w:r>
          </w:p>
        </w:tc>
        <w:tc>
          <w:tcPr>
            <w:tcW w:w="1867" w:type="dxa"/>
            <w:vAlign w:val="center"/>
          </w:tcPr>
          <w:p w14:paraId="5AB06C99">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3000≤Y＜30000</w:t>
            </w:r>
          </w:p>
        </w:tc>
        <w:tc>
          <w:tcPr>
            <w:tcW w:w="1686" w:type="dxa"/>
            <w:vAlign w:val="center"/>
          </w:tcPr>
          <w:p w14:paraId="2E257089">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200≤Y＜3000</w:t>
            </w:r>
          </w:p>
        </w:tc>
        <w:tc>
          <w:tcPr>
            <w:tcW w:w="966" w:type="dxa"/>
            <w:vAlign w:val="center"/>
          </w:tcPr>
          <w:p w14:paraId="4B99C81C">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Y＜200</w:t>
            </w:r>
          </w:p>
        </w:tc>
      </w:tr>
      <w:tr w14:paraId="4DFA4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320" w:type="dxa"/>
            <w:vMerge w:val="restart"/>
            <w:vAlign w:val="center"/>
          </w:tcPr>
          <w:p w14:paraId="277D2291">
            <w:pPr>
              <w:widowControl/>
              <w:spacing w:line="240" w:lineRule="exact"/>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仓储业*</w:t>
            </w:r>
          </w:p>
        </w:tc>
        <w:tc>
          <w:tcPr>
            <w:tcW w:w="1502" w:type="dxa"/>
            <w:vAlign w:val="center"/>
          </w:tcPr>
          <w:p w14:paraId="210C7D74">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从业人员(X)</w:t>
            </w:r>
          </w:p>
        </w:tc>
        <w:tc>
          <w:tcPr>
            <w:tcW w:w="778" w:type="dxa"/>
            <w:vAlign w:val="center"/>
          </w:tcPr>
          <w:p w14:paraId="4AC26D8A">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人</w:t>
            </w:r>
          </w:p>
        </w:tc>
        <w:tc>
          <w:tcPr>
            <w:tcW w:w="1234" w:type="dxa"/>
            <w:vAlign w:val="center"/>
          </w:tcPr>
          <w:p w14:paraId="58DEA913">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X≥200</w:t>
            </w:r>
          </w:p>
        </w:tc>
        <w:tc>
          <w:tcPr>
            <w:tcW w:w="1867" w:type="dxa"/>
            <w:vAlign w:val="center"/>
          </w:tcPr>
          <w:p w14:paraId="5BC1A33A">
            <w:pPr>
              <w:widowControl/>
              <w:spacing w:line="240" w:lineRule="exact"/>
              <w:ind w:left="19" w:leftChars="-51" w:hanging="126" w:hangingChars="60"/>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100≤X＜200</w:t>
            </w:r>
          </w:p>
        </w:tc>
        <w:tc>
          <w:tcPr>
            <w:tcW w:w="1686" w:type="dxa"/>
            <w:vAlign w:val="center"/>
          </w:tcPr>
          <w:p w14:paraId="663184C6">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20≤X＜100</w:t>
            </w:r>
          </w:p>
        </w:tc>
        <w:tc>
          <w:tcPr>
            <w:tcW w:w="966" w:type="dxa"/>
            <w:vAlign w:val="center"/>
          </w:tcPr>
          <w:p w14:paraId="607A24BA">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X＜20</w:t>
            </w:r>
          </w:p>
        </w:tc>
      </w:tr>
      <w:tr w14:paraId="18CA9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320" w:type="dxa"/>
            <w:vMerge w:val="continue"/>
            <w:vAlign w:val="center"/>
          </w:tcPr>
          <w:p w14:paraId="21FD58C1">
            <w:pPr>
              <w:widowControl/>
              <w:spacing w:line="240" w:lineRule="exact"/>
              <w:jc w:val="left"/>
              <w:rPr>
                <w:rFonts w:hint="eastAsia" w:ascii="仿宋" w:hAnsi="仿宋" w:eastAsia="仿宋" w:cs="仿宋"/>
                <w:color w:val="auto"/>
                <w:kern w:val="0"/>
                <w:szCs w:val="21"/>
                <w:highlight w:val="none"/>
              </w:rPr>
            </w:pPr>
          </w:p>
        </w:tc>
        <w:tc>
          <w:tcPr>
            <w:tcW w:w="1502" w:type="dxa"/>
            <w:vAlign w:val="center"/>
          </w:tcPr>
          <w:p w14:paraId="44E011EA">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营业收入(Y)</w:t>
            </w:r>
          </w:p>
        </w:tc>
        <w:tc>
          <w:tcPr>
            <w:tcW w:w="778" w:type="dxa"/>
            <w:vAlign w:val="center"/>
          </w:tcPr>
          <w:p w14:paraId="245068DD">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万元</w:t>
            </w:r>
          </w:p>
        </w:tc>
        <w:tc>
          <w:tcPr>
            <w:tcW w:w="1234" w:type="dxa"/>
            <w:vAlign w:val="center"/>
          </w:tcPr>
          <w:p w14:paraId="316C72B8">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Y≥30000</w:t>
            </w:r>
          </w:p>
        </w:tc>
        <w:tc>
          <w:tcPr>
            <w:tcW w:w="1867" w:type="dxa"/>
            <w:vAlign w:val="center"/>
          </w:tcPr>
          <w:p w14:paraId="6A32396C">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1000≤Y＜30000</w:t>
            </w:r>
          </w:p>
        </w:tc>
        <w:tc>
          <w:tcPr>
            <w:tcW w:w="1686" w:type="dxa"/>
            <w:vAlign w:val="center"/>
          </w:tcPr>
          <w:p w14:paraId="1334CB2E">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100≤Y＜1000</w:t>
            </w:r>
          </w:p>
        </w:tc>
        <w:tc>
          <w:tcPr>
            <w:tcW w:w="966" w:type="dxa"/>
            <w:vAlign w:val="center"/>
          </w:tcPr>
          <w:p w14:paraId="6A5F1A68">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Y＜100</w:t>
            </w:r>
          </w:p>
        </w:tc>
      </w:tr>
      <w:tr w14:paraId="3B51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320" w:type="dxa"/>
            <w:vMerge w:val="restart"/>
            <w:vAlign w:val="center"/>
          </w:tcPr>
          <w:p w14:paraId="4D161E65">
            <w:pPr>
              <w:widowControl/>
              <w:spacing w:line="240" w:lineRule="exact"/>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邮政业</w:t>
            </w:r>
          </w:p>
        </w:tc>
        <w:tc>
          <w:tcPr>
            <w:tcW w:w="1502" w:type="dxa"/>
            <w:vAlign w:val="center"/>
          </w:tcPr>
          <w:p w14:paraId="6A243AE1">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从业人员(X)</w:t>
            </w:r>
          </w:p>
        </w:tc>
        <w:tc>
          <w:tcPr>
            <w:tcW w:w="778" w:type="dxa"/>
            <w:vAlign w:val="center"/>
          </w:tcPr>
          <w:p w14:paraId="4B4F240F">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人</w:t>
            </w:r>
          </w:p>
        </w:tc>
        <w:tc>
          <w:tcPr>
            <w:tcW w:w="1234" w:type="dxa"/>
            <w:vAlign w:val="center"/>
          </w:tcPr>
          <w:p w14:paraId="29F341B3">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X≥1000</w:t>
            </w:r>
          </w:p>
        </w:tc>
        <w:tc>
          <w:tcPr>
            <w:tcW w:w="1867" w:type="dxa"/>
            <w:vAlign w:val="center"/>
          </w:tcPr>
          <w:p w14:paraId="4557F570">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300≤X＜1000</w:t>
            </w:r>
          </w:p>
        </w:tc>
        <w:tc>
          <w:tcPr>
            <w:tcW w:w="1686" w:type="dxa"/>
            <w:vAlign w:val="center"/>
          </w:tcPr>
          <w:p w14:paraId="435EF7AD">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20≤X＜300</w:t>
            </w:r>
          </w:p>
        </w:tc>
        <w:tc>
          <w:tcPr>
            <w:tcW w:w="966" w:type="dxa"/>
            <w:vAlign w:val="center"/>
          </w:tcPr>
          <w:p w14:paraId="540FDF61">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X＜20</w:t>
            </w:r>
          </w:p>
        </w:tc>
      </w:tr>
      <w:tr w14:paraId="47656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320" w:type="dxa"/>
            <w:vMerge w:val="continue"/>
            <w:vAlign w:val="center"/>
          </w:tcPr>
          <w:p w14:paraId="27DD9F2F">
            <w:pPr>
              <w:widowControl/>
              <w:spacing w:line="240" w:lineRule="exact"/>
              <w:jc w:val="left"/>
              <w:rPr>
                <w:rFonts w:hint="eastAsia" w:ascii="仿宋" w:hAnsi="仿宋" w:eastAsia="仿宋" w:cs="仿宋"/>
                <w:color w:val="auto"/>
                <w:kern w:val="0"/>
                <w:szCs w:val="21"/>
                <w:highlight w:val="none"/>
              </w:rPr>
            </w:pPr>
          </w:p>
        </w:tc>
        <w:tc>
          <w:tcPr>
            <w:tcW w:w="1502" w:type="dxa"/>
            <w:vAlign w:val="center"/>
          </w:tcPr>
          <w:p w14:paraId="4773634E">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营业收入(Y)</w:t>
            </w:r>
          </w:p>
        </w:tc>
        <w:tc>
          <w:tcPr>
            <w:tcW w:w="778" w:type="dxa"/>
            <w:vAlign w:val="center"/>
          </w:tcPr>
          <w:p w14:paraId="7FD54FDC">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万元</w:t>
            </w:r>
          </w:p>
        </w:tc>
        <w:tc>
          <w:tcPr>
            <w:tcW w:w="1234" w:type="dxa"/>
            <w:vAlign w:val="center"/>
          </w:tcPr>
          <w:p w14:paraId="7B4DAE2E">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Y≥30000</w:t>
            </w:r>
          </w:p>
        </w:tc>
        <w:tc>
          <w:tcPr>
            <w:tcW w:w="1867" w:type="dxa"/>
            <w:vAlign w:val="center"/>
          </w:tcPr>
          <w:p w14:paraId="4170B887">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2000≤Y＜30000</w:t>
            </w:r>
          </w:p>
        </w:tc>
        <w:tc>
          <w:tcPr>
            <w:tcW w:w="1686" w:type="dxa"/>
            <w:vAlign w:val="center"/>
          </w:tcPr>
          <w:p w14:paraId="433DF2C2">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100≤Y＜2000</w:t>
            </w:r>
          </w:p>
        </w:tc>
        <w:tc>
          <w:tcPr>
            <w:tcW w:w="966" w:type="dxa"/>
            <w:vAlign w:val="center"/>
          </w:tcPr>
          <w:p w14:paraId="10AF027A">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Y＜100</w:t>
            </w:r>
          </w:p>
        </w:tc>
      </w:tr>
      <w:tr w14:paraId="5A188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320" w:type="dxa"/>
            <w:vMerge w:val="restart"/>
            <w:vAlign w:val="center"/>
          </w:tcPr>
          <w:p w14:paraId="2395FAE9">
            <w:pPr>
              <w:widowControl/>
              <w:spacing w:line="240" w:lineRule="exact"/>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住宿业</w:t>
            </w:r>
          </w:p>
        </w:tc>
        <w:tc>
          <w:tcPr>
            <w:tcW w:w="1502" w:type="dxa"/>
            <w:vAlign w:val="center"/>
          </w:tcPr>
          <w:p w14:paraId="0CEF93DF">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从业人员(X)</w:t>
            </w:r>
          </w:p>
        </w:tc>
        <w:tc>
          <w:tcPr>
            <w:tcW w:w="778" w:type="dxa"/>
            <w:vAlign w:val="center"/>
          </w:tcPr>
          <w:p w14:paraId="3CCAB2CE">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人</w:t>
            </w:r>
          </w:p>
        </w:tc>
        <w:tc>
          <w:tcPr>
            <w:tcW w:w="1234" w:type="dxa"/>
            <w:vAlign w:val="center"/>
          </w:tcPr>
          <w:p w14:paraId="50006A6F">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X≥300</w:t>
            </w:r>
          </w:p>
        </w:tc>
        <w:tc>
          <w:tcPr>
            <w:tcW w:w="1867" w:type="dxa"/>
            <w:vAlign w:val="center"/>
          </w:tcPr>
          <w:p w14:paraId="5147E0A4">
            <w:pPr>
              <w:widowControl/>
              <w:spacing w:line="240" w:lineRule="exact"/>
              <w:ind w:left="19" w:leftChars="-51" w:hanging="126" w:hangingChars="60"/>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100≤X＜300</w:t>
            </w:r>
          </w:p>
        </w:tc>
        <w:tc>
          <w:tcPr>
            <w:tcW w:w="1686" w:type="dxa"/>
            <w:vAlign w:val="center"/>
          </w:tcPr>
          <w:p w14:paraId="5AE6241C">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10≤X＜100</w:t>
            </w:r>
          </w:p>
        </w:tc>
        <w:tc>
          <w:tcPr>
            <w:tcW w:w="966" w:type="dxa"/>
            <w:vAlign w:val="center"/>
          </w:tcPr>
          <w:p w14:paraId="60B8991C">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X＜10</w:t>
            </w:r>
          </w:p>
        </w:tc>
      </w:tr>
      <w:tr w14:paraId="15DC4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320" w:type="dxa"/>
            <w:vMerge w:val="continue"/>
            <w:vAlign w:val="center"/>
          </w:tcPr>
          <w:p w14:paraId="4CF91388">
            <w:pPr>
              <w:widowControl/>
              <w:spacing w:line="240" w:lineRule="exact"/>
              <w:jc w:val="left"/>
              <w:rPr>
                <w:rFonts w:hint="eastAsia" w:ascii="仿宋" w:hAnsi="仿宋" w:eastAsia="仿宋" w:cs="仿宋"/>
                <w:color w:val="auto"/>
                <w:kern w:val="0"/>
                <w:szCs w:val="21"/>
                <w:highlight w:val="none"/>
              </w:rPr>
            </w:pPr>
          </w:p>
        </w:tc>
        <w:tc>
          <w:tcPr>
            <w:tcW w:w="1502" w:type="dxa"/>
            <w:vAlign w:val="center"/>
          </w:tcPr>
          <w:p w14:paraId="62AD6BDA">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营业收入(Y)</w:t>
            </w:r>
          </w:p>
        </w:tc>
        <w:tc>
          <w:tcPr>
            <w:tcW w:w="778" w:type="dxa"/>
            <w:vAlign w:val="center"/>
          </w:tcPr>
          <w:p w14:paraId="20173E4F">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万元</w:t>
            </w:r>
          </w:p>
        </w:tc>
        <w:tc>
          <w:tcPr>
            <w:tcW w:w="1234" w:type="dxa"/>
            <w:vAlign w:val="center"/>
          </w:tcPr>
          <w:p w14:paraId="0C4A5772">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Y≥10000</w:t>
            </w:r>
          </w:p>
        </w:tc>
        <w:tc>
          <w:tcPr>
            <w:tcW w:w="1867" w:type="dxa"/>
            <w:vAlign w:val="center"/>
          </w:tcPr>
          <w:p w14:paraId="25071D25">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2000≤Y＜10000</w:t>
            </w:r>
          </w:p>
        </w:tc>
        <w:tc>
          <w:tcPr>
            <w:tcW w:w="1686" w:type="dxa"/>
            <w:vAlign w:val="center"/>
          </w:tcPr>
          <w:p w14:paraId="106BA5D3">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100≤Y＜2000</w:t>
            </w:r>
          </w:p>
        </w:tc>
        <w:tc>
          <w:tcPr>
            <w:tcW w:w="966" w:type="dxa"/>
            <w:vAlign w:val="center"/>
          </w:tcPr>
          <w:p w14:paraId="48B97C91">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Y＜100</w:t>
            </w:r>
          </w:p>
        </w:tc>
      </w:tr>
      <w:tr w14:paraId="7D05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320" w:type="dxa"/>
            <w:vMerge w:val="restart"/>
            <w:vAlign w:val="center"/>
          </w:tcPr>
          <w:p w14:paraId="34508646">
            <w:pPr>
              <w:widowControl/>
              <w:spacing w:line="240" w:lineRule="exact"/>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餐饮业</w:t>
            </w:r>
          </w:p>
        </w:tc>
        <w:tc>
          <w:tcPr>
            <w:tcW w:w="1502" w:type="dxa"/>
            <w:vAlign w:val="center"/>
          </w:tcPr>
          <w:p w14:paraId="73938E5A">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从业人员(X)</w:t>
            </w:r>
          </w:p>
        </w:tc>
        <w:tc>
          <w:tcPr>
            <w:tcW w:w="778" w:type="dxa"/>
            <w:vAlign w:val="center"/>
          </w:tcPr>
          <w:p w14:paraId="555A1610">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人</w:t>
            </w:r>
          </w:p>
        </w:tc>
        <w:tc>
          <w:tcPr>
            <w:tcW w:w="1234" w:type="dxa"/>
            <w:vAlign w:val="center"/>
          </w:tcPr>
          <w:p w14:paraId="5963AC58">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X≥300</w:t>
            </w:r>
          </w:p>
        </w:tc>
        <w:tc>
          <w:tcPr>
            <w:tcW w:w="1867" w:type="dxa"/>
            <w:vAlign w:val="center"/>
          </w:tcPr>
          <w:p w14:paraId="5F59EA37">
            <w:pPr>
              <w:widowControl/>
              <w:spacing w:line="240" w:lineRule="exact"/>
              <w:ind w:left="19" w:leftChars="-51" w:hanging="126" w:hangingChars="60"/>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xml:space="preserve">100≤X＜300 </w:t>
            </w:r>
          </w:p>
        </w:tc>
        <w:tc>
          <w:tcPr>
            <w:tcW w:w="1686" w:type="dxa"/>
            <w:vAlign w:val="center"/>
          </w:tcPr>
          <w:p w14:paraId="22D6C2E4">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10≤X＜100</w:t>
            </w:r>
          </w:p>
        </w:tc>
        <w:tc>
          <w:tcPr>
            <w:tcW w:w="966" w:type="dxa"/>
            <w:vAlign w:val="center"/>
          </w:tcPr>
          <w:p w14:paraId="69E6446F">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X＜10</w:t>
            </w:r>
          </w:p>
        </w:tc>
      </w:tr>
      <w:tr w14:paraId="5A63C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320" w:type="dxa"/>
            <w:vMerge w:val="continue"/>
            <w:vAlign w:val="center"/>
          </w:tcPr>
          <w:p w14:paraId="51329B94">
            <w:pPr>
              <w:widowControl/>
              <w:spacing w:line="240" w:lineRule="exact"/>
              <w:jc w:val="left"/>
              <w:rPr>
                <w:rFonts w:hint="eastAsia" w:ascii="仿宋" w:hAnsi="仿宋" w:eastAsia="仿宋" w:cs="仿宋"/>
                <w:color w:val="auto"/>
                <w:kern w:val="0"/>
                <w:szCs w:val="21"/>
                <w:highlight w:val="none"/>
              </w:rPr>
            </w:pPr>
          </w:p>
        </w:tc>
        <w:tc>
          <w:tcPr>
            <w:tcW w:w="1502" w:type="dxa"/>
            <w:vAlign w:val="center"/>
          </w:tcPr>
          <w:p w14:paraId="1B02BA7D">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营业收入(Y)</w:t>
            </w:r>
          </w:p>
        </w:tc>
        <w:tc>
          <w:tcPr>
            <w:tcW w:w="778" w:type="dxa"/>
            <w:vAlign w:val="center"/>
          </w:tcPr>
          <w:p w14:paraId="1D7AA230">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万元</w:t>
            </w:r>
          </w:p>
        </w:tc>
        <w:tc>
          <w:tcPr>
            <w:tcW w:w="1234" w:type="dxa"/>
            <w:vAlign w:val="center"/>
          </w:tcPr>
          <w:p w14:paraId="01D97C33">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Y≥10000</w:t>
            </w:r>
          </w:p>
        </w:tc>
        <w:tc>
          <w:tcPr>
            <w:tcW w:w="1867" w:type="dxa"/>
            <w:vAlign w:val="center"/>
          </w:tcPr>
          <w:p w14:paraId="149F2F7D">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2000≤Y＜10000</w:t>
            </w:r>
          </w:p>
        </w:tc>
        <w:tc>
          <w:tcPr>
            <w:tcW w:w="1686" w:type="dxa"/>
            <w:vAlign w:val="center"/>
          </w:tcPr>
          <w:p w14:paraId="3C252368">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100≤Y＜2000</w:t>
            </w:r>
          </w:p>
        </w:tc>
        <w:tc>
          <w:tcPr>
            <w:tcW w:w="966" w:type="dxa"/>
            <w:vAlign w:val="center"/>
          </w:tcPr>
          <w:p w14:paraId="4CA8B8CF">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Y＜100</w:t>
            </w:r>
          </w:p>
        </w:tc>
      </w:tr>
      <w:tr w14:paraId="625B5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320" w:type="dxa"/>
            <w:vMerge w:val="restart"/>
            <w:vAlign w:val="center"/>
          </w:tcPr>
          <w:p w14:paraId="1033BA5A">
            <w:pPr>
              <w:widowControl/>
              <w:spacing w:line="240" w:lineRule="exact"/>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信息传输业*</w:t>
            </w:r>
          </w:p>
        </w:tc>
        <w:tc>
          <w:tcPr>
            <w:tcW w:w="1502" w:type="dxa"/>
            <w:vAlign w:val="center"/>
          </w:tcPr>
          <w:p w14:paraId="29DCFDE6">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从业人员(X)</w:t>
            </w:r>
          </w:p>
        </w:tc>
        <w:tc>
          <w:tcPr>
            <w:tcW w:w="778" w:type="dxa"/>
            <w:vAlign w:val="center"/>
          </w:tcPr>
          <w:p w14:paraId="2B512355">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人</w:t>
            </w:r>
          </w:p>
        </w:tc>
        <w:tc>
          <w:tcPr>
            <w:tcW w:w="1234" w:type="dxa"/>
            <w:vAlign w:val="center"/>
          </w:tcPr>
          <w:p w14:paraId="305DA2B0">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X≥2000</w:t>
            </w:r>
          </w:p>
        </w:tc>
        <w:tc>
          <w:tcPr>
            <w:tcW w:w="1867" w:type="dxa"/>
            <w:vAlign w:val="center"/>
          </w:tcPr>
          <w:p w14:paraId="4401879C">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100≤X＜2000</w:t>
            </w:r>
          </w:p>
        </w:tc>
        <w:tc>
          <w:tcPr>
            <w:tcW w:w="1686" w:type="dxa"/>
            <w:vAlign w:val="center"/>
          </w:tcPr>
          <w:p w14:paraId="6CCCFEAC">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10≤X＜100</w:t>
            </w:r>
          </w:p>
        </w:tc>
        <w:tc>
          <w:tcPr>
            <w:tcW w:w="966" w:type="dxa"/>
            <w:vAlign w:val="center"/>
          </w:tcPr>
          <w:p w14:paraId="209A393B">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X＜10</w:t>
            </w:r>
          </w:p>
        </w:tc>
      </w:tr>
      <w:tr w14:paraId="05AC4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320" w:type="dxa"/>
            <w:vMerge w:val="continue"/>
            <w:vAlign w:val="center"/>
          </w:tcPr>
          <w:p w14:paraId="61588D94">
            <w:pPr>
              <w:widowControl/>
              <w:spacing w:line="240" w:lineRule="exact"/>
              <w:jc w:val="left"/>
              <w:rPr>
                <w:rFonts w:hint="eastAsia" w:ascii="仿宋" w:hAnsi="仿宋" w:eastAsia="仿宋" w:cs="仿宋"/>
                <w:color w:val="auto"/>
                <w:kern w:val="0"/>
                <w:szCs w:val="21"/>
                <w:highlight w:val="none"/>
              </w:rPr>
            </w:pPr>
          </w:p>
        </w:tc>
        <w:tc>
          <w:tcPr>
            <w:tcW w:w="1502" w:type="dxa"/>
            <w:vAlign w:val="center"/>
          </w:tcPr>
          <w:p w14:paraId="706BB7D4">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营业收入(Y)</w:t>
            </w:r>
          </w:p>
        </w:tc>
        <w:tc>
          <w:tcPr>
            <w:tcW w:w="778" w:type="dxa"/>
            <w:vAlign w:val="center"/>
          </w:tcPr>
          <w:p w14:paraId="0A5CB0D6">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万元</w:t>
            </w:r>
          </w:p>
        </w:tc>
        <w:tc>
          <w:tcPr>
            <w:tcW w:w="1234" w:type="dxa"/>
            <w:vAlign w:val="center"/>
          </w:tcPr>
          <w:p w14:paraId="46B322E3">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Y≥100000</w:t>
            </w:r>
          </w:p>
        </w:tc>
        <w:tc>
          <w:tcPr>
            <w:tcW w:w="1867" w:type="dxa"/>
            <w:vAlign w:val="center"/>
          </w:tcPr>
          <w:p w14:paraId="725D8049">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1000≤Y＜100000</w:t>
            </w:r>
          </w:p>
        </w:tc>
        <w:tc>
          <w:tcPr>
            <w:tcW w:w="1686" w:type="dxa"/>
            <w:vAlign w:val="center"/>
          </w:tcPr>
          <w:p w14:paraId="48FCE4FC">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100≤Y＜1000</w:t>
            </w:r>
          </w:p>
        </w:tc>
        <w:tc>
          <w:tcPr>
            <w:tcW w:w="966" w:type="dxa"/>
            <w:vAlign w:val="center"/>
          </w:tcPr>
          <w:p w14:paraId="4367A216">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Y＜100</w:t>
            </w:r>
          </w:p>
        </w:tc>
      </w:tr>
      <w:tr w14:paraId="68071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jc w:val="center"/>
        </w:trPr>
        <w:tc>
          <w:tcPr>
            <w:tcW w:w="2320" w:type="dxa"/>
            <w:vMerge w:val="restart"/>
            <w:vAlign w:val="center"/>
          </w:tcPr>
          <w:p w14:paraId="7B0CE47A">
            <w:pPr>
              <w:widowControl/>
              <w:spacing w:line="240" w:lineRule="exact"/>
              <w:jc w:val="left"/>
              <w:rPr>
                <w:rFonts w:hint="eastAsia" w:ascii="仿宋" w:hAnsi="仿宋" w:eastAsia="仿宋" w:cs="仿宋"/>
                <w:color w:val="auto"/>
                <w:spacing w:val="-12"/>
                <w:kern w:val="0"/>
                <w:szCs w:val="21"/>
                <w:highlight w:val="none"/>
              </w:rPr>
            </w:pPr>
            <w:r>
              <w:rPr>
                <w:rFonts w:hint="eastAsia" w:ascii="仿宋" w:hAnsi="仿宋" w:eastAsia="仿宋" w:cs="仿宋"/>
                <w:color w:val="auto"/>
                <w:spacing w:val="-12"/>
                <w:kern w:val="0"/>
                <w:szCs w:val="21"/>
                <w:highlight w:val="none"/>
              </w:rPr>
              <w:t>软件和信息技术服</w:t>
            </w:r>
            <w:r>
              <w:rPr>
                <w:rFonts w:hint="eastAsia" w:ascii="仿宋" w:hAnsi="仿宋" w:eastAsia="仿宋" w:cs="仿宋"/>
                <w:color w:val="auto"/>
                <w:kern w:val="0"/>
                <w:szCs w:val="21"/>
                <w:highlight w:val="none"/>
              </w:rPr>
              <w:t>务业</w:t>
            </w:r>
          </w:p>
        </w:tc>
        <w:tc>
          <w:tcPr>
            <w:tcW w:w="1502" w:type="dxa"/>
            <w:vAlign w:val="center"/>
          </w:tcPr>
          <w:p w14:paraId="1A82EBEF">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从业人员(X)</w:t>
            </w:r>
          </w:p>
        </w:tc>
        <w:tc>
          <w:tcPr>
            <w:tcW w:w="778" w:type="dxa"/>
            <w:vAlign w:val="center"/>
          </w:tcPr>
          <w:p w14:paraId="2A7CA1E0">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人</w:t>
            </w:r>
          </w:p>
        </w:tc>
        <w:tc>
          <w:tcPr>
            <w:tcW w:w="1234" w:type="dxa"/>
            <w:vAlign w:val="center"/>
          </w:tcPr>
          <w:p w14:paraId="5F11F77D">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X≥300</w:t>
            </w:r>
          </w:p>
        </w:tc>
        <w:tc>
          <w:tcPr>
            <w:tcW w:w="1867" w:type="dxa"/>
            <w:vAlign w:val="center"/>
          </w:tcPr>
          <w:p w14:paraId="14521B35">
            <w:pPr>
              <w:widowControl/>
              <w:spacing w:line="240" w:lineRule="exact"/>
              <w:ind w:left="19" w:leftChars="-51" w:hanging="126" w:hangingChars="60"/>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xml:space="preserve">100≤X＜300 </w:t>
            </w:r>
          </w:p>
        </w:tc>
        <w:tc>
          <w:tcPr>
            <w:tcW w:w="1686" w:type="dxa"/>
            <w:vAlign w:val="center"/>
          </w:tcPr>
          <w:p w14:paraId="5D02B56A">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10≤X＜100</w:t>
            </w:r>
          </w:p>
        </w:tc>
        <w:tc>
          <w:tcPr>
            <w:tcW w:w="966" w:type="dxa"/>
            <w:vAlign w:val="center"/>
          </w:tcPr>
          <w:p w14:paraId="6AA43142">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X＜10</w:t>
            </w:r>
          </w:p>
        </w:tc>
      </w:tr>
      <w:tr w14:paraId="3738D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jc w:val="center"/>
        </w:trPr>
        <w:tc>
          <w:tcPr>
            <w:tcW w:w="2320" w:type="dxa"/>
            <w:vMerge w:val="continue"/>
            <w:vAlign w:val="center"/>
          </w:tcPr>
          <w:p w14:paraId="49ADA251">
            <w:pPr>
              <w:widowControl/>
              <w:spacing w:line="240" w:lineRule="exact"/>
              <w:jc w:val="left"/>
              <w:rPr>
                <w:rFonts w:hint="eastAsia" w:ascii="仿宋" w:hAnsi="仿宋" w:eastAsia="仿宋" w:cs="仿宋"/>
                <w:color w:val="auto"/>
                <w:spacing w:val="-12"/>
                <w:kern w:val="0"/>
                <w:szCs w:val="21"/>
                <w:highlight w:val="none"/>
              </w:rPr>
            </w:pPr>
          </w:p>
        </w:tc>
        <w:tc>
          <w:tcPr>
            <w:tcW w:w="1502" w:type="dxa"/>
            <w:vAlign w:val="center"/>
          </w:tcPr>
          <w:p w14:paraId="2BE52192">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营业收入(Y)</w:t>
            </w:r>
          </w:p>
        </w:tc>
        <w:tc>
          <w:tcPr>
            <w:tcW w:w="778" w:type="dxa"/>
            <w:vAlign w:val="center"/>
          </w:tcPr>
          <w:p w14:paraId="4F1A145B">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万元</w:t>
            </w:r>
          </w:p>
        </w:tc>
        <w:tc>
          <w:tcPr>
            <w:tcW w:w="1234" w:type="dxa"/>
            <w:vAlign w:val="center"/>
          </w:tcPr>
          <w:p w14:paraId="7F03C5B3">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Y≥10000</w:t>
            </w:r>
          </w:p>
        </w:tc>
        <w:tc>
          <w:tcPr>
            <w:tcW w:w="1867" w:type="dxa"/>
            <w:vAlign w:val="center"/>
          </w:tcPr>
          <w:p w14:paraId="74FC5A56">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1000≤Y＜10000</w:t>
            </w:r>
          </w:p>
        </w:tc>
        <w:tc>
          <w:tcPr>
            <w:tcW w:w="1686" w:type="dxa"/>
            <w:vAlign w:val="center"/>
          </w:tcPr>
          <w:p w14:paraId="0E3A737C">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50≤Y＜1000</w:t>
            </w:r>
          </w:p>
        </w:tc>
        <w:tc>
          <w:tcPr>
            <w:tcW w:w="966" w:type="dxa"/>
            <w:vAlign w:val="center"/>
          </w:tcPr>
          <w:p w14:paraId="6D25357F">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Y＜50</w:t>
            </w:r>
          </w:p>
        </w:tc>
      </w:tr>
      <w:tr w14:paraId="6E97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jc w:val="center"/>
        </w:trPr>
        <w:tc>
          <w:tcPr>
            <w:tcW w:w="2320" w:type="dxa"/>
            <w:vMerge w:val="restart"/>
            <w:vAlign w:val="center"/>
          </w:tcPr>
          <w:p w14:paraId="770B4DE1">
            <w:pPr>
              <w:widowControl/>
              <w:spacing w:line="240" w:lineRule="exact"/>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房地产开发经营</w:t>
            </w:r>
          </w:p>
        </w:tc>
        <w:tc>
          <w:tcPr>
            <w:tcW w:w="1502" w:type="dxa"/>
            <w:vAlign w:val="center"/>
          </w:tcPr>
          <w:p w14:paraId="7FA30AEF">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营业收入(Y)</w:t>
            </w:r>
          </w:p>
        </w:tc>
        <w:tc>
          <w:tcPr>
            <w:tcW w:w="778" w:type="dxa"/>
            <w:vAlign w:val="center"/>
          </w:tcPr>
          <w:p w14:paraId="7992DC05">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万元</w:t>
            </w:r>
          </w:p>
        </w:tc>
        <w:tc>
          <w:tcPr>
            <w:tcW w:w="1234" w:type="dxa"/>
            <w:vAlign w:val="center"/>
          </w:tcPr>
          <w:p w14:paraId="46FAE822">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Y≥200000</w:t>
            </w:r>
          </w:p>
        </w:tc>
        <w:tc>
          <w:tcPr>
            <w:tcW w:w="1867" w:type="dxa"/>
            <w:vAlign w:val="center"/>
          </w:tcPr>
          <w:p w14:paraId="66411D8A">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1000≤Y＜200000</w:t>
            </w:r>
          </w:p>
        </w:tc>
        <w:tc>
          <w:tcPr>
            <w:tcW w:w="1686" w:type="dxa"/>
            <w:vAlign w:val="center"/>
          </w:tcPr>
          <w:p w14:paraId="154A280F">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100≤Y＜1000</w:t>
            </w:r>
          </w:p>
        </w:tc>
        <w:tc>
          <w:tcPr>
            <w:tcW w:w="966" w:type="dxa"/>
            <w:vAlign w:val="center"/>
          </w:tcPr>
          <w:p w14:paraId="73858E8C">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Y＜100</w:t>
            </w:r>
          </w:p>
        </w:tc>
      </w:tr>
      <w:tr w14:paraId="3F11D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exact"/>
          <w:jc w:val="center"/>
        </w:trPr>
        <w:tc>
          <w:tcPr>
            <w:tcW w:w="2320" w:type="dxa"/>
            <w:vMerge w:val="continue"/>
            <w:vAlign w:val="center"/>
          </w:tcPr>
          <w:p w14:paraId="6479B2A5">
            <w:pPr>
              <w:widowControl/>
              <w:spacing w:line="240" w:lineRule="exact"/>
              <w:jc w:val="left"/>
              <w:rPr>
                <w:rFonts w:hint="eastAsia" w:ascii="仿宋" w:hAnsi="仿宋" w:eastAsia="仿宋" w:cs="仿宋"/>
                <w:color w:val="auto"/>
                <w:kern w:val="0"/>
                <w:szCs w:val="21"/>
                <w:highlight w:val="none"/>
              </w:rPr>
            </w:pPr>
          </w:p>
        </w:tc>
        <w:tc>
          <w:tcPr>
            <w:tcW w:w="1502" w:type="dxa"/>
            <w:vAlign w:val="center"/>
          </w:tcPr>
          <w:p w14:paraId="38E81880">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资产总额(Z)</w:t>
            </w:r>
          </w:p>
        </w:tc>
        <w:tc>
          <w:tcPr>
            <w:tcW w:w="778" w:type="dxa"/>
            <w:vAlign w:val="center"/>
          </w:tcPr>
          <w:p w14:paraId="0FEA5D02">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万元</w:t>
            </w:r>
          </w:p>
        </w:tc>
        <w:tc>
          <w:tcPr>
            <w:tcW w:w="1234" w:type="dxa"/>
            <w:vAlign w:val="center"/>
          </w:tcPr>
          <w:p w14:paraId="5949D563">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Z≥10000</w:t>
            </w:r>
          </w:p>
        </w:tc>
        <w:tc>
          <w:tcPr>
            <w:tcW w:w="1867" w:type="dxa"/>
            <w:vAlign w:val="center"/>
          </w:tcPr>
          <w:p w14:paraId="41F11386">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5000≤Z＜10000</w:t>
            </w:r>
          </w:p>
        </w:tc>
        <w:tc>
          <w:tcPr>
            <w:tcW w:w="1686" w:type="dxa"/>
            <w:vAlign w:val="center"/>
          </w:tcPr>
          <w:p w14:paraId="7DB65E0A">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2000≤Z＜5000</w:t>
            </w:r>
          </w:p>
        </w:tc>
        <w:tc>
          <w:tcPr>
            <w:tcW w:w="966" w:type="dxa"/>
            <w:vAlign w:val="center"/>
          </w:tcPr>
          <w:p w14:paraId="5BD82E98">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Z＜2000</w:t>
            </w:r>
          </w:p>
        </w:tc>
      </w:tr>
      <w:tr w14:paraId="011D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jc w:val="center"/>
        </w:trPr>
        <w:tc>
          <w:tcPr>
            <w:tcW w:w="2320" w:type="dxa"/>
            <w:vMerge w:val="restart"/>
            <w:vAlign w:val="center"/>
          </w:tcPr>
          <w:p w14:paraId="0BB0A04B">
            <w:pPr>
              <w:widowControl/>
              <w:spacing w:line="240" w:lineRule="exact"/>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物业管理</w:t>
            </w:r>
          </w:p>
        </w:tc>
        <w:tc>
          <w:tcPr>
            <w:tcW w:w="1502" w:type="dxa"/>
            <w:vAlign w:val="center"/>
          </w:tcPr>
          <w:p w14:paraId="5CEC570A">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从业人员(X)</w:t>
            </w:r>
          </w:p>
        </w:tc>
        <w:tc>
          <w:tcPr>
            <w:tcW w:w="778" w:type="dxa"/>
            <w:vAlign w:val="center"/>
          </w:tcPr>
          <w:p w14:paraId="7B30F76D">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人</w:t>
            </w:r>
          </w:p>
        </w:tc>
        <w:tc>
          <w:tcPr>
            <w:tcW w:w="1234" w:type="dxa"/>
            <w:vAlign w:val="center"/>
          </w:tcPr>
          <w:p w14:paraId="19B0F327">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X≥1000</w:t>
            </w:r>
          </w:p>
        </w:tc>
        <w:tc>
          <w:tcPr>
            <w:tcW w:w="1867" w:type="dxa"/>
            <w:vAlign w:val="center"/>
          </w:tcPr>
          <w:p w14:paraId="272FAD99">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300≤X＜1000</w:t>
            </w:r>
          </w:p>
        </w:tc>
        <w:tc>
          <w:tcPr>
            <w:tcW w:w="1686" w:type="dxa"/>
            <w:vAlign w:val="center"/>
          </w:tcPr>
          <w:p w14:paraId="39FB3BE8">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100≤X＜300</w:t>
            </w:r>
          </w:p>
        </w:tc>
        <w:tc>
          <w:tcPr>
            <w:tcW w:w="966" w:type="dxa"/>
            <w:vAlign w:val="center"/>
          </w:tcPr>
          <w:p w14:paraId="4D08D947">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X＜100</w:t>
            </w:r>
          </w:p>
        </w:tc>
      </w:tr>
      <w:tr w14:paraId="08AA4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jc w:val="center"/>
        </w:trPr>
        <w:tc>
          <w:tcPr>
            <w:tcW w:w="2320" w:type="dxa"/>
            <w:vMerge w:val="continue"/>
            <w:vAlign w:val="center"/>
          </w:tcPr>
          <w:p w14:paraId="4C23A1BA">
            <w:pPr>
              <w:widowControl/>
              <w:spacing w:line="240" w:lineRule="exact"/>
              <w:jc w:val="left"/>
              <w:rPr>
                <w:rFonts w:hint="eastAsia" w:ascii="仿宋" w:hAnsi="仿宋" w:eastAsia="仿宋" w:cs="仿宋"/>
                <w:color w:val="auto"/>
                <w:kern w:val="0"/>
                <w:szCs w:val="21"/>
                <w:highlight w:val="none"/>
              </w:rPr>
            </w:pPr>
          </w:p>
        </w:tc>
        <w:tc>
          <w:tcPr>
            <w:tcW w:w="1502" w:type="dxa"/>
            <w:vAlign w:val="center"/>
          </w:tcPr>
          <w:p w14:paraId="45FE8660">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营业收入(Y)</w:t>
            </w:r>
          </w:p>
        </w:tc>
        <w:tc>
          <w:tcPr>
            <w:tcW w:w="778" w:type="dxa"/>
            <w:vAlign w:val="center"/>
          </w:tcPr>
          <w:p w14:paraId="1CD3E1FF">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万元</w:t>
            </w:r>
          </w:p>
        </w:tc>
        <w:tc>
          <w:tcPr>
            <w:tcW w:w="1234" w:type="dxa"/>
            <w:vAlign w:val="center"/>
          </w:tcPr>
          <w:p w14:paraId="31424721">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Y≥5000</w:t>
            </w:r>
          </w:p>
        </w:tc>
        <w:tc>
          <w:tcPr>
            <w:tcW w:w="1867" w:type="dxa"/>
            <w:vAlign w:val="center"/>
          </w:tcPr>
          <w:p w14:paraId="376FE315">
            <w:pPr>
              <w:widowControl/>
              <w:spacing w:line="240" w:lineRule="exact"/>
              <w:ind w:left="19" w:leftChars="-51" w:hanging="126" w:hangingChars="60"/>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1000≤Y＜5000</w:t>
            </w:r>
          </w:p>
        </w:tc>
        <w:tc>
          <w:tcPr>
            <w:tcW w:w="1686" w:type="dxa"/>
            <w:vAlign w:val="center"/>
          </w:tcPr>
          <w:p w14:paraId="23362375">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500≤Y＜1000</w:t>
            </w:r>
          </w:p>
        </w:tc>
        <w:tc>
          <w:tcPr>
            <w:tcW w:w="966" w:type="dxa"/>
            <w:vAlign w:val="center"/>
          </w:tcPr>
          <w:p w14:paraId="5546C73B">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Y＜500</w:t>
            </w:r>
          </w:p>
        </w:tc>
      </w:tr>
      <w:tr w14:paraId="41130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jc w:val="center"/>
        </w:trPr>
        <w:tc>
          <w:tcPr>
            <w:tcW w:w="2320" w:type="dxa"/>
            <w:vMerge w:val="restart"/>
            <w:vAlign w:val="center"/>
          </w:tcPr>
          <w:p w14:paraId="3FA36E22">
            <w:pPr>
              <w:widowControl/>
              <w:spacing w:line="240" w:lineRule="exact"/>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租赁和商务服务业</w:t>
            </w:r>
          </w:p>
        </w:tc>
        <w:tc>
          <w:tcPr>
            <w:tcW w:w="1502" w:type="dxa"/>
            <w:vAlign w:val="center"/>
          </w:tcPr>
          <w:p w14:paraId="0F7559B2">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从业人员(X)</w:t>
            </w:r>
          </w:p>
        </w:tc>
        <w:tc>
          <w:tcPr>
            <w:tcW w:w="778" w:type="dxa"/>
            <w:vAlign w:val="center"/>
          </w:tcPr>
          <w:p w14:paraId="4D8E6AC6">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人</w:t>
            </w:r>
          </w:p>
        </w:tc>
        <w:tc>
          <w:tcPr>
            <w:tcW w:w="1234" w:type="dxa"/>
            <w:vAlign w:val="center"/>
          </w:tcPr>
          <w:p w14:paraId="699AD2F5">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X≥300</w:t>
            </w:r>
          </w:p>
        </w:tc>
        <w:tc>
          <w:tcPr>
            <w:tcW w:w="1867" w:type="dxa"/>
            <w:vAlign w:val="center"/>
          </w:tcPr>
          <w:p w14:paraId="5FCD2536">
            <w:pPr>
              <w:widowControl/>
              <w:spacing w:line="240" w:lineRule="exact"/>
              <w:ind w:left="19" w:leftChars="-51" w:hanging="126" w:hangingChars="60"/>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100≤X＜300</w:t>
            </w:r>
          </w:p>
        </w:tc>
        <w:tc>
          <w:tcPr>
            <w:tcW w:w="1686" w:type="dxa"/>
            <w:vAlign w:val="center"/>
          </w:tcPr>
          <w:p w14:paraId="64C3C5FD">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10≤X＜100</w:t>
            </w:r>
          </w:p>
        </w:tc>
        <w:tc>
          <w:tcPr>
            <w:tcW w:w="966" w:type="dxa"/>
            <w:vAlign w:val="center"/>
          </w:tcPr>
          <w:p w14:paraId="2EE45EA4">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X＜10</w:t>
            </w:r>
          </w:p>
        </w:tc>
      </w:tr>
      <w:tr w14:paraId="38E9D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jc w:val="center"/>
        </w:trPr>
        <w:tc>
          <w:tcPr>
            <w:tcW w:w="2320" w:type="dxa"/>
            <w:vMerge w:val="continue"/>
            <w:vAlign w:val="center"/>
          </w:tcPr>
          <w:p w14:paraId="0B6A75D8">
            <w:pPr>
              <w:widowControl/>
              <w:spacing w:line="240" w:lineRule="exact"/>
              <w:jc w:val="left"/>
              <w:rPr>
                <w:rFonts w:hint="eastAsia" w:ascii="仿宋" w:hAnsi="仿宋" w:eastAsia="仿宋" w:cs="仿宋"/>
                <w:color w:val="auto"/>
                <w:kern w:val="0"/>
                <w:szCs w:val="21"/>
                <w:highlight w:val="none"/>
              </w:rPr>
            </w:pPr>
          </w:p>
        </w:tc>
        <w:tc>
          <w:tcPr>
            <w:tcW w:w="1502" w:type="dxa"/>
            <w:vAlign w:val="center"/>
          </w:tcPr>
          <w:p w14:paraId="5EA70040">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资产总额(Z)</w:t>
            </w:r>
          </w:p>
        </w:tc>
        <w:tc>
          <w:tcPr>
            <w:tcW w:w="778" w:type="dxa"/>
            <w:vAlign w:val="center"/>
          </w:tcPr>
          <w:p w14:paraId="534E984B">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万元</w:t>
            </w:r>
          </w:p>
        </w:tc>
        <w:tc>
          <w:tcPr>
            <w:tcW w:w="1234" w:type="dxa"/>
            <w:vAlign w:val="center"/>
          </w:tcPr>
          <w:p w14:paraId="674D3D1C">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Z≥120000</w:t>
            </w:r>
          </w:p>
        </w:tc>
        <w:tc>
          <w:tcPr>
            <w:tcW w:w="1867" w:type="dxa"/>
            <w:vAlign w:val="center"/>
          </w:tcPr>
          <w:p w14:paraId="74D9FA6F">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8000≤Z＜120000</w:t>
            </w:r>
          </w:p>
        </w:tc>
        <w:tc>
          <w:tcPr>
            <w:tcW w:w="1686" w:type="dxa"/>
            <w:vAlign w:val="center"/>
          </w:tcPr>
          <w:p w14:paraId="7F8B90E5">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100≤Z＜8000</w:t>
            </w:r>
          </w:p>
        </w:tc>
        <w:tc>
          <w:tcPr>
            <w:tcW w:w="966" w:type="dxa"/>
            <w:vAlign w:val="center"/>
          </w:tcPr>
          <w:p w14:paraId="17BB0CFA">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Z＜100</w:t>
            </w:r>
          </w:p>
        </w:tc>
      </w:tr>
      <w:tr w14:paraId="5DF81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320" w:type="dxa"/>
            <w:vAlign w:val="center"/>
          </w:tcPr>
          <w:p w14:paraId="32953D7F">
            <w:pPr>
              <w:widowControl/>
              <w:spacing w:line="240" w:lineRule="exact"/>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其他未列明行业*</w:t>
            </w:r>
          </w:p>
        </w:tc>
        <w:tc>
          <w:tcPr>
            <w:tcW w:w="1502" w:type="dxa"/>
            <w:vAlign w:val="center"/>
          </w:tcPr>
          <w:p w14:paraId="1FF82EB7">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从业人员(X)</w:t>
            </w:r>
          </w:p>
        </w:tc>
        <w:tc>
          <w:tcPr>
            <w:tcW w:w="778" w:type="dxa"/>
            <w:vAlign w:val="center"/>
          </w:tcPr>
          <w:p w14:paraId="0CCC30AD">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人</w:t>
            </w:r>
          </w:p>
        </w:tc>
        <w:tc>
          <w:tcPr>
            <w:tcW w:w="1234" w:type="dxa"/>
            <w:vAlign w:val="center"/>
          </w:tcPr>
          <w:p w14:paraId="159FA6E5">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X≥300</w:t>
            </w:r>
          </w:p>
        </w:tc>
        <w:tc>
          <w:tcPr>
            <w:tcW w:w="1867" w:type="dxa"/>
            <w:vAlign w:val="center"/>
          </w:tcPr>
          <w:p w14:paraId="350E19B9">
            <w:pPr>
              <w:widowControl/>
              <w:spacing w:line="240" w:lineRule="exact"/>
              <w:ind w:left="19" w:leftChars="-51" w:hanging="126" w:hangingChars="60"/>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100≤X＜300</w:t>
            </w:r>
          </w:p>
        </w:tc>
        <w:tc>
          <w:tcPr>
            <w:tcW w:w="1686" w:type="dxa"/>
            <w:vAlign w:val="center"/>
          </w:tcPr>
          <w:p w14:paraId="5F93019A">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10≤X＜100</w:t>
            </w:r>
          </w:p>
        </w:tc>
        <w:tc>
          <w:tcPr>
            <w:tcW w:w="966" w:type="dxa"/>
            <w:vAlign w:val="center"/>
          </w:tcPr>
          <w:p w14:paraId="7296DAC8">
            <w:pPr>
              <w:widowControl/>
              <w:spacing w:line="24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X＜10</w:t>
            </w:r>
          </w:p>
        </w:tc>
      </w:tr>
    </w:tbl>
    <w:p w14:paraId="2A4C82DC">
      <w:pPr>
        <w:keepNext w:val="0"/>
        <w:keepLines w:val="0"/>
        <w:pageBreakBefore w:val="0"/>
        <w:widowControl w:val="0"/>
        <w:kinsoku/>
        <w:wordWrap/>
        <w:overflowPunct/>
        <w:topLinePunct w:val="0"/>
        <w:autoSpaceDE/>
        <w:autoSpaceDN/>
        <w:bidi w:val="0"/>
        <w:adjustRightInd/>
        <w:snapToGrid/>
        <w:spacing w:line="260" w:lineRule="exact"/>
        <w:textAlignment w:val="auto"/>
        <w:outlineLvl w:val="9"/>
        <w:rPr>
          <w:rFonts w:hint="eastAsia" w:ascii="仿宋" w:hAnsi="仿宋" w:eastAsia="仿宋" w:cs="仿宋"/>
          <w:color w:val="auto"/>
          <w:spacing w:val="8"/>
          <w:szCs w:val="21"/>
          <w:highlight w:val="none"/>
        </w:rPr>
      </w:pPr>
      <w:r>
        <w:rPr>
          <w:rFonts w:hint="eastAsia" w:ascii="仿宋" w:hAnsi="仿宋" w:eastAsia="仿宋" w:cs="仿宋"/>
          <w:color w:val="auto"/>
          <w:spacing w:val="8"/>
          <w:kern w:val="0"/>
          <w:szCs w:val="21"/>
          <w:highlight w:val="none"/>
        </w:rPr>
        <w:t>说明：</w:t>
      </w:r>
      <w:r>
        <w:rPr>
          <w:rFonts w:hint="eastAsia" w:ascii="仿宋" w:hAnsi="仿宋" w:eastAsia="仿宋" w:cs="仿宋"/>
          <w:color w:val="auto"/>
          <w:spacing w:val="8"/>
          <w:szCs w:val="21"/>
          <w:highlight w:val="none"/>
        </w:rPr>
        <w:t>1.大型、中型和小型企业须同时满足所列指标的下限，否则下划一档；微型企业只须满足所列指标中的一项即可。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098D6E36">
      <w:pPr>
        <w:rPr>
          <w:rFonts w:hint="eastAsia" w:ascii="仿宋" w:hAnsi="仿宋" w:eastAsia="仿宋" w:cs="仿宋"/>
          <w:b/>
          <w:color w:val="auto"/>
          <w:sz w:val="44"/>
          <w:szCs w:val="44"/>
          <w:highlight w:val="none"/>
        </w:rPr>
      </w:pPr>
      <w:bookmarkStart w:id="57" w:name="_Toc74320802"/>
      <w:r>
        <w:rPr>
          <w:rFonts w:hint="eastAsia" w:ascii="仿宋" w:hAnsi="仿宋" w:eastAsia="仿宋" w:cs="仿宋"/>
          <w:b/>
          <w:color w:val="auto"/>
          <w:sz w:val="44"/>
          <w:szCs w:val="44"/>
          <w:highlight w:val="none"/>
        </w:rPr>
        <w:br w:type="page"/>
      </w:r>
    </w:p>
    <w:p w14:paraId="3A213E0C">
      <w:pPr>
        <w:spacing w:line="360" w:lineRule="auto"/>
        <w:ind w:firstLine="482" w:firstLineChars="200"/>
        <w:jc w:val="left"/>
        <w:rPr>
          <w:rFonts w:hint="eastAsia" w:ascii="仿宋" w:hAnsi="仿宋" w:eastAsia="仿宋" w:cs="仿宋"/>
          <w:b/>
          <w:bCs/>
          <w:color w:val="auto"/>
          <w:sz w:val="24"/>
          <w:szCs w:val="32"/>
          <w:highlight w:val="none"/>
        </w:rPr>
      </w:pPr>
      <w:r>
        <w:rPr>
          <w:rFonts w:hint="eastAsia" w:ascii="仿宋" w:hAnsi="仿宋" w:eastAsia="仿宋" w:cs="仿宋"/>
          <w:b/>
          <w:bCs/>
          <w:color w:val="auto"/>
          <w:sz w:val="24"/>
          <w:szCs w:val="32"/>
          <w:highlight w:val="none"/>
        </w:rPr>
        <w:t>附表</w:t>
      </w:r>
      <w:r>
        <w:rPr>
          <w:rFonts w:hint="eastAsia" w:ascii="仿宋" w:hAnsi="仿宋" w:eastAsia="仿宋" w:cs="仿宋"/>
          <w:b/>
          <w:bCs/>
          <w:color w:val="auto"/>
          <w:sz w:val="24"/>
          <w:szCs w:val="32"/>
          <w:highlight w:val="none"/>
          <w:lang w:val="en-US" w:eastAsia="zh-CN"/>
        </w:rPr>
        <w:t>2</w:t>
      </w:r>
      <w:r>
        <w:rPr>
          <w:rFonts w:hint="eastAsia" w:ascii="仿宋" w:hAnsi="仿宋" w:eastAsia="仿宋" w:cs="仿宋"/>
          <w:b/>
          <w:bCs/>
          <w:color w:val="auto"/>
          <w:sz w:val="24"/>
          <w:szCs w:val="32"/>
          <w:highlight w:val="none"/>
        </w:rPr>
        <w:t>：节能产品政府采购品目清单</w:t>
      </w:r>
    </w:p>
    <w:p w14:paraId="656B238A">
      <w:pPr>
        <w:pStyle w:val="147"/>
        <w:rPr>
          <w:rFonts w:hint="eastAsia" w:ascii="仿宋" w:hAnsi="仿宋" w:eastAsia="仿宋" w:cs="仿宋"/>
          <w:b/>
          <w:bCs/>
          <w:color w:val="auto"/>
          <w:highlight w:val="none"/>
        </w:rPr>
      </w:pPr>
      <w:r>
        <w:rPr>
          <w:rFonts w:hint="eastAsia" w:ascii="仿宋" w:hAnsi="仿宋" w:eastAsia="仿宋" w:cs="仿宋"/>
          <w:b/>
          <w:bCs/>
          <w:color w:val="auto"/>
          <w:highlight w:val="none"/>
        </w:rPr>
        <w:drawing>
          <wp:inline distT="0" distB="0" distL="114300" distR="114300">
            <wp:extent cx="6022975" cy="8517890"/>
            <wp:effectExtent l="0" t="0" r="15875" b="16510"/>
            <wp:docPr id="3" name="图片 1" descr="节能产品政府采购品目清单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节能产品政府采购品目清单_00"/>
                    <pic:cNvPicPr>
                      <a:picLocks noChangeAspect="1"/>
                    </pic:cNvPicPr>
                  </pic:nvPicPr>
                  <pic:blipFill>
                    <a:blip r:embed="rId15"/>
                    <a:stretch>
                      <a:fillRect/>
                    </a:stretch>
                  </pic:blipFill>
                  <pic:spPr>
                    <a:xfrm>
                      <a:off x="0" y="0"/>
                      <a:ext cx="6022975" cy="8517890"/>
                    </a:xfrm>
                    <a:prstGeom prst="rect">
                      <a:avLst/>
                    </a:prstGeom>
                    <a:noFill/>
                    <a:ln>
                      <a:noFill/>
                    </a:ln>
                  </pic:spPr>
                </pic:pic>
              </a:graphicData>
            </a:graphic>
          </wp:inline>
        </w:drawing>
      </w:r>
    </w:p>
    <w:p w14:paraId="1D883549">
      <w:pPr>
        <w:pStyle w:val="147"/>
        <w:rPr>
          <w:rFonts w:hint="eastAsia" w:ascii="仿宋" w:hAnsi="仿宋" w:eastAsia="仿宋" w:cs="仿宋"/>
          <w:b/>
          <w:bCs/>
          <w:color w:val="auto"/>
          <w:highlight w:val="none"/>
        </w:rPr>
      </w:pPr>
      <w:r>
        <w:rPr>
          <w:rFonts w:hint="eastAsia" w:ascii="仿宋" w:hAnsi="仿宋" w:eastAsia="仿宋" w:cs="仿宋"/>
          <w:b/>
          <w:bCs/>
          <w:color w:val="auto"/>
          <w:highlight w:val="none"/>
        </w:rPr>
        <w:drawing>
          <wp:inline distT="0" distB="0" distL="114300" distR="114300">
            <wp:extent cx="6117590" cy="8651240"/>
            <wp:effectExtent l="0" t="0" r="16510" b="16510"/>
            <wp:docPr id="4" name="图片 2" descr="节能产品政府采购品目清单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节能产品政府采购品目清单_01"/>
                    <pic:cNvPicPr>
                      <a:picLocks noChangeAspect="1"/>
                    </pic:cNvPicPr>
                  </pic:nvPicPr>
                  <pic:blipFill>
                    <a:blip r:embed="rId16"/>
                    <a:stretch>
                      <a:fillRect/>
                    </a:stretch>
                  </pic:blipFill>
                  <pic:spPr>
                    <a:xfrm>
                      <a:off x="0" y="0"/>
                      <a:ext cx="6117590" cy="8651240"/>
                    </a:xfrm>
                    <a:prstGeom prst="rect">
                      <a:avLst/>
                    </a:prstGeom>
                    <a:noFill/>
                    <a:ln>
                      <a:noFill/>
                    </a:ln>
                  </pic:spPr>
                </pic:pic>
              </a:graphicData>
            </a:graphic>
          </wp:inline>
        </w:drawing>
      </w:r>
    </w:p>
    <w:p w14:paraId="7AD70CC0">
      <w:pPr>
        <w:rPr>
          <w:rFonts w:hint="eastAsia" w:ascii="仿宋" w:hAnsi="仿宋" w:eastAsia="仿宋" w:cs="仿宋"/>
          <w:b/>
          <w:color w:val="auto"/>
          <w:sz w:val="44"/>
          <w:szCs w:val="44"/>
          <w:highlight w:val="none"/>
        </w:rPr>
      </w:pPr>
      <w:r>
        <w:rPr>
          <w:rFonts w:hint="eastAsia" w:ascii="仿宋" w:hAnsi="仿宋" w:eastAsia="仿宋" w:cs="仿宋"/>
          <w:b/>
          <w:bCs/>
          <w:color w:val="auto"/>
          <w:highlight w:val="none"/>
        </w:rPr>
        <w:drawing>
          <wp:inline distT="0" distB="0" distL="114300" distR="114300">
            <wp:extent cx="6117590" cy="8651240"/>
            <wp:effectExtent l="0" t="0" r="16510" b="16510"/>
            <wp:docPr id="5" name="图片 3" descr="节能产品政府采购品目清单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节能产品政府采购品目清单_02"/>
                    <pic:cNvPicPr>
                      <a:picLocks noChangeAspect="1"/>
                    </pic:cNvPicPr>
                  </pic:nvPicPr>
                  <pic:blipFill>
                    <a:blip r:embed="rId17"/>
                    <a:stretch>
                      <a:fillRect/>
                    </a:stretch>
                  </pic:blipFill>
                  <pic:spPr>
                    <a:xfrm>
                      <a:off x="0" y="0"/>
                      <a:ext cx="6117590" cy="8651240"/>
                    </a:xfrm>
                    <a:prstGeom prst="rect">
                      <a:avLst/>
                    </a:prstGeom>
                    <a:noFill/>
                    <a:ln>
                      <a:noFill/>
                    </a:ln>
                  </pic:spPr>
                </pic:pic>
              </a:graphicData>
            </a:graphic>
          </wp:inline>
        </w:drawing>
      </w:r>
      <w:r>
        <w:rPr>
          <w:rFonts w:hint="eastAsia" w:ascii="仿宋" w:hAnsi="仿宋" w:eastAsia="仿宋" w:cs="仿宋"/>
          <w:b/>
          <w:color w:val="auto"/>
          <w:sz w:val="44"/>
          <w:szCs w:val="44"/>
          <w:highlight w:val="none"/>
        </w:rPr>
        <w:br w:type="page"/>
      </w:r>
    </w:p>
    <w:p w14:paraId="28E2A71D">
      <w:pPr>
        <w:pageBreakBefore/>
        <w:spacing w:line="428" w:lineRule="exact"/>
        <w:jc w:val="center"/>
        <w:rPr>
          <w:rFonts w:hint="eastAsia" w:ascii="仿宋" w:hAnsi="仿宋" w:eastAsia="仿宋" w:cs="仿宋"/>
          <w:b/>
          <w:color w:val="auto"/>
          <w:sz w:val="44"/>
          <w:szCs w:val="44"/>
          <w:highlight w:val="none"/>
        </w:rPr>
      </w:pPr>
      <w:r>
        <w:rPr>
          <w:rFonts w:hint="eastAsia" w:ascii="仿宋" w:hAnsi="仿宋" w:eastAsia="仿宋" w:cs="仿宋"/>
          <w:b/>
          <w:color w:val="auto"/>
          <w:sz w:val="44"/>
          <w:szCs w:val="44"/>
          <w:highlight w:val="none"/>
        </w:rPr>
        <w:t>第三章  投标人须知</w:t>
      </w:r>
      <w:bookmarkEnd w:id="57"/>
    </w:p>
    <w:p w14:paraId="70A55276">
      <w:pPr>
        <w:spacing w:before="120" w:beforeLines="50"/>
        <w:jc w:val="center"/>
        <w:rPr>
          <w:rFonts w:hint="eastAsia" w:ascii="仿宋" w:hAnsi="仿宋" w:eastAsia="仿宋" w:cs="仿宋"/>
          <w:b/>
          <w:color w:val="auto"/>
          <w:sz w:val="28"/>
          <w:szCs w:val="28"/>
          <w:highlight w:val="none"/>
        </w:rPr>
      </w:pPr>
      <w:bookmarkStart w:id="58" w:name="_Toc254970526"/>
      <w:bookmarkStart w:id="59" w:name="_Toc254970667"/>
      <w:r>
        <w:rPr>
          <w:rFonts w:hint="eastAsia" w:ascii="仿宋" w:hAnsi="仿宋" w:eastAsia="仿宋" w:cs="仿宋"/>
          <w:b/>
          <w:color w:val="auto"/>
          <w:sz w:val="28"/>
          <w:szCs w:val="28"/>
          <w:highlight w:val="none"/>
        </w:rPr>
        <w:t>投标人须知前附表</w:t>
      </w:r>
      <w:bookmarkEnd w:id="58"/>
      <w:bookmarkEnd w:id="59"/>
    </w:p>
    <w:tbl>
      <w:tblPr>
        <w:tblStyle w:val="51"/>
        <w:tblW w:w="1033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6"/>
        <w:gridCol w:w="9275"/>
      </w:tblGrid>
      <w:tr w14:paraId="10AB85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tcBorders>
              <w:top w:val="single" w:color="auto" w:sz="4" w:space="0"/>
              <w:left w:val="single" w:color="auto" w:sz="4" w:space="0"/>
              <w:bottom w:val="single" w:color="auto" w:sz="4" w:space="0"/>
              <w:right w:val="single" w:color="auto" w:sz="4" w:space="0"/>
            </w:tcBorders>
            <w:vAlign w:val="center"/>
          </w:tcPr>
          <w:p w14:paraId="15F01F5D">
            <w:pPr>
              <w:snapToGrid w:val="0"/>
              <w:spacing w:line="39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条款号</w:t>
            </w:r>
          </w:p>
        </w:tc>
        <w:tc>
          <w:tcPr>
            <w:tcW w:w="9275" w:type="dxa"/>
            <w:tcBorders>
              <w:top w:val="single" w:color="auto" w:sz="4" w:space="0"/>
              <w:left w:val="single" w:color="auto" w:sz="4" w:space="0"/>
              <w:bottom w:val="single" w:color="auto" w:sz="4" w:space="0"/>
              <w:right w:val="single" w:color="auto" w:sz="4" w:space="0"/>
            </w:tcBorders>
            <w:vAlign w:val="center"/>
          </w:tcPr>
          <w:p w14:paraId="09BFC677">
            <w:pPr>
              <w:snapToGrid w:val="0"/>
              <w:spacing w:line="39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编列内容</w:t>
            </w:r>
          </w:p>
        </w:tc>
      </w:tr>
      <w:tr w14:paraId="6FD63D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tcBorders>
              <w:top w:val="single" w:color="auto" w:sz="4" w:space="0"/>
              <w:left w:val="single" w:color="auto" w:sz="4" w:space="0"/>
              <w:bottom w:val="single" w:color="auto" w:sz="4" w:space="0"/>
              <w:right w:val="single" w:color="auto" w:sz="4" w:space="0"/>
            </w:tcBorders>
            <w:vAlign w:val="center"/>
          </w:tcPr>
          <w:p w14:paraId="68EAC7E0">
            <w:pPr>
              <w:spacing w:line="39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9275" w:type="dxa"/>
            <w:tcBorders>
              <w:top w:val="single" w:color="auto" w:sz="4" w:space="0"/>
              <w:left w:val="single" w:color="auto" w:sz="4" w:space="0"/>
              <w:bottom w:val="single" w:color="auto" w:sz="4" w:space="0"/>
              <w:right w:val="single" w:color="auto" w:sz="4" w:space="0"/>
            </w:tcBorders>
            <w:vAlign w:val="center"/>
          </w:tcPr>
          <w:p w14:paraId="49A2498F">
            <w:pPr>
              <w:snapToGrid w:val="0"/>
              <w:spacing w:line="39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投标人的资格要求：详见招标公告。</w:t>
            </w:r>
          </w:p>
        </w:tc>
      </w:tr>
      <w:tr w14:paraId="6676B8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tcBorders>
              <w:top w:val="single" w:color="auto" w:sz="4" w:space="0"/>
              <w:left w:val="single" w:color="auto" w:sz="4" w:space="0"/>
              <w:bottom w:val="single" w:color="auto" w:sz="4" w:space="0"/>
              <w:right w:val="single" w:color="auto" w:sz="4" w:space="0"/>
            </w:tcBorders>
            <w:vAlign w:val="center"/>
          </w:tcPr>
          <w:p w14:paraId="3F2D7A05">
            <w:pPr>
              <w:spacing w:line="390" w:lineRule="exact"/>
              <w:jc w:val="center"/>
              <w:rPr>
                <w:rFonts w:hint="eastAsia" w:ascii="仿宋" w:hAnsi="仿宋" w:eastAsia="仿宋" w:cs="仿宋"/>
                <w:color w:val="auto"/>
                <w:sz w:val="24"/>
                <w:highlight w:val="none"/>
              </w:rPr>
            </w:pPr>
            <w:bookmarkStart w:id="60" w:name="_9.2"/>
            <w:bookmarkEnd w:id="60"/>
            <w:bookmarkStart w:id="61" w:name="_5"/>
            <w:bookmarkEnd w:id="61"/>
            <w:bookmarkStart w:id="62" w:name="_8.1"/>
            <w:bookmarkEnd w:id="62"/>
            <w:r>
              <w:rPr>
                <w:rFonts w:hint="eastAsia" w:ascii="仿宋" w:hAnsi="仿宋" w:eastAsia="仿宋" w:cs="仿宋"/>
                <w:color w:val="auto"/>
                <w:sz w:val="24"/>
                <w:highlight w:val="none"/>
              </w:rPr>
              <w:t>6.1</w:t>
            </w:r>
          </w:p>
        </w:tc>
        <w:tc>
          <w:tcPr>
            <w:tcW w:w="9275" w:type="dxa"/>
            <w:tcBorders>
              <w:top w:val="single" w:color="auto" w:sz="4" w:space="0"/>
              <w:left w:val="single" w:color="auto" w:sz="4" w:space="0"/>
              <w:bottom w:val="single" w:color="auto" w:sz="4" w:space="0"/>
              <w:right w:val="single" w:color="auto" w:sz="4" w:space="0"/>
            </w:tcBorders>
            <w:vAlign w:val="center"/>
          </w:tcPr>
          <w:p w14:paraId="4B0E49A9">
            <w:pPr>
              <w:pStyle w:val="18"/>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本项目是否接受联合体投标：详见招标公告。</w:t>
            </w:r>
          </w:p>
        </w:tc>
      </w:tr>
      <w:tr w14:paraId="0051F6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tcBorders>
              <w:top w:val="single" w:color="auto" w:sz="4" w:space="0"/>
              <w:left w:val="single" w:color="auto" w:sz="4" w:space="0"/>
              <w:bottom w:val="single" w:color="auto" w:sz="4" w:space="0"/>
              <w:right w:val="single" w:color="auto" w:sz="4" w:space="0"/>
            </w:tcBorders>
            <w:vAlign w:val="center"/>
          </w:tcPr>
          <w:p w14:paraId="6C674C33">
            <w:pPr>
              <w:spacing w:line="39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6.2</w:t>
            </w:r>
          </w:p>
        </w:tc>
        <w:tc>
          <w:tcPr>
            <w:tcW w:w="9275" w:type="dxa"/>
            <w:tcBorders>
              <w:top w:val="single" w:color="auto" w:sz="4" w:space="0"/>
              <w:left w:val="single" w:color="auto" w:sz="4" w:space="0"/>
              <w:bottom w:val="single" w:color="auto" w:sz="4" w:space="0"/>
              <w:right w:val="single" w:color="auto" w:sz="4" w:space="0"/>
            </w:tcBorders>
            <w:vAlign w:val="center"/>
          </w:tcPr>
          <w:p w14:paraId="38C43574">
            <w:pPr>
              <w:autoSpaceDE w:val="0"/>
              <w:autoSpaceDN w:val="0"/>
              <w:snapToGrid w:val="0"/>
              <w:spacing w:line="390" w:lineRule="exact"/>
              <w:textAlignment w:val="bottom"/>
              <w:rPr>
                <w:rFonts w:hint="eastAsia" w:ascii="仿宋" w:hAnsi="仿宋" w:eastAsia="仿宋" w:cs="仿宋"/>
                <w:color w:val="auto"/>
                <w:sz w:val="24"/>
                <w:highlight w:val="none"/>
              </w:rPr>
            </w:pPr>
            <w:bookmarkStart w:id="63" w:name="_Hlk54105293"/>
            <w:r>
              <w:rPr>
                <w:rFonts w:hint="eastAsia" w:ascii="仿宋" w:hAnsi="仿宋" w:eastAsia="仿宋" w:cs="仿宋"/>
                <w:color w:val="auto"/>
                <w:sz w:val="24"/>
                <w:highlight w:val="none"/>
              </w:rPr>
              <w:t>如接受联合体投标，</w:t>
            </w:r>
            <w:bookmarkEnd w:id="63"/>
            <w:r>
              <w:rPr>
                <w:rFonts w:hint="eastAsia" w:ascii="仿宋" w:hAnsi="仿宋" w:eastAsia="仿宋" w:cs="仿宋"/>
                <w:color w:val="auto"/>
                <w:sz w:val="24"/>
                <w:highlight w:val="none"/>
              </w:rPr>
              <w:t>联合体投标要求如下：</w:t>
            </w:r>
          </w:p>
          <w:p w14:paraId="18296D5E">
            <w:pPr>
              <w:autoSpaceDE w:val="0"/>
              <w:autoSpaceDN w:val="0"/>
              <w:snapToGrid w:val="0"/>
              <w:spacing w:line="390" w:lineRule="exact"/>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t>1、两个以上投标人可以组成一个投标联合体，以一个投标人的身份共同参加投标，联合体投标人的名称应统一按“XXX 公司与 XXX 公司的联合体”的规则填写。</w:t>
            </w:r>
            <w:r>
              <w:rPr>
                <w:rFonts w:hint="eastAsia" w:ascii="仿宋" w:hAnsi="仿宋" w:eastAsia="仿宋" w:cs="仿宋"/>
                <w:color w:val="auto"/>
                <w:sz w:val="24"/>
                <w:highlight w:val="none"/>
              </w:rPr>
              <w:tab/>
            </w:r>
          </w:p>
          <w:p w14:paraId="1A7D60A8">
            <w:pPr>
              <w:autoSpaceDE w:val="0"/>
              <w:autoSpaceDN w:val="0"/>
              <w:snapToGrid w:val="0"/>
              <w:spacing w:line="390" w:lineRule="exact"/>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t>2、以联合体形式参加投标的，联合体各方均必须具备《中华人民共和国政府采购法》第二十二条第一款规定的基本条件（涉及行政许可范围的内容，联合体各方均应具备相应资质）。本项目有特殊要求规定投标人特定条件的，联合体各方中至少有一方必须符合本项目招标公告“申请人的资格要求”第3点“3、本项目的特定资格要求”的要求。</w:t>
            </w:r>
          </w:p>
          <w:p w14:paraId="0919E402">
            <w:pPr>
              <w:autoSpaceDE w:val="0"/>
              <w:autoSpaceDN w:val="0"/>
              <w:snapToGrid w:val="0"/>
              <w:spacing w:line="390" w:lineRule="exact"/>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t>3、联合体投标的，须提供《联合体投标协议书》（格式后附），协议书必须明确主体方（或者牵头方）并明确约定联合体各方承担的工作和相应的责任（各方承担责任与义务的分工必须符合采购需求，否则，联合体投标无效），并将联合投标协议放入投标文件。联合体各方必须共同与采购人签订采购合同，就采购合同约定的事项对采购人承担连带责任。</w:t>
            </w:r>
          </w:p>
          <w:p w14:paraId="1D0600D2">
            <w:pPr>
              <w:autoSpaceDE w:val="0"/>
              <w:autoSpaceDN w:val="0"/>
              <w:snapToGrid w:val="0"/>
              <w:spacing w:line="390" w:lineRule="exact"/>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t>4、以联合体形式参加政府采购活动的，联合体各方不得再单独参加或者与其他投标人另外组成联合体参加同一合同项下的政府采购活动，否则与之相关的投标文件作废。</w:t>
            </w:r>
          </w:p>
          <w:p w14:paraId="0D1A5D21">
            <w:pPr>
              <w:autoSpaceDE w:val="0"/>
              <w:autoSpaceDN w:val="0"/>
              <w:snapToGrid w:val="0"/>
              <w:spacing w:line="390" w:lineRule="exact"/>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t>5、联合体中有同类资质的投标人按照联合体分工承担相同工作的，应当按照资质等级较低的投标人确定资质等级。</w:t>
            </w:r>
          </w:p>
          <w:p w14:paraId="5F25B3FD">
            <w:pPr>
              <w:autoSpaceDE w:val="0"/>
              <w:autoSpaceDN w:val="0"/>
              <w:snapToGrid w:val="0"/>
              <w:spacing w:line="390" w:lineRule="exact"/>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t>6、联合体投标业绩、履约能力按照联合体各方其中较高的一方认定并计算（招标文件另有规定的除外）。</w:t>
            </w:r>
          </w:p>
          <w:p w14:paraId="520008B7">
            <w:pPr>
              <w:autoSpaceDE w:val="0"/>
              <w:autoSpaceDN w:val="0"/>
              <w:snapToGrid w:val="0"/>
              <w:spacing w:line="390" w:lineRule="exact"/>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t>7、联合体各方均应按照招标文件的规定提交资格证明文件。</w:t>
            </w:r>
          </w:p>
        </w:tc>
      </w:tr>
      <w:tr w14:paraId="0FF1D1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tcBorders>
              <w:top w:val="single" w:color="auto" w:sz="4" w:space="0"/>
              <w:left w:val="single" w:color="auto" w:sz="4" w:space="0"/>
              <w:bottom w:val="single" w:color="auto" w:sz="4" w:space="0"/>
              <w:right w:val="single" w:color="auto" w:sz="4" w:space="0"/>
            </w:tcBorders>
            <w:vAlign w:val="center"/>
          </w:tcPr>
          <w:p w14:paraId="0FF0EB4C">
            <w:pPr>
              <w:spacing w:line="39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7.2</w:t>
            </w:r>
          </w:p>
        </w:tc>
        <w:tc>
          <w:tcPr>
            <w:tcW w:w="9275" w:type="dxa"/>
            <w:tcBorders>
              <w:top w:val="single" w:color="auto" w:sz="4" w:space="0"/>
              <w:left w:val="single" w:color="auto" w:sz="4" w:space="0"/>
              <w:bottom w:val="single" w:color="auto" w:sz="4" w:space="0"/>
              <w:right w:val="single" w:color="auto" w:sz="4" w:space="0"/>
            </w:tcBorders>
            <w:vAlign w:val="center"/>
          </w:tcPr>
          <w:p w14:paraId="3BF283DA">
            <w:pPr>
              <w:pStyle w:val="18"/>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eq \o\ac(□,</w:instrText>
            </w:r>
            <w:r>
              <w:rPr>
                <w:rFonts w:hint="eastAsia" w:ascii="仿宋" w:hAnsi="仿宋" w:eastAsia="仿宋" w:cs="仿宋"/>
                <w:color w:val="auto"/>
                <w:position w:val="2"/>
                <w:sz w:val="24"/>
                <w:highlight w:val="none"/>
              </w:rPr>
              <w:instrText xml:space="preserve">√</w:instrText>
            </w:r>
            <w:r>
              <w:rPr>
                <w:rFonts w:hint="eastAsia" w:ascii="仿宋" w:hAnsi="仿宋" w:eastAsia="仿宋" w:cs="仿宋"/>
                <w:color w:val="auto"/>
                <w:sz w:val="24"/>
                <w:highlight w:val="none"/>
              </w:rPr>
              <w:instrText xml:space="preserve">)</w:instrTex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本项目不允许分包。</w:t>
            </w:r>
          </w:p>
          <w:p w14:paraId="00EC95DB">
            <w:pPr>
              <w:pStyle w:val="18"/>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□本项目允许分包：</w:t>
            </w:r>
          </w:p>
          <w:p w14:paraId="553C78AA">
            <w:pPr>
              <w:pStyle w:val="18"/>
              <w:spacing w:line="390" w:lineRule="exact"/>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分包内容：</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45D27429">
            <w:pPr>
              <w:pStyle w:val="18"/>
              <w:spacing w:line="390" w:lineRule="exact"/>
              <w:jc w:val="both"/>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分包金额或者比例：</w:t>
            </w:r>
            <w:r>
              <w:rPr>
                <w:rFonts w:hint="eastAsia" w:ascii="仿宋" w:hAnsi="仿宋" w:eastAsia="仿宋" w:cs="仿宋"/>
                <w:color w:val="auto"/>
                <w:sz w:val="24"/>
                <w:highlight w:val="none"/>
                <w:u w:val="single"/>
              </w:rPr>
              <w:t>/</w:t>
            </w:r>
            <w:r>
              <w:rPr>
                <w:rFonts w:hint="eastAsia" w:ascii="仿宋" w:hAnsi="仿宋" w:eastAsia="仿宋" w:cs="仿宋"/>
                <w:color w:val="auto"/>
                <w:sz w:val="24"/>
                <w:highlight w:val="none"/>
              </w:rPr>
              <w:t>。</w:t>
            </w:r>
          </w:p>
        </w:tc>
      </w:tr>
      <w:tr w14:paraId="7FA261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1056" w:type="dxa"/>
            <w:tcBorders>
              <w:top w:val="single" w:color="auto" w:sz="4" w:space="0"/>
              <w:left w:val="single" w:color="auto" w:sz="4" w:space="0"/>
              <w:bottom w:val="single" w:color="auto" w:sz="4" w:space="0"/>
              <w:right w:val="single" w:color="auto" w:sz="4" w:space="0"/>
            </w:tcBorders>
            <w:vAlign w:val="center"/>
          </w:tcPr>
          <w:p w14:paraId="53252D48">
            <w:pPr>
              <w:spacing w:line="39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8.1</w:t>
            </w:r>
          </w:p>
        </w:tc>
        <w:tc>
          <w:tcPr>
            <w:tcW w:w="9275" w:type="dxa"/>
            <w:tcBorders>
              <w:top w:val="single" w:color="auto" w:sz="4" w:space="0"/>
              <w:left w:val="single" w:color="auto" w:sz="4" w:space="0"/>
              <w:bottom w:val="single" w:color="auto" w:sz="4" w:space="0"/>
              <w:right w:val="single" w:color="auto" w:sz="4" w:space="0"/>
            </w:tcBorders>
            <w:vAlign w:val="center"/>
          </w:tcPr>
          <w:p w14:paraId="3A246F68">
            <w:pPr>
              <w:autoSpaceDE w:val="0"/>
              <w:autoSpaceDN w:val="0"/>
              <w:snapToGrid w:val="0"/>
              <w:spacing w:line="390" w:lineRule="exact"/>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t>□1、采用最低评标价法的采购项目，通过资格审查、符合性审查的不同投标人参加同一合同项下投标的，投标人评标价相同时，按照下列方式确定投标人获得中标人推荐资格：评标委员会随机抽取/按投标报价低的原则确定，投标报价相同的按服务方案好优先、拟指派参与服务人数多优先、同类业绩多优先的顺序依次确定。</w:t>
            </w:r>
          </w:p>
          <w:p w14:paraId="1BD8100D">
            <w:pPr>
              <w:autoSpaceDE w:val="0"/>
              <w:autoSpaceDN w:val="0"/>
              <w:snapToGrid w:val="0"/>
              <w:spacing w:line="390" w:lineRule="exact"/>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eq \o\ac(□,</w:instrText>
            </w:r>
            <w:r>
              <w:rPr>
                <w:rFonts w:hint="eastAsia" w:ascii="仿宋" w:hAnsi="仿宋" w:eastAsia="仿宋" w:cs="仿宋"/>
                <w:color w:val="auto"/>
                <w:position w:val="2"/>
                <w:sz w:val="24"/>
                <w:highlight w:val="none"/>
              </w:rPr>
              <w:instrText xml:space="preserve">√</w:instrText>
            </w:r>
            <w:r>
              <w:rPr>
                <w:rFonts w:hint="eastAsia" w:ascii="仿宋" w:hAnsi="仿宋" w:eastAsia="仿宋" w:cs="仿宋"/>
                <w:color w:val="auto"/>
                <w:sz w:val="24"/>
                <w:highlight w:val="none"/>
              </w:rPr>
              <w:instrText xml:space="preserve">)</w:instrTex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2、采用综合评分法的采购项目，不同投标人评审得分相同时，按照下列方式确定投标人获得中标人推荐资格：□评标委员会随机抽取/</w:t>
            </w: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eq \o\ac(□,</w:instrText>
            </w:r>
            <w:r>
              <w:rPr>
                <w:rFonts w:hint="eastAsia" w:ascii="仿宋" w:hAnsi="仿宋" w:eastAsia="仿宋" w:cs="仿宋"/>
                <w:color w:val="auto"/>
                <w:position w:val="2"/>
                <w:sz w:val="24"/>
                <w:highlight w:val="none"/>
              </w:rPr>
              <w:instrText xml:space="preserve">√</w:instrText>
            </w:r>
            <w:r>
              <w:rPr>
                <w:rFonts w:hint="eastAsia" w:ascii="仿宋" w:hAnsi="仿宋" w:eastAsia="仿宋" w:cs="仿宋"/>
                <w:color w:val="auto"/>
                <w:sz w:val="24"/>
                <w:highlight w:val="none"/>
              </w:rPr>
              <w:instrText xml:space="preserve">)</w:instrTex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按投标报价低的原则确定，投标报价相同的按技术、商务得分高低依次确定。</w:t>
            </w:r>
          </w:p>
        </w:tc>
      </w:tr>
      <w:tr w14:paraId="70B774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056" w:type="dxa"/>
            <w:vMerge w:val="restart"/>
            <w:tcBorders>
              <w:top w:val="single" w:color="auto" w:sz="4" w:space="0"/>
              <w:left w:val="single" w:color="auto" w:sz="4" w:space="0"/>
              <w:right w:val="single" w:color="auto" w:sz="4" w:space="0"/>
            </w:tcBorders>
            <w:vAlign w:val="center"/>
          </w:tcPr>
          <w:p w14:paraId="37641AFB">
            <w:pPr>
              <w:spacing w:line="39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11.5</w:t>
            </w:r>
          </w:p>
        </w:tc>
        <w:tc>
          <w:tcPr>
            <w:tcW w:w="9275" w:type="dxa"/>
            <w:tcBorders>
              <w:top w:val="single" w:color="auto" w:sz="4" w:space="0"/>
              <w:left w:val="single" w:color="auto" w:sz="4" w:space="0"/>
              <w:bottom w:val="single" w:color="auto" w:sz="4" w:space="0"/>
              <w:right w:val="single" w:color="auto" w:sz="4" w:space="0"/>
            </w:tcBorders>
            <w:vAlign w:val="center"/>
          </w:tcPr>
          <w:p w14:paraId="1085450B">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本项目不组织现场考察。</w:t>
            </w:r>
          </w:p>
          <w:p w14:paraId="5AD55237">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eq \o\ac(□)</w:instrTex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本项目组织现场考察：</w:t>
            </w:r>
            <w:r>
              <w:rPr>
                <w:rFonts w:hint="eastAsia" w:ascii="仿宋" w:hAnsi="仿宋" w:eastAsia="仿宋" w:cs="仿宋"/>
                <w:color w:val="auto"/>
                <w:sz w:val="24"/>
                <w:highlight w:val="none"/>
                <w:u w:val="single"/>
              </w:rPr>
              <w:t xml:space="preserve"> 具体内容详见第二章“采购需求”</w:t>
            </w:r>
          </w:p>
        </w:tc>
      </w:tr>
      <w:tr w14:paraId="541B08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1056" w:type="dxa"/>
            <w:vMerge w:val="continue"/>
            <w:tcBorders>
              <w:left w:val="single" w:color="auto" w:sz="4" w:space="0"/>
              <w:bottom w:val="single" w:color="auto" w:sz="4" w:space="0"/>
              <w:right w:val="single" w:color="auto" w:sz="4" w:space="0"/>
            </w:tcBorders>
            <w:vAlign w:val="center"/>
          </w:tcPr>
          <w:p w14:paraId="6B2CECDA">
            <w:pPr>
              <w:spacing w:line="390" w:lineRule="exact"/>
              <w:jc w:val="center"/>
              <w:rPr>
                <w:rFonts w:hint="eastAsia" w:ascii="仿宋" w:hAnsi="仿宋" w:eastAsia="仿宋" w:cs="仿宋"/>
                <w:color w:val="auto"/>
                <w:sz w:val="24"/>
                <w:highlight w:val="none"/>
              </w:rPr>
            </w:pPr>
          </w:p>
        </w:tc>
        <w:tc>
          <w:tcPr>
            <w:tcW w:w="9275" w:type="dxa"/>
            <w:tcBorders>
              <w:top w:val="single" w:color="auto" w:sz="4" w:space="0"/>
              <w:left w:val="single" w:color="auto" w:sz="4" w:space="0"/>
              <w:bottom w:val="single" w:color="auto" w:sz="4" w:space="0"/>
              <w:right w:val="single" w:color="auto" w:sz="4" w:space="0"/>
            </w:tcBorders>
            <w:vAlign w:val="center"/>
          </w:tcPr>
          <w:p w14:paraId="4C21EF9E">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w:t>
            </w: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eq \o\ac(□,</w:instrText>
            </w:r>
            <w:r>
              <w:rPr>
                <w:rFonts w:hint="eastAsia" w:ascii="仿宋" w:hAnsi="仿宋" w:eastAsia="仿宋" w:cs="仿宋"/>
                <w:color w:val="auto"/>
                <w:position w:val="2"/>
                <w:sz w:val="24"/>
                <w:highlight w:val="none"/>
              </w:rPr>
              <w:instrText xml:space="preserve">√</w:instrText>
            </w:r>
            <w:r>
              <w:rPr>
                <w:rFonts w:hint="eastAsia" w:ascii="仿宋" w:hAnsi="仿宋" w:eastAsia="仿宋" w:cs="仿宋"/>
                <w:color w:val="auto"/>
                <w:sz w:val="24"/>
                <w:highlight w:val="none"/>
              </w:rPr>
              <w:instrText xml:space="preserve">)</w:instrTex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不组织召开开标前答疑会/□组织召开开标前答疑会</w:t>
            </w:r>
          </w:p>
          <w:p w14:paraId="05690AAA">
            <w:pPr>
              <w:snapToGrid w:val="0"/>
              <w:spacing w:line="390" w:lineRule="exact"/>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会议开始时间：</w:t>
            </w:r>
            <w:r>
              <w:rPr>
                <w:rFonts w:hint="eastAsia" w:ascii="仿宋" w:hAnsi="仿宋" w:eastAsia="仿宋" w:cs="仿宋"/>
                <w:color w:val="auto"/>
                <w:sz w:val="24"/>
                <w:highlight w:val="none"/>
                <w:u w:val="single"/>
              </w:rPr>
              <w:t>/</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w:t>
            </w:r>
            <w:r>
              <w:rPr>
                <w:rFonts w:hint="eastAsia" w:ascii="仿宋" w:hAnsi="仿宋" w:eastAsia="仿宋" w:cs="仿宋"/>
                <w:color w:val="auto"/>
                <w:sz w:val="24"/>
                <w:highlight w:val="none"/>
              </w:rPr>
              <w:t>日</w:t>
            </w:r>
            <w:r>
              <w:rPr>
                <w:rFonts w:hint="eastAsia" w:ascii="仿宋" w:hAnsi="仿宋" w:eastAsia="仿宋" w:cs="仿宋"/>
                <w:color w:val="auto"/>
                <w:sz w:val="24"/>
                <w:highlight w:val="none"/>
                <w:u w:val="single"/>
              </w:rPr>
              <w:t>/</w:t>
            </w:r>
            <w:r>
              <w:rPr>
                <w:rFonts w:hint="eastAsia" w:ascii="仿宋" w:hAnsi="仿宋" w:eastAsia="仿宋" w:cs="仿宋"/>
                <w:color w:val="auto"/>
                <w:sz w:val="24"/>
                <w:highlight w:val="none"/>
              </w:rPr>
              <w:t>时</w:t>
            </w:r>
            <w:r>
              <w:rPr>
                <w:rFonts w:hint="eastAsia" w:ascii="仿宋" w:hAnsi="仿宋" w:eastAsia="仿宋" w:cs="仿宋"/>
                <w:color w:val="auto"/>
                <w:sz w:val="24"/>
                <w:highlight w:val="none"/>
                <w:u w:val="single"/>
              </w:rPr>
              <w:t>/</w:t>
            </w:r>
            <w:r>
              <w:rPr>
                <w:rFonts w:hint="eastAsia" w:ascii="仿宋" w:hAnsi="仿宋" w:eastAsia="仿宋" w:cs="仿宋"/>
                <w:color w:val="auto"/>
                <w:sz w:val="24"/>
                <w:highlight w:val="none"/>
              </w:rPr>
              <w:t>分，逾期后果自负。会议地点：</w:t>
            </w:r>
            <w:r>
              <w:rPr>
                <w:rFonts w:hint="eastAsia" w:ascii="仿宋" w:hAnsi="仿宋" w:eastAsia="仿宋" w:cs="仿宋"/>
                <w:color w:val="auto"/>
                <w:sz w:val="24"/>
                <w:highlight w:val="none"/>
                <w:u w:val="single"/>
              </w:rPr>
              <w:t xml:space="preserve">    /    </w:t>
            </w:r>
          </w:p>
          <w:p w14:paraId="723E6CCB">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联系人：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；联系电话：</w:t>
            </w:r>
            <w:r>
              <w:rPr>
                <w:rFonts w:hint="eastAsia" w:ascii="仿宋" w:hAnsi="仿宋" w:eastAsia="仿宋" w:cs="仿宋"/>
                <w:color w:val="auto"/>
                <w:sz w:val="24"/>
                <w:highlight w:val="none"/>
                <w:u w:val="single"/>
              </w:rPr>
              <w:t xml:space="preserve">         /       </w:t>
            </w:r>
          </w:p>
        </w:tc>
      </w:tr>
      <w:tr w14:paraId="737317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vMerge w:val="restart"/>
            <w:tcBorders>
              <w:top w:val="single" w:color="auto" w:sz="4" w:space="0"/>
              <w:left w:val="single" w:color="auto" w:sz="4" w:space="0"/>
              <w:right w:val="single" w:color="auto" w:sz="4" w:space="0"/>
            </w:tcBorders>
            <w:vAlign w:val="center"/>
          </w:tcPr>
          <w:p w14:paraId="71581BA1">
            <w:pPr>
              <w:spacing w:line="390" w:lineRule="exact"/>
              <w:jc w:val="center"/>
              <w:rPr>
                <w:rFonts w:hint="eastAsia" w:ascii="仿宋" w:hAnsi="仿宋" w:eastAsia="仿宋" w:cs="仿宋"/>
                <w:color w:val="auto"/>
                <w:sz w:val="24"/>
                <w:highlight w:val="none"/>
              </w:rPr>
            </w:pPr>
            <w:bookmarkStart w:id="64" w:name="_13.1"/>
            <w:bookmarkEnd w:id="64"/>
            <w:r>
              <w:rPr>
                <w:rFonts w:hint="eastAsia" w:ascii="仿宋" w:hAnsi="仿宋" w:eastAsia="仿宋" w:cs="仿宋"/>
                <w:color w:val="auto"/>
                <w:sz w:val="24"/>
                <w:highlight w:val="none"/>
              </w:rPr>
              <w:t>13.</w:t>
            </w:r>
            <w:bookmarkStart w:id="65" w:name="_Hlt19632543"/>
            <w:r>
              <w:rPr>
                <w:rFonts w:hint="eastAsia" w:ascii="仿宋" w:hAnsi="仿宋" w:eastAsia="仿宋" w:cs="仿宋"/>
                <w:color w:val="auto"/>
                <w:sz w:val="24"/>
                <w:highlight w:val="none"/>
              </w:rPr>
              <w:t>1</w:t>
            </w:r>
            <w:bookmarkEnd w:id="65"/>
          </w:p>
        </w:tc>
        <w:tc>
          <w:tcPr>
            <w:tcW w:w="9275" w:type="dxa"/>
            <w:tcBorders>
              <w:top w:val="single" w:color="auto" w:sz="4" w:space="0"/>
              <w:left w:val="single" w:color="auto" w:sz="4" w:space="0"/>
              <w:bottom w:val="single" w:color="auto" w:sz="4" w:space="0"/>
              <w:right w:val="single" w:color="auto" w:sz="4" w:space="0"/>
            </w:tcBorders>
            <w:vAlign w:val="center"/>
          </w:tcPr>
          <w:p w14:paraId="1A779DC2">
            <w:pPr>
              <w:snapToGrid w:val="0"/>
              <w:spacing w:line="39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 xml:space="preserve">报价文件: </w:t>
            </w:r>
          </w:p>
          <w:p w14:paraId="6898A94E">
            <w:pPr>
              <w:tabs>
                <w:tab w:val="left" w:pos="459"/>
              </w:tabs>
              <w:snapToGrid w:val="0"/>
              <w:spacing w:line="39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1、投标函（格式详见第六章）；</w:t>
            </w:r>
            <w:r>
              <w:rPr>
                <w:rFonts w:hint="eastAsia" w:ascii="仿宋" w:hAnsi="仿宋" w:eastAsia="仿宋" w:cs="仿宋"/>
                <w:b/>
                <w:color w:val="auto"/>
                <w:sz w:val="24"/>
                <w:highlight w:val="none"/>
              </w:rPr>
              <w:t>（必须提供，否则投标文件按无效投标处理）</w:t>
            </w:r>
          </w:p>
          <w:p w14:paraId="73E69C41">
            <w:pPr>
              <w:tabs>
                <w:tab w:val="left" w:pos="459"/>
              </w:tabs>
              <w:snapToGrid w:val="0"/>
              <w:spacing w:line="390" w:lineRule="exact"/>
              <w:jc w:val="left"/>
              <w:rPr>
                <w:rFonts w:hint="eastAsia" w:ascii="仿宋" w:hAnsi="仿宋" w:eastAsia="仿宋" w:cs="仿宋"/>
                <w:color w:val="auto"/>
                <w:sz w:val="24"/>
                <w:highlight w:val="none"/>
              </w:rPr>
            </w:pPr>
            <w:bookmarkStart w:id="66" w:name="_Hlk71299233"/>
            <w:r>
              <w:rPr>
                <w:rFonts w:hint="eastAsia" w:ascii="仿宋" w:hAnsi="仿宋" w:eastAsia="仿宋" w:cs="仿宋"/>
                <w:color w:val="auto"/>
                <w:sz w:val="24"/>
                <w:highlight w:val="none"/>
              </w:rPr>
              <w:t>2、开标一览表</w:t>
            </w:r>
            <w:bookmarkEnd w:id="66"/>
            <w:r>
              <w:rPr>
                <w:rFonts w:hint="eastAsia" w:ascii="仿宋" w:hAnsi="仿宋" w:eastAsia="仿宋" w:cs="仿宋"/>
                <w:color w:val="auto"/>
                <w:sz w:val="24"/>
                <w:highlight w:val="none"/>
              </w:rPr>
              <w:t>（格式详见第六章）；</w:t>
            </w:r>
            <w:r>
              <w:rPr>
                <w:rFonts w:hint="eastAsia" w:ascii="仿宋" w:hAnsi="仿宋" w:eastAsia="仿宋" w:cs="仿宋"/>
                <w:b/>
                <w:color w:val="auto"/>
                <w:sz w:val="24"/>
                <w:highlight w:val="none"/>
              </w:rPr>
              <w:t>（必须提供，否则投标文件按无效投标处理）</w:t>
            </w:r>
          </w:p>
          <w:p w14:paraId="26B838BB">
            <w:pPr>
              <w:tabs>
                <w:tab w:val="left" w:pos="459"/>
              </w:tabs>
              <w:snapToGrid w:val="0"/>
              <w:spacing w:line="39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3、投标人针对报价需要说明的其他文件和说明（格式自拟）。</w:t>
            </w:r>
            <w:r>
              <w:rPr>
                <w:rFonts w:hint="eastAsia" w:ascii="仿宋" w:hAnsi="仿宋" w:eastAsia="仿宋" w:cs="仿宋"/>
                <w:b/>
                <w:color w:val="auto"/>
                <w:sz w:val="24"/>
                <w:highlight w:val="none"/>
              </w:rPr>
              <w:t>（如有，请提供）</w:t>
            </w:r>
          </w:p>
          <w:p w14:paraId="7E85C1A1">
            <w:pPr>
              <w:snapToGrid w:val="0"/>
              <w:spacing w:line="390" w:lineRule="exact"/>
              <w:ind w:firstLine="482" w:firstLineChars="200"/>
              <w:jc w:val="left"/>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注：投标函、开标一览表必须由法定代表人或者委托代理人在规定签章处逐一签字并加盖投标人公章，否则按无效投标</w:t>
            </w:r>
            <w:r>
              <w:rPr>
                <w:rFonts w:hint="eastAsia" w:ascii="仿宋" w:hAnsi="仿宋" w:eastAsia="仿宋" w:cs="仿宋"/>
                <w:b/>
                <w:color w:val="auto"/>
                <w:sz w:val="24"/>
                <w:highlight w:val="none"/>
              </w:rPr>
              <w:t>处理</w:t>
            </w:r>
            <w:r>
              <w:rPr>
                <w:rFonts w:hint="eastAsia" w:ascii="仿宋" w:hAnsi="仿宋" w:eastAsia="仿宋" w:cs="仿宋"/>
                <w:b/>
                <w:bCs/>
                <w:color w:val="auto"/>
                <w:sz w:val="24"/>
                <w:highlight w:val="none"/>
              </w:rPr>
              <w:t>。</w:t>
            </w:r>
          </w:p>
        </w:tc>
      </w:tr>
      <w:tr w14:paraId="64B025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vMerge w:val="continue"/>
            <w:tcBorders>
              <w:left w:val="single" w:color="auto" w:sz="4" w:space="0"/>
              <w:right w:val="single" w:color="auto" w:sz="4" w:space="0"/>
            </w:tcBorders>
            <w:vAlign w:val="center"/>
          </w:tcPr>
          <w:p w14:paraId="603B1D90">
            <w:pPr>
              <w:spacing w:line="390" w:lineRule="exact"/>
              <w:rPr>
                <w:rFonts w:hint="eastAsia" w:ascii="仿宋" w:hAnsi="仿宋" w:eastAsia="仿宋" w:cs="仿宋"/>
                <w:color w:val="auto"/>
                <w:sz w:val="24"/>
                <w:highlight w:val="none"/>
              </w:rPr>
            </w:pPr>
            <w:bookmarkStart w:id="67" w:name="_13.2"/>
            <w:bookmarkEnd w:id="67"/>
          </w:p>
        </w:tc>
        <w:tc>
          <w:tcPr>
            <w:tcW w:w="9275" w:type="dxa"/>
            <w:tcBorders>
              <w:top w:val="single" w:color="auto" w:sz="4" w:space="0"/>
              <w:left w:val="single" w:color="auto" w:sz="4" w:space="0"/>
              <w:bottom w:val="single" w:color="auto" w:sz="4" w:space="0"/>
              <w:right w:val="single" w:color="auto" w:sz="4" w:space="0"/>
            </w:tcBorders>
            <w:vAlign w:val="center"/>
          </w:tcPr>
          <w:p w14:paraId="033C3927">
            <w:pPr>
              <w:snapToGrid w:val="0"/>
              <w:spacing w:line="39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资格证明文件：</w:t>
            </w:r>
          </w:p>
          <w:p w14:paraId="2BFA34D9">
            <w:pPr>
              <w:autoSpaceDE w:val="0"/>
              <w:autoSpaceDN w:val="0"/>
              <w:snapToGrid w:val="0"/>
              <w:spacing w:line="390" w:lineRule="exact"/>
              <w:textAlignment w:val="bottom"/>
              <w:rPr>
                <w:rFonts w:hint="eastAsia" w:ascii="仿宋" w:hAnsi="仿宋" w:eastAsia="仿宋" w:cs="仿宋"/>
                <w:b/>
                <w:color w:val="auto"/>
                <w:sz w:val="24"/>
                <w:highlight w:val="none"/>
              </w:rPr>
            </w:pPr>
            <w:r>
              <w:rPr>
                <w:rFonts w:hint="eastAsia" w:ascii="仿宋" w:hAnsi="仿宋" w:eastAsia="仿宋" w:cs="仿宋"/>
                <w:color w:val="auto"/>
                <w:sz w:val="24"/>
                <w:highlight w:val="none"/>
              </w:rPr>
              <w:t>1、供应商为法人或者其他组织的，证明文件为其营业执照复印件（如营业执照或者事业单位法人证书或者执业许可证等）；供应商为自然人的，证明文件为其身份证复印件；</w:t>
            </w:r>
            <w:r>
              <w:rPr>
                <w:rFonts w:hint="eastAsia" w:ascii="仿宋" w:hAnsi="仿宋" w:eastAsia="仿宋" w:cs="仿宋"/>
                <w:b/>
                <w:color w:val="auto"/>
                <w:sz w:val="24"/>
                <w:highlight w:val="none"/>
              </w:rPr>
              <w:t>（必须提供，否则投标文件按无效响应处理）</w:t>
            </w:r>
          </w:p>
          <w:p w14:paraId="729016EC">
            <w:pPr>
              <w:autoSpaceDE w:val="0"/>
              <w:autoSpaceDN w:val="0"/>
              <w:snapToGrid w:val="0"/>
              <w:spacing w:line="390" w:lineRule="exact"/>
              <w:textAlignment w:val="bottom"/>
              <w:rPr>
                <w:rFonts w:hint="eastAsia" w:ascii="仿宋" w:hAnsi="仿宋" w:eastAsia="仿宋" w:cs="仿宋"/>
                <w:b/>
                <w:color w:val="auto"/>
                <w:sz w:val="24"/>
                <w:highlight w:val="none"/>
              </w:rPr>
            </w:pPr>
            <w:r>
              <w:rPr>
                <w:rFonts w:hint="eastAsia" w:ascii="仿宋" w:hAnsi="仿宋" w:eastAsia="仿宋" w:cs="仿宋"/>
                <w:color w:val="auto"/>
                <w:sz w:val="24"/>
                <w:highlight w:val="none"/>
              </w:rPr>
              <w:t>2、投标人依法缴纳税收的相关材料（</w:t>
            </w:r>
            <w:r>
              <w:rPr>
                <w:rFonts w:hint="eastAsia" w:ascii="仿宋" w:hAnsi="仿宋" w:eastAsia="仿宋" w:cs="仿宋"/>
                <w:color w:val="auto"/>
                <w:sz w:val="24"/>
                <w:highlight w:val="none"/>
                <w:lang w:eastAsia="zh-CN"/>
              </w:rPr>
              <w:t>2026年1月</w:t>
            </w:r>
            <w:r>
              <w:rPr>
                <w:rFonts w:hint="eastAsia" w:ascii="仿宋" w:hAnsi="仿宋" w:eastAsia="仿宋" w:cs="仿宋"/>
                <w:color w:val="auto"/>
                <w:sz w:val="24"/>
                <w:highlight w:val="none"/>
              </w:rPr>
              <w:t>至投标截止时间内任意连续三个月的依法缴纳税收的完税凭证复印件；依法免税的供应商，必须提供相应文件证明其依法免税。从成立之日起到投标文件提交截止时间止不足要求月数的，只需提供从成立之日起的依法缴纳税收相应证明文件）；</w:t>
            </w:r>
            <w:r>
              <w:rPr>
                <w:rFonts w:hint="eastAsia" w:ascii="仿宋" w:hAnsi="仿宋" w:eastAsia="仿宋" w:cs="仿宋"/>
                <w:b/>
                <w:color w:val="auto"/>
                <w:sz w:val="24"/>
                <w:highlight w:val="none"/>
              </w:rPr>
              <w:t>（必须提供，否则投标文件按无效投标处理）</w:t>
            </w:r>
          </w:p>
          <w:p w14:paraId="2028B5AC">
            <w:pPr>
              <w:autoSpaceDE w:val="0"/>
              <w:autoSpaceDN w:val="0"/>
              <w:snapToGrid w:val="0"/>
              <w:spacing w:line="390" w:lineRule="exact"/>
              <w:textAlignment w:val="bottom"/>
              <w:rPr>
                <w:rFonts w:hint="eastAsia" w:ascii="仿宋" w:hAnsi="仿宋" w:eastAsia="仿宋" w:cs="仿宋"/>
                <w:b/>
                <w:color w:val="auto"/>
                <w:sz w:val="24"/>
                <w:highlight w:val="none"/>
              </w:rPr>
            </w:pPr>
            <w:r>
              <w:rPr>
                <w:rFonts w:hint="eastAsia" w:ascii="仿宋" w:hAnsi="仿宋" w:eastAsia="仿宋" w:cs="仿宋"/>
                <w:color w:val="auto"/>
                <w:sz w:val="24"/>
                <w:highlight w:val="none"/>
              </w:rPr>
              <w:t>3、投标人依法缴纳社会保障资金的相关材料[</w:t>
            </w:r>
            <w:r>
              <w:rPr>
                <w:rFonts w:hint="eastAsia" w:ascii="仿宋" w:hAnsi="仿宋" w:eastAsia="仿宋" w:cs="仿宋"/>
                <w:color w:val="auto"/>
                <w:sz w:val="24"/>
                <w:highlight w:val="none"/>
                <w:lang w:eastAsia="zh-CN"/>
              </w:rPr>
              <w:t>2026年1月</w:t>
            </w:r>
            <w:r>
              <w:rPr>
                <w:rFonts w:hint="eastAsia" w:ascii="仿宋" w:hAnsi="仿宋" w:eastAsia="仿宋" w:cs="仿宋"/>
                <w:color w:val="auto"/>
                <w:sz w:val="24"/>
                <w:highlight w:val="none"/>
              </w:rPr>
              <w:t>至投标截止时间内任意连续三个月的依法缴纳社会保障资金的缴费凭证复印件（缴费凭证指专用收据、完税证明或者社会保险缴纳清单）；依法不需要缴纳社会保障资金的供应商，必须提供相应文件证明不需要缴纳社会保障资金。从成立之日起到投标文件提交截止时间止不足要求月数的只需提供从成立之日起的依法缴纳社会保障资金的相应证明文件]；</w:t>
            </w:r>
            <w:r>
              <w:rPr>
                <w:rFonts w:hint="eastAsia" w:ascii="仿宋" w:hAnsi="仿宋" w:eastAsia="仿宋" w:cs="仿宋"/>
                <w:b/>
                <w:color w:val="auto"/>
                <w:sz w:val="24"/>
                <w:highlight w:val="none"/>
              </w:rPr>
              <w:t>（必须提供，否则投标文件按无效投标处理）</w:t>
            </w:r>
          </w:p>
          <w:p w14:paraId="7CE87DE7">
            <w:pPr>
              <w:autoSpaceDE w:val="0"/>
              <w:autoSpaceDN w:val="0"/>
              <w:snapToGrid w:val="0"/>
              <w:spacing w:line="390" w:lineRule="exact"/>
              <w:textAlignment w:val="bottom"/>
              <w:rPr>
                <w:rFonts w:hint="eastAsia" w:ascii="仿宋" w:hAnsi="仿宋" w:eastAsia="仿宋" w:cs="仿宋"/>
                <w:b/>
                <w:color w:val="auto"/>
                <w:sz w:val="24"/>
                <w:highlight w:val="none"/>
              </w:rPr>
            </w:pPr>
            <w:r>
              <w:rPr>
                <w:rFonts w:hint="eastAsia" w:ascii="仿宋" w:hAnsi="仿宋" w:eastAsia="仿宋" w:cs="仿宋"/>
                <w:color w:val="auto"/>
                <w:sz w:val="24"/>
                <w:highlight w:val="none"/>
              </w:rPr>
              <w:t>4、投标人财务状况报告【</w:t>
            </w:r>
            <w:r>
              <w:rPr>
                <w:rFonts w:hint="eastAsia" w:ascii="仿宋" w:hAnsi="仿宋" w:eastAsia="仿宋" w:cs="仿宋"/>
                <w:color w:val="auto"/>
                <w:sz w:val="24"/>
                <w:highlight w:val="none"/>
                <w:lang w:eastAsia="zh-CN"/>
              </w:rPr>
              <w:t>2024年度</w:t>
            </w:r>
            <w:r>
              <w:rPr>
                <w:rFonts w:hint="eastAsia" w:ascii="仿宋" w:hAnsi="仿宋" w:eastAsia="仿宋" w:cs="仿宋"/>
                <w:color w:val="auto"/>
                <w:sz w:val="24"/>
                <w:highlight w:val="none"/>
                <w:lang w:val="en-US" w:eastAsia="zh-CN"/>
              </w:rPr>
              <w:t>或2025年度</w:t>
            </w:r>
            <w:r>
              <w:rPr>
                <w:rFonts w:hint="eastAsia" w:ascii="仿宋" w:hAnsi="仿宋" w:eastAsia="仿宋" w:cs="仿宋"/>
                <w:color w:val="auto"/>
                <w:sz w:val="24"/>
                <w:highlight w:val="none"/>
              </w:rPr>
              <w:t>经审计的财务报告复印件（包括“四表一注”或“三表一注”）或者银行出具的资信证明；投标人属于成立时间在规定年度之后的法人或其他组织，需提供成立之日起至投标截止时间前的月报表或银行出具的资信证明；资信证明应在有效期内，未注明有效期的，银行出具时间至投标截止时间不超过一年】；</w:t>
            </w:r>
            <w:r>
              <w:rPr>
                <w:rFonts w:hint="eastAsia" w:ascii="仿宋" w:hAnsi="仿宋" w:eastAsia="仿宋" w:cs="仿宋"/>
                <w:b/>
                <w:color w:val="auto"/>
                <w:sz w:val="24"/>
                <w:highlight w:val="none"/>
              </w:rPr>
              <w:t>（除自然人外必须提供，否则投标文件按无效投标处理）</w:t>
            </w:r>
          </w:p>
          <w:p w14:paraId="6C9F563F">
            <w:pPr>
              <w:autoSpaceDE w:val="0"/>
              <w:autoSpaceDN w:val="0"/>
              <w:snapToGrid w:val="0"/>
              <w:spacing w:line="390" w:lineRule="exact"/>
              <w:textAlignment w:val="bottom"/>
              <w:rPr>
                <w:rFonts w:hint="eastAsia" w:ascii="仿宋" w:hAnsi="仿宋" w:eastAsia="仿宋" w:cs="仿宋"/>
                <w:b/>
                <w:color w:val="auto"/>
                <w:sz w:val="24"/>
                <w:highlight w:val="none"/>
              </w:rPr>
            </w:pPr>
            <w:r>
              <w:rPr>
                <w:rFonts w:hint="eastAsia" w:ascii="仿宋" w:hAnsi="仿宋" w:eastAsia="仿宋" w:cs="仿宋"/>
                <w:color w:val="auto"/>
                <w:sz w:val="24"/>
                <w:highlight w:val="none"/>
              </w:rPr>
              <w:t>5、投标人直接控股、管理关系信息表（格式详见第六章）；</w:t>
            </w:r>
            <w:r>
              <w:rPr>
                <w:rFonts w:hint="eastAsia" w:ascii="仿宋" w:hAnsi="仿宋" w:eastAsia="仿宋" w:cs="仿宋"/>
                <w:b/>
                <w:color w:val="auto"/>
                <w:sz w:val="24"/>
                <w:highlight w:val="none"/>
              </w:rPr>
              <w:t>（必须提供，否则投标文件按无效投标处理）</w:t>
            </w:r>
          </w:p>
          <w:p w14:paraId="15BE2D7F">
            <w:pPr>
              <w:autoSpaceDE w:val="0"/>
              <w:autoSpaceDN w:val="0"/>
              <w:snapToGrid w:val="0"/>
              <w:spacing w:line="390" w:lineRule="exact"/>
              <w:textAlignment w:val="bottom"/>
              <w:rPr>
                <w:rFonts w:hint="eastAsia" w:ascii="仿宋" w:hAnsi="仿宋" w:eastAsia="仿宋" w:cs="仿宋"/>
                <w:b/>
                <w:color w:val="auto"/>
                <w:sz w:val="24"/>
                <w:highlight w:val="none"/>
              </w:rPr>
            </w:pPr>
            <w:r>
              <w:rPr>
                <w:rFonts w:hint="eastAsia" w:ascii="仿宋" w:hAnsi="仿宋" w:eastAsia="仿宋" w:cs="仿宋"/>
                <w:color w:val="auto"/>
                <w:sz w:val="24"/>
                <w:highlight w:val="none"/>
              </w:rPr>
              <w:t>6、投标声明（格式详见第六章）；</w:t>
            </w:r>
            <w:r>
              <w:rPr>
                <w:rFonts w:hint="eastAsia" w:ascii="仿宋" w:hAnsi="仿宋" w:eastAsia="仿宋" w:cs="仿宋"/>
                <w:b/>
                <w:color w:val="auto"/>
                <w:sz w:val="24"/>
                <w:highlight w:val="none"/>
              </w:rPr>
              <w:t>（必须提供，否则投标文件按无效投标处理）</w:t>
            </w:r>
          </w:p>
          <w:p w14:paraId="5C2BDBB2">
            <w:pPr>
              <w:autoSpaceDE w:val="0"/>
              <w:autoSpaceDN w:val="0"/>
              <w:snapToGrid w:val="0"/>
              <w:spacing w:line="390" w:lineRule="exact"/>
              <w:textAlignment w:val="bottom"/>
              <w:rPr>
                <w:rFonts w:hint="eastAsia" w:ascii="仿宋" w:hAnsi="仿宋" w:eastAsia="仿宋" w:cs="仿宋"/>
                <w:b/>
                <w:color w:val="auto"/>
                <w:sz w:val="24"/>
                <w:highlight w:val="none"/>
              </w:rPr>
            </w:pPr>
            <w:r>
              <w:rPr>
                <w:rFonts w:hint="eastAsia" w:ascii="仿宋" w:hAnsi="仿宋" w:eastAsia="仿宋" w:cs="仿宋"/>
                <w:color w:val="auto"/>
                <w:sz w:val="24"/>
                <w:highlight w:val="none"/>
              </w:rPr>
              <w:t>7、投标人参加本项目无回避事项的承诺函（格式详见第六章）；</w:t>
            </w:r>
            <w:r>
              <w:rPr>
                <w:rFonts w:hint="eastAsia" w:ascii="仿宋" w:hAnsi="仿宋" w:eastAsia="仿宋" w:cs="仿宋"/>
                <w:b/>
                <w:color w:val="auto"/>
                <w:sz w:val="24"/>
                <w:highlight w:val="none"/>
              </w:rPr>
              <w:t>（必须提供，否则投标文件按无效投标处理）</w:t>
            </w:r>
          </w:p>
          <w:p w14:paraId="4E563F5E">
            <w:pPr>
              <w:autoSpaceDE w:val="0"/>
              <w:autoSpaceDN w:val="0"/>
              <w:snapToGrid w:val="0"/>
              <w:spacing w:line="390" w:lineRule="exact"/>
              <w:textAlignment w:val="bottom"/>
              <w:rPr>
                <w:rFonts w:hint="eastAsia" w:ascii="仿宋" w:hAnsi="仿宋" w:eastAsia="仿宋" w:cs="仿宋"/>
                <w:b/>
                <w:bCs/>
                <w:color w:val="auto"/>
                <w:sz w:val="24"/>
                <w:highlight w:val="none"/>
                <w:lang w:val="en-US" w:eastAsia="zh-CN"/>
              </w:rPr>
            </w:pPr>
            <w:r>
              <w:rPr>
                <w:rFonts w:hint="eastAsia" w:ascii="仿宋" w:hAnsi="仿宋" w:eastAsia="仿宋" w:cs="仿宋"/>
                <w:color w:val="auto"/>
                <w:sz w:val="24"/>
                <w:highlight w:val="none"/>
                <w:lang w:val="en-US" w:eastAsia="zh-CN"/>
              </w:rPr>
              <w:t>8、投标人为“非在校任职的教职工人员”承诺函</w:t>
            </w:r>
            <w:r>
              <w:rPr>
                <w:rFonts w:hint="eastAsia" w:ascii="仿宋" w:hAnsi="仿宋" w:eastAsia="仿宋" w:cs="仿宋"/>
                <w:color w:val="auto"/>
                <w:sz w:val="24"/>
                <w:highlight w:val="none"/>
              </w:rPr>
              <w:t>（格式详见第六章）</w:t>
            </w:r>
            <w:r>
              <w:rPr>
                <w:rFonts w:hint="eastAsia" w:ascii="仿宋" w:hAnsi="仿宋" w:eastAsia="仿宋" w:cs="仿宋"/>
                <w:color w:val="auto"/>
                <w:sz w:val="24"/>
                <w:highlight w:val="none"/>
                <w:lang w:val="en-US" w:eastAsia="zh-CN"/>
              </w:rPr>
              <w:t>；</w:t>
            </w:r>
            <w:r>
              <w:rPr>
                <w:rFonts w:hint="eastAsia" w:ascii="仿宋" w:hAnsi="仿宋" w:eastAsia="仿宋" w:cs="仿宋"/>
                <w:b/>
                <w:bCs/>
                <w:color w:val="auto"/>
                <w:sz w:val="24"/>
                <w:highlight w:val="none"/>
                <w:lang w:val="en-US" w:eastAsia="zh-CN"/>
              </w:rPr>
              <w:t>（必须提供，否则响应文件按无效响应处理）</w:t>
            </w:r>
          </w:p>
          <w:p w14:paraId="6DA50165">
            <w:pPr>
              <w:autoSpaceDE w:val="0"/>
              <w:autoSpaceDN w:val="0"/>
              <w:snapToGrid w:val="0"/>
              <w:spacing w:line="390" w:lineRule="exact"/>
              <w:textAlignment w:val="bottom"/>
              <w:rPr>
                <w:rFonts w:hint="eastAsia" w:ascii="仿宋" w:hAnsi="仿宋" w:eastAsia="仿宋" w:cs="仿宋"/>
                <w:b/>
                <w:bCs/>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除招标文件规定必须提供以外，投标人认为需要提供的其他证明材料。</w:t>
            </w:r>
            <w:r>
              <w:rPr>
                <w:rFonts w:hint="eastAsia" w:ascii="仿宋" w:hAnsi="仿宋" w:eastAsia="仿宋" w:cs="仿宋"/>
                <w:b/>
                <w:bCs/>
                <w:color w:val="auto"/>
                <w:sz w:val="24"/>
                <w:highlight w:val="none"/>
              </w:rPr>
              <w:t>（如有，请提供）</w:t>
            </w:r>
          </w:p>
          <w:p w14:paraId="15219771">
            <w:pPr>
              <w:snapToGrid w:val="0"/>
              <w:spacing w:line="390" w:lineRule="exact"/>
              <w:jc w:val="lef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注：</w:t>
            </w:r>
          </w:p>
          <w:p w14:paraId="5DA8CF08">
            <w:pPr>
              <w:snapToGrid w:val="0"/>
              <w:spacing w:line="39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bCs/>
                <w:color w:val="auto"/>
                <w:sz w:val="24"/>
                <w:highlight w:val="none"/>
              </w:rPr>
              <w:t>1、以上标明“必须提供”的材料属于复印件的，必须加盖投标人公章，否则按无效投标</w:t>
            </w:r>
            <w:r>
              <w:rPr>
                <w:rFonts w:hint="eastAsia" w:ascii="仿宋" w:hAnsi="仿宋" w:eastAsia="仿宋" w:cs="仿宋"/>
                <w:b/>
                <w:color w:val="auto"/>
                <w:sz w:val="24"/>
                <w:highlight w:val="none"/>
              </w:rPr>
              <w:t>处理。</w:t>
            </w:r>
          </w:p>
          <w:p w14:paraId="5F722E3A">
            <w:pPr>
              <w:snapToGrid w:val="0"/>
              <w:spacing w:line="390" w:lineRule="exact"/>
              <w:ind w:firstLine="482" w:firstLineChars="200"/>
              <w:jc w:val="left"/>
              <w:rPr>
                <w:rFonts w:hint="eastAsia" w:ascii="仿宋" w:hAnsi="仿宋" w:eastAsia="仿宋" w:cs="仿宋"/>
                <w:b/>
                <w:bCs/>
                <w:color w:val="auto"/>
                <w:sz w:val="24"/>
                <w:highlight w:val="none"/>
              </w:rPr>
            </w:pPr>
            <w:r>
              <w:rPr>
                <w:rFonts w:hint="eastAsia" w:ascii="仿宋" w:hAnsi="仿宋" w:eastAsia="仿宋" w:cs="仿宋"/>
                <w:b/>
                <w:color w:val="auto"/>
                <w:sz w:val="24"/>
                <w:highlight w:val="none"/>
              </w:rPr>
              <w:t>2、</w:t>
            </w:r>
            <w:r>
              <w:rPr>
                <w:rFonts w:hint="eastAsia" w:ascii="仿宋" w:hAnsi="仿宋" w:eastAsia="仿宋" w:cs="仿宋"/>
                <w:b/>
                <w:bCs/>
                <w:color w:val="auto"/>
                <w:sz w:val="24"/>
                <w:highlight w:val="none"/>
              </w:rPr>
              <w:t>投标声明、投标人参加本项目无回避事项的承诺函必须由法定代表人在规定签章处签字并加盖投标人公章，否则按无效投标处理。</w:t>
            </w:r>
          </w:p>
          <w:p w14:paraId="7201B004">
            <w:pPr>
              <w:snapToGrid w:val="0"/>
              <w:spacing w:line="390" w:lineRule="exact"/>
              <w:ind w:firstLine="482" w:firstLineChars="200"/>
              <w:jc w:val="lef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3、投标人直接控股、管理关系信息表必须由法定代表人或者委托代理人在规定签章处签字并加盖投标人公章，否则按无效投标</w:t>
            </w:r>
            <w:r>
              <w:rPr>
                <w:rFonts w:hint="eastAsia" w:ascii="仿宋" w:hAnsi="仿宋" w:eastAsia="仿宋" w:cs="仿宋"/>
                <w:b/>
                <w:color w:val="auto"/>
                <w:sz w:val="24"/>
                <w:highlight w:val="none"/>
              </w:rPr>
              <w:t>处理</w:t>
            </w:r>
            <w:r>
              <w:rPr>
                <w:rFonts w:hint="eastAsia" w:ascii="仿宋" w:hAnsi="仿宋" w:eastAsia="仿宋" w:cs="仿宋"/>
                <w:b/>
                <w:bCs/>
                <w:color w:val="auto"/>
                <w:sz w:val="24"/>
                <w:highlight w:val="none"/>
              </w:rPr>
              <w:t>。</w:t>
            </w:r>
          </w:p>
          <w:p w14:paraId="339230CB">
            <w:pPr>
              <w:snapToGrid w:val="0"/>
              <w:spacing w:line="390" w:lineRule="exact"/>
              <w:ind w:firstLine="482" w:firstLineChars="200"/>
              <w:jc w:val="lef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4、联合体投标时，第1-5项资格证明文件联合体各方均必须分别提供，联合体各方分别盖章和签字，否则按无效投标</w:t>
            </w:r>
            <w:r>
              <w:rPr>
                <w:rFonts w:hint="eastAsia" w:ascii="仿宋" w:hAnsi="仿宋" w:eastAsia="仿宋" w:cs="仿宋"/>
                <w:b/>
                <w:color w:val="auto"/>
                <w:sz w:val="24"/>
                <w:highlight w:val="none"/>
              </w:rPr>
              <w:t>处理</w:t>
            </w:r>
            <w:r>
              <w:rPr>
                <w:rFonts w:hint="eastAsia" w:ascii="仿宋" w:hAnsi="仿宋" w:eastAsia="仿宋" w:cs="仿宋"/>
                <w:b/>
                <w:bCs/>
                <w:color w:val="auto"/>
                <w:sz w:val="24"/>
                <w:highlight w:val="none"/>
              </w:rPr>
              <w:t>。</w:t>
            </w:r>
          </w:p>
          <w:p w14:paraId="1D2D46F6">
            <w:pPr>
              <w:snapToGrid w:val="0"/>
              <w:spacing w:line="390" w:lineRule="exact"/>
              <w:ind w:firstLine="482" w:firstLineChars="200"/>
              <w:jc w:val="lef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5、分公司参加投标的，应当取得总公司授权，否则按无效投标</w:t>
            </w:r>
            <w:r>
              <w:rPr>
                <w:rFonts w:hint="eastAsia" w:ascii="仿宋" w:hAnsi="仿宋" w:eastAsia="仿宋" w:cs="仿宋"/>
                <w:b/>
                <w:color w:val="auto"/>
                <w:sz w:val="24"/>
                <w:highlight w:val="none"/>
              </w:rPr>
              <w:t>处理</w:t>
            </w:r>
            <w:r>
              <w:rPr>
                <w:rFonts w:hint="eastAsia" w:ascii="仿宋" w:hAnsi="仿宋" w:eastAsia="仿宋" w:cs="仿宋"/>
                <w:b/>
                <w:bCs/>
                <w:color w:val="auto"/>
                <w:sz w:val="24"/>
                <w:highlight w:val="none"/>
              </w:rPr>
              <w:t>。（允许分公司参与的行业有银行、保险、石油石化、电力、电信等行业）。</w:t>
            </w:r>
          </w:p>
        </w:tc>
      </w:tr>
      <w:tr w14:paraId="4D18FA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vMerge w:val="continue"/>
            <w:tcBorders>
              <w:left w:val="single" w:color="auto" w:sz="4" w:space="0"/>
              <w:right w:val="single" w:color="auto" w:sz="4" w:space="0"/>
            </w:tcBorders>
            <w:vAlign w:val="center"/>
          </w:tcPr>
          <w:p w14:paraId="00CE31CD">
            <w:pPr>
              <w:spacing w:line="390" w:lineRule="exact"/>
              <w:rPr>
                <w:rFonts w:hint="eastAsia" w:ascii="仿宋" w:hAnsi="仿宋" w:eastAsia="仿宋" w:cs="仿宋"/>
                <w:color w:val="auto"/>
                <w:sz w:val="24"/>
                <w:highlight w:val="none"/>
              </w:rPr>
            </w:pPr>
            <w:bookmarkStart w:id="68" w:name="_13.3"/>
            <w:bookmarkEnd w:id="68"/>
          </w:p>
        </w:tc>
        <w:tc>
          <w:tcPr>
            <w:tcW w:w="9275" w:type="dxa"/>
            <w:tcBorders>
              <w:top w:val="single" w:color="auto" w:sz="4" w:space="0"/>
              <w:left w:val="single" w:color="auto" w:sz="4" w:space="0"/>
              <w:bottom w:val="single" w:color="auto" w:sz="4" w:space="0"/>
              <w:right w:val="single" w:color="auto" w:sz="4" w:space="0"/>
            </w:tcBorders>
            <w:vAlign w:val="center"/>
          </w:tcPr>
          <w:p w14:paraId="6438E347">
            <w:pPr>
              <w:snapToGrid w:val="0"/>
              <w:spacing w:line="39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 xml:space="preserve">商务文件： </w:t>
            </w:r>
          </w:p>
          <w:p w14:paraId="1C29533D">
            <w:pPr>
              <w:snapToGrid w:val="0"/>
              <w:spacing w:line="39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1、无串通投标行为的承诺函（格式详见第六章）；（</w:t>
            </w:r>
            <w:r>
              <w:rPr>
                <w:rFonts w:hint="eastAsia" w:ascii="仿宋" w:hAnsi="仿宋" w:eastAsia="仿宋" w:cs="仿宋"/>
                <w:b/>
                <w:color w:val="auto"/>
                <w:sz w:val="24"/>
                <w:highlight w:val="none"/>
              </w:rPr>
              <w:t>必须提供，否则投标文件按无效投标处理</w:t>
            </w:r>
            <w:r>
              <w:rPr>
                <w:rFonts w:hint="eastAsia" w:ascii="仿宋" w:hAnsi="仿宋" w:eastAsia="仿宋" w:cs="仿宋"/>
                <w:color w:val="auto"/>
                <w:sz w:val="24"/>
                <w:highlight w:val="none"/>
              </w:rPr>
              <w:t>）</w:t>
            </w:r>
          </w:p>
          <w:p w14:paraId="3D8C9571">
            <w:pPr>
              <w:snapToGrid w:val="0"/>
              <w:spacing w:line="39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2、法定代表人身份证明及法定代表人有效身份证正反面复印件（格式详见第六章）；（</w:t>
            </w:r>
            <w:r>
              <w:rPr>
                <w:rFonts w:hint="eastAsia" w:ascii="仿宋" w:hAnsi="仿宋" w:eastAsia="仿宋" w:cs="仿宋"/>
                <w:b/>
                <w:bCs/>
                <w:color w:val="auto"/>
                <w:sz w:val="24"/>
                <w:highlight w:val="none"/>
              </w:rPr>
              <w:t>除自然人投标外</w:t>
            </w:r>
            <w:r>
              <w:rPr>
                <w:rFonts w:hint="eastAsia" w:ascii="仿宋" w:hAnsi="仿宋" w:eastAsia="仿宋" w:cs="仿宋"/>
                <w:b/>
                <w:color w:val="auto"/>
                <w:sz w:val="24"/>
                <w:highlight w:val="none"/>
              </w:rPr>
              <w:t>必须提供，否则投标文件按无效投标处理</w:t>
            </w:r>
            <w:r>
              <w:rPr>
                <w:rFonts w:hint="eastAsia" w:ascii="仿宋" w:hAnsi="仿宋" w:eastAsia="仿宋" w:cs="仿宋"/>
                <w:color w:val="auto"/>
                <w:sz w:val="24"/>
                <w:highlight w:val="none"/>
              </w:rPr>
              <w:t>）</w:t>
            </w:r>
          </w:p>
          <w:p w14:paraId="1631B9E9">
            <w:pPr>
              <w:snapToGrid w:val="0"/>
              <w:spacing w:line="39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3、授权委托书及委托代理人有效身份证正反面复印件（格式详见第六章）；（</w:t>
            </w:r>
            <w:r>
              <w:rPr>
                <w:rFonts w:hint="eastAsia" w:ascii="仿宋" w:hAnsi="仿宋" w:eastAsia="仿宋" w:cs="仿宋"/>
                <w:b/>
                <w:color w:val="auto"/>
                <w:sz w:val="24"/>
                <w:highlight w:val="none"/>
              </w:rPr>
              <w:t>委托时必须提供，否则投标文件按无效投标处理</w:t>
            </w:r>
            <w:r>
              <w:rPr>
                <w:rFonts w:hint="eastAsia" w:ascii="仿宋" w:hAnsi="仿宋" w:eastAsia="仿宋" w:cs="仿宋"/>
                <w:color w:val="auto"/>
                <w:sz w:val="24"/>
                <w:highlight w:val="none"/>
              </w:rPr>
              <w:t>）</w:t>
            </w:r>
          </w:p>
          <w:p w14:paraId="54478743">
            <w:pPr>
              <w:snapToGrid w:val="0"/>
              <w:spacing w:line="39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r>
              <w:rPr>
                <w:rFonts w:hint="eastAsia" w:ascii="仿宋" w:hAnsi="仿宋" w:eastAsia="仿宋" w:cs="仿宋"/>
                <w:color w:val="auto"/>
                <w:sz w:val="24"/>
                <w:highlight w:val="none"/>
                <w:lang w:eastAsia="zh-CN"/>
              </w:rPr>
              <w:t>商务</w:t>
            </w:r>
            <w:r>
              <w:rPr>
                <w:rFonts w:hint="eastAsia" w:ascii="仿宋" w:hAnsi="仿宋" w:eastAsia="仿宋" w:cs="仿宋"/>
                <w:color w:val="auto"/>
                <w:sz w:val="24"/>
                <w:highlight w:val="none"/>
              </w:rPr>
              <w:t>响应表（格式详见第六章）；（</w:t>
            </w:r>
            <w:r>
              <w:rPr>
                <w:rFonts w:hint="eastAsia" w:ascii="仿宋" w:hAnsi="仿宋" w:eastAsia="仿宋" w:cs="仿宋"/>
                <w:b/>
                <w:color w:val="auto"/>
                <w:sz w:val="24"/>
                <w:highlight w:val="none"/>
              </w:rPr>
              <w:t>必须提供，否则投标文件按无效投标处理</w:t>
            </w:r>
            <w:r>
              <w:rPr>
                <w:rFonts w:hint="eastAsia" w:ascii="仿宋" w:hAnsi="仿宋" w:eastAsia="仿宋" w:cs="仿宋"/>
                <w:color w:val="auto"/>
                <w:sz w:val="24"/>
                <w:highlight w:val="none"/>
              </w:rPr>
              <w:t>）</w:t>
            </w:r>
          </w:p>
          <w:p w14:paraId="1B0A6359">
            <w:pPr>
              <w:autoSpaceDE w:val="0"/>
              <w:autoSpaceDN w:val="0"/>
              <w:snapToGrid w:val="0"/>
              <w:spacing w:line="390" w:lineRule="exact"/>
              <w:textAlignment w:val="bottom"/>
              <w:rPr>
                <w:rFonts w:hint="eastAsia" w:ascii="仿宋" w:hAnsi="仿宋" w:eastAsia="仿宋" w:cs="仿宋"/>
                <w:b/>
                <w:bCs/>
                <w:color w:val="auto"/>
                <w:sz w:val="24"/>
                <w:highlight w:val="none"/>
              </w:rPr>
            </w:pPr>
            <w:r>
              <w:rPr>
                <w:rFonts w:hint="eastAsia" w:ascii="仿宋" w:hAnsi="仿宋" w:eastAsia="仿宋" w:cs="仿宋"/>
                <w:color w:val="auto"/>
                <w:sz w:val="24"/>
                <w:highlight w:val="none"/>
              </w:rPr>
              <w:t>5、投标人情况介绍（格式自拟）；</w:t>
            </w:r>
            <w:r>
              <w:rPr>
                <w:rFonts w:hint="eastAsia" w:ascii="仿宋" w:hAnsi="仿宋" w:eastAsia="仿宋" w:cs="仿宋"/>
                <w:b/>
                <w:bCs/>
                <w:color w:val="auto"/>
                <w:sz w:val="24"/>
                <w:highlight w:val="none"/>
              </w:rPr>
              <w:t>（如有，请提供）</w:t>
            </w:r>
          </w:p>
          <w:p w14:paraId="50BEF5F7">
            <w:pPr>
              <w:autoSpaceDE w:val="0"/>
              <w:autoSpaceDN w:val="0"/>
              <w:snapToGrid w:val="0"/>
              <w:spacing w:line="390" w:lineRule="exact"/>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、联合体协议书（格式详见第六章）；</w:t>
            </w:r>
            <w:r>
              <w:rPr>
                <w:rFonts w:hint="eastAsia" w:ascii="仿宋" w:hAnsi="仿宋" w:eastAsia="仿宋" w:cs="仿宋"/>
                <w:b/>
                <w:bCs/>
                <w:color w:val="auto"/>
                <w:sz w:val="24"/>
                <w:highlight w:val="none"/>
              </w:rPr>
              <w:t>（如有，请提供）</w:t>
            </w:r>
          </w:p>
          <w:p w14:paraId="4BF147F1">
            <w:pPr>
              <w:snapToGrid w:val="0"/>
              <w:spacing w:line="39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w:t>
            </w:r>
            <w:r>
              <w:rPr>
                <w:rFonts w:hint="eastAsia" w:ascii="仿宋" w:hAnsi="仿宋" w:eastAsia="仿宋" w:cs="仿宋"/>
                <w:b w:val="0"/>
                <w:bCs/>
                <w:color w:val="auto"/>
                <w:sz w:val="24"/>
                <w:szCs w:val="24"/>
                <w:highlight w:val="none"/>
              </w:rPr>
              <w:t>关于符合本国产品标准的声明函（格式后附）；（如有</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rPr>
              <w:t>请提供）</w:t>
            </w:r>
          </w:p>
          <w:p w14:paraId="1754764C">
            <w:pPr>
              <w:snapToGrid w:val="0"/>
              <w:spacing w:line="39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8、投标人业绩证明材料</w:t>
            </w:r>
            <w:r>
              <w:rPr>
                <w:rFonts w:hint="eastAsia" w:ascii="仿宋" w:hAnsi="仿宋" w:eastAsia="仿宋" w:cs="仿宋"/>
                <w:b w:val="0"/>
                <w:bCs/>
                <w:color w:val="auto"/>
                <w:sz w:val="24"/>
                <w:szCs w:val="24"/>
                <w:highlight w:val="none"/>
              </w:rPr>
              <w:t>；（如有</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rPr>
              <w:t>请提供）</w:t>
            </w:r>
          </w:p>
          <w:p w14:paraId="78F4A17C">
            <w:pPr>
              <w:snapToGrid w:val="0"/>
              <w:spacing w:line="39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除招标文件规定必须提供以外，投标人认为需要提供的其他证明材料（格式自拟）。（投标人根据“第二章 采购需求”及“第四章 评标方法及评标标准”提供有关证明材料）。</w:t>
            </w:r>
            <w:r>
              <w:rPr>
                <w:rFonts w:hint="eastAsia" w:ascii="仿宋" w:hAnsi="仿宋" w:eastAsia="仿宋" w:cs="仿宋"/>
                <w:b/>
                <w:bCs/>
                <w:color w:val="auto"/>
                <w:sz w:val="24"/>
                <w:highlight w:val="none"/>
              </w:rPr>
              <w:t>（如有，请提供）</w:t>
            </w:r>
          </w:p>
          <w:p w14:paraId="41A28C60">
            <w:pPr>
              <w:snapToGrid w:val="0"/>
              <w:spacing w:line="390" w:lineRule="exact"/>
              <w:ind w:firstLine="482" w:firstLineChars="200"/>
              <w:jc w:val="left"/>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注：以上标明“必须提供”的材料属于复印件的，必须加盖投标人公章，否则按无效投标</w:t>
            </w:r>
            <w:r>
              <w:rPr>
                <w:rFonts w:hint="eastAsia" w:ascii="仿宋" w:hAnsi="仿宋" w:eastAsia="仿宋" w:cs="仿宋"/>
                <w:b/>
                <w:color w:val="auto"/>
                <w:sz w:val="24"/>
                <w:highlight w:val="none"/>
              </w:rPr>
              <w:t>处理</w:t>
            </w:r>
            <w:r>
              <w:rPr>
                <w:rFonts w:hint="eastAsia" w:ascii="仿宋" w:hAnsi="仿宋" w:eastAsia="仿宋" w:cs="仿宋"/>
                <w:b/>
                <w:bCs/>
                <w:color w:val="auto"/>
                <w:sz w:val="24"/>
                <w:highlight w:val="none"/>
              </w:rPr>
              <w:t>。</w:t>
            </w:r>
          </w:p>
        </w:tc>
      </w:tr>
      <w:tr w14:paraId="47D299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vMerge w:val="continue"/>
            <w:tcBorders>
              <w:left w:val="single" w:color="auto" w:sz="4" w:space="0"/>
              <w:bottom w:val="single" w:color="auto" w:sz="4" w:space="0"/>
              <w:right w:val="single" w:color="auto" w:sz="4" w:space="0"/>
            </w:tcBorders>
            <w:vAlign w:val="center"/>
          </w:tcPr>
          <w:p w14:paraId="03CD9B1C">
            <w:pPr>
              <w:spacing w:line="390" w:lineRule="exact"/>
              <w:rPr>
                <w:rFonts w:hint="eastAsia" w:ascii="仿宋" w:hAnsi="仿宋" w:eastAsia="仿宋" w:cs="仿宋"/>
                <w:color w:val="auto"/>
                <w:sz w:val="24"/>
                <w:highlight w:val="none"/>
              </w:rPr>
            </w:pPr>
            <w:bookmarkStart w:id="69" w:name="_13.4"/>
            <w:bookmarkEnd w:id="69"/>
          </w:p>
        </w:tc>
        <w:tc>
          <w:tcPr>
            <w:tcW w:w="9275" w:type="dxa"/>
            <w:tcBorders>
              <w:top w:val="single" w:color="auto" w:sz="4" w:space="0"/>
              <w:left w:val="single" w:color="auto" w:sz="4" w:space="0"/>
              <w:bottom w:val="single" w:color="auto" w:sz="4" w:space="0"/>
              <w:right w:val="single" w:color="auto" w:sz="4" w:space="0"/>
            </w:tcBorders>
            <w:vAlign w:val="center"/>
          </w:tcPr>
          <w:p w14:paraId="52C4AD95">
            <w:pPr>
              <w:snapToGrid w:val="0"/>
              <w:spacing w:line="39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 xml:space="preserve">技术文件： </w:t>
            </w:r>
          </w:p>
          <w:p w14:paraId="2475CBE9">
            <w:pPr>
              <w:numPr>
                <w:ilvl w:val="0"/>
                <w:numId w:val="5"/>
              </w:numPr>
              <w:snapToGrid w:val="0"/>
              <w:spacing w:line="39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技术偏离表</w:t>
            </w:r>
            <w:r>
              <w:rPr>
                <w:rFonts w:hint="eastAsia" w:ascii="仿宋" w:hAnsi="仿宋" w:eastAsia="仿宋" w:cs="仿宋"/>
                <w:color w:val="auto"/>
                <w:sz w:val="24"/>
                <w:highlight w:val="none"/>
              </w:rPr>
              <w:t>（格式详见第六章）；（</w:t>
            </w:r>
            <w:r>
              <w:rPr>
                <w:rFonts w:hint="eastAsia" w:ascii="仿宋" w:hAnsi="仿宋" w:eastAsia="仿宋" w:cs="仿宋"/>
                <w:b/>
                <w:color w:val="auto"/>
                <w:sz w:val="24"/>
                <w:highlight w:val="none"/>
              </w:rPr>
              <w:t>必须提供，否则投标文件按无效投标处理</w:t>
            </w:r>
            <w:r>
              <w:rPr>
                <w:rFonts w:hint="eastAsia" w:ascii="仿宋" w:hAnsi="仿宋" w:eastAsia="仿宋" w:cs="仿宋"/>
                <w:color w:val="auto"/>
                <w:sz w:val="24"/>
                <w:highlight w:val="none"/>
              </w:rPr>
              <w:t>）</w:t>
            </w:r>
          </w:p>
          <w:p w14:paraId="6F1D6DD7">
            <w:pPr>
              <w:numPr>
                <w:ilvl w:val="0"/>
                <w:numId w:val="5"/>
              </w:numPr>
              <w:snapToGrid w:val="0"/>
              <w:spacing w:line="390" w:lineRule="exact"/>
              <w:jc w:val="left"/>
              <w:rPr>
                <w:rFonts w:hint="eastAsia" w:ascii="仿宋" w:hAnsi="仿宋" w:eastAsia="仿宋" w:cs="仿宋"/>
                <w:color w:val="auto"/>
                <w:sz w:val="24"/>
                <w:highlight w:val="none"/>
              </w:rPr>
            </w:pPr>
            <w:r>
              <w:rPr>
                <w:rFonts w:hint="eastAsia" w:ascii="仿宋" w:hAnsi="仿宋" w:eastAsia="仿宋" w:cs="仿宋"/>
                <w:b w:val="0"/>
                <w:color w:val="auto"/>
                <w:sz w:val="24"/>
                <w:szCs w:val="24"/>
                <w:highlight w:val="none"/>
              </w:rPr>
              <w:t>设备性能配置清单</w:t>
            </w:r>
            <w:r>
              <w:rPr>
                <w:rFonts w:hint="eastAsia" w:ascii="仿宋" w:hAnsi="仿宋" w:eastAsia="仿宋" w:cs="仿宋"/>
                <w:color w:val="auto"/>
                <w:sz w:val="24"/>
                <w:highlight w:val="none"/>
              </w:rPr>
              <w:t>（格式详见第六章）；（</w:t>
            </w:r>
            <w:r>
              <w:rPr>
                <w:rFonts w:hint="eastAsia" w:ascii="仿宋" w:hAnsi="仿宋" w:eastAsia="仿宋" w:cs="仿宋"/>
                <w:b/>
                <w:color w:val="auto"/>
                <w:sz w:val="24"/>
                <w:highlight w:val="none"/>
              </w:rPr>
              <w:t>必须提供，否则投标文件按无效投标处理</w:t>
            </w:r>
            <w:r>
              <w:rPr>
                <w:rFonts w:hint="eastAsia" w:ascii="仿宋" w:hAnsi="仿宋" w:eastAsia="仿宋" w:cs="仿宋"/>
                <w:color w:val="auto"/>
                <w:sz w:val="24"/>
                <w:highlight w:val="none"/>
              </w:rPr>
              <w:t>）</w:t>
            </w:r>
          </w:p>
          <w:p w14:paraId="5DFC94DF">
            <w:pPr>
              <w:numPr>
                <w:ilvl w:val="0"/>
                <w:numId w:val="5"/>
              </w:numPr>
              <w:snapToGrid w:val="0"/>
              <w:spacing w:line="390" w:lineRule="exact"/>
              <w:ind w:left="0" w:leftChars="0" w:firstLine="0" w:firstLine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项目实施方案（格式自拟）【包括但不限于项目</w:t>
            </w:r>
            <w:r>
              <w:rPr>
                <w:rFonts w:hint="eastAsia" w:ascii="仿宋" w:hAnsi="仿宋" w:eastAsia="仿宋" w:cs="仿宋"/>
                <w:color w:val="auto"/>
                <w:sz w:val="24"/>
                <w:highlight w:val="none"/>
                <w:lang w:val="en-US" w:eastAsia="zh-CN"/>
              </w:rPr>
              <w:t>配送、设备安装方案、项目执行组织措施、项目执行保障措施等内容</w:t>
            </w:r>
            <w:r>
              <w:rPr>
                <w:rFonts w:hint="eastAsia" w:ascii="仿宋" w:hAnsi="仿宋" w:eastAsia="仿宋" w:cs="仿宋"/>
                <w:color w:val="auto"/>
                <w:sz w:val="24"/>
                <w:highlight w:val="none"/>
              </w:rPr>
              <w:t>】；</w:t>
            </w:r>
            <w:r>
              <w:rPr>
                <w:rFonts w:hint="eastAsia" w:ascii="仿宋" w:hAnsi="仿宋" w:eastAsia="仿宋" w:cs="仿宋"/>
                <w:b/>
                <w:bCs/>
                <w:color w:val="auto"/>
                <w:sz w:val="24"/>
                <w:highlight w:val="none"/>
              </w:rPr>
              <w:t>（如有，请提供）</w:t>
            </w:r>
          </w:p>
          <w:p w14:paraId="6505E39E">
            <w:pPr>
              <w:numPr>
                <w:ilvl w:val="0"/>
                <w:numId w:val="5"/>
              </w:numPr>
              <w:snapToGrid w:val="0"/>
              <w:spacing w:line="390" w:lineRule="exact"/>
              <w:ind w:left="0" w:leftChars="0" w:firstLine="0" w:firstLineChars="0"/>
              <w:jc w:val="left"/>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lang w:val="en-US" w:eastAsia="zh-CN"/>
              </w:rPr>
              <w:t>实施人员配备</w:t>
            </w:r>
            <w:r>
              <w:rPr>
                <w:rFonts w:hint="eastAsia" w:ascii="仿宋" w:hAnsi="仿宋" w:eastAsia="仿宋" w:cs="仿宋"/>
                <w:color w:val="auto"/>
                <w:sz w:val="24"/>
                <w:highlight w:val="none"/>
              </w:rPr>
              <w:t>（格式详见第六章）；</w:t>
            </w:r>
            <w:r>
              <w:rPr>
                <w:rFonts w:hint="eastAsia" w:ascii="仿宋" w:hAnsi="仿宋" w:eastAsia="仿宋" w:cs="仿宋"/>
                <w:b/>
                <w:bCs/>
                <w:color w:val="auto"/>
                <w:sz w:val="24"/>
                <w:highlight w:val="none"/>
              </w:rPr>
              <w:t>（如有，请提供）</w:t>
            </w:r>
          </w:p>
          <w:p w14:paraId="5716505C">
            <w:pPr>
              <w:snapToGrid w:val="0"/>
              <w:spacing w:line="39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售后服务方案</w:t>
            </w:r>
            <w:r>
              <w:rPr>
                <w:rFonts w:hint="eastAsia" w:ascii="仿宋" w:hAnsi="仿宋" w:eastAsia="仿宋" w:cs="仿宋"/>
                <w:color w:val="auto"/>
                <w:sz w:val="24"/>
                <w:highlight w:val="none"/>
              </w:rPr>
              <w:t>（格式自拟）；</w:t>
            </w:r>
            <w:r>
              <w:rPr>
                <w:rFonts w:hint="eastAsia" w:ascii="仿宋" w:hAnsi="仿宋" w:eastAsia="仿宋" w:cs="仿宋"/>
                <w:b/>
                <w:bCs/>
                <w:color w:val="auto"/>
                <w:sz w:val="24"/>
                <w:highlight w:val="none"/>
              </w:rPr>
              <w:t>（如有，请提供）</w:t>
            </w:r>
          </w:p>
          <w:p w14:paraId="2AE588F5">
            <w:pPr>
              <w:snapToGrid w:val="0"/>
              <w:spacing w:line="390" w:lineRule="exact"/>
              <w:jc w:val="left"/>
              <w:rPr>
                <w:rFonts w:hint="eastAsia" w:ascii="仿宋" w:hAnsi="仿宋" w:eastAsia="仿宋" w:cs="仿宋"/>
                <w:bCs/>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、除招标文件规定必须提供以外，投标人需要说明的其他文件和说明（格式自拟）。</w:t>
            </w:r>
            <w:r>
              <w:rPr>
                <w:rFonts w:hint="eastAsia" w:ascii="仿宋" w:hAnsi="仿宋" w:eastAsia="仿宋" w:cs="仿宋"/>
                <w:b/>
                <w:bCs/>
                <w:color w:val="auto"/>
                <w:sz w:val="24"/>
                <w:highlight w:val="none"/>
              </w:rPr>
              <w:t>（如有，请提供）</w:t>
            </w:r>
          </w:p>
          <w:p w14:paraId="07E27C96">
            <w:pPr>
              <w:snapToGrid w:val="0"/>
              <w:spacing w:line="390" w:lineRule="exact"/>
              <w:ind w:firstLine="482" w:firstLineChars="200"/>
              <w:jc w:val="lef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注：以上标明“必须提供”的材料属于复印件的，必须加盖投标人公章，否则按无效投标</w:t>
            </w:r>
            <w:r>
              <w:rPr>
                <w:rFonts w:hint="eastAsia" w:ascii="仿宋" w:hAnsi="仿宋" w:eastAsia="仿宋" w:cs="仿宋"/>
                <w:b/>
                <w:color w:val="auto"/>
                <w:sz w:val="24"/>
                <w:highlight w:val="none"/>
              </w:rPr>
              <w:t>处理</w:t>
            </w:r>
            <w:r>
              <w:rPr>
                <w:rFonts w:hint="eastAsia" w:ascii="仿宋" w:hAnsi="仿宋" w:eastAsia="仿宋" w:cs="仿宋"/>
                <w:b/>
                <w:bCs/>
                <w:color w:val="auto"/>
                <w:sz w:val="24"/>
                <w:highlight w:val="none"/>
              </w:rPr>
              <w:t>。</w:t>
            </w:r>
          </w:p>
        </w:tc>
      </w:tr>
      <w:tr w14:paraId="7C0D5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tcBorders>
              <w:top w:val="single" w:color="auto" w:sz="4" w:space="0"/>
              <w:left w:val="single" w:color="auto" w:sz="4" w:space="0"/>
              <w:bottom w:val="single" w:color="auto" w:sz="4" w:space="0"/>
              <w:right w:val="single" w:color="auto" w:sz="4" w:space="0"/>
            </w:tcBorders>
            <w:vAlign w:val="center"/>
          </w:tcPr>
          <w:p w14:paraId="3C318C60">
            <w:pPr>
              <w:spacing w:line="390" w:lineRule="exact"/>
              <w:jc w:val="center"/>
              <w:rPr>
                <w:rFonts w:hint="eastAsia" w:ascii="仿宋" w:hAnsi="仿宋" w:eastAsia="仿宋" w:cs="仿宋"/>
                <w:color w:val="auto"/>
                <w:sz w:val="24"/>
                <w:highlight w:val="none"/>
              </w:rPr>
            </w:pPr>
            <w:bookmarkStart w:id="70" w:name="_16.2"/>
            <w:bookmarkEnd w:id="70"/>
            <w:bookmarkStart w:id="71" w:name="_13.5"/>
            <w:bookmarkEnd w:id="71"/>
            <w:r>
              <w:rPr>
                <w:rFonts w:hint="eastAsia" w:ascii="仿宋" w:hAnsi="仿宋" w:eastAsia="仿宋" w:cs="仿宋"/>
                <w:color w:val="auto"/>
                <w:sz w:val="24"/>
                <w:highlight w:val="none"/>
              </w:rPr>
              <w:t>16</w:t>
            </w:r>
            <w:bookmarkStart w:id="72" w:name="_Hlt19194066"/>
            <w:bookmarkStart w:id="73" w:name="_Hlt19693758"/>
            <w:bookmarkStart w:id="74" w:name="_Hlt19194067"/>
            <w:bookmarkStart w:id="75" w:name="_Hlt19693759"/>
            <w:r>
              <w:rPr>
                <w:rFonts w:hint="eastAsia" w:ascii="仿宋" w:hAnsi="仿宋" w:eastAsia="仿宋" w:cs="仿宋"/>
                <w:color w:val="auto"/>
                <w:sz w:val="24"/>
                <w:highlight w:val="none"/>
              </w:rPr>
              <w:t>.</w:t>
            </w:r>
            <w:bookmarkEnd w:id="72"/>
            <w:bookmarkEnd w:id="73"/>
            <w:bookmarkEnd w:id="74"/>
            <w:bookmarkEnd w:id="75"/>
            <w:r>
              <w:rPr>
                <w:rFonts w:hint="eastAsia" w:ascii="仿宋" w:hAnsi="仿宋" w:eastAsia="仿宋" w:cs="仿宋"/>
                <w:color w:val="auto"/>
                <w:sz w:val="24"/>
                <w:highlight w:val="none"/>
              </w:rPr>
              <w:t>2</w:t>
            </w:r>
          </w:p>
        </w:tc>
        <w:tc>
          <w:tcPr>
            <w:tcW w:w="9275" w:type="dxa"/>
            <w:tcBorders>
              <w:top w:val="single" w:color="auto" w:sz="4" w:space="0"/>
              <w:left w:val="single" w:color="auto" w:sz="4" w:space="0"/>
              <w:bottom w:val="single" w:color="auto" w:sz="4" w:space="0"/>
              <w:right w:val="single" w:color="auto" w:sz="4" w:space="0"/>
            </w:tcBorders>
            <w:vAlign w:val="center"/>
          </w:tcPr>
          <w:p w14:paraId="13473E9B">
            <w:pPr>
              <w:snapToGrid w:val="0"/>
              <w:spacing w:line="390" w:lineRule="exact"/>
              <w:rPr>
                <w:rFonts w:hint="eastAsia" w:ascii="仿宋" w:hAnsi="仿宋" w:eastAsia="仿宋" w:cs="仿宋"/>
                <w:b/>
                <w:color w:val="auto"/>
                <w:sz w:val="24"/>
                <w:highlight w:val="none"/>
                <w:lang w:eastAsia="zh-CN"/>
              </w:rPr>
            </w:pPr>
            <w:r>
              <w:rPr>
                <w:rFonts w:hint="eastAsia" w:ascii="仿宋" w:hAnsi="仿宋" w:eastAsia="仿宋" w:cs="仿宋"/>
                <w:color w:val="auto"/>
                <w:sz w:val="24"/>
                <w:highlight w:val="none"/>
                <w:lang w:eastAsia="zh-CN"/>
              </w:rPr>
              <w:t>投标报价应包括本次招标范围内标的价款、标的随配标准附件、包装、运输、装卸、保险、税金、到位安装、安装所需辅材、调试、检验、维护、培训、升级、售后、验收、项目投标产生的招标代理服务费及项目涉及到的一切费用的总和，投标人应综合考虑在报价中。在合同实施时，采购人将不予支付投标人没有列入的项目费用，并认为此项目的费用已包括在投标报价中。</w:t>
            </w:r>
          </w:p>
        </w:tc>
      </w:tr>
      <w:tr w14:paraId="38FC7B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tcBorders>
              <w:top w:val="single" w:color="auto" w:sz="4" w:space="0"/>
              <w:left w:val="single" w:color="auto" w:sz="4" w:space="0"/>
              <w:bottom w:val="single" w:color="auto" w:sz="4" w:space="0"/>
              <w:right w:val="single" w:color="auto" w:sz="4" w:space="0"/>
            </w:tcBorders>
            <w:vAlign w:val="center"/>
          </w:tcPr>
          <w:p w14:paraId="3954786E">
            <w:pPr>
              <w:spacing w:line="390" w:lineRule="exact"/>
              <w:jc w:val="center"/>
              <w:rPr>
                <w:rFonts w:hint="eastAsia" w:ascii="仿宋" w:hAnsi="仿宋" w:eastAsia="仿宋" w:cs="仿宋"/>
                <w:color w:val="auto"/>
                <w:sz w:val="24"/>
                <w:highlight w:val="none"/>
              </w:rPr>
            </w:pPr>
            <w:bookmarkStart w:id="76" w:name="_17.1"/>
            <w:bookmarkEnd w:id="76"/>
            <w:r>
              <w:rPr>
                <w:rFonts w:hint="eastAsia" w:ascii="仿宋" w:hAnsi="仿宋" w:eastAsia="仿宋" w:cs="仿宋"/>
                <w:color w:val="auto"/>
                <w:sz w:val="24"/>
                <w:highlight w:val="none"/>
              </w:rPr>
              <w:t>17.2</w:t>
            </w:r>
          </w:p>
        </w:tc>
        <w:tc>
          <w:tcPr>
            <w:tcW w:w="9275" w:type="dxa"/>
            <w:tcBorders>
              <w:top w:val="single" w:color="auto" w:sz="4" w:space="0"/>
              <w:left w:val="single" w:color="auto" w:sz="4" w:space="0"/>
              <w:bottom w:val="single" w:color="auto" w:sz="4" w:space="0"/>
              <w:right w:val="single" w:color="auto" w:sz="4" w:space="0"/>
            </w:tcBorders>
            <w:vAlign w:val="center"/>
          </w:tcPr>
          <w:p w14:paraId="11A459FA">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投标有效期：投标截止之日起90天内。</w:t>
            </w:r>
          </w:p>
        </w:tc>
      </w:tr>
      <w:tr w14:paraId="79DD87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tcBorders>
              <w:top w:val="single" w:color="auto" w:sz="4" w:space="0"/>
              <w:left w:val="single" w:color="auto" w:sz="4" w:space="0"/>
              <w:bottom w:val="single" w:color="auto" w:sz="4" w:space="0"/>
              <w:right w:val="single" w:color="auto" w:sz="4" w:space="0"/>
            </w:tcBorders>
            <w:vAlign w:val="center"/>
          </w:tcPr>
          <w:p w14:paraId="48A4C23D">
            <w:pPr>
              <w:spacing w:line="390" w:lineRule="exact"/>
              <w:jc w:val="center"/>
              <w:rPr>
                <w:rFonts w:hint="eastAsia" w:ascii="仿宋" w:hAnsi="仿宋" w:eastAsia="仿宋" w:cs="仿宋"/>
                <w:color w:val="auto"/>
                <w:sz w:val="24"/>
                <w:highlight w:val="none"/>
              </w:rPr>
            </w:pPr>
            <w:bookmarkStart w:id="77" w:name="_18"/>
            <w:bookmarkEnd w:id="77"/>
            <w:r>
              <w:rPr>
                <w:rFonts w:hint="eastAsia" w:ascii="仿宋" w:hAnsi="仿宋" w:eastAsia="仿宋" w:cs="仿宋"/>
                <w:color w:val="auto"/>
                <w:sz w:val="24"/>
                <w:highlight w:val="none"/>
              </w:rPr>
              <w:t>18.1</w:t>
            </w:r>
          </w:p>
        </w:tc>
        <w:tc>
          <w:tcPr>
            <w:tcW w:w="9275" w:type="dxa"/>
            <w:tcBorders>
              <w:top w:val="single" w:color="auto" w:sz="4" w:space="0"/>
              <w:left w:val="single" w:color="auto" w:sz="4" w:space="0"/>
              <w:bottom w:val="single" w:color="auto" w:sz="4" w:space="0"/>
              <w:right w:val="single" w:color="auto" w:sz="4" w:space="0"/>
            </w:tcBorders>
            <w:vAlign w:val="center"/>
          </w:tcPr>
          <w:p w14:paraId="214CC548">
            <w:pPr>
              <w:autoSpaceDE w:val="0"/>
              <w:autoSpaceDN w:val="0"/>
              <w:snapToGrid w:val="0"/>
              <w:spacing w:line="390" w:lineRule="exact"/>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eq \o\ac(□,</w:instrText>
            </w:r>
            <w:r>
              <w:rPr>
                <w:rFonts w:hint="eastAsia" w:ascii="仿宋" w:hAnsi="仿宋" w:eastAsia="仿宋" w:cs="仿宋"/>
                <w:color w:val="auto"/>
                <w:position w:val="2"/>
                <w:sz w:val="24"/>
                <w:highlight w:val="none"/>
              </w:rPr>
              <w:instrText xml:space="preserve">√</w:instrText>
            </w:r>
            <w:r>
              <w:rPr>
                <w:rFonts w:hint="eastAsia" w:ascii="仿宋" w:hAnsi="仿宋" w:eastAsia="仿宋" w:cs="仿宋"/>
                <w:color w:val="auto"/>
                <w:sz w:val="24"/>
                <w:highlight w:val="none"/>
              </w:rPr>
              <w:instrText xml:space="preserve">)</w:instrTex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本项目不收取投标保证金。</w:t>
            </w:r>
          </w:p>
          <w:p w14:paraId="238AB381">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□本项目收取投标保证金，具体规定如下：</w:t>
            </w:r>
          </w:p>
          <w:p w14:paraId="7C87F8B8">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投标保证金人民币</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61176F35">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投标保证金的交纳方式：银行转账、支票、汇票、本票或者金融、担保机构出具的保函，禁止采用现钞方式。采用银行转账方式的，在投标截止时间前交至指定账户并且到账（</w:t>
            </w:r>
            <w:r>
              <w:rPr>
                <w:rFonts w:hint="eastAsia" w:ascii="仿宋" w:hAnsi="仿宋" w:eastAsia="仿宋" w:cs="仿宋"/>
                <w:color w:val="auto"/>
                <w:sz w:val="24"/>
                <w:highlight w:val="none"/>
              </w:rPr>
              <w:t>开户名称：</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，开户银行：</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，银行账号：</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kern w:val="0"/>
                <w:sz w:val="24"/>
                <w:highlight w:val="none"/>
              </w:rPr>
              <w:t>）；采用支票、汇票、本票或者保函等方式的，在投标截止时间前，投标人必须递交支票、汇票、本票或者保函原件。否则视为无效投标保证金。</w:t>
            </w:r>
          </w:p>
          <w:p w14:paraId="310250BD">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相关要求：</w:t>
            </w:r>
          </w:p>
          <w:p w14:paraId="64DF577B">
            <w:pPr>
              <w:pStyle w:val="18"/>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1、投标保证金采用银行转账交纳方式的，在投标截止时间前交至指定账户并且到账，投标人应将银行转账底单的复印件作为投标保证金提交凭证，放置于商务文件中，</w:t>
            </w:r>
            <w:r>
              <w:rPr>
                <w:rFonts w:hint="eastAsia" w:ascii="仿宋" w:hAnsi="仿宋" w:eastAsia="仿宋" w:cs="仿宋"/>
                <w:b/>
                <w:color w:val="auto"/>
                <w:sz w:val="24"/>
                <w:highlight w:val="none"/>
              </w:rPr>
              <w:t>否则投标无效</w:t>
            </w:r>
            <w:r>
              <w:rPr>
                <w:rFonts w:hint="eastAsia" w:ascii="仿宋" w:hAnsi="仿宋" w:eastAsia="仿宋" w:cs="仿宋"/>
                <w:color w:val="auto"/>
                <w:sz w:val="24"/>
                <w:highlight w:val="none"/>
              </w:rPr>
              <w:t>。</w:t>
            </w:r>
          </w:p>
          <w:p w14:paraId="7D983CBE">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2、投标保证金采用支票、汇票、本票或者金融、担保机构出具的保函交纳方式的，投标人应将支票、汇票、本票或者金融、担保机构出具的保函的复印件作为投标保证金提交凭证，放置于商务文件中，</w:t>
            </w:r>
            <w:r>
              <w:rPr>
                <w:rFonts w:hint="eastAsia" w:ascii="仿宋" w:hAnsi="仿宋" w:eastAsia="仿宋" w:cs="仿宋"/>
                <w:b/>
                <w:color w:val="auto"/>
                <w:sz w:val="24"/>
                <w:highlight w:val="none"/>
              </w:rPr>
              <w:t>否则投标无效</w:t>
            </w:r>
            <w:r>
              <w:rPr>
                <w:rFonts w:hint="eastAsia" w:ascii="仿宋" w:hAnsi="仿宋" w:eastAsia="仿宋" w:cs="仿宋"/>
                <w:color w:val="auto"/>
                <w:sz w:val="24"/>
                <w:highlight w:val="none"/>
              </w:rPr>
              <w:t>。</w:t>
            </w:r>
            <w:r>
              <w:rPr>
                <w:rFonts w:hint="eastAsia" w:ascii="仿宋" w:hAnsi="仿宋" w:eastAsia="仿宋" w:cs="仿宋"/>
                <w:b/>
                <w:color w:val="auto"/>
                <w:sz w:val="24"/>
                <w:highlight w:val="none"/>
              </w:rPr>
              <w:t>投标人必须在投标截止时间前将支票、汇票、本票或者金融、担保机构出具的保函原件提交给采购代理机构，由采购代理机构向投标人出具回执，并妥善保管。</w:t>
            </w:r>
          </w:p>
          <w:p w14:paraId="371898A7">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3、投标人为联合体的，可以由联合体中的一方或者多方共同交纳投标保证金，其交纳的保证金对联合体各方均具有约束力。</w:t>
            </w:r>
          </w:p>
          <w:p w14:paraId="1FCE6175">
            <w:pPr>
              <w:snapToGrid w:val="0"/>
              <w:spacing w:line="39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 xml:space="preserve">备注： </w:t>
            </w:r>
          </w:p>
          <w:p w14:paraId="4E1F0E5E">
            <w:pPr>
              <w:snapToGrid w:val="0"/>
              <w:spacing w:line="39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1、投标保证金在投标截止时间后提交的，或者不按规定交纳方式交纳的，或者未足额交纳的（包含保函额度不足的），视为无效投标保证金。</w:t>
            </w:r>
          </w:p>
          <w:p w14:paraId="4F75825F">
            <w:pPr>
              <w:snapToGrid w:val="0"/>
              <w:spacing w:line="39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2、投标人采用现钞方式或者从个人账户（自然人投标除外）转出的投标保证金，视为无效投标保证金。</w:t>
            </w:r>
          </w:p>
          <w:p w14:paraId="26B791E1">
            <w:pPr>
              <w:snapToGrid w:val="0"/>
              <w:spacing w:line="39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3、支票、汇票或者本票出现无效或者背书情形的，视为无效投标保证金。</w:t>
            </w:r>
          </w:p>
          <w:p w14:paraId="46E142B8">
            <w:pPr>
              <w:snapToGrid w:val="0"/>
              <w:spacing w:line="39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4、保函有效期低于投标有效期的，视为无效投标保证金。</w:t>
            </w:r>
          </w:p>
          <w:p w14:paraId="0F9E858B">
            <w:pPr>
              <w:snapToGrid w:val="0"/>
              <w:spacing w:line="39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5、采用金融、担保机构出具保函的，必须为无条件保函，否则视为无效投标保证金。</w:t>
            </w:r>
          </w:p>
        </w:tc>
      </w:tr>
      <w:tr w14:paraId="489858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tcBorders>
              <w:top w:val="single" w:color="auto" w:sz="4" w:space="0"/>
              <w:left w:val="single" w:color="auto" w:sz="4" w:space="0"/>
              <w:bottom w:val="single" w:color="auto" w:sz="4" w:space="0"/>
              <w:right w:val="single" w:color="auto" w:sz="4" w:space="0"/>
            </w:tcBorders>
            <w:vAlign w:val="center"/>
          </w:tcPr>
          <w:p w14:paraId="14396C9F">
            <w:pPr>
              <w:spacing w:line="390" w:lineRule="exact"/>
              <w:jc w:val="center"/>
              <w:rPr>
                <w:rFonts w:hint="eastAsia" w:ascii="仿宋" w:hAnsi="仿宋" w:eastAsia="仿宋" w:cs="仿宋"/>
                <w:color w:val="auto"/>
                <w:sz w:val="24"/>
                <w:highlight w:val="none"/>
              </w:rPr>
            </w:pPr>
            <w:bookmarkStart w:id="78" w:name="_19.2"/>
            <w:bookmarkEnd w:id="78"/>
            <w:r>
              <w:rPr>
                <w:rFonts w:hint="eastAsia" w:ascii="仿宋" w:hAnsi="仿宋" w:eastAsia="仿宋" w:cs="仿宋"/>
                <w:color w:val="auto"/>
                <w:sz w:val="24"/>
                <w:highlight w:val="none"/>
              </w:rPr>
              <w:t>19.2</w:t>
            </w:r>
          </w:p>
        </w:tc>
        <w:tc>
          <w:tcPr>
            <w:tcW w:w="9275" w:type="dxa"/>
            <w:tcBorders>
              <w:top w:val="single" w:color="auto" w:sz="4" w:space="0"/>
              <w:left w:val="single" w:color="auto" w:sz="4" w:space="0"/>
              <w:bottom w:val="single" w:color="auto" w:sz="4" w:space="0"/>
              <w:right w:val="single" w:color="auto" w:sz="4" w:space="0"/>
            </w:tcBorders>
            <w:vAlign w:val="center"/>
          </w:tcPr>
          <w:p w14:paraId="15AB8173">
            <w:pPr>
              <w:autoSpaceDE w:val="0"/>
              <w:autoSpaceDN w:val="0"/>
              <w:snapToGrid w:val="0"/>
              <w:spacing w:line="390" w:lineRule="exact"/>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t>投标文件应按报价文件、资格证明文件、商务文件、技术文件分别编制，并按“广西政府采购云平台”的要求编制、加密、上传。</w:t>
            </w:r>
          </w:p>
        </w:tc>
      </w:tr>
      <w:tr w14:paraId="4F2C55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tcBorders>
              <w:top w:val="single" w:color="auto" w:sz="4" w:space="0"/>
              <w:left w:val="single" w:color="auto" w:sz="4" w:space="0"/>
              <w:bottom w:val="single" w:color="auto" w:sz="4" w:space="0"/>
              <w:right w:val="single" w:color="auto" w:sz="4" w:space="0"/>
            </w:tcBorders>
            <w:vAlign w:val="center"/>
          </w:tcPr>
          <w:p w14:paraId="2A550E03">
            <w:pPr>
              <w:spacing w:line="39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20.1</w:t>
            </w:r>
          </w:p>
        </w:tc>
        <w:tc>
          <w:tcPr>
            <w:tcW w:w="9275" w:type="dxa"/>
            <w:tcBorders>
              <w:top w:val="single" w:color="auto" w:sz="4" w:space="0"/>
              <w:left w:val="single" w:color="auto" w:sz="4" w:space="0"/>
              <w:bottom w:val="single" w:color="auto" w:sz="4" w:space="0"/>
              <w:right w:val="single" w:color="auto" w:sz="4" w:space="0"/>
            </w:tcBorders>
            <w:vAlign w:val="center"/>
          </w:tcPr>
          <w:p w14:paraId="1A0983B3">
            <w:pPr>
              <w:autoSpaceDE w:val="0"/>
              <w:autoSpaceDN w:val="0"/>
              <w:snapToGrid w:val="0"/>
              <w:spacing w:line="390" w:lineRule="exact"/>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t>电子投标文件应在制作完成后，投标人应按“广西政府采购云平台”的要求进行加密，并在规定时间内解密，否则，由此产生的后果由投标人自行负责。</w:t>
            </w:r>
          </w:p>
        </w:tc>
      </w:tr>
      <w:tr w14:paraId="5E2D05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6" w:hRule="atLeast"/>
          <w:jc w:val="center"/>
        </w:trPr>
        <w:tc>
          <w:tcPr>
            <w:tcW w:w="1056" w:type="dxa"/>
            <w:tcBorders>
              <w:top w:val="single" w:color="auto" w:sz="4" w:space="0"/>
              <w:left w:val="single" w:color="auto" w:sz="4" w:space="0"/>
              <w:bottom w:val="single" w:color="auto" w:sz="4" w:space="0"/>
              <w:right w:val="single" w:color="auto" w:sz="4" w:space="0"/>
            </w:tcBorders>
            <w:vAlign w:val="center"/>
          </w:tcPr>
          <w:p w14:paraId="70EEE312">
            <w:pPr>
              <w:spacing w:line="390" w:lineRule="exact"/>
              <w:jc w:val="center"/>
              <w:rPr>
                <w:rFonts w:hint="eastAsia" w:ascii="仿宋" w:hAnsi="仿宋" w:eastAsia="仿宋" w:cs="仿宋"/>
                <w:color w:val="auto"/>
                <w:sz w:val="24"/>
                <w:highlight w:val="none"/>
              </w:rPr>
            </w:pPr>
            <w:bookmarkStart w:id="79" w:name="_21.1"/>
            <w:bookmarkEnd w:id="79"/>
            <w:r>
              <w:rPr>
                <w:rFonts w:hint="eastAsia" w:ascii="仿宋" w:hAnsi="仿宋" w:eastAsia="仿宋" w:cs="仿宋"/>
                <w:color w:val="auto"/>
                <w:sz w:val="24"/>
                <w:highlight w:val="none"/>
              </w:rPr>
              <w:t>21.1</w:t>
            </w:r>
          </w:p>
        </w:tc>
        <w:tc>
          <w:tcPr>
            <w:tcW w:w="9275" w:type="dxa"/>
            <w:tcBorders>
              <w:top w:val="single" w:color="auto" w:sz="4" w:space="0"/>
              <w:left w:val="single" w:color="auto" w:sz="4" w:space="0"/>
              <w:bottom w:val="single" w:color="auto" w:sz="4" w:space="0"/>
              <w:right w:val="single" w:color="auto" w:sz="4" w:space="0"/>
            </w:tcBorders>
            <w:vAlign w:val="center"/>
          </w:tcPr>
          <w:p w14:paraId="66EFFF6C">
            <w:pPr>
              <w:snapToGrid w:val="0"/>
              <w:spacing w:line="390" w:lineRule="exact"/>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1、投标截止时间：详见招标公告</w:t>
            </w:r>
          </w:p>
          <w:p w14:paraId="2A49904E">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2、投标地点：详见招标公告</w:t>
            </w:r>
          </w:p>
        </w:tc>
      </w:tr>
      <w:tr w14:paraId="796321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tcBorders>
              <w:top w:val="single" w:color="auto" w:sz="4" w:space="0"/>
              <w:left w:val="single" w:color="auto" w:sz="4" w:space="0"/>
              <w:bottom w:val="single" w:color="auto" w:sz="4" w:space="0"/>
              <w:right w:val="single" w:color="auto" w:sz="4" w:space="0"/>
            </w:tcBorders>
            <w:vAlign w:val="center"/>
          </w:tcPr>
          <w:p w14:paraId="2294ACB4">
            <w:pPr>
              <w:spacing w:line="390" w:lineRule="exact"/>
              <w:jc w:val="center"/>
              <w:rPr>
                <w:rFonts w:hint="eastAsia" w:ascii="仿宋" w:hAnsi="仿宋" w:eastAsia="仿宋" w:cs="仿宋"/>
                <w:color w:val="auto"/>
                <w:sz w:val="24"/>
                <w:highlight w:val="none"/>
              </w:rPr>
            </w:pPr>
            <w:bookmarkStart w:id="80" w:name="_23"/>
            <w:bookmarkEnd w:id="80"/>
            <w:r>
              <w:rPr>
                <w:rFonts w:hint="eastAsia" w:ascii="仿宋" w:hAnsi="仿宋" w:eastAsia="仿宋" w:cs="仿宋"/>
                <w:color w:val="auto"/>
                <w:sz w:val="24"/>
                <w:highlight w:val="none"/>
              </w:rPr>
              <w:t>23</w:t>
            </w:r>
          </w:p>
        </w:tc>
        <w:tc>
          <w:tcPr>
            <w:tcW w:w="9275" w:type="dxa"/>
            <w:tcBorders>
              <w:top w:val="single" w:color="auto" w:sz="4" w:space="0"/>
              <w:left w:val="single" w:color="auto" w:sz="4" w:space="0"/>
              <w:bottom w:val="single" w:color="auto" w:sz="4" w:space="0"/>
              <w:right w:val="single" w:color="auto" w:sz="4" w:space="0"/>
            </w:tcBorders>
            <w:vAlign w:val="center"/>
          </w:tcPr>
          <w:p w14:paraId="04BAD280">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1、开标时间：详见招标公告</w:t>
            </w:r>
          </w:p>
          <w:p w14:paraId="100A2926">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2、开标地点：详见招标公告</w:t>
            </w:r>
          </w:p>
        </w:tc>
      </w:tr>
      <w:tr w14:paraId="5231C0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tcBorders>
              <w:top w:val="single" w:color="auto" w:sz="4" w:space="0"/>
              <w:left w:val="single" w:color="auto" w:sz="4" w:space="0"/>
              <w:bottom w:val="single" w:color="auto" w:sz="4" w:space="0"/>
              <w:right w:val="single" w:color="auto" w:sz="4" w:space="0"/>
            </w:tcBorders>
            <w:vAlign w:val="center"/>
          </w:tcPr>
          <w:p w14:paraId="7EBCAC9C">
            <w:pPr>
              <w:spacing w:line="390" w:lineRule="exact"/>
              <w:jc w:val="center"/>
              <w:rPr>
                <w:rFonts w:hint="eastAsia" w:ascii="仿宋" w:hAnsi="仿宋" w:eastAsia="仿宋" w:cs="仿宋"/>
                <w:color w:val="auto"/>
                <w:sz w:val="24"/>
                <w:highlight w:val="none"/>
              </w:rPr>
            </w:pPr>
            <w:r>
              <w:rPr>
                <w:rFonts w:hint="eastAsia" w:ascii="仿宋" w:hAnsi="仿宋" w:eastAsia="仿宋" w:cs="仿宋"/>
                <w:bCs/>
                <w:color w:val="auto"/>
                <w:sz w:val="24"/>
                <w:highlight w:val="none"/>
              </w:rPr>
              <w:t>24.2</w:t>
            </w:r>
          </w:p>
        </w:tc>
        <w:tc>
          <w:tcPr>
            <w:tcW w:w="9275" w:type="dxa"/>
            <w:tcBorders>
              <w:top w:val="single" w:color="auto" w:sz="4" w:space="0"/>
              <w:left w:val="single" w:color="auto" w:sz="4" w:space="0"/>
              <w:bottom w:val="single" w:color="auto" w:sz="4" w:space="0"/>
              <w:right w:val="single" w:color="auto" w:sz="4" w:space="0"/>
            </w:tcBorders>
            <w:vAlign w:val="center"/>
          </w:tcPr>
          <w:p w14:paraId="1D3CB7E8">
            <w:pPr>
              <w:autoSpaceDE w:val="0"/>
              <w:autoSpaceDN w:val="0"/>
              <w:adjustRightInd w:val="0"/>
              <w:spacing w:line="390" w:lineRule="exact"/>
              <w:rPr>
                <w:rFonts w:hint="eastAsia" w:ascii="仿宋" w:hAnsi="仿宋" w:eastAsia="仿宋" w:cs="仿宋"/>
                <w:color w:val="auto"/>
                <w:sz w:val="24"/>
                <w:highlight w:val="none"/>
              </w:rPr>
            </w:pPr>
            <w:r>
              <w:rPr>
                <w:rFonts w:hint="eastAsia" w:ascii="仿宋" w:hAnsi="仿宋" w:eastAsia="仿宋" w:cs="仿宋"/>
                <w:bCs/>
                <w:color w:val="auto"/>
                <w:sz w:val="24"/>
                <w:highlight w:val="none"/>
              </w:rPr>
              <w:t>“广西政府采购云平台”按开标时间自动提取所有投标文件。采购代理机构依托“广西政府采购云平台”向各投标人发出电子加密投标文件【开始解密】通知，由投标人进行投标文件解密。</w:t>
            </w:r>
            <w:r>
              <w:rPr>
                <w:rFonts w:hint="eastAsia" w:ascii="仿宋" w:hAnsi="仿宋" w:eastAsia="仿宋" w:cs="仿宋"/>
                <w:b/>
                <w:bCs/>
                <w:color w:val="auto"/>
                <w:sz w:val="24"/>
                <w:highlight w:val="none"/>
              </w:rPr>
              <w:t>投标人的法定代表人或其委托代理人须携带加密时所用的CA锁准时登录到“广西政府采购云平台”电子开标大厅签到</w:t>
            </w:r>
            <w:r>
              <w:rPr>
                <w:rFonts w:hint="eastAsia" w:ascii="仿宋" w:hAnsi="仿宋" w:eastAsia="仿宋" w:cs="仿宋"/>
                <w:b/>
                <w:color w:val="auto"/>
                <w:sz w:val="24"/>
                <w:highlight w:val="none"/>
              </w:rPr>
              <w:t>并在发起解密</w:t>
            </w:r>
            <w:r>
              <w:rPr>
                <w:rFonts w:hint="eastAsia" w:ascii="仿宋" w:hAnsi="仿宋" w:eastAsia="仿宋" w:cs="仿宋"/>
                <w:b/>
                <w:bCs/>
                <w:color w:val="auto"/>
                <w:sz w:val="24"/>
                <w:highlight w:val="none"/>
              </w:rPr>
              <w:t>通知</w:t>
            </w:r>
            <w:r>
              <w:rPr>
                <w:rFonts w:hint="eastAsia" w:ascii="仿宋" w:hAnsi="仿宋" w:eastAsia="仿宋" w:cs="仿宋"/>
                <w:b/>
                <w:color w:val="auto"/>
                <w:sz w:val="24"/>
                <w:highlight w:val="none"/>
              </w:rPr>
              <w:t>之时起30分钟内完成</w:t>
            </w:r>
            <w:r>
              <w:rPr>
                <w:rFonts w:hint="eastAsia" w:ascii="仿宋" w:hAnsi="仿宋" w:eastAsia="仿宋" w:cs="仿宋"/>
                <w:b/>
                <w:bCs/>
                <w:color w:val="auto"/>
                <w:sz w:val="24"/>
                <w:highlight w:val="none"/>
              </w:rPr>
              <w:t>对电子投标文件解密。投标文件未按时解密的，视为无效投标。</w:t>
            </w:r>
          </w:p>
        </w:tc>
      </w:tr>
      <w:tr w14:paraId="50D28C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tcBorders>
              <w:top w:val="single" w:color="auto" w:sz="4" w:space="0"/>
              <w:left w:val="single" w:color="auto" w:sz="4" w:space="0"/>
              <w:bottom w:val="single" w:color="auto" w:sz="4" w:space="0"/>
              <w:right w:val="single" w:color="auto" w:sz="4" w:space="0"/>
            </w:tcBorders>
            <w:vAlign w:val="center"/>
          </w:tcPr>
          <w:p w14:paraId="1411F0D6">
            <w:pPr>
              <w:spacing w:line="390" w:lineRule="exact"/>
              <w:jc w:val="center"/>
              <w:rPr>
                <w:rFonts w:hint="eastAsia" w:ascii="仿宋" w:hAnsi="仿宋" w:eastAsia="仿宋" w:cs="仿宋"/>
                <w:color w:val="auto"/>
                <w:sz w:val="24"/>
                <w:highlight w:val="none"/>
              </w:rPr>
            </w:pPr>
            <w:bookmarkStart w:id="81" w:name="_25.3"/>
            <w:bookmarkEnd w:id="81"/>
            <w:r>
              <w:rPr>
                <w:rFonts w:hint="eastAsia" w:ascii="仿宋" w:hAnsi="仿宋" w:eastAsia="仿宋" w:cs="仿宋"/>
                <w:color w:val="auto"/>
                <w:sz w:val="24"/>
                <w:highlight w:val="none"/>
              </w:rPr>
              <w:t>25.3（3）</w:t>
            </w:r>
          </w:p>
        </w:tc>
        <w:tc>
          <w:tcPr>
            <w:tcW w:w="9275" w:type="dxa"/>
            <w:tcBorders>
              <w:top w:val="single" w:color="auto" w:sz="4" w:space="0"/>
              <w:left w:val="single" w:color="auto" w:sz="4" w:space="0"/>
              <w:bottom w:val="single" w:color="auto" w:sz="4" w:space="0"/>
              <w:right w:val="single" w:color="auto" w:sz="4" w:space="0"/>
            </w:tcBorders>
            <w:vAlign w:val="center"/>
          </w:tcPr>
          <w:p w14:paraId="0BE61F84">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采购人或者采购代理机构在资格审查结束前，对投标人进行信用查询。</w:t>
            </w:r>
          </w:p>
          <w:p w14:paraId="25CEE36B">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查询渠道：“信用中国”网站（www.creditchina.gov.cn）、中国政府采购网（</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"http://www.ccgp.gov.cn" </w:instrText>
            </w:r>
            <w:r>
              <w:rPr>
                <w:rFonts w:hint="eastAsia" w:ascii="仿宋" w:hAnsi="仿宋" w:eastAsia="仿宋" w:cs="仿宋"/>
                <w:color w:val="auto"/>
                <w:highlight w:val="none"/>
              </w:rPr>
              <w:fldChar w:fldCharType="separate"/>
            </w:r>
            <w:r>
              <w:rPr>
                <w:rStyle w:val="58"/>
                <w:rFonts w:hint="eastAsia" w:ascii="仿宋" w:hAnsi="仿宋" w:eastAsia="仿宋" w:cs="仿宋"/>
                <w:color w:val="auto"/>
                <w:sz w:val="24"/>
                <w:highlight w:val="none"/>
              </w:rPr>
              <w:t>www.ccgp.gov.cn</w:t>
            </w:r>
            <w:r>
              <w:rPr>
                <w:rStyle w:val="58"/>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w:t>
            </w:r>
          </w:p>
          <w:p w14:paraId="00637BEF">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信用查询截止时点：资格审查结束前。</w:t>
            </w:r>
          </w:p>
          <w:p w14:paraId="5B05F19A">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查询记录和证据留存方式：将查询网站中的查询记录截图并作为评审资料保存。</w:t>
            </w:r>
          </w:p>
          <w:p w14:paraId="03715D71">
            <w:pPr>
              <w:snapToGrid w:val="0"/>
              <w:spacing w:line="390" w:lineRule="exact"/>
              <w:rPr>
                <w:rFonts w:hint="eastAsia" w:ascii="仿宋" w:hAnsi="仿宋" w:eastAsia="仿宋" w:cs="仿宋"/>
                <w:b/>
                <w:color w:val="auto"/>
                <w:sz w:val="24"/>
                <w:highlight w:val="none"/>
              </w:rPr>
            </w:pPr>
            <w:r>
              <w:rPr>
                <w:rFonts w:hint="eastAsia" w:ascii="仿宋" w:hAnsi="仿宋" w:eastAsia="仿宋" w:cs="仿宋"/>
                <w:color w:val="auto"/>
                <w:sz w:val="24"/>
                <w:highlight w:val="none"/>
              </w:rPr>
              <w:t>信用信息使用规则：根据财政部《关于在政府采购活动中查询及使用信用记录有关问题的通知》（财库〔2016〕125号）的规定，对在“信用中国”网站(www.creditchina.gov.cn)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tc>
      </w:tr>
      <w:tr w14:paraId="64B8A7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tcBorders>
              <w:top w:val="single" w:color="auto" w:sz="4" w:space="0"/>
              <w:left w:val="single" w:color="auto" w:sz="4" w:space="0"/>
              <w:bottom w:val="single" w:color="auto" w:sz="4" w:space="0"/>
              <w:right w:val="single" w:color="auto" w:sz="4" w:space="0"/>
            </w:tcBorders>
            <w:vAlign w:val="center"/>
          </w:tcPr>
          <w:p w14:paraId="509912A4">
            <w:pPr>
              <w:spacing w:line="390" w:lineRule="exact"/>
              <w:jc w:val="center"/>
              <w:rPr>
                <w:rFonts w:hint="eastAsia" w:ascii="仿宋" w:hAnsi="仿宋" w:eastAsia="仿宋" w:cs="仿宋"/>
                <w:color w:val="auto"/>
                <w:sz w:val="24"/>
                <w:highlight w:val="none"/>
              </w:rPr>
            </w:pPr>
            <w:bookmarkStart w:id="82" w:name="_26"/>
            <w:bookmarkEnd w:id="82"/>
            <w:r>
              <w:rPr>
                <w:rFonts w:hint="eastAsia" w:ascii="仿宋" w:hAnsi="仿宋" w:eastAsia="仿宋" w:cs="仿宋"/>
                <w:color w:val="auto"/>
                <w:sz w:val="24"/>
                <w:highlight w:val="none"/>
              </w:rPr>
              <w:t>26</w:t>
            </w:r>
          </w:p>
        </w:tc>
        <w:tc>
          <w:tcPr>
            <w:tcW w:w="9275" w:type="dxa"/>
            <w:tcBorders>
              <w:top w:val="single" w:color="auto" w:sz="4" w:space="0"/>
              <w:left w:val="single" w:color="auto" w:sz="4" w:space="0"/>
              <w:bottom w:val="single" w:color="auto" w:sz="4" w:space="0"/>
              <w:right w:val="single" w:color="auto" w:sz="4" w:space="0"/>
            </w:tcBorders>
            <w:vAlign w:val="center"/>
          </w:tcPr>
          <w:p w14:paraId="6E6E395A">
            <w:pPr>
              <w:autoSpaceDE w:val="0"/>
              <w:autoSpaceDN w:val="0"/>
              <w:snapToGrid w:val="0"/>
              <w:spacing w:line="390" w:lineRule="exact"/>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t>评标委员会的人数：5人或5人以上单数。</w:t>
            </w:r>
          </w:p>
        </w:tc>
      </w:tr>
      <w:tr w14:paraId="2A3E61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tcBorders>
              <w:top w:val="single" w:color="auto" w:sz="4" w:space="0"/>
              <w:left w:val="single" w:color="auto" w:sz="4" w:space="0"/>
              <w:bottom w:val="single" w:color="auto" w:sz="4" w:space="0"/>
              <w:right w:val="single" w:color="auto" w:sz="4" w:space="0"/>
            </w:tcBorders>
            <w:vAlign w:val="center"/>
          </w:tcPr>
          <w:p w14:paraId="6CB4D650">
            <w:pPr>
              <w:spacing w:line="390" w:lineRule="exact"/>
              <w:jc w:val="center"/>
              <w:rPr>
                <w:rFonts w:hint="eastAsia" w:ascii="仿宋" w:hAnsi="仿宋" w:eastAsia="仿宋" w:cs="仿宋"/>
                <w:color w:val="auto"/>
                <w:sz w:val="24"/>
                <w:highlight w:val="none"/>
              </w:rPr>
            </w:pPr>
            <w:bookmarkStart w:id="83" w:name="_28.3"/>
            <w:bookmarkEnd w:id="83"/>
            <w:r>
              <w:rPr>
                <w:rFonts w:hint="eastAsia" w:ascii="仿宋" w:hAnsi="仿宋" w:eastAsia="仿宋" w:cs="仿宋"/>
                <w:color w:val="auto"/>
                <w:sz w:val="24"/>
                <w:highlight w:val="none"/>
              </w:rPr>
              <w:t>29.1</w:t>
            </w:r>
          </w:p>
        </w:tc>
        <w:tc>
          <w:tcPr>
            <w:tcW w:w="9275" w:type="dxa"/>
            <w:tcBorders>
              <w:top w:val="single" w:color="auto" w:sz="4" w:space="0"/>
              <w:left w:val="single" w:color="auto" w:sz="4" w:space="0"/>
              <w:bottom w:val="single" w:color="auto" w:sz="4" w:space="0"/>
              <w:right w:val="single" w:color="auto" w:sz="4" w:space="0"/>
            </w:tcBorders>
            <w:vAlign w:val="center"/>
          </w:tcPr>
          <w:p w14:paraId="3E103901">
            <w:pPr>
              <w:autoSpaceDE w:val="0"/>
              <w:autoSpaceDN w:val="0"/>
              <w:snapToGrid w:val="0"/>
              <w:spacing w:line="390" w:lineRule="exact"/>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t>评标方法：</w:t>
            </w: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eq \o\ac(□,</w:instrText>
            </w:r>
            <w:r>
              <w:rPr>
                <w:rFonts w:hint="eastAsia" w:ascii="仿宋" w:hAnsi="仿宋" w:eastAsia="仿宋" w:cs="仿宋"/>
                <w:color w:val="auto"/>
                <w:position w:val="2"/>
                <w:sz w:val="24"/>
                <w:highlight w:val="none"/>
              </w:rPr>
              <w:instrText xml:space="preserve">√</w:instrText>
            </w:r>
            <w:r>
              <w:rPr>
                <w:rFonts w:hint="eastAsia" w:ascii="仿宋" w:hAnsi="仿宋" w:eastAsia="仿宋" w:cs="仿宋"/>
                <w:color w:val="auto"/>
                <w:sz w:val="24"/>
                <w:highlight w:val="none"/>
              </w:rPr>
              <w:instrText xml:space="preserve">)</w:instrTex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综合评分法/□最低评标价法</w:t>
            </w:r>
          </w:p>
        </w:tc>
      </w:tr>
      <w:tr w14:paraId="7A590C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1056" w:type="dxa"/>
            <w:tcBorders>
              <w:top w:val="single" w:color="auto" w:sz="4" w:space="0"/>
              <w:left w:val="single" w:color="auto" w:sz="4" w:space="0"/>
              <w:bottom w:val="single" w:color="auto" w:sz="4" w:space="0"/>
              <w:right w:val="single" w:color="auto" w:sz="4" w:space="0"/>
            </w:tcBorders>
            <w:vAlign w:val="center"/>
          </w:tcPr>
          <w:p w14:paraId="7461D965">
            <w:pPr>
              <w:spacing w:line="390" w:lineRule="exact"/>
              <w:jc w:val="center"/>
              <w:rPr>
                <w:rFonts w:hint="eastAsia" w:ascii="仿宋" w:hAnsi="仿宋" w:eastAsia="仿宋" w:cs="仿宋"/>
                <w:color w:val="auto"/>
                <w:sz w:val="24"/>
                <w:highlight w:val="none"/>
              </w:rPr>
            </w:pPr>
            <w:bookmarkStart w:id="84" w:name="_29.2.2（2）"/>
            <w:bookmarkEnd w:id="84"/>
            <w:r>
              <w:rPr>
                <w:rFonts w:hint="eastAsia" w:ascii="仿宋" w:hAnsi="仿宋" w:eastAsia="仿宋" w:cs="仿宋"/>
                <w:color w:val="auto"/>
                <w:sz w:val="24"/>
                <w:highlight w:val="none"/>
              </w:rPr>
              <w:t>29.2</w:t>
            </w:r>
          </w:p>
        </w:tc>
        <w:tc>
          <w:tcPr>
            <w:tcW w:w="9275" w:type="dxa"/>
            <w:tcBorders>
              <w:top w:val="single" w:color="auto" w:sz="4" w:space="0"/>
              <w:left w:val="single" w:color="auto" w:sz="4" w:space="0"/>
              <w:right w:val="single" w:color="auto" w:sz="4" w:space="0"/>
            </w:tcBorders>
            <w:vAlign w:val="center"/>
          </w:tcPr>
          <w:p w14:paraId="5C8C9F20">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商务要求评审中允许负偏离的条款数为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项。</w:t>
            </w:r>
          </w:p>
          <w:p w14:paraId="6C7745AD">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技术要求评审中允许负偏离的条款数为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w:t>
            </w:r>
            <w:r>
              <w:rPr>
                <w:rFonts w:hint="eastAsia" w:ascii="仿宋" w:hAnsi="仿宋" w:eastAsia="仿宋" w:cs="仿宋"/>
                <w:color w:val="auto"/>
                <w:sz w:val="24"/>
                <w:highlight w:val="none"/>
              </w:rPr>
              <w:t>项。</w:t>
            </w:r>
          </w:p>
        </w:tc>
      </w:tr>
      <w:tr w14:paraId="4CA875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1056" w:type="dxa"/>
            <w:tcBorders>
              <w:top w:val="single" w:color="auto" w:sz="4" w:space="0"/>
              <w:left w:val="single" w:color="auto" w:sz="4" w:space="0"/>
              <w:bottom w:val="single" w:color="auto" w:sz="4" w:space="0"/>
              <w:right w:val="single" w:color="auto" w:sz="4" w:space="0"/>
            </w:tcBorders>
            <w:vAlign w:val="center"/>
          </w:tcPr>
          <w:p w14:paraId="0DF79E35">
            <w:pPr>
              <w:spacing w:line="39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29.3</w:t>
            </w:r>
          </w:p>
        </w:tc>
        <w:tc>
          <w:tcPr>
            <w:tcW w:w="9275" w:type="dxa"/>
            <w:tcBorders>
              <w:top w:val="single" w:color="auto" w:sz="4" w:space="0"/>
              <w:left w:val="single" w:color="auto" w:sz="4" w:space="0"/>
              <w:right w:val="single" w:color="auto" w:sz="4" w:space="0"/>
            </w:tcBorders>
            <w:vAlign w:val="center"/>
          </w:tcPr>
          <w:p w14:paraId="65EAC316">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中标候选人推荐数量：3家</w:t>
            </w:r>
          </w:p>
        </w:tc>
      </w:tr>
      <w:tr w14:paraId="457044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tcBorders>
              <w:top w:val="single" w:color="auto" w:sz="4" w:space="0"/>
              <w:left w:val="single" w:color="auto" w:sz="4" w:space="0"/>
              <w:bottom w:val="single" w:color="auto" w:sz="4" w:space="0"/>
              <w:right w:val="single" w:color="auto" w:sz="4" w:space="0"/>
            </w:tcBorders>
            <w:vAlign w:val="center"/>
          </w:tcPr>
          <w:p w14:paraId="32E9FAE5">
            <w:pPr>
              <w:spacing w:line="39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30.1</w:t>
            </w:r>
          </w:p>
        </w:tc>
        <w:tc>
          <w:tcPr>
            <w:tcW w:w="9275" w:type="dxa"/>
            <w:tcBorders>
              <w:top w:val="single" w:color="auto" w:sz="4" w:space="0"/>
              <w:left w:val="single" w:color="auto" w:sz="4" w:space="0"/>
              <w:bottom w:val="single" w:color="auto" w:sz="4" w:space="0"/>
              <w:right w:val="single" w:color="auto" w:sz="4" w:space="0"/>
            </w:tcBorders>
            <w:vAlign w:val="center"/>
          </w:tcPr>
          <w:p w14:paraId="01D54762">
            <w:pPr>
              <w:autoSpaceDE w:val="0"/>
              <w:autoSpaceDN w:val="0"/>
              <w:snapToGrid w:val="0"/>
              <w:spacing w:line="390" w:lineRule="exact"/>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eq \o\ac(□,</w:instrText>
            </w:r>
            <w:r>
              <w:rPr>
                <w:rFonts w:hint="eastAsia" w:ascii="仿宋" w:hAnsi="仿宋" w:eastAsia="仿宋" w:cs="仿宋"/>
                <w:color w:val="auto"/>
                <w:position w:val="2"/>
                <w:sz w:val="24"/>
                <w:highlight w:val="none"/>
              </w:rPr>
              <w:instrText xml:space="preserve">√</w:instrText>
            </w:r>
            <w:r>
              <w:rPr>
                <w:rFonts w:hint="eastAsia" w:ascii="仿宋" w:hAnsi="仿宋" w:eastAsia="仿宋" w:cs="仿宋"/>
                <w:color w:val="auto"/>
                <w:sz w:val="24"/>
                <w:highlight w:val="none"/>
              </w:rPr>
              <w:instrText xml:space="preserve">)</w:instrTex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采用综合评分法的采购项目，采购人确定中标人时，出现中标候选人并列的情形，采购人按以下的方式确定中标人：按综合评分中技术、商务得分高低依次确定。</w:t>
            </w:r>
          </w:p>
          <w:p w14:paraId="7B1C879D">
            <w:pPr>
              <w:autoSpaceDE w:val="0"/>
              <w:autoSpaceDN w:val="0"/>
              <w:snapToGrid w:val="0"/>
              <w:spacing w:line="390" w:lineRule="exact"/>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t>□采用最低评标价法的采购项目，采购人确定中标人时，出现中标候选人并列的情形，采购人按以下的方式确定中标人：按节能环保优先、技术指标高优先、质保期长优先、交货期短优先、故障响应时间短优先的顺序依次确定。</w:t>
            </w:r>
          </w:p>
        </w:tc>
      </w:tr>
      <w:tr w14:paraId="7A5219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056" w:type="dxa"/>
            <w:tcBorders>
              <w:top w:val="single" w:color="auto" w:sz="4" w:space="0"/>
              <w:left w:val="single" w:color="auto" w:sz="4" w:space="0"/>
              <w:bottom w:val="single" w:color="auto" w:sz="4" w:space="0"/>
              <w:right w:val="single" w:color="auto" w:sz="4" w:space="0"/>
            </w:tcBorders>
            <w:vAlign w:val="center"/>
          </w:tcPr>
          <w:p w14:paraId="71203B88">
            <w:pPr>
              <w:spacing w:line="390" w:lineRule="exact"/>
              <w:jc w:val="center"/>
              <w:rPr>
                <w:rFonts w:hint="eastAsia" w:ascii="仿宋" w:hAnsi="仿宋" w:eastAsia="仿宋" w:cs="仿宋"/>
                <w:color w:val="auto"/>
                <w:sz w:val="24"/>
                <w:highlight w:val="none"/>
              </w:rPr>
            </w:pPr>
            <w:bookmarkStart w:id="85" w:name="_39.1"/>
            <w:bookmarkEnd w:id="85"/>
            <w:r>
              <w:rPr>
                <w:rFonts w:hint="eastAsia" w:ascii="仿宋" w:hAnsi="仿宋" w:eastAsia="仿宋" w:cs="仿宋"/>
                <w:color w:val="auto"/>
                <w:sz w:val="24"/>
                <w:highlight w:val="none"/>
              </w:rPr>
              <w:t>35.1</w:t>
            </w:r>
          </w:p>
        </w:tc>
        <w:tc>
          <w:tcPr>
            <w:tcW w:w="9275" w:type="dxa"/>
            <w:tcBorders>
              <w:top w:val="single" w:color="auto" w:sz="4" w:space="0"/>
              <w:left w:val="single" w:color="auto" w:sz="4" w:space="0"/>
              <w:bottom w:val="single" w:color="auto" w:sz="4" w:space="0"/>
              <w:right w:val="single" w:color="auto" w:sz="4" w:space="0"/>
            </w:tcBorders>
            <w:vAlign w:val="center"/>
          </w:tcPr>
          <w:p w14:paraId="2EF40E51">
            <w:pPr>
              <w:autoSpaceDE w:val="0"/>
              <w:autoSpaceDN w:val="0"/>
              <w:snapToGrid w:val="0"/>
              <w:spacing w:line="390" w:lineRule="exact"/>
              <w:textAlignment w:val="bottom"/>
              <w:rPr>
                <w:rFonts w:ascii="仿宋" w:hAnsi="仿宋" w:eastAsia="仿宋"/>
                <w:color w:val="auto"/>
                <w:sz w:val="24"/>
                <w:highlight w:val="none"/>
              </w:rPr>
            </w:pPr>
            <w:r>
              <w:rPr>
                <w:rFonts w:hint="eastAsia" w:ascii="仿宋" w:hAnsi="仿宋" w:eastAsia="仿宋"/>
                <w:color w:val="auto"/>
                <w:sz w:val="24"/>
                <w:highlight w:val="none"/>
              </w:rPr>
              <w:t>□本项目不收取履约保证金。</w:t>
            </w:r>
          </w:p>
          <w:p w14:paraId="0CA1DB05">
            <w:pPr>
              <w:autoSpaceDE w:val="0"/>
              <w:autoSpaceDN w:val="0"/>
              <w:snapToGrid w:val="0"/>
              <w:spacing w:line="390" w:lineRule="exact"/>
              <w:textAlignment w:val="bottom"/>
              <w:rPr>
                <w:rFonts w:ascii="仿宋" w:hAnsi="仿宋" w:eastAsia="仿宋"/>
                <w:color w:val="auto"/>
                <w:sz w:val="24"/>
                <w:highlight w:val="none"/>
              </w:rPr>
            </w:pPr>
            <w:r>
              <w:rPr>
                <w:rFonts w:ascii="仿宋" w:hAnsi="仿宋" w:eastAsia="仿宋"/>
                <w:color w:val="auto"/>
                <w:sz w:val="24"/>
                <w:highlight w:val="none"/>
              </w:rPr>
              <w:fldChar w:fldCharType="begin"/>
            </w:r>
            <w:r>
              <w:rPr>
                <w:rFonts w:hint="eastAsia" w:ascii="仿宋" w:hAnsi="仿宋" w:eastAsia="仿宋"/>
                <w:color w:val="auto"/>
                <w:sz w:val="24"/>
                <w:highlight w:val="none"/>
              </w:rPr>
              <w:instrText xml:space="preserve">eq \o\ac(□,</w:instrText>
            </w:r>
            <w:r>
              <w:rPr>
                <w:rFonts w:hint="eastAsia" w:ascii="仿宋" w:hAnsi="仿宋" w:eastAsia="仿宋"/>
                <w:color w:val="auto"/>
                <w:position w:val="2"/>
                <w:sz w:val="24"/>
                <w:highlight w:val="none"/>
              </w:rPr>
              <w:instrText xml:space="preserve">√</w:instrText>
            </w:r>
            <w:r>
              <w:rPr>
                <w:rFonts w:hint="eastAsia" w:ascii="仿宋" w:hAnsi="仿宋" w:eastAsia="仿宋"/>
                <w:color w:val="auto"/>
                <w:sz w:val="24"/>
                <w:highlight w:val="none"/>
              </w:rPr>
              <w:instrText xml:space="preserve">)</w:instrText>
            </w:r>
            <w:r>
              <w:rPr>
                <w:rFonts w:ascii="仿宋" w:hAnsi="仿宋" w:eastAsia="仿宋"/>
                <w:color w:val="auto"/>
                <w:sz w:val="24"/>
                <w:highlight w:val="none"/>
              </w:rPr>
              <w:fldChar w:fldCharType="end"/>
            </w:r>
            <w:r>
              <w:rPr>
                <w:rFonts w:hint="eastAsia" w:ascii="仿宋" w:hAnsi="仿宋" w:eastAsia="仿宋"/>
                <w:color w:val="auto"/>
                <w:sz w:val="24"/>
                <w:highlight w:val="none"/>
              </w:rPr>
              <w:t>本项目收取履约保证金，具体规定如下：</w:t>
            </w:r>
          </w:p>
          <w:p w14:paraId="1D63FE68">
            <w:pPr>
              <w:rPr>
                <w:rFonts w:ascii="仿宋" w:hAnsi="仿宋" w:eastAsia="仿宋" w:cs="仿宋"/>
                <w:color w:val="auto"/>
                <w:sz w:val="24"/>
                <w:highlight w:val="none"/>
              </w:rPr>
            </w:pPr>
            <w:r>
              <w:rPr>
                <w:rFonts w:hint="eastAsia" w:ascii="仿宋" w:hAnsi="仿宋" w:eastAsia="仿宋" w:cs="仿宋"/>
                <w:b/>
                <w:bCs/>
                <w:color w:val="auto"/>
                <w:sz w:val="24"/>
                <w:highlight w:val="none"/>
              </w:rPr>
              <w:t>1、履约保证金收取：</w:t>
            </w:r>
            <w:r>
              <w:rPr>
                <w:rFonts w:hint="eastAsia" w:ascii="仿宋" w:hAnsi="仿宋" w:eastAsia="仿宋" w:cs="仿宋"/>
                <w:color w:val="auto"/>
                <w:sz w:val="24"/>
                <w:highlight w:val="none"/>
              </w:rPr>
              <w:t>由中标供应商在签订合同前按中标金额的5%收取（如中标供应商为中小微型企业的，按中标金额的2%收取）。</w:t>
            </w:r>
          </w:p>
          <w:p w14:paraId="7112246E">
            <w:pPr>
              <w:spacing w:line="420" w:lineRule="exact"/>
              <w:rPr>
                <w:rFonts w:ascii="仿宋" w:hAnsi="仿宋" w:eastAsia="仿宋" w:cs="仿宋"/>
                <w:color w:val="auto"/>
                <w:sz w:val="24"/>
                <w:highlight w:val="none"/>
              </w:rPr>
            </w:pPr>
            <w:r>
              <w:rPr>
                <w:rFonts w:hint="eastAsia" w:ascii="仿宋" w:hAnsi="仿宋" w:eastAsia="仿宋" w:cs="仿宋"/>
                <w:b/>
                <w:bCs/>
                <w:color w:val="auto"/>
                <w:sz w:val="24"/>
                <w:highlight w:val="none"/>
              </w:rPr>
              <w:t>2、交纳方式：</w:t>
            </w:r>
            <w:r>
              <w:rPr>
                <w:rFonts w:hint="eastAsia" w:ascii="仿宋" w:hAnsi="仿宋" w:eastAsia="仿宋" w:cs="仿宋"/>
                <w:color w:val="auto"/>
                <w:sz w:val="24"/>
                <w:highlight w:val="none"/>
              </w:rPr>
              <w:t>履约保证金可以采用银行转账、支票、汇票、本票或者银行、保险机构出具的保函等非现金形式。采购人开具履约保证金财务凭证给中标供应商。</w:t>
            </w:r>
          </w:p>
          <w:p w14:paraId="3388FA77">
            <w:pPr>
              <w:spacing w:line="420" w:lineRule="exact"/>
              <w:rPr>
                <w:rFonts w:ascii="仿宋" w:hAnsi="仿宋" w:eastAsia="仿宋" w:cs="仿宋"/>
                <w:color w:val="auto"/>
                <w:sz w:val="24"/>
                <w:highlight w:val="none"/>
              </w:rPr>
            </w:pPr>
            <w:r>
              <w:rPr>
                <w:rFonts w:hint="eastAsia" w:ascii="仿宋" w:hAnsi="仿宋" w:eastAsia="仿宋" w:cs="仿宋"/>
                <w:b/>
                <w:bCs/>
                <w:color w:val="auto"/>
                <w:sz w:val="24"/>
                <w:highlight w:val="none"/>
              </w:rPr>
              <w:t>3、履约保证金退付</w:t>
            </w:r>
            <w:r>
              <w:rPr>
                <w:rFonts w:hint="eastAsia" w:ascii="仿宋" w:hAnsi="仿宋" w:eastAsia="仿宋" w:cs="仿宋"/>
                <w:color w:val="auto"/>
                <w:sz w:val="24"/>
                <w:highlight w:val="none"/>
              </w:rPr>
              <w:t>：中标供应商履行完合同约定权利义务事项且服务期满后无违约情况，凭《项目验收单》 和履约保证金交纳凭证向采购人申请办理退还手续，采购人不得额外要求中标供应商提交其他证明材料，并应当自收到退还资料之日起5个工作日内退还其履约保证金（无息）。如中标供应商不按双方签订的合同规定履约，则没收其全部履约保证金，履约保证金不足以赔偿损失的，按实际损失赔偿。</w:t>
            </w:r>
          </w:p>
          <w:p w14:paraId="32092493">
            <w:pPr>
              <w:spacing w:line="420" w:lineRule="exact"/>
              <w:rPr>
                <w:rFonts w:ascii="仿宋" w:hAnsi="仿宋" w:eastAsia="仿宋" w:cs="仿宋"/>
                <w:color w:val="auto"/>
                <w:sz w:val="24"/>
                <w:highlight w:val="none"/>
              </w:rPr>
            </w:pPr>
            <w:r>
              <w:rPr>
                <w:rFonts w:hint="eastAsia" w:ascii="仿宋" w:hAnsi="仿宋" w:eastAsia="仿宋" w:cs="仿宋"/>
                <w:b/>
                <w:bCs/>
                <w:color w:val="auto"/>
                <w:sz w:val="24"/>
                <w:highlight w:val="none"/>
              </w:rPr>
              <w:t>4、履约保证金递交方式：</w:t>
            </w:r>
            <w:r>
              <w:rPr>
                <w:rFonts w:hint="eastAsia" w:ascii="仿宋" w:hAnsi="仿宋" w:eastAsia="仿宋" w:cs="仿宋"/>
                <w:color w:val="auto"/>
                <w:sz w:val="24"/>
                <w:highlight w:val="none"/>
              </w:rPr>
              <w:t>支票、汇票、本票等非现金方式。由中标供应商在签订合同前按规定的金额直接缴入以下采购人账户。凭履约保证金缴纳凭证签订合同。</w:t>
            </w:r>
          </w:p>
          <w:p w14:paraId="72159686">
            <w:pPr>
              <w:spacing w:line="420" w:lineRule="exact"/>
              <w:rPr>
                <w:rFonts w:ascii="仿宋" w:hAnsi="仿宋" w:eastAsia="仿宋" w:cs="仿宋"/>
                <w:color w:val="auto"/>
                <w:sz w:val="24"/>
                <w:highlight w:val="none"/>
              </w:rPr>
            </w:pPr>
            <w:r>
              <w:rPr>
                <w:rFonts w:hint="eastAsia" w:ascii="仿宋" w:hAnsi="仿宋" w:eastAsia="仿宋" w:cs="仿宋"/>
                <w:color w:val="auto"/>
                <w:sz w:val="24"/>
                <w:highlight w:val="none"/>
              </w:rPr>
              <w:t>开户名称：桂林电子科技大学</w:t>
            </w:r>
          </w:p>
          <w:p w14:paraId="5AB40E14">
            <w:pPr>
              <w:spacing w:line="420" w:lineRule="exact"/>
              <w:rPr>
                <w:rFonts w:ascii="仿宋" w:hAnsi="仿宋" w:eastAsia="仿宋" w:cs="仿宋"/>
                <w:color w:val="auto"/>
                <w:sz w:val="24"/>
                <w:highlight w:val="none"/>
              </w:rPr>
            </w:pPr>
            <w:r>
              <w:rPr>
                <w:rFonts w:hint="eastAsia" w:ascii="仿宋" w:hAnsi="仿宋" w:eastAsia="仿宋" w:cs="仿宋"/>
                <w:color w:val="auto"/>
                <w:sz w:val="24"/>
                <w:highlight w:val="none"/>
              </w:rPr>
              <w:t xml:space="preserve">开户银行：桂林市工商银行屏风支行       </w:t>
            </w:r>
          </w:p>
          <w:p w14:paraId="164E8341">
            <w:pPr>
              <w:autoSpaceDE w:val="0"/>
              <w:autoSpaceDN w:val="0"/>
              <w:snapToGrid w:val="0"/>
              <w:spacing w:line="390" w:lineRule="exact"/>
              <w:textAlignment w:val="bottom"/>
              <w:rPr>
                <w:rFonts w:ascii="仿宋" w:hAnsi="仿宋" w:eastAsia="仿宋"/>
                <w:color w:val="auto"/>
                <w:sz w:val="24"/>
                <w:highlight w:val="none"/>
              </w:rPr>
            </w:pPr>
            <w:r>
              <w:rPr>
                <w:rFonts w:hint="eastAsia" w:ascii="仿宋" w:hAnsi="仿宋" w:eastAsia="仿宋" w:cs="仿宋"/>
                <w:color w:val="auto"/>
                <w:sz w:val="24"/>
                <w:highlight w:val="none"/>
              </w:rPr>
              <w:t>银行账号：2103 2152 0924 9017 694</w:t>
            </w:r>
            <w:r>
              <w:rPr>
                <w:rFonts w:hint="eastAsia" w:ascii="仿宋" w:hAnsi="仿宋" w:eastAsia="仿宋"/>
                <w:color w:val="auto"/>
                <w:sz w:val="24"/>
                <w:highlight w:val="none"/>
              </w:rPr>
              <w:t>。</w:t>
            </w:r>
          </w:p>
          <w:p w14:paraId="201B8839">
            <w:pPr>
              <w:spacing w:line="390" w:lineRule="exact"/>
              <w:jc w:val="left"/>
              <w:rPr>
                <w:rFonts w:ascii="仿宋" w:hAnsi="仿宋" w:eastAsia="仿宋" w:cs="Courier New"/>
                <w:color w:val="auto"/>
                <w:sz w:val="24"/>
                <w:highlight w:val="none"/>
              </w:rPr>
            </w:pPr>
            <w:r>
              <w:rPr>
                <w:rFonts w:ascii="仿宋" w:hAnsi="仿宋" w:eastAsia="仿宋" w:cs="Courier New"/>
                <w:color w:val="auto"/>
                <w:sz w:val="24"/>
                <w:highlight w:val="none"/>
              </w:rPr>
              <w:t>备注：</w:t>
            </w:r>
          </w:p>
          <w:p w14:paraId="72C64CCE">
            <w:pPr>
              <w:spacing w:line="390" w:lineRule="exact"/>
              <w:jc w:val="left"/>
              <w:rPr>
                <w:rFonts w:ascii="仿宋" w:hAnsi="仿宋" w:eastAsia="仿宋"/>
                <w:b/>
                <w:color w:val="auto"/>
                <w:sz w:val="24"/>
                <w:highlight w:val="none"/>
              </w:rPr>
            </w:pPr>
            <w:r>
              <w:rPr>
                <w:rFonts w:ascii="仿宋" w:hAnsi="仿宋" w:eastAsia="仿宋"/>
                <w:b/>
                <w:color w:val="auto"/>
                <w:sz w:val="24"/>
                <w:highlight w:val="none"/>
              </w:rPr>
              <w:t>1</w:t>
            </w:r>
            <w:r>
              <w:rPr>
                <w:rFonts w:hint="eastAsia" w:ascii="仿宋" w:hAnsi="仿宋" w:eastAsia="仿宋"/>
                <w:b/>
                <w:color w:val="auto"/>
                <w:sz w:val="24"/>
                <w:highlight w:val="none"/>
              </w:rPr>
              <w:t>、根据《广西壮族自治区财政厅关于贯彻落实政府采购优化营商环境百日攻坚行动方案的通知》（桂财采〔2020〕49号）规定，鼓励采购人在与中小微企业签订政府采购合同时，减少或免于收取履约保证金，有必要收取履约保证金的，收取的履约保证金不得超过政府采购合同金额的5%。</w:t>
            </w:r>
            <w:r>
              <w:rPr>
                <w:rFonts w:ascii="仿宋" w:hAnsi="仿宋" w:eastAsia="仿宋" w:cs="Courier New"/>
                <w:color w:val="auto"/>
                <w:sz w:val="24"/>
                <w:highlight w:val="none"/>
              </w:rPr>
              <w:br w:type="textWrapping"/>
            </w:r>
            <w:r>
              <w:rPr>
                <w:rFonts w:ascii="仿宋" w:hAnsi="仿宋" w:eastAsia="仿宋"/>
                <w:b/>
                <w:color w:val="auto"/>
                <w:sz w:val="24"/>
                <w:highlight w:val="none"/>
              </w:rPr>
              <w:t>2</w:t>
            </w:r>
            <w:r>
              <w:rPr>
                <w:rFonts w:hint="eastAsia" w:ascii="仿宋" w:hAnsi="仿宋" w:eastAsia="仿宋"/>
                <w:b/>
                <w:color w:val="auto"/>
                <w:sz w:val="24"/>
                <w:highlight w:val="none"/>
              </w:rPr>
              <w:t>、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r>
              <w:rPr>
                <w:rFonts w:ascii="仿宋" w:hAnsi="仿宋" w:eastAsia="仿宋"/>
                <w:b/>
                <w:color w:val="auto"/>
                <w:sz w:val="24"/>
                <w:highlight w:val="none"/>
              </w:rPr>
              <w:br w:type="textWrapping"/>
            </w:r>
            <w:r>
              <w:rPr>
                <w:rFonts w:ascii="仿宋" w:hAnsi="仿宋" w:eastAsia="仿宋"/>
                <w:b/>
                <w:color w:val="auto"/>
                <w:sz w:val="24"/>
                <w:highlight w:val="none"/>
              </w:rPr>
              <w:t>3</w:t>
            </w:r>
            <w:r>
              <w:rPr>
                <w:rFonts w:hint="eastAsia" w:ascii="仿宋" w:hAnsi="仿宋" w:eastAsia="仿宋"/>
                <w:b/>
                <w:color w:val="auto"/>
                <w:sz w:val="24"/>
                <w:highlight w:val="none"/>
              </w:rPr>
              <w:t>、</w:t>
            </w:r>
            <w:r>
              <w:rPr>
                <w:rFonts w:ascii="仿宋" w:hAnsi="仿宋" w:eastAsia="仿宋"/>
                <w:b/>
                <w:color w:val="auto"/>
                <w:sz w:val="24"/>
                <w:highlight w:val="none"/>
              </w:rPr>
              <w:t>采用金融、担保机构出具的保函的，必须为无条件保函，否则不予签订合同。</w:t>
            </w:r>
          </w:p>
          <w:p w14:paraId="6D154253">
            <w:pPr>
              <w:spacing w:line="390" w:lineRule="exact"/>
              <w:jc w:val="left"/>
              <w:rPr>
                <w:rFonts w:hint="eastAsia" w:ascii="仿宋" w:hAnsi="仿宋" w:eastAsia="仿宋" w:cs="仿宋"/>
                <w:color w:val="auto"/>
                <w:kern w:val="0"/>
                <w:sz w:val="24"/>
                <w:highlight w:val="none"/>
              </w:rPr>
            </w:pPr>
            <w:r>
              <w:rPr>
                <w:rFonts w:ascii="仿宋" w:hAnsi="仿宋" w:eastAsia="仿宋"/>
                <w:b/>
                <w:color w:val="auto"/>
                <w:sz w:val="24"/>
                <w:highlight w:val="none"/>
              </w:rPr>
              <w:t>4</w:t>
            </w:r>
            <w:r>
              <w:rPr>
                <w:rFonts w:hint="eastAsia" w:ascii="仿宋" w:hAnsi="仿宋" w:eastAsia="仿宋"/>
                <w:b/>
                <w:color w:val="auto"/>
                <w:sz w:val="24"/>
                <w:highlight w:val="none"/>
              </w:rPr>
              <w:t>、投标人为联合体的，由联合体其中一方按规定提交的履约保证金，视为有效履约保证金。</w:t>
            </w:r>
          </w:p>
        </w:tc>
      </w:tr>
      <w:tr w14:paraId="16A8EC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tcBorders>
              <w:top w:val="single" w:color="auto" w:sz="4" w:space="0"/>
              <w:left w:val="single" w:color="auto" w:sz="4" w:space="0"/>
              <w:bottom w:val="single" w:color="auto" w:sz="4" w:space="0"/>
              <w:right w:val="single" w:color="auto" w:sz="4" w:space="0"/>
            </w:tcBorders>
            <w:vAlign w:val="center"/>
          </w:tcPr>
          <w:p w14:paraId="281A8459">
            <w:pPr>
              <w:spacing w:line="390" w:lineRule="exact"/>
              <w:jc w:val="center"/>
              <w:rPr>
                <w:rFonts w:hint="eastAsia" w:ascii="仿宋" w:hAnsi="仿宋" w:eastAsia="仿宋" w:cs="仿宋"/>
                <w:color w:val="auto"/>
                <w:sz w:val="24"/>
                <w:highlight w:val="none"/>
              </w:rPr>
            </w:pPr>
            <w:bookmarkStart w:id="86" w:name="_40.1"/>
            <w:bookmarkEnd w:id="86"/>
            <w:r>
              <w:rPr>
                <w:rFonts w:hint="eastAsia" w:ascii="仿宋" w:hAnsi="仿宋" w:eastAsia="仿宋" w:cs="仿宋"/>
                <w:color w:val="auto"/>
                <w:sz w:val="24"/>
                <w:highlight w:val="none"/>
              </w:rPr>
              <w:t>36.1</w:t>
            </w:r>
          </w:p>
        </w:tc>
        <w:tc>
          <w:tcPr>
            <w:tcW w:w="9275" w:type="dxa"/>
            <w:tcBorders>
              <w:top w:val="single" w:color="auto" w:sz="4" w:space="0"/>
              <w:left w:val="single" w:color="auto" w:sz="4" w:space="0"/>
              <w:bottom w:val="single" w:color="auto" w:sz="4" w:space="0"/>
              <w:right w:val="single" w:color="auto" w:sz="4" w:space="0"/>
            </w:tcBorders>
            <w:vAlign w:val="center"/>
          </w:tcPr>
          <w:p w14:paraId="5B8D8C39">
            <w:pPr>
              <w:autoSpaceDE w:val="0"/>
              <w:autoSpaceDN w:val="0"/>
              <w:snapToGrid w:val="0"/>
              <w:spacing w:line="390" w:lineRule="exact"/>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签订合同携带的证明材料： </w:t>
            </w:r>
          </w:p>
          <w:p w14:paraId="010A75CC">
            <w:pPr>
              <w:autoSpaceDE w:val="0"/>
              <w:autoSpaceDN w:val="0"/>
              <w:snapToGrid w:val="0"/>
              <w:spacing w:line="390" w:lineRule="exact"/>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t>1、委托代理人负责签订合同的，须携带授权委托书及委托代理人身份证原件等其他资格证件。</w:t>
            </w:r>
          </w:p>
          <w:p w14:paraId="0E45D35E">
            <w:pPr>
              <w:autoSpaceDE w:val="0"/>
              <w:autoSpaceDN w:val="0"/>
              <w:snapToGrid w:val="0"/>
              <w:spacing w:line="390" w:lineRule="exact"/>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t>2、法定代表人负责签订合同的，须携带法定代表人身份证明原件及身份证原件等其他证明材料。</w:t>
            </w:r>
          </w:p>
        </w:tc>
      </w:tr>
      <w:tr w14:paraId="31819C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tcBorders>
              <w:top w:val="single" w:color="auto" w:sz="4" w:space="0"/>
              <w:left w:val="single" w:color="auto" w:sz="4" w:space="0"/>
              <w:bottom w:val="single" w:color="auto" w:sz="4" w:space="0"/>
              <w:right w:val="single" w:color="auto" w:sz="4" w:space="0"/>
            </w:tcBorders>
            <w:vAlign w:val="center"/>
          </w:tcPr>
          <w:p w14:paraId="1384616C">
            <w:pPr>
              <w:spacing w:line="39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36.2</w:t>
            </w:r>
          </w:p>
        </w:tc>
        <w:tc>
          <w:tcPr>
            <w:tcW w:w="9275" w:type="dxa"/>
            <w:tcBorders>
              <w:top w:val="single" w:color="auto" w:sz="4" w:space="0"/>
              <w:left w:val="single" w:color="auto" w:sz="4" w:space="0"/>
              <w:bottom w:val="single" w:color="auto" w:sz="4" w:space="0"/>
              <w:right w:val="single" w:color="auto" w:sz="4" w:space="0"/>
            </w:tcBorders>
            <w:vAlign w:val="center"/>
          </w:tcPr>
          <w:p w14:paraId="5C8594BE">
            <w:pPr>
              <w:autoSpaceDE w:val="0"/>
              <w:autoSpaceDN w:val="0"/>
              <w:snapToGrid w:val="0"/>
              <w:spacing w:line="390" w:lineRule="exact"/>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t>签订合同时间：中标通知书（中标公告）发出之日起25个日历日内。</w:t>
            </w:r>
          </w:p>
        </w:tc>
      </w:tr>
      <w:tr w14:paraId="0EA73F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tcBorders>
              <w:top w:val="single" w:color="auto" w:sz="4" w:space="0"/>
              <w:left w:val="single" w:color="auto" w:sz="4" w:space="0"/>
              <w:bottom w:val="single" w:color="auto" w:sz="4" w:space="0"/>
              <w:right w:val="single" w:color="auto" w:sz="4" w:space="0"/>
            </w:tcBorders>
            <w:vAlign w:val="center"/>
          </w:tcPr>
          <w:p w14:paraId="3E8561DD">
            <w:pPr>
              <w:spacing w:line="39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38.2</w:t>
            </w:r>
          </w:p>
        </w:tc>
        <w:tc>
          <w:tcPr>
            <w:tcW w:w="9275" w:type="dxa"/>
            <w:tcBorders>
              <w:top w:val="single" w:color="auto" w:sz="4" w:space="0"/>
              <w:left w:val="single" w:color="auto" w:sz="4" w:space="0"/>
              <w:bottom w:val="single" w:color="auto" w:sz="4" w:space="0"/>
              <w:right w:val="single" w:color="auto" w:sz="4" w:space="0"/>
            </w:tcBorders>
            <w:vAlign w:val="center"/>
          </w:tcPr>
          <w:p w14:paraId="4894B952">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接收质疑函方式：以纸质书面形式。</w:t>
            </w:r>
          </w:p>
          <w:p w14:paraId="7F28BF1C">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质疑联系部门及联系方式：广西科文招标有限公司桂林分公司。</w:t>
            </w:r>
          </w:p>
          <w:p w14:paraId="07654890">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质疑联系人：</w:t>
            </w:r>
            <w:r>
              <w:rPr>
                <w:rFonts w:hint="eastAsia" w:ascii="仿宋" w:hAnsi="仿宋" w:eastAsia="仿宋" w:cs="仿宋"/>
                <w:color w:val="auto"/>
                <w:sz w:val="24"/>
                <w:highlight w:val="none"/>
                <w:lang w:eastAsia="zh-CN"/>
              </w:rPr>
              <w:t>李冰华、潘虹、谢敏聪</w:t>
            </w:r>
            <w:r>
              <w:rPr>
                <w:rFonts w:hint="eastAsia" w:ascii="仿宋" w:hAnsi="仿宋" w:eastAsia="仿宋" w:cs="仿宋"/>
                <w:color w:val="auto"/>
                <w:sz w:val="24"/>
                <w:highlight w:val="none"/>
              </w:rPr>
              <w:t>，联系电话：</w:t>
            </w:r>
            <w:r>
              <w:rPr>
                <w:rFonts w:hint="eastAsia" w:ascii="仿宋" w:hAnsi="仿宋" w:eastAsia="仿宋" w:cs="仿宋"/>
                <w:color w:val="auto"/>
                <w:sz w:val="24"/>
                <w:highlight w:val="none"/>
                <w:lang w:eastAsia="zh-CN"/>
              </w:rPr>
              <w:t>0773-7593227</w:t>
            </w:r>
            <w:r>
              <w:rPr>
                <w:rFonts w:hint="eastAsia" w:ascii="仿宋" w:hAnsi="仿宋" w:eastAsia="仿宋" w:cs="仿宋"/>
                <w:color w:val="auto"/>
                <w:sz w:val="24"/>
                <w:highlight w:val="none"/>
              </w:rPr>
              <w:t>。</w:t>
            </w:r>
          </w:p>
          <w:p w14:paraId="349D6CE1">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通讯地址：桂林市七星区穿山东路41号彰泰•天街V+国际中心1#楼八层802号。</w:t>
            </w:r>
          </w:p>
          <w:p w14:paraId="349DCB9B">
            <w:pPr>
              <w:autoSpaceDE w:val="0"/>
              <w:autoSpaceDN w:val="0"/>
              <w:snapToGrid w:val="0"/>
              <w:spacing w:line="390" w:lineRule="exact"/>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t>现场提交质疑办理业务时间：工作日，上午8:00-12:00；下午15:00-18:00（北京时间）。</w:t>
            </w:r>
          </w:p>
        </w:tc>
      </w:tr>
      <w:tr w14:paraId="5FF4F8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tcBorders>
              <w:top w:val="single" w:color="auto" w:sz="4" w:space="0"/>
              <w:left w:val="single" w:color="auto" w:sz="4" w:space="0"/>
              <w:bottom w:val="single" w:color="auto" w:sz="4" w:space="0"/>
              <w:right w:val="single" w:color="auto" w:sz="4" w:space="0"/>
            </w:tcBorders>
            <w:vAlign w:val="center"/>
          </w:tcPr>
          <w:p w14:paraId="18A749C8">
            <w:pPr>
              <w:spacing w:line="390" w:lineRule="exact"/>
              <w:jc w:val="center"/>
              <w:rPr>
                <w:rFonts w:hint="eastAsia" w:ascii="仿宋" w:hAnsi="仿宋" w:eastAsia="仿宋" w:cs="仿宋"/>
                <w:color w:val="auto"/>
                <w:sz w:val="24"/>
                <w:highlight w:val="none"/>
              </w:rPr>
            </w:pPr>
            <w:bookmarkStart w:id="87" w:name="_41"/>
            <w:bookmarkEnd w:id="87"/>
            <w:bookmarkStart w:id="88" w:name="_42"/>
            <w:bookmarkEnd w:id="88"/>
            <w:bookmarkStart w:id="89" w:name="_Hlt17709148"/>
            <w:r>
              <w:rPr>
                <w:rFonts w:hint="eastAsia" w:ascii="仿宋" w:hAnsi="仿宋" w:eastAsia="仿宋" w:cs="仿宋"/>
                <w:color w:val="auto"/>
                <w:sz w:val="24"/>
                <w:highlight w:val="none"/>
              </w:rPr>
              <w:t>3</w:t>
            </w:r>
            <w:bookmarkEnd w:id="89"/>
            <w:r>
              <w:rPr>
                <w:rFonts w:hint="eastAsia" w:ascii="仿宋" w:hAnsi="仿宋" w:eastAsia="仿宋" w:cs="仿宋"/>
                <w:color w:val="auto"/>
                <w:sz w:val="24"/>
                <w:highlight w:val="none"/>
              </w:rPr>
              <w:t>9</w:t>
            </w:r>
          </w:p>
        </w:tc>
        <w:tc>
          <w:tcPr>
            <w:tcW w:w="9275" w:type="dxa"/>
            <w:tcBorders>
              <w:top w:val="single" w:color="auto" w:sz="4" w:space="0"/>
              <w:left w:val="single" w:color="auto" w:sz="4" w:space="0"/>
              <w:bottom w:val="single" w:color="auto" w:sz="4" w:space="0"/>
              <w:right w:val="single" w:color="auto" w:sz="4" w:space="0"/>
            </w:tcBorders>
            <w:vAlign w:val="center"/>
          </w:tcPr>
          <w:p w14:paraId="78A40E2B">
            <w:pPr>
              <w:pStyle w:val="27"/>
              <w:snapToGrid w:val="0"/>
              <w:spacing w:line="390" w:lineRule="exact"/>
              <w:rPr>
                <w:rFonts w:ascii="仿宋" w:hAnsi="仿宋" w:eastAsia="仿宋" w:cs="宋体"/>
                <w:color w:val="auto"/>
                <w:sz w:val="24"/>
                <w:szCs w:val="24"/>
                <w:highlight w:val="none"/>
              </w:rPr>
            </w:pPr>
            <w:r>
              <w:rPr>
                <w:rFonts w:hint="eastAsia" w:ascii="仿宋" w:hAnsi="仿宋" w:eastAsia="仿宋" w:cs="宋体"/>
                <w:color w:val="auto"/>
                <w:sz w:val="24"/>
                <w:szCs w:val="24"/>
                <w:highlight w:val="none"/>
              </w:rPr>
              <w:t>1、代理服务费支付方式：</w:t>
            </w:r>
            <w:r>
              <w:rPr>
                <w:rFonts w:hint="eastAsia" w:ascii="仿宋" w:hAnsi="仿宋" w:eastAsia="仿宋"/>
                <w:color w:val="auto"/>
                <w:sz w:val="24"/>
                <w:szCs w:val="24"/>
                <w:highlight w:val="none"/>
              </w:rPr>
              <w:t>本项目的招标代理服务费按以下收费标准向中标人收取，领取中标通知书时，中标人应向采购代理机构一次付清招标代理服务费，否则采购代理机构有权不予以办理。</w:t>
            </w:r>
          </w:p>
          <w:p w14:paraId="59ACE72A">
            <w:pPr>
              <w:pStyle w:val="27"/>
              <w:snapToGrid w:val="0"/>
              <w:spacing w:line="390" w:lineRule="exact"/>
              <w:rPr>
                <w:rFonts w:ascii="仿宋" w:hAnsi="仿宋" w:eastAsia="仿宋" w:cs="宋体"/>
                <w:color w:val="auto"/>
                <w:sz w:val="24"/>
                <w:szCs w:val="24"/>
                <w:highlight w:val="none"/>
              </w:rPr>
            </w:pPr>
            <w:r>
              <w:rPr>
                <w:rFonts w:hint="eastAsia" w:ascii="仿宋" w:hAnsi="仿宋" w:eastAsia="仿宋" w:cs="宋体"/>
                <w:color w:val="auto"/>
                <w:sz w:val="24"/>
                <w:szCs w:val="24"/>
                <w:highlight w:val="none"/>
              </w:rPr>
              <w:t>2、代理服务费收取标准：</w:t>
            </w:r>
          </w:p>
          <w:p w14:paraId="015BD0D3">
            <w:pPr>
              <w:pStyle w:val="27"/>
              <w:snapToGrid w:val="0"/>
              <w:spacing w:line="390" w:lineRule="exact"/>
              <w:rPr>
                <w:rFonts w:ascii="仿宋" w:hAnsi="仿宋" w:eastAsia="仿宋" w:cs="宋体"/>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s="宋体"/>
                <w:color w:val="auto"/>
                <w:sz w:val="24"/>
                <w:szCs w:val="24"/>
                <w:highlight w:val="none"/>
              </w:rPr>
              <w:t>以标项（</w:t>
            </w:r>
            <w:r>
              <w:rPr>
                <w:rFonts w:hint="eastAsia" w:ascii="仿宋" w:hAnsi="仿宋" w:eastAsia="仿宋"/>
                <w:color w:val="auto"/>
                <w:sz w:val="24"/>
                <w:szCs w:val="24"/>
                <w:highlight w:val="none"/>
              </w:rPr>
              <w:t>□</w:t>
            </w:r>
            <w:r>
              <w:rPr>
                <w:rFonts w:hint="eastAsia" w:ascii="仿宋" w:hAnsi="仿宋" w:eastAsia="仿宋" w:cs="宋体"/>
                <w:color w:val="auto"/>
                <w:sz w:val="24"/>
                <w:szCs w:val="24"/>
                <w:highlight w:val="none"/>
              </w:rPr>
              <w:t>中标金额/</w:t>
            </w:r>
            <w:r>
              <w:rPr>
                <w:rFonts w:hint="eastAsia" w:ascii="仿宋" w:hAnsi="仿宋" w:eastAsia="仿宋"/>
                <w:color w:val="auto"/>
                <w:sz w:val="24"/>
                <w:szCs w:val="24"/>
                <w:highlight w:val="none"/>
              </w:rPr>
              <w:t>□</w:t>
            </w:r>
            <w:r>
              <w:rPr>
                <w:rFonts w:hint="eastAsia" w:ascii="仿宋" w:hAnsi="仿宋" w:eastAsia="仿宋" w:cs="宋体"/>
                <w:color w:val="auto"/>
                <w:sz w:val="24"/>
                <w:szCs w:val="24"/>
                <w:highlight w:val="none"/>
              </w:rPr>
              <w:t>采购预算/）为计费额，按本须知正文第</w:t>
            </w:r>
            <w:r>
              <w:rPr>
                <w:rFonts w:ascii="仿宋" w:hAnsi="仿宋" w:eastAsia="仿宋" w:cs="宋体"/>
                <w:color w:val="auto"/>
                <w:sz w:val="24"/>
                <w:szCs w:val="24"/>
                <w:highlight w:val="none"/>
              </w:rPr>
              <w:t>39</w:t>
            </w:r>
            <w:r>
              <w:rPr>
                <w:rFonts w:hint="eastAsia" w:ascii="仿宋" w:hAnsi="仿宋" w:eastAsia="仿宋" w:cs="宋体"/>
                <w:color w:val="auto"/>
                <w:sz w:val="24"/>
                <w:szCs w:val="24"/>
                <w:highlight w:val="none"/>
              </w:rPr>
              <w:t>.</w:t>
            </w:r>
            <w:r>
              <w:rPr>
                <w:rFonts w:ascii="仿宋" w:hAnsi="仿宋" w:eastAsia="仿宋" w:cs="宋体"/>
                <w:color w:val="auto"/>
                <w:sz w:val="24"/>
                <w:szCs w:val="24"/>
                <w:highlight w:val="none"/>
              </w:rPr>
              <w:t>2</w:t>
            </w:r>
            <w:r>
              <w:rPr>
                <w:rFonts w:hint="eastAsia" w:ascii="仿宋" w:hAnsi="仿宋" w:eastAsia="仿宋" w:cs="宋体"/>
                <w:color w:val="auto"/>
                <w:sz w:val="24"/>
                <w:szCs w:val="24"/>
                <w:highlight w:val="none"/>
              </w:rPr>
              <w:t>款规定的收费计算标准（</w:t>
            </w:r>
            <w:r>
              <w:rPr>
                <w:rFonts w:hint="eastAsia" w:ascii="仿宋" w:hAnsi="仿宋" w:eastAsia="仿宋"/>
                <w:color w:val="auto"/>
                <w:sz w:val="24"/>
                <w:szCs w:val="24"/>
                <w:highlight w:val="none"/>
              </w:rPr>
              <w:t>□</w:t>
            </w:r>
            <w:r>
              <w:rPr>
                <w:rFonts w:hint="eastAsia" w:ascii="仿宋" w:hAnsi="仿宋" w:eastAsia="仿宋" w:cs="宋体"/>
                <w:color w:val="auto"/>
                <w:sz w:val="24"/>
                <w:szCs w:val="24"/>
                <w:highlight w:val="none"/>
              </w:rPr>
              <w:t>货物招标/</w:t>
            </w:r>
            <w:r>
              <w:rPr>
                <w:rFonts w:hint="eastAsia" w:ascii="仿宋" w:hAnsi="仿宋" w:eastAsia="仿宋"/>
                <w:color w:val="auto"/>
                <w:sz w:val="24"/>
                <w:szCs w:val="24"/>
                <w:highlight w:val="none"/>
              </w:rPr>
              <w:t>□</w:t>
            </w:r>
            <w:r>
              <w:rPr>
                <w:rFonts w:hint="eastAsia" w:ascii="仿宋" w:hAnsi="仿宋" w:eastAsia="仿宋" w:cs="宋体"/>
                <w:color w:val="auto"/>
                <w:sz w:val="24"/>
                <w:szCs w:val="24"/>
                <w:highlight w:val="none"/>
              </w:rPr>
              <w:t>服务招标/</w:t>
            </w:r>
            <w:r>
              <w:rPr>
                <w:rFonts w:hint="eastAsia" w:ascii="仿宋" w:hAnsi="仿宋" w:eastAsia="仿宋"/>
                <w:color w:val="auto"/>
                <w:sz w:val="24"/>
                <w:szCs w:val="24"/>
                <w:highlight w:val="none"/>
              </w:rPr>
              <w:t>□</w:t>
            </w:r>
            <w:r>
              <w:rPr>
                <w:rFonts w:hint="eastAsia" w:ascii="仿宋" w:hAnsi="仿宋" w:eastAsia="仿宋" w:cs="宋体"/>
                <w:color w:val="auto"/>
                <w:sz w:val="24"/>
                <w:szCs w:val="24"/>
                <w:highlight w:val="none"/>
              </w:rPr>
              <w:t>工程招标）采用差额定率累进法计算出收费基准价格，采购代理服务费收费以（</w:t>
            </w:r>
            <w:r>
              <w:rPr>
                <w:rFonts w:hint="eastAsia" w:ascii="仿宋" w:hAnsi="仿宋" w:eastAsia="仿宋"/>
                <w:color w:val="auto"/>
                <w:sz w:val="24"/>
                <w:szCs w:val="24"/>
                <w:highlight w:val="none"/>
              </w:rPr>
              <w:t>□</w:t>
            </w:r>
            <w:r>
              <w:rPr>
                <w:rFonts w:hint="eastAsia" w:ascii="仿宋" w:hAnsi="仿宋" w:eastAsia="仿宋" w:cs="宋体"/>
                <w:color w:val="auto"/>
                <w:sz w:val="24"/>
                <w:szCs w:val="24"/>
                <w:highlight w:val="none"/>
              </w:rPr>
              <w:t>收费基准价格/</w:t>
            </w:r>
            <w:r>
              <w:rPr>
                <w:rFonts w:hint="eastAsia" w:ascii="仿宋" w:hAnsi="仿宋" w:eastAsia="仿宋"/>
                <w:color w:val="auto"/>
                <w:sz w:val="24"/>
                <w:szCs w:val="24"/>
                <w:highlight w:val="none"/>
              </w:rPr>
              <w:t>□</w:t>
            </w:r>
            <w:r>
              <w:rPr>
                <w:rFonts w:hint="eastAsia" w:ascii="仿宋" w:hAnsi="仿宋" w:eastAsia="仿宋" w:cs="宋体"/>
                <w:color w:val="auto"/>
                <w:sz w:val="24"/>
                <w:szCs w:val="24"/>
                <w:highlight w:val="none"/>
              </w:rPr>
              <w:t>收费基准价格下浮</w:t>
            </w:r>
            <w:r>
              <w:rPr>
                <w:rFonts w:ascii="仿宋" w:hAnsi="仿宋" w:eastAsia="仿宋" w:cs="宋体"/>
                <w:color w:val="auto"/>
                <w:sz w:val="24"/>
                <w:szCs w:val="24"/>
                <w:highlight w:val="none"/>
                <w:u w:val="single"/>
              </w:rPr>
              <w:t xml:space="preserve">/ </w:t>
            </w:r>
            <w:r>
              <w:rPr>
                <w:rFonts w:ascii="仿宋" w:hAnsi="仿宋" w:eastAsia="仿宋" w:cs="宋体"/>
                <w:color w:val="auto"/>
                <w:sz w:val="24"/>
                <w:szCs w:val="24"/>
                <w:highlight w:val="none"/>
              </w:rPr>
              <w:t>/</w:t>
            </w:r>
            <w:r>
              <w:rPr>
                <w:rFonts w:hint="eastAsia" w:ascii="仿宋" w:hAnsi="仿宋" w:eastAsia="仿宋"/>
                <w:color w:val="auto"/>
                <w:sz w:val="24"/>
                <w:szCs w:val="24"/>
                <w:highlight w:val="none"/>
              </w:rPr>
              <w:t>□</w:t>
            </w:r>
            <w:r>
              <w:rPr>
                <w:rFonts w:hint="eastAsia" w:ascii="仿宋" w:hAnsi="仿宋" w:eastAsia="仿宋" w:cs="宋体"/>
                <w:color w:val="auto"/>
                <w:sz w:val="24"/>
                <w:szCs w:val="24"/>
                <w:highlight w:val="none"/>
              </w:rPr>
              <w:t>收费基准价格上浮</w:t>
            </w:r>
            <w:r>
              <w:rPr>
                <w:rFonts w:ascii="仿宋" w:hAnsi="仿宋" w:eastAsia="仿宋" w:cs="宋体"/>
                <w:color w:val="auto"/>
                <w:sz w:val="24"/>
                <w:szCs w:val="24"/>
                <w:highlight w:val="none"/>
                <w:u w:val="single"/>
              </w:rPr>
              <w:t xml:space="preserve"> / </w:t>
            </w:r>
            <w:r>
              <w:rPr>
                <w:rFonts w:hint="eastAsia" w:ascii="仿宋" w:hAnsi="仿宋" w:eastAsia="仿宋" w:cs="宋体"/>
                <w:color w:val="auto"/>
                <w:sz w:val="24"/>
                <w:szCs w:val="24"/>
                <w:highlight w:val="none"/>
              </w:rPr>
              <w:t>%）收取。</w:t>
            </w:r>
          </w:p>
          <w:p w14:paraId="78B5D158">
            <w:pPr>
              <w:pStyle w:val="27"/>
              <w:snapToGrid w:val="0"/>
              <w:spacing w:line="390" w:lineRule="exact"/>
              <w:rPr>
                <w:rFonts w:ascii="仿宋" w:hAnsi="仿宋" w:eastAsia="仿宋" w:cs="宋体"/>
                <w:color w:val="auto"/>
                <w:sz w:val="24"/>
                <w:szCs w:val="24"/>
                <w:highlight w:val="none"/>
                <w:u w:val="single"/>
              </w:rPr>
            </w:pPr>
            <w:r>
              <w:rPr>
                <w:rFonts w:ascii="仿宋" w:hAnsi="仿宋" w:eastAsia="仿宋"/>
                <w:color w:val="auto"/>
                <w:sz w:val="24"/>
                <w:highlight w:val="none"/>
              </w:rPr>
              <w:fldChar w:fldCharType="begin"/>
            </w:r>
            <w:r>
              <w:rPr>
                <w:rFonts w:hint="eastAsia" w:ascii="仿宋" w:hAnsi="仿宋" w:eastAsia="仿宋"/>
                <w:color w:val="auto"/>
                <w:sz w:val="24"/>
                <w:highlight w:val="none"/>
              </w:rPr>
              <w:instrText xml:space="preserve">eq \o\ac(□,</w:instrText>
            </w:r>
            <w:r>
              <w:rPr>
                <w:rFonts w:hint="eastAsia" w:ascii="仿宋" w:hAnsi="仿宋" w:eastAsia="仿宋"/>
                <w:color w:val="auto"/>
                <w:position w:val="2"/>
                <w:sz w:val="24"/>
                <w:highlight w:val="none"/>
              </w:rPr>
              <w:instrText xml:space="preserve">√</w:instrText>
            </w:r>
            <w:r>
              <w:rPr>
                <w:rFonts w:hint="eastAsia" w:ascii="仿宋" w:hAnsi="仿宋" w:eastAsia="仿宋"/>
                <w:color w:val="auto"/>
                <w:sz w:val="24"/>
                <w:highlight w:val="none"/>
              </w:rPr>
              <w:instrText xml:space="preserve">)</w:instrText>
            </w:r>
            <w:r>
              <w:rPr>
                <w:rFonts w:ascii="仿宋" w:hAnsi="仿宋" w:eastAsia="仿宋"/>
                <w:color w:val="auto"/>
                <w:sz w:val="24"/>
                <w:highlight w:val="none"/>
              </w:rPr>
              <w:fldChar w:fldCharType="end"/>
            </w:r>
            <w:r>
              <w:rPr>
                <w:rFonts w:hint="eastAsia" w:ascii="仿宋" w:hAnsi="仿宋" w:eastAsia="仿宋" w:cs="宋体"/>
                <w:color w:val="auto"/>
                <w:sz w:val="24"/>
                <w:szCs w:val="24"/>
                <w:highlight w:val="none"/>
              </w:rPr>
              <w:t>固定采购代理收费：</w:t>
            </w:r>
            <w:r>
              <w:rPr>
                <w:rFonts w:hint="eastAsia" w:ascii="仿宋" w:hAnsi="仿宋" w:eastAsia="仿宋" w:cs="宋体"/>
                <w:color w:val="auto"/>
                <w:sz w:val="24"/>
                <w:szCs w:val="24"/>
                <w:highlight w:val="none"/>
                <w:u w:val="single"/>
              </w:rPr>
              <w:t>中标</w:t>
            </w:r>
            <w:r>
              <w:rPr>
                <w:rFonts w:ascii="仿宋" w:hAnsi="仿宋" w:eastAsia="仿宋" w:cs="宋体"/>
                <w:color w:val="auto"/>
                <w:sz w:val="24"/>
                <w:szCs w:val="24"/>
                <w:highlight w:val="none"/>
                <w:u w:val="single"/>
              </w:rPr>
              <w:t>金额的</w:t>
            </w:r>
            <w:r>
              <w:rPr>
                <w:rFonts w:hint="eastAsia" w:ascii="仿宋" w:hAnsi="仿宋" w:eastAsia="仿宋" w:cs="宋体"/>
                <w:color w:val="auto"/>
                <w:sz w:val="24"/>
                <w:szCs w:val="24"/>
                <w:highlight w:val="none"/>
                <w:u w:val="single"/>
              </w:rPr>
              <w:t>0.7</w:t>
            </w:r>
            <w:r>
              <w:rPr>
                <w:rFonts w:ascii="仿宋" w:hAnsi="仿宋" w:eastAsia="仿宋" w:cs="宋体"/>
                <w:color w:val="auto"/>
                <w:sz w:val="24"/>
                <w:szCs w:val="24"/>
                <w:highlight w:val="none"/>
                <w:u w:val="single"/>
              </w:rPr>
              <w:t>%</w:t>
            </w:r>
            <w:r>
              <w:rPr>
                <w:rFonts w:hint="eastAsia" w:ascii="仿宋" w:hAnsi="仿宋" w:eastAsia="仿宋" w:cs="宋体"/>
                <w:color w:val="auto"/>
                <w:sz w:val="24"/>
                <w:szCs w:val="24"/>
                <w:highlight w:val="none"/>
                <w:u w:val="single"/>
              </w:rPr>
              <w:t>（中标</w:t>
            </w:r>
            <w:r>
              <w:rPr>
                <w:rFonts w:ascii="仿宋" w:hAnsi="仿宋" w:eastAsia="仿宋" w:cs="宋体"/>
                <w:color w:val="auto"/>
                <w:sz w:val="24"/>
                <w:szCs w:val="24"/>
                <w:highlight w:val="none"/>
                <w:u w:val="single"/>
              </w:rPr>
              <w:t>金额</w:t>
            </w:r>
            <w:r>
              <w:rPr>
                <w:rFonts w:hint="eastAsia" w:ascii="仿宋" w:hAnsi="仿宋" w:eastAsia="仿宋" w:cs="宋体"/>
                <w:color w:val="auto"/>
                <w:sz w:val="24"/>
                <w:szCs w:val="24"/>
                <w:highlight w:val="none"/>
                <w:u w:val="single"/>
              </w:rPr>
              <w:t>×0.7</w:t>
            </w:r>
            <w:r>
              <w:rPr>
                <w:rFonts w:ascii="仿宋" w:hAnsi="仿宋" w:eastAsia="仿宋" w:cs="宋体"/>
                <w:color w:val="auto"/>
                <w:sz w:val="24"/>
                <w:szCs w:val="24"/>
                <w:highlight w:val="none"/>
                <w:u w:val="single"/>
              </w:rPr>
              <w:t>%</w:t>
            </w:r>
            <w:r>
              <w:rPr>
                <w:rFonts w:hint="eastAsia" w:ascii="仿宋" w:hAnsi="仿宋" w:eastAsia="仿宋" w:cs="宋体"/>
                <w:color w:val="auto"/>
                <w:sz w:val="24"/>
                <w:szCs w:val="24"/>
                <w:highlight w:val="none"/>
                <w:u w:val="single"/>
              </w:rPr>
              <w:t>）</w:t>
            </w:r>
          </w:p>
          <w:p w14:paraId="55911791">
            <w:pPr>
              <w:pStyle w:val="27"/>
              <w:snapToGrid w:val="0"/>
              <w:spacing w:line="390" w:lineRule="exact"/>
              <w:rPr>
                <w:rFonts w:ascii="仿宋" w:hAnsi="仿宋" w:eastAsia="仿宋" w:cs="宋体"/>
                <w:color w:val="auto"/>
                <w:sz w:val="24"/>
                <w:szCs w:val="24"/>
                <w:highlight w:val="none"/>
              </w:rPr>
            </w:pPr>
            <w:r>
              <w:rPr>
                <w:rFonts w:hint="eastAsia" w:ascii="仿宋" w:hAnsi="仿宋" w:eastAsia="仿宋" w:cs="宋体"/>
                <w:color w:val="auto"/>
                <w:sz w:val="24"/>
                <w:szCs w:val="24"/>
                <w:highlight w:val="none"/>
              </w:rPr>
              <w:t>3、代理服务费交纳账户信息</w:t>
            </w:r>
          </w:p>
          <w:p w14:paraId="64AD097D">
            <w:pPr>
              <w:pStyle w:val="27"/>
              <w:snapToGrid w:val="0"/>
              <w:spacing w:line="390" w:lineRule="exact"/>
              <w:rPr>
                <w:rFonts w:ascii="仿宋" w:hAnsi="仿宋" w:eastAsia="仿宋" w:cs="宋体"/>
                <w:color w:val="auto"/>
                <w:sz w:val="24"/>
                <w:szCs w:val="24"/>
                <w:highlight w:val="none"/>
              </w:rPr>
            </w:pPr>
            <w:r>
              <w:rPr>
                <w:rFonts w:hint="eastAsia" w:ascii="仿宋" w:hAnsi="仿宋" w:eastAsia="仿宋" w:cs="宋体"/>
                <w:color w:val="auto"/>
                <w:sz w:val="24"/>
                <w:szCs w:val="24"/>
                <w:highlight w:val="none"/>
              </w:rPr>
              <w:t>开户名称：广西科文招标有限公司桂林分公司</w:t>
            </w:r>
          </w:p>
          <w:p w14:paraId="4DDF38C5">
            <w:pPr>
              <w:pStyle w:val="27"/>
              <w:snapToGrid w:val="0"/>
              <w:spacing w:line="390" w:lineRule="exact"/>
              <w:rPr>
                <w:rFonts w:ascii="仿宋" w:hAnsi="仿宋" w:eastAsia="仿宋" w:cs="宋体"/>
                <w:color w:val="auto"/>
                <w:sz w:val="24"/>
                <w:szCs w:val="24"/>
                <w:highlight w:val="none"/>
              </w:rPr>
            </w:pPr>
            <w:r>
              <w:rPr>
                <w:rFonts w:hint="eastAsia" w:ascii="仿宋" w:hAnsi="仿宋" w:eastAsia="仿宋" w:cs="宋体"/>
                <w:color w:val="auto"/>
                <w:sz w:val="24"/>
                <w:szCs w:val="24"/>
                <w:highlight w:val="none"/>
              </w:rPr>
              <w:t>开户银行：</w:t>
            </w:r>
            <w:r>
              <w:rPr>
                <w:rFonts w:hint="eastAsia" w:ascii="仿宋" w:hAnsi="仿宋" w:eastAsia="仿宋" w:cs="宋体"/>
                <w:color w:val="auto"/>
                <w:sz w:val="24"/>
                <w:highlight w:val="none"/>
              </w:rPr>
              <w:t>中国工商银行桂林市桂湖支行</w:t>
            </w:r>
          </w:p>
          <w:p w14:paraId="48CDD6FF">
            <w:pPr>
              <w:pStyle w:val="27"/>
              <w:snapToGrid w:val="0"/>
              <w:spacing w:line="390" w:lineRule="exact"/>
              <w:rPr>
                <w:rFonts w:hint="eastAsia" w:ascii="仿宋" w:hAnsi="仿宋" w:eastAsia="仿宋" w:cs="仿宋"/>
                <w:color w:val="auto"/>
                <w:sz w:val="24"/>
                <w:szCs w:val="24"/>
                <w:highlight w:val="none"/>
              </w:rPr>
            </w:pPr>
            <w:r>
              <w:rPr>
                <w:rFonts w:hint="eastAsia" w:ascii="仿宋" w:hAnsi="仿宋" w:eastAsia="仿宋" w:cs="宋体"/>
                <w:color w:val="auto"/>
                <w:sz w:val="24"/>
                <w:szCs w:val="24"/>
                <w:highlight w:val="none"/>
              </w:rPr>
              <w:t>银行账号：</w:t>
            </w:r>
            <w:r>
              <w:rPr>
                <w:rFonts w:hint="eastAsia" w:ascii="仿宋" w:hAnsi="仿宋" w:eastAsia="仿宋" w:cs="宋体"/>
                <w:color w:val="auto"/>
                <w:sz w:val="24"/>
                <w:highlight w:val="none"/>
              </w:rPr>
              <w:t>210 3200 2093 0000 2088</w:t>
            </w:r>
          </w:p>
        </w:tc>
      </w:tr>
      <w:tr w14:paraId="34385B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tcBorders>
              <w:top w:val="single" w:color="auto" w:sz="4" w:space="0"/>
              <w:left w:val="single" w:color="auto" w:sz="4" w:space="0"/>
              <w:bottom w:val="single" w:color="auto" w:sz="4" w:space="0"/>
              <w:right w:val="single" w:color="auto" w:sz="4" w:space="0"/>
            </w:tcBorders>
            <w:vAlign w:val="center"/>
          </w:tcPr>
          <w:p w14:paraId="38616BE5">
            <w:pPr>
              <w:snapToGrid w:val="0"/>
              <w:spacing w:line="39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40.1</w:t>
            </w:r>
          </w:p>
        </w:tc>
        <w:tc>
          <w:tcPr>
            <w:tcW w:w="9275" w:type="dxa"/>
            <w:tcBorders>
              <w:top w:val="single" w:color="auto" w:sz="4" w:space="0"/>
              <w:left w:val="single" w:color="auto" w:sz="4" w:space="0"/>
              <w:bottom w:val="single" w:color="auto" w:sz="4" w:space="0"/>
              <w:right w:val="single" w:color="auto" w:sz="4" w:space="0"/>
            </w:tcBorders>
            <w:vAlign w:val="center"/>
          </w:tcPr>
          <w:p w14:paraId="39C25B44">
            <w:pPr>
              <w:snapToGrid w:val="0"/>
              <w:spacing w:line="39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解释：构成本招标文件的各个组成文件应互为解释，互为说明；除招标文件中有特别规定外，仅适用于招标投标阶段的规定，按更正公告（澄清公告）、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由采购人或者采购代理机构负责解释。</w:t>
            </w:r>
          </w:p>
        </w:tc>
      </w:tr>
      <w:tr w14:paraId="20EEAF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56" w:type="dxa"/>
            <w:tcBorders>
              <w:top w:val="single" w:color="auto" w:sz="4" w:space="0"/>
              <w:left w:val="single" w:color="auto" w:sz="4" w:space="0"/>
              <w:bottom w:val="single" w:color="auto" w:sz="4" w:space="0"/>
              <w:right w:val="single" w:color="auto" w:sz="4" w:space="0"/>
            </w:tcBorders>
            <w:vAlign w:val="center"/>
          </w:tcPr>
          <w:p w14:paraId="0727840C">
            <w:pPr>
              <w:snapToGrid w:val="0"/>
              <w:spacing w:line="39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40.2</w:t>
            </w:r>
          </w:p>
        </w:tc>
        <w:tc>
          <w:tcPr>
            <w:tcW w:w="9275" w:type="dxa"/>
            <w:tcBorders>
              <w:top w:val="single" w:color="auto" w:sz="4" w:space="0"/>
              <w:left w:val="single" w:color="auto" w:sz="4" w:space="0"/>
              <w:bottom w:val="single" w:color="auto" w:sz="4" w:space="0"/>
              <w:right w:val="single" w:color="auto" w:sz="4" w:space="0"/>
            </w:tcBorders>
            <w:vAlign w:val="center"/>
          </w:tcPr>
          <w:p w14:paraId="33D45E98">
            <w:pPr>
              <w:pStyle w:val="27"/>
              <w:snapToGrid w:val="0"/>
              <w:spacing w:line="390" w:lineRule="exac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1、本招标文件中描述投标人的“公章”是指根据我国对公章的管理规定，用投标人法定主体行为名称制作的印章</w:t>
            </w:r>
            <w:r>
              <w:rPr>
                <w:rFonts w:hint="eastAsia" w:ascii="仿宋" w:hAnsi="仿宋" w:eastAsia="仿宋" w:cs="仿宋"/>
                <w:color w:val="auto"/>
                <w:sz w:val="24"/>
                <w:szCs w:val="24"/>
                <w:highlight w:val="none"/>
              </w:rPr>
              <w:t>（含电子印章）</w:t>
            </w:r>
            <w:r>
              <w:rPr>
                <w:rFonts w:hint="eastAsia" w:ascii="仿宋" w:hAnsi="仿宋" w:eastAsia="仿宋" w:cs="仿宋"/>
                <w:bCs/>
                <w:color w:val="auto"/>
                <w:sz w:val="24"/>
                <w:szCs w:val="24"/>
                <w:highlight w:val="none"/>
              </w:rPr>
              <w:t>，除本招标文件有特殊规定外，投标人的财务章、部门章、分公司章、工会章、合同章、投标专用章、业务专用章及银行的转账章、现金收讫章、现金付讫章等其他形式印章均不能代替公章。</w:t>
            </w:r>
          </w:p>
          <w:p w14:paraId="7C4A5E9E">
            <w:pPr>
              <w:pStyle w:val="27"/>
              <w:snapToGrid w:val="0"/>
              <w:spacing w:line="390" w:lineRule="exac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投标人为其他组织或者自然人时，本招标文件规定的法定代表人指负责人或者自然人。本招标文件所称负责人是指参加投标的其他组织营业执照或者执业许可证等证照上的负责人，本招标文件所称自然人指参与投标的自然人本人，且应具备独立承担民事责任能力，自然人应当为年满18岁以上成年人（十六周岁以上的未成年人，以自己的劳动收入为主要生活来源的，视为完全民事行为能力人）。</w:t>
            </w:r>
          </w:p>
          <w:p w14:paraId="354C071F">
            <w:pPr>
              <w:pStyle w:val="27"/>
              <w:snapToGrid w:val="0"/>
              <w:spacing w:line="390" w:lineRule="exac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3、本招标文件中描述投标人的“签字”是指投标人的法定代表人或者委托代理人</w:t>
            </w:r>
            <w:r>
              <w:rPr>
                <w:rFonts w:hint="eastAsia" w:ascii="仿宋" w:hAnsi="仿宋" w:eastAsia="仿宋" w:cs="仿宋"/>
                <w:color w:val="auto"/>
                <w:sz w:val="24"/>
                <w:szCs w:val="24"/>
                <w:highlight w:val="none"/>
              </w:rPr>
              <w:t>在文件规定签署处签名（含电子签名）的行为，私章、印鉴等其他形式均不能代替签字</w:t>
            </w:r>
            <w:r>
              <w:rPr>
                <w:rFonts w:hint="eastAsia" w:ascii="仿宋" w:hAnsi="仿宋" w:eastAsia="仿宋" w:cs="仿宋"/>
                <w:bCs/>
                <w:color w:val="auto"/>
                <w:sz w:val="24"/>
                <w:szCs w:val="24"/>
                <w:highlight w:val="none"/>
              </w:rPr>
              <w:t>。</w:t>
            </w:r>
          </w:p>
          <w:p w14:paraId="57031EFE">
            <w:pPr>
              <w:pStyle w:val="27"/>
              <w:snapToGrid w:val="0"/>
              <w:spacing w:line="390" w:lineRule="exac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4、自然人投标的，招标文件规定盖公章处由自然人摁手指指印。</w:t>
            </w:r>
          </w:p>
          <w:p w14:paraId="3F6A9D7F">
            <w:pPr>
              <w:spacing w:line="390" w:lineRule="exact"/>
              <w:jc w:val="left"/>
              <w:rPr>
                <w:rFonts w:hint="eastAsia" w:ascii="仿宋" w:hAnsi="仿宋" w:eastAsia="仿宋" w:cs="仿宋"/>
                <w:color w:val="auto"/>
                <w:sz w:val="24"/>
                <w:highlight w:val="none"/>
              </w:rPr>
            </w:pPr>
            <w:r>
              <w:rPr>
                <w:rFonts w:hint="eastAsia" w:ascii="仿宋" w:hAnsi="仿宋" w:eastAsia="仿宋" w:cs="仿宋"/>
                <w:bCs/>
                <w:color w:val="auto"/>
                <w:sz w:val="24"/>
                <w:highlight w:val="none"/>
              </w:rPr>
              <w:t>5、本招标文件所称的“以上”“以下”“以内”“届满”，包括本数；所称的“不满”“超过”“以外”，不包括本数。</w:t>
            </w:r>
          </w:p>
        </w:tc>
      </w:tr>
    </w:tbl>
    <w:p w14:paraId="03DC7FC0">
      <w:pPr>
        <w:pStyle w:val="5"/>
        <w:keepNext w:val="0"/>
        <w:keepLines w:val="0"/>
        <w:pageBreakBefore/>
        <w:spacing w:before="0" w:after="0" w:line="415"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投标人须知正文</w:t>
      </w:r>
    </w:p>
    <w:p w14:paraId="30672A9E">
      <w:pPr>
        <w:pStyle w:val="5"/>
        <w:keepNext w:val="0"/>
        <w:keepLines w:val="0"/>
        <w:spacing w:before="0" w:after="0" w:line="415"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一、总  则</w:t>
      </w:r>
    </w:p>
    <w:p w14:paraId="7A984867">
      <w:pPr>
        <w:pStyle w:val="7"/>
        <w:keepNext w:val="0"/>
        <w:keepLines w:val="0"/>
        <w:spacing w:before="0" w:after="0" w:line="360" w:lineRule="auto"/>
        <w:ind w:left="420" w:leftChars="200"/>
        <w:rPr>
          <w:rFonts w:hint="eastAsia" w:ascii="仿宋" w:hAnsi="仿宋" w:eastAsia="仿宋" w:cs="仿宋"/>
          <w:color w:val="auto"/>
          <w:sz w:val="24"/>
          <w:highlight w:val="none"/>
        </w:rPr>
      </w:pPr>
      <w:bookmarkStart w:id="90" w:name="_Toc254970527"/>
      <w:bookmarkStart w:id="91" w:name="_Toc254970668"/>
      <w:r>
        <w:rPr>
          <w:rFonts w:hint="eastAsia" w:ascii="仿宋" w:hAnsi="仿宋" w:eastAsia="仿宋" w:cs="仿宋"/>
          <w:color w:val="auto"/>
          <w:sz w:val="24"/>
          <w:highlight w:val="none"/>
        </w:rPr>
        <w:t>1.适用范围</w:t>
      </w:r>
      <w:bookmarkEnd w:id="90"/>
      <w:bookmarkEnd w:id="91"/>
    </w:p>
    <w:p w14:paraId="1915F38A">
      <w:pPr>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62521F00">
      <w:pPr>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1.2本招标文件</w:t>
      </w:r>
      <w:r>
        <w:rPr>
          <w:rFonts w:hint="eastAsia" w:ascii="仿宋" w:hAnsi="仿宋" w:eastAsia="仿宋" w:cs="仿宋"/>
          <w:color w:val="auto"/>
          <w:spacing w:val="-6"/>
          <w:sz w:val="24"/>
          <w:highlight w:val="none"/>
        </w:rPr>
        <w:t>适用于本项目的所有采购程序和环节（法律、法规另有规定的，从其规定）。</w:t>
      </w:r>
    </w:p>
    <w:p w14:paraId="398FC275">
      <w:pPr>
        <w:pStyle w:val="7"/>
        <w:keepNext w:val="0"/>
        <w:keepLines w:val="0"/>
        <w:spacing w:before="0" w:after="0" w:line="360" w:lineRule="auto"/>
        <w:ind w:left="420" w:leftChars="200"/>
        <w:rPr>
          <w:rFonts w:hint="eastAsia" w:ascii="仿宋" w:hAnsi="仿宋" w:eastAsia="仿宋" w:cs="仿宋"/>
          <w:color w:val="auto"/>
          <w:sz w:val="24"/>
          <w:highlight w:val="none"/>
        </w:rPr>
      </w:pPr>
      <w:bookmarkStart w:id="92" w:name="_Toc254970669"/>
      <w:bookmarkStart w:id="93" w:name="_Toc254970528"/>
      <w:r>
        <w:rPr>
          <w:rFonts w:hint="eastAsia" w:ascii="仿宋" w:hAnsi="仿宋" w:eastAsia="仿宋" w:cs="仿宋"/>
          <w:color w:val="auto"/>
          <w:sz w:val="24"/>
          <w:highlight w:val="none"/>
        </w:rPr>
        <w:t>2.定义</w:t>
      </w:r>
      <w:bookmarkEnd w:id="92"/>
      <w:bookmarkEnd w:id="93"/>
    </w:p>
    <w:p w14:paraId="31A0040E">
      <w:pPr>
        <w:pStyle w:val="7"/>
        <w:keepNext w:val="0"/>
        <w:keepLines w:val="0"/>
        <w:spacing w:before="0" w:after="0" w:line="360" w:lineRule="auto"/>
        <w:ind w:left="420" w:left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2.1“采购人”是指依法进行政府采购的国家机关、事业单位、团体组织。</w:t>
      </w:r>
    </w:p>
    <w:p w14:paraId="6B08D4B6">
      <w:pPr>
        <w:pStyle w:val="7"/>
        <w:keepNext w:val="0"/>
        <w:keepLines w:val="0"/>
        <w:spacing w:before="0" w:after="0" w:line="360" w:lineRule="auto"/>
        <w:ind w:left="420" w:left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2.2“采购代理机构”是指政府采购集中采购机构和集中采购机构以外的采购代理机构。</w:t>
      </w:r>
    </w:p>
    <w:p w14:paraId="08EE5176">
      <w:pPr>
        <w:pStyle w:val="7"/>
        <w:keepNext w:val="0"/>
        <w:keepLines w:val="0"/>
        <w:spacing w:before="0" w:after="0" w:line="360" w:lineRule="auto"/>
        <w:ind w:left="420" w:left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2.3“供应商”是指向采购人提供货物、工程或者服务的法人、其他组织或者自然人。</w:t>
      </w:r>
    </w:p>
    <w:p w14:paraId="0D6ACA14">
      <w:pPr>
        <w:pStyle w:val="8"/>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2.4“投标人”是指响应招标、参加投标竞争的法人、其他组织或者自然人。</w:t>
      </w:r>
    </w:p>
    <w:p w14:paraId="3ECC23CD">
      <w:pPr>
        <w:pStyle w:val="8"/>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2.5“货物”是指各种形态和种类的物品，包括原材料、燃料、设备、产品等。</w:t>
      </w:r>
    </w:p>
    <w:p w14:paraId="168BF19B">
      <w:pPr>
        <w:pStyle w:val="8"/>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2.6“服务”是指招标文件规定投标人为本项目须提供的服务以及其他类似的义务。</w:t>
      </w:r>
    </w:p>
    <w:p w14:paraId="0E1C7964">
      <w:pPr>
        <w:pStyle w:val="8"/>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2.7“书面形式”是指合同书、信件和数据电文（包括电报、电传、传真、电子数据交换和电子邮件）等可以有形地表现所载内容的形式。</w:t>
      </w:r>
    </w:p>
    <w:p w14:paraId="3B83CEF2">
      <w:pPr>
        <w:pStyle w:val="8"/>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2.8“实质性要求”是指招标文件中已经指明不满足则投标无效的条款，或者不能负偏离的条款，或者采购需求中带“</w:t>
      </w:r>
      <w:r>
        <w:rPr>
          <w:rFonts w:hint="eastAsia" w:ascii="仿宋" w:hAnsi="仿宋" w:eastAsia="仿宋" w:cs="仿宋"/>
          <w:bCs/>
          <w:color w:val="auto"/>
          <w:sz w:val="24"/>
          <w:highlight w:val="none"/>
        </w:rPr>
        <w:t>▲</w:t>
      </w:r>
      <w:r>
        <w:rPr>
          <w:rFonts w:hint="eastAsia" w:ascii="仿宋" w:hAnsi="仿宋" w:eastAsia="仿宋" w:cs="仿宋"/>
          <w:color w:val="auto"/>
          <w:sz w:val="24"/>
          <w:highlight w:val="none"/>
        </w:rPr>
        <w:t>”的条款。</w:t>
      </w:r>
    </w:p>
    <w:p w14:paraId="0A2A0FAB">
      <w:pPr>
        <w:pStyle w:val="8"/>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2.9“正偏离”，是指投标文件对招标文件“采购需求”中有关条款作出的响应优于条款要求并有利于采购人的情形。</w:t>
      </w:r>
    </w:p>
    <w:p w14:paraId="0BAE1D1D">
      <w:pPr>
        <w:pStyle w:val="8"/>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2.10“负偏离”，是指投标文件对招标文件“采购需求”中有关条款作出的响应不满足条款要求，导致采购人要求不能得到满足的情形。</w:t>
      </w:r>
    </w:p>
    <w:p w14:paraId="6F3BAAE1">
      <w:pPr>
        <w:pStyle w:val="8"/>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2.11“允许负偏离的条款”是指采购需求中的不属于“实质性要求”的条款。</w:t>
      </w:r>
      <w:bookmarkStart w:id="94" w:name="_Toc254970529"/>
      <w:bookmarkStart w:id="95" w:name="_Toc254970670"/>
    </w:p>
    <w:p w14:paraId="4B9CFDA9">
      <w:pPr>
        <w:pStyle w:val="7"/>
        <w:keepNext w:val="0"/>
        <w:keepLines w:val="0"/>
        <w:spacing w:before="0" w:after="0" w:line="360" w:lineRule="auto"/>
        <w:ind w:firstLine="484" w:firstLineChars="202"/>
        <w:rPr>
          <w:rFonts w:hint="eastAsia" w:ascii="仿宋" w:hAnsi="仿宋" w:eastAsia="仿宋" w:cs="仿宋"/>
          <w:b w:val="0"/>
          <w:bCs/>
          <w:color w:val="auto"/>
          <w:sz w:val="24"/>
          <w:highlight w:val="none"/>
        </w:rPr>
      </w:pPr>
      <w:r>
        <w:rPr>
          <w:rFonts w:hint="eastAsia" w:ascii="仿宋" w:hAnsi="仿宋" w:eastAsia="仿宋" w:cs="仿宋"/>
          <w:b w:val="0"/>
          <w:bCs/>
          <w:color w:val="auto"/>
          <w:sz w:val="24"/>
          <w:highlight w:val="none"/>
          <w:lang w:val="en-US" w:eastAsia="zh-CN"/>
        </w:rPr>
        <w:t>2.12</w:t>
      </w:r>
      <w:r>
        <w:rPr>
          <w:rFonts w:hint="eastAsia" w:ascii="仿宋" w:hAnsi="仿宋" w:eastAsia="仿宋" w:cs="仿宋"/>
          <w:b w:val="0"/>
          <w:bCs/>
          <w:color w:val="auto"/>
          <w:sz w:val="24"/>
          <w:highlight w:val="none"/>
        </w:rPr>
        <w:t>除接受进口产品</w:t>
      </w:r>
      <w:r>
        <w:rPr>
          <w:rFonts w:hint="eastAsia" w:ascii="仿宋" w:hAnsi="仿宋" w:eastAsia="仿宋" w:cs="仿宋"/>
          <w:b w:val="0"/>
          <w:bCs/>
          <w:color w:val="auto"/>
          <w:sz w:val="24"/>
          <w:highlight w:val="none"/>
          <w:lang w:eastAsia="zh-CN"/>
        </w:rPr>
        <w:t>投标</w:t>
      </w:r>
      <w:r>
        <w:rPr>
          <w:rFonts w:hint="eastAsia" w:ascii="仿宋" w:hAnsi="仿宋" w:eastAsia="仿宋" w:cs="仿宋"/>
          <w:b w:val="0"/>
          <w:bCs/>
          <w:color w:val="auto"/>
          <w:sz w:val="24"/>
          <w:highlight w:val="none"/>
        </w:rPr>
        <w:t>的采购货物外，本项目采购的货物（包括货物项目和服务项目中涉及的货物）应符合《关于在政府采购中实施本国产品标准及相关政策的通知》（国办发〔2025〕34号）中本国产品的相关规定，</w:t>
      </w:r>
      <w:r>
        <w:rPr>
          <w:rFonts w:hint="eastAsia" w:ascii="仿宋" w:hAnsi="仿宋" w:eastAsia="仿宋" w:cs="仿宋"/>
          <w:b w:val="0"/>
          <w:bCs/>
          <w:color w:val="auto"/>
          <w:sz w:val="24"/>
          <w:highlight w:val="none"/>
          <w:lang w:eastAsia="zh-CN"/>
        </w:rPr>
        <w:t>否则投标文件按无效投标处理</w:t>
      </w:r>
      <w:r>
        <w:rPr>
          <w:rFonts w:hint="eastAsia" w:ascii="仿宋" w:hAnsi="仿宋" w:eastAsia="仿宋" w:cs="仿宋"/>
          <w:b w:val="0"/>
          <w:bCs/>
          <w:color w:val="auto"/>
          <w:sz w:val="24"/>
          <w:highlight w:val="none"/>
        </w:rPr>
        <w:t>。</w:t>
      </w:r>
    </w:p>
    <w:p w14:paraId="7FC3DB01">
      <w:pPr>
        <w:pStyle w:val="7"/>
        <w:keepNext w:val="0"/>
        <w:keepLines w:val="0"/>
        <w:spacing w:before="0" w:after="0" w:line="360" w:lineRule="auto"/>
        <w:ind w:firstLine="484" w:firstLineChars="202"/>
        <w:rPr>
          <w:rFonts w:hint="eastAsia" w:ascii="仿宋" w:hAnsi="仿宋" w:eastAsia="仿宋" w:cs="仿宋"/>
          <w:b w:val="0"/>
          <w:bCs/>
          <w:color w:val="auto"/>
          <w:sz w:val="24"/>
          <w:highlight w:val="none"/>
        </w:rPr>
      </w:pPr>
      <w:r>
        <w:rPr>
          <w:rFonts w:hint="eastAsia" w:ascii="仿宋" w:hAnsi="仿宋" w:eastAsia="仿宋" w:cs="仿宋"/>
          <w:b w:val="0"/>
          <w:bCs/>
          <w:color w:val="auto"/>
          <w:sz w:val="24"/>
          <w:highlight w:val="none"/>
          <w:lang w:val="en-US" w:eastAsia="zh-CN"/>
        </w:rPr>
        <w:t>2.13</w:t>
      </w:r>
      <w:r>
        <w:rPr>
          <w:rFonts w:hint="eastAsia" w:ascii="仿宋" w:hAnsi="仿宋" w:eastAsia="仿宋" w:cs="仿宋"/>
          <w:b w:val="0"/>
          <w:bCs/>
          <w:color w:val="auto"/>
          <w:sz w:val="24"/>
          <w:highlight w:val="none"/>
        </w:rPr>
        <w:t>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FBA1B63">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bookmarkEnd w:id="94"/>
      <w:bookmarkEnd w:id="95"/>
      <w:r>
        <w:rPr>
          <w:rFonts w:hint="eastAsia" w:ascii="仿宋" w:hAnsi="仿宋" w:eastAsia="仿宋" w:cs="仿宋"/>
          <w:color w:val="auto"/>
          <w:sz w:val="24"/>
          <w:highlight w:val="none"/>
        </w:rPr>
        <w:t>投标人的资格要求</w:t>
      </w:r>
    </w:p>
    <w:p w14:paraId="56FA056B">
      <w:pPr>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投标人的资格要求详见“投标人须知前附表”。</w:t>
      </w:r>
    </w:p>
    <w:p w14:paraId="77EE59DB">
      <w:pPr>
        <w:pStyle w:val="7"/>
        <w:keepNext w:val="0"/>
        <w:keepLines w:val="0"/>
        <w:spacing w:before="0" w:after="0" w:line="360" w:lineRule="auto"/>
        <w:ind w:left="420" w:leftChars="200"/>
        <w:rPr>
          <w:rFonts w:hint="eastAsia" w:ascii="仿宋" w:hAnsi="仿宋" w:eastAsia="仿宋" w:cs="仿宋"/>
          <w:color w:val="auto"/>
          <w:sz w:val="24"/>
          <w:highlight w:val="none"/>
        </w:rPr>
      </w:pPr>
      <w:bookmarkStart w:id="96" w:name="_Toc254970530"/>
      <w:bookmarkStart w:id="97" w:name="_Toc254970671"/>
      <w:r>
        <w:rPr>
          <w:rFonts w:hint="eastAsia" w:ascii="仿宋" w:hAnsi="仿宋" w:eastAsia="仿宋" w:cs="仿宋"/>
          <w:color w:val="auto"/>
          <w:sz w:val="24"/>
          <w:highlight w:val="none"/>
        </w:rPr>
        <w:t>4.投标委托</w:t>
      </w:r>
      <w:bookmarkEnd w:id="96"/>
      <w:bookmarkEnd w:id="97"/>
    </w:p>
    <w:p w14:paraId="26966FAE">
      <w:pPr>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投标人代表参加投标活动过程中必须携带个人有效身份证件。如投标人代表不是法定代表人，须持有授权委托书（按第六章要求格式填写）。</w:t>
      </w:r>
    </w:p>
    <w:p w14:paraId="44F24F9A">
      <w:pPr>
        <w:pStyle w:val="7"/>
        <w:keepNext w:val="0"/>
        <w:keepLines w:val="0"/>
        <w:spacing w:before="0" w:after="0" w:line="360" w:lineRule="auto"/>
        <w:ind w:left="420" w:leftChars="200"/>
        <w:rPr>
          <w:rFonts w:hint="eastAsia" w:ascii="仿宋" w:hAnsi="仿宋" w:eastAsia="仿宋" w:cs="仿宋"/>
          <w:color w:val="auto"/>
          <w:sz w:val="24"/>
          <w:highlight w:val="none"/>
        </w:rPr>
      </w:pPr>
      <w:bookmarkStart w:id="98" w:name="_5.投标费用"/>
      <w:bookmarkEnd w:id="98"/>
      <w:bookmarkStart w:id="99" w:name="_Toc254970672"/>
      <w:bookmarkStart w:id="100" w:name="_Toc254970531"/>
      <w:r>
        <w:rPr>
          <w:rFonts w:hint="eastAsia" w:ascii="仿宋" w:hAnsi="仿宋" w:eastAsia="仿宋" w:cs="仿宋"/>
          <w:color w:val="auto"/>
          <w:sz w:val="24"/>
          <w:highlight w:val="none"/>
        </w:rPr>
        <w:t>5.投标费用</w:t>
      </w:r>
      <w:bookmarkEnd w:id="99"/>
      <w:bookmarkEnd w:id="100"/>
    </w:p>
    <w:p w14:paraId="1CC5DB99">
      <w:pPr>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投标费用：投标人应承担参与本次采购活动有关的所有费用，包括但不限于获取招标文件、勘查现场、编制和提交投标文件、参加澄清说明、签订合同等，不论投标结果如何，均应自行承担。</w:t>
      </w:r>
    </w:p>
    <w:p w14:paraId="64E6EF98">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6.联合体投标</w:t>
      </w:r>
    </w:p>
    <w:p w14:paraId="7FB2B408">
      <w:pPr>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6.1本项目是否接受联合体投标，详见“投标人须知前附表”。</w:t>
      </w:r>
    </w:p>
    <w:p w14:paraId="6975DC17">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6.2如接受联合体投标，联合体投标要求详见“投标人须知前附表”。</w:t>
      </w:r>
    </w:p>
    <w:p w14:paraId="1F1ED459">
      <w:pPr>
        <w:pStyle w:val="7"/>
        <w:keepNext w:val="0"/>
        <w:keepLines w:val="0"/>
        <w:spacing w:before="0" w:after="0" w:line="360" w:lineRule="auto"/>
        <w:ind w:firstLine="484" w:firstLineChars="202"/>
        <w:rPr>
          <w:rFonts w:hint="eastAsia" w:ascii="仿宋" w:hAnsi="仿宋" w:eastAsia="仿宋" w:cs="仿宋"/>
          <w:b w:val="0"/>
          <w:bCs/>
          <w:color w:val="auto"/>
          <w:sz w:val="24"/>
          <w:highlight w:val="none"/>
        </w:rPr>
      </w:pPr>
      <w:r>
        <w:rPr>
          <w:rFonts w:hint="eastAsia" w:ascii="仿宋" w:hAnsi="仿宋" w:eastAsia="仿宋" w:cs="仿宋"/>
          <w:b w:val="0"/>
          <w:bCs/>
          <w:color w:val="auto"/>
          <w:sz w:val="24"/>
          <w:highlight w:val="none"/>
        </w:rPr>
        <w:t>6.3</w:t>
      </w:r>
      <w:bookmarkStart w:id="101" w:name="_Hlk65857072"/>
      <w:r>
        <w:rPr>
          <w:rFonts w:hint="eastAsia" w:ascii="仿宋" w:hAnsi="仿宋" w:eastAsia="仿宋" w:cs="仿宋"/>
          <w:b w:val="0"/>
          <w:bCs/>
          <w:color w:val="auto"/>
          <w:sz w:val="24"/>
          <w:highlight w:val="none"/>
        </w:rPr>
        <w:t>根据《政府采购促进中小企业发展管理办法》（财库〔2020〕46号）、财政部《关于进一步加大政府采购支持中小企业力度的通知》（财库〔2022〕19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10%的扣除，用扣除后的价格参加评审。</w:t>
      </w:r>
      <w:bookmarkEnd w:id="101"/>
    </w:p>
    <w:p w14:paraId="0EF72060">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7.转包与分包             </w:t>
      </w:r>
    </w:p>
    <w:p w14:paraId="1C1CFA6B">
      <w:pPr>
        <w:pStyle w:val="7"/>
        <w:keepNext w:val="0"/>
        <w:keepLines w:val="0"/>
        <w:spacing w:before="0" w:after="0" w:line="360" w:lineRule="auto"/>
        <w:ind w:left="420" w:left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7.1本项目不允许转包。</w:t>
      </w:r>
    </w:p>
    <w:p w14:paraId="0CA897AB">
      <w:pPr>
        <w:pStyle w:val="7"/>
        <w:keepNext w:val="0"/>
        <w:keepLines w:val="0"/>
        <w:spacing w:before="0" w:after="0" w:line="360" w:lineRule="auto"/>
        <w:ind w:firstLine="360" w:firstLineChars="15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 xml:space="preserve"> 7.2本项目是否允许分包详见“投标人须知前附表”，本项目不允许违法分包。允许分包的非主体、非关键性工作，根据法律法规规定承担该工作需要行政许可的，如该工作由投标人自行承担，投标人应具备相应的行政许可，如投标人不具备相应的行政许可必须采用分包的方式，但分包投标人应具备相应行政许可。</w:t>
      </w:r>
    </w:p>
    <w:p w14:paraId="5EDC2FF8">
      <w:pPr>
        <w:pStyle w:val="7"/>
        <w:keepNext w:val="0"/>
        <w:keepLines w:val="0"/>
        <w:spacing w:before="0" w:after="0" w:line="360" w:lineRule="auto"/>
        <w:ind w:firstLine="360" w:firstLineChars="15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 xml:space="preserve"> 7.3投标人根据招标文件的规定和采购项目的实际情况，拟在中标后将中标项目的非主体、非关键性工作分包的，应当在投标文件中载明分包承担主体，分包承担主体应当具备相应资质条件且不得再次分包。</w:t>
      </w:r>
    </w:p>
    <w:p w14:paraId="339F5B76">
      <w:pPr>
        <w:pStyle w:val="7"/>
        <w:keepNext w:val="0"/>
        <w:keepLines w:val="0"/>
        <w:spacing w:before="0" w:after="0" w:line="360" w:lineRule="auto"/>
        <w:ind w:left="420" w:leftChars="200"/>
        <w:rPr>
          <w:rFonts w:hint="eastAsia" w:ascii="仿宋" w:hAnsi="仿宋" w:eastAsia="仿宋" w:cs="仿宋"/>
          <w:color w:val="auto"/>
          <w:sz w:val="24"/>
          <w:highlight w:val="none"/>
        </w:rPr>
      </w:pPr>
      <w:bookmarkStart w:id="102" w:name="_Toc254970673"/>
      <w:bookmarkStart w:id="103" w:name="_Toc254970532"/>
      <w:r>
        <w:rPr>
          <w:rFonts w:hint="eastAsia" w:ascii="仿宋" w:hAnsi="仿宋" w:eastAsia="仿宋" w:cs="仿宋"/>
          <w:color w:val="auto"/>
          <w:sz w:val="24"/>
          <w:highlight w:val="none"/>
        </w:rPr>
        <w:t>8.特别说明</w:t>
      </w:r>
      <w:bookmarkEnd w:id="102"/>
      <w:bookmarkEnd w:id="103"/>
    </w:p>
    <w:p w14:paraId="2A424891">
      <w:pPr>
        <w:pStyle w:val="7"/>
        <w:keepNext w:val="0"/>
        <w:keepLines w:val="0"/>
        <w:spacing w:before="0" w:after="0" w:line="360" w:lineRule="auto"/>
        <w:ind w:firstLine="480" w:firstLineChars="200"/>
        <w:rPr>
          <w:rFonts w:hint="eastAsia" w:ascii="仿宋" w:hAnsi="仿宋" w:eastAsia="仿宋" w:cs="仿宋"/>
          <w:b w:val="0"/>
          <w:color w:val="auto"/>
          <w:sz w:val="24"/>
          <w:highlight w:val="none"/>
        </w:rPr>
      </w:pPr>
      <w:bookmarkStart w:id="104" w:name="_8.1提供相同品牌产品且通过资格审查、符合性审查的不同投标人参加同一合"/>
      <w:bookmarkEnd w:id="104"/>
      <w:r>
        <w:rPr>
          <w:rFonts w:hint="eastAsia" w:ascii="仿宋" w:hAnsi="仿宋" w:eastAsia="仿宋" w:cs="仿宋"/>
          <w:b w:val="0"/>
          <w:color w:val="auto"/>
          <w:sz w:val="24"/>
          <w:highlight w:val="none"/>
        </w:rPr>
        <w:fldChar w:fldCharType="begin"/>
      </w:r>
      <w:r>
        <w:rPr>
          <w:rFonts w:hint="eastAsia" w:ascii="仿宋" w:hAnsi="仿宋" w:eastAsia="仿宋" w:cs="仿宋"/>
          <w:b w:val="0"/>
          <w:color w:val="auto"/>
          <w:sz w:val="24"/>
          <w:highlight w:val="none"/>
        </w:rPr>
        <w:instrText xml:space="preserve"> HYPERLINK  \l "_8.1" </w:instrText>
      </w:r>
      <w:r>
        <w:rPr>
          <w:rFonts w:hint="eastAsia" w:ascii="仿宋" w:hAnsi="仿宋" w:eastAsia="仿宋" w:cs="仿宋"/>
          <w:b w:val="0"/>
          <w:color w:val="auto"/>
          <w:sz w:val="24"/>
          <w:highlight w:val="none"/>
        </w:rPr>
        <w:fldChar w:fldCharType="separate"/>
      </w:r>
      <w:r>
        <w:rPr>
          <w:rFonts w:hint="eastAsia" w:ascii="仿宋" w:hAnsi="仿宋" w:eastAsia="仿宋" w:cs="仿宋"/>
          <w:b w:val="0"/>
          <w:color w:val="auto"/>
          <w:sz w:val="24"/>
          <w:highlight w:val="none"/>
        </w:rPr>
        <w:t>8.1</w:t>
      </w:r>
      <w:r>
        <w:rPr>
          <w:rFonts w:hint="eastAsia" w:ascii="仿宋" w:hAnsi="仿宋" w:eastAsia="仿宋" w:cs="仿宋"/>
          <w:b w:val="0"/>
          <w:color w:val="auto"/>
          <w:sz w:val="24"/>
          <w:highlight w:val="none"/>
        </w:rPr>
        <w:fldChar w:fldCharType="end"/>
      </w:r>
      <w:r>
        <w:rPr>
          <w:rFonts w:hint="eastAsia" w:ascii="仿宋" w:hAnsi="仿宋" w:eastAsia="仿宋" w:cs="仿宋"/>
          <w:b w:val="0"/>
          <w:color w:val="auto"/>
          <w:sz w:val="24"/>
          <w:highlight w:val="none"/>
        </w:rPr>
        <w:t>采用最低评标价法的采购项目，通过资格审查、符合性审查的不同投标人参加同一合同项下投标的，投标人评标价相同时，由采购人或者采购人委托评标委员会按照“投标人须知前附表”规定的方式确定投标人获得中标人推荐资格</w:t>
      </w:r>
      <w:r>
        <w:rPr>
          <w:rFonts w:hint="eastAsia" w:ascii="仿宋" w:hAnsi="仿宋" w:eastAsia="仿宋" w:cs="仿宋"/>
          <w:color w:val="auto"/>
          <w:sz w:val="24"/>
          <w:highlight w:val="none"/>
        </w:rPr>
        <w:t>。</w:t>
      </w:r>
    </w:p>
    <w:p w14:paraId="4865EEE8">
      <w:pPr>
        <w:pStyle w:val="7"/>
        <w:keepNext w:val="0"/>
        <w:keepLines w:val="0"/>
        <w:spacing w:before="0" w:after="0" w:line="360" w:lineRule="auto"/>
        <w:ind w:firstLine="480" w:firstLine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采用综合评分法的采购项目，通过资格审查、符合性审查的不同投标人参加同一合同项下投标的，评审得分相同的，由采购人或者采购人委托评标委员会按照“投标人须知前附表”规定的方式确定投标人获得中标人推荐资格。</w:t>
      </w:r>
    </w:p>
    <w:p w14:paraId="02FC63BB">
      <w:pPr>
        <w:pStyle w:val="7"/>
        <w:keepNext w:val="0"/>
        <w:keepLines w:val="0"/>
        <w:spacing w:before="0" w:after="0" w:line="360" w:lineRule="auto"/>
        <w:ind w:firstLine="420" w:firstLineChars="175"/>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8.2投标人应仔细阅读招标文件的所有内容，按照招标文件的要求提交投标文件，并对所提供的全部资料的真实性承担法律责任。</w:t>
      </w:r>
    </w:p>
    <w:p w14:paraId="1EB415A4">
      <w:pPr>
        <w:pStyle w:val="7"/>
        <w:keepNext w:val="0"/>
        <w:keepLines w:val="0"/>
        <w:spacing w:before="0" w:after="0" w:line="360" w:lineRule="auto"/>
        <w:ind w:firstLine="420" w:firstLineChars="175"/>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8.3投标人在投标活动中提供任何虚假材料，将报监管部门查处；中标后发现的，中标人须依法赔偿采购人，且民事赔偿并不免除违法投标人的行政与刑事责任。</w:t>
      </w:r>
    </w:p>
    <w:p w14:paraId="42814BF7">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9.回避与串通投标</w:t>
      </w:r>
    </w:p>
    <w:p w14:paraId="2F274EF8">
      <w:pPr>
        <w:pStyle w:val="7"/>
        <w:keepNext w:val="0"/>
        <w:keepLines w:val="0"/>
        <w:spacing w:before="0" w:after="0" w:line="360" w:lineRule="auto"/>
        <w:ind w:firstLine="420" w:firstLineChars="175"/>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9.1在政府采购活动中，采购人员及相关人员与供应商有下列利害关系之一的，应当回避：</w:t>
      </w:r>
    </w:p>
    <w:p w14:paraId="7ABE9D94">
      <w:pPr>
        <w:pStyle w:val="27"/>
        <w:snapToGrid w:val="0"/>
        <w:spacing w:line="360" w:lineRule="auto"/>
        <w:ind w:left="2" w:leftChars="1"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（1）参加采购活动前3年内与供应商存在劳动关系；</w:t>
      </w:r>
    </w:p>
    <w:p w14:paraId="7C9C60EB">
      <w:pPr>
        <w:pStyle w:val="27"/>
        <w:snapToGrid w:val="0"/>
        <w:spacing w:line="360" w:lineRule="auto"/>
        <w:ind w:left="2" w:leftChars="1"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（2）参加采购活动前3年内担任供应商的董事、监事；</w:t>
      </w:r>
    </w:p>
    <w:p w14:paraId="231EB780">
      <w:pPr>
        <w:pStyle w:val="27"/>
        <w:snapToGrid w:val="0"/>
        <w:spacing w:line="360" w:lineRule="auto"/>
        <w:ind w:left="2" w:leftChars="1"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（3）参加采购活动前3年内是供应商的控股股东或者实际控制人；</w:t>
      </w:r>
    </w:p>
    <w:p w14:paraId="1C3E3C9C">
      <w:pPr>
        <w:pStyle w:val="27"/>
        <w:snapToGrid w:val="0"/>
        <w:spacing w:line="360" w:lineRule="auto"/>
        <w:ind w:left="2" w:leftChars="1"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（4）与供应商的法定代表人或者负责人有夫妻、直系血亲、三代以内旁系血亲或者近姻亲关系；</w:t>
      </w:r>
    </w:p>
    <w:p w14:paraId="2830BB60">
      <w:pPr>
        <w:pStyle w:val="27"/>
        <w:snapToGrid w:val="0"/>
        <w:spacing w:line="360" w:lineRule="auto"/>
        <w:ind w:left="2" w:leftChars="1"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（5）与供应商有其他可能影响政府采购活动公平、公正进行的关系。</w:t>
      </w:r>
    </w:p>
    <w:p w14:paraId="3B2CA8EF">
      <w:pPr>
        <w:pStyle w:val="27"/>
        <w:snapToGrid w:val="0"/>
        <w:spacing w:line="360" w:lineRule="auto"/>
        <w:ind w:left="2" w:leftChars="1"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4C8125EE">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9.2有下列情形之一的视为投标人相互串通投标，投标文件将被视为无效：</w:t>
      </w:r>
    </w:p>
    <w:p w14:paraId="3653D6E0">
      <w:pPr>
        <w:pStyle w:val="27"/>
        <w:snapToGrid w:val="0"/>
        <w:spacing w:line="360" w:lineRule="auto"/>
        <w:ind w:left="2" w:leftChars="1" w:firstLine="482" w:firstLineChars="200"/>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rPr>
        <w:t xml:space="preserve">（1）不同投标人的投标文件由同一单位或者个人编制； </w:t>
      </w:r>
    </w:p>
    <w:p w14:paraId="0A94FFF9">
      <w:pPr>
        <w:pStyle w:val="27"/>
        <w:snapToGrid w:val="0"/>
        <w:spacing w:line="360" w:lineRule="auto"/>
        <w:ind w:left="2" w:leftChars="1" w:firstLine="482" w:firstLineChars="200"/>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rPr>
        <w:t>（2）不同投标人委托同一单位或者个人办理投标事宜；</w:t>
      </w:r>
    </w:p>
    <w:p w14:paraId="51423F40">
      <w:pPr>
        <w:pStyle w:val="27"/>
        <w:snapToGrid w:val="0"/>
        <w:spacing w:line="360" w:lineRule="auto"/>
        <w:ind w:left="2" w:leftChars="1" w:firstLine="482" w:firstLineChars="200"/>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rPr>
        <w:t>（3）不同的投标人的投标文件载明的项目管理员为同一个人；</w:t>
      </w:r>
    </w:p>
    <w:p w14:paraId="26AA3D86">
      <w:pPr>
        <w:pStyle w:val="27"/>
        <w:snapToGrid w:val="0"/>
        <w:spacing w:line="360" w:lineRule="auto"/>
        <w:ind w:left="2" w:leftChars="1" w:firstLine="482" w:firstLineChars="200"/>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rPr>
        <w:t>（4）不同投标人的投标文件异常一致或者投标报价呈规律性差异；</w:t>
      </w:r>
    </w:p>
    <w:p w14:paraId="30E0467E">
      <w:pPr>
        <w:pStyle w:val="27"/>
        <w:snapToGrid w:val="0"/>
        <w:spacing w:line="360" w:lineRule="auto"/>
        <w:ind w:left="2" w:leftChars="1" w:firstLine="482" w:firstLineChars="200"/>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rPr>
        <w:t>（5）不同投标人的投标文件相互混装；</w:t>
      </w:r>
    </w:p>
    <w:p w14:paraId="2E9AA47E">
      <w:pPr>
        <w:pStyle w:val="27"/>
        <w:snapToGrid w:val="0"/>
        <w:spacing w:line="360" w:lineRule="auto"/>
        <w:ind w:left="2" w:leftChars="1" w:firstLine="482" w:firstLineChars="200"/>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rPr>
        <w:t>（6）不同投标人的投标保证金从同一单位或者个人账户转出。</w:t>
      </w:r>
    </w:p>
    <w:p w14:paraId="0B9D95F1">
      <w:pPr>
        <w:pStyle w:val="7"/>
        <w:keepNext w:val="0"/>
        <w:keepLines w:val="0"/>
        <w:spacing w:before="0" w:after="0" w:line="360" w:lineRule="auto"/>
        <w:ind w:left="420" w:left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9.3供应商有下列情形之一的，属于恶意串通行为，将报同级监督管理部门：</w:t>
      </w:r>
    </w:p>
    <w:p w14:paraId="22DEC002">
      <w:pPr>
        <w:pStyle w:val="27"/>
        <w:snapToGrid w:val="0"/>
        <w:spacing w:line="360" w:lineRule="auto"/>
        <w:ind w:left="2" w:leftChars="1"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（1）供应商直接或者间接从采购人或者采购代理机构处获得其他供应商的相关信息并修改其投标文件或者响应文件；</w:t>
      </w:r>
    </w:p>
    <w:p w14:paraId="2A611273">
      <w:pPr>
        <w:pStyle w:val="27"/>
        <w:snapToGrid w:val="0"/>
        <w:spacing w:line="360" w:lineRule="auto"/>
        <w:ind w:left="2" w:leftChars="1"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（2）供应商按照采购人或者采购代理机构的授意撤换、修改投标文件或者响应文件；</w:t>
      </w:r>
    </w:p>
    <w:p w14:paraId="3E73C61E">
      <w:pPr>
        <w:pStyle w:val="27"/>
        <w:snapToGrid w:val="0"/>
        <w:spacing w:line="360" w:lineRule="auto"/>
        <w:ind w:left="2" w:leftChars="1"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（3）供应商之间协商报价、技术方案等投标文件或者响应文件的实质性内容；</w:t>
      </w:r>
    </w:p>
    <w:p w14:paraId="0813AA91">
      <w:pPr>
        <w:pStyle w:val="27"/>
        <w:snapToGrid w:val="0"/>
        <w:spacing w:line="360" w:lineRule="auto"/>
        <w:ind w:left="2" w:leftChars="1"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（4）属于同一集团、协会、商会等组织成员的供应商按照该组织要求协同参加政府采购活动；</w:t>
      </w:r>
    </w:p>
    <w:p w14:paraId="250D05DB">
      <w:pPr>
        <w:pStyle w:val="27"/>
        <w:snapToGrid w:val="0"/>
        <w:spacing w:line="360" w:lineRule="auto"/>
        <w:ind w:left="2" w:leftChars="1"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（5）供应商之间事先约定一致抬高或者压低投标报价，或者在招标项目中事先约定轮流以高价位或者低价位中标，或者事先约定由某一特定供应商中标，然后再参加投标；</w:t>
      </w:r>
    </w:p>
    <w:p w14:paraId="3BFC872A">
      <w:pPr>
        <w:pStyle w:val="27"/>
        <w:snapToGrid w:val="0"/>
        <w:spacing w:line="360" w:lineRule="auto"/>
        <w:ind w:left="2" w:leftChars="1"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（6）供应商之间商定部分供应商放弃参加政府采购活动或者放弃中标；</w:t>
      </w:r>
    </w:p>
    <w:p w14:paraId="6ADA586C">
      <w:pPr>
        <w:pStyle w:val="27"/>
        <w:snapToGrid w:val="0"/>
        <w:spacing w:line="360" w:lineRule="auto"/>
        <w:ind w:left="2" w:leftChars="1"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（7）供应商与采购人或者采购代理机构之间、供应商相互之间，为谋求特定供应商中标或者排斥其他供应商的其他串通行为。</w:t>
      </w:r>
    </w:p>
    <w:p w14:paraId="30187D65">
      <w:pPr>
        <w:pStyle w:val="5"/>
        <w:keepNext w:val="0"/>
        <w:keepLines w:val="0"/>
        <w:jc w:val="center"/>
        <w:rPr>
          <w:rFonts w:hint="eastAsia" w:ascii="仿宋" w:hAnsi="仿宋" w:eastAsia="仿宋" w:cs="仿宋"/>
          <w:color w:val="auto"/>
          <w:highlight w:val="none"/>
        </w:rPr>
      </w:pPr>
      <w:bookmarkStart w:id="105" w:name="_Toc254970675"/>
      <w:bookmarkStart w:id="106" w:name="_Toc254970534"/>
      <w:r>
        <w:rPr>
          <w:rFonts w:hint="eastAsia" w:ascii="仿宋" w:hAnsi="仿宋" w:eastAsia="仿宋" w:cs="仿宋"/>
          <w:color w:val="auto"/>
          <w:highlight w:val="none"/>
        </w:rPr>
        <w:t>二、招标文件</w:t>
      </w:r>
      <w:bookmarkEnd w:id="105"/>
      <w:bookmarkEnd w:id="106"/>
    </w:p>
    <w:p w14:paraId="53C72AB9">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10.招标文件的组成</w:t>
      </w:r>
    </w:p>
    <w:p w14:paraId="76A9945A">
      <w:pPr>
        <w:snapToGrid w:val="0"/>
        <w:spacing w:line="360" w:lineRule="auto"/>
        <w:ind w:firstLine="42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（1）招标公告；</w:t>
      </w:r>
    </w:p>
    <w:p w14:paraId="51DBAF65">
      <w:pPr>
        <w:snapToGrid w:val="0"/>
        <w:spacing w:line="360" w:lineRule="auto"/>
        <w:ind w:firstLine="42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（2）采购需求； </w:t>
      </w:r>
    </w:p>
    <w:p w14:paraId="1862925C">
      <w:pPr>
        <w:snapToGrid w:val="0"/>
        <w:spacing w:line="360" w:lineRule="auto"/>
        <w:ind w:firstLine="42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（3）投标人须知；</w:t>
      </w:r>
    </w:p>
    <w:p w14:paraId="2DCBBA89">
      <w:pPr>
        <w:snapToGrid w:val="0"/>
        <w:spacing w:line="360" w:lineRule="auto"/>
        <w:ind w:firstLine="42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（4）评标方法及评标标准；</w:t>
      </w:r>
    </w:p>
    <w:p w14:paraId="33089139">
      <w:pPr>
        <w:snapToGrid w:val="0"/>
        <w:spacing w:line="360" w:lineRule="auto"/>
        <w:ind w:firstLine="42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（5）拟签订的合同文本；</w:t>
      </w:r>
    </w:p>
    <w:p w14:paraId="5C3B1FC5">
      <w:pPr>
        <w:snapToGrid w:val="0"/>
        <w:spacing w:line="360" w:lineRule="auto"/>
        <w:ind w:firstLine="42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（6）投标文件格式。</w:t>
      </w:r>
    </w:p>
    <w:p w14:paraId="4165FAA6">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11.招标文件的澄清、修改 、现场考察和答疑会</w:t>
      </w:r>
    </w:p>
    <w:p w14:paraId="19C44F5A">
      <w:pPr>
        <w:pStyle w:val="7"/>
        <w:keepNext w:val="0"/>
        <w:keepLines w:val="0"/>
        <w:spacing w:before="0" w:after="0" w:line="360" w:lineRule="auto"/>
        <w:ind w:firstLine="360" w:firstLineChars="15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 xml:space="preserve"> 11.1投标人应认真审阅本招标文件，如有疑问，或发现其中有误或有要求不合理的，应在招标公告公告期限届满之日起7个工作日内以纸质书面形式要求采购人或采购代理机构对招标文件予以澄清；否则，由此产生的后果由投标人自行负责。</w:t>
      </w:r>
    </w:p>
    <w:p w14:paraId="5D943776">
      <w:pPr>
        <w:pStyle w:val="7"/>
        <w:keepNext w:val="0"/>
        <w:keepLines w:val="0"/>
        <w:numPr>
          <w:ilvl w:val="0"/>
          <w:numId w:val="0"/>
        </w:numPr>
        <w:spacing w:before="0" w:after="0"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b w:val="0"/>
          <w:color w:val="auto"/>
          <w:sz w:val="24"/>
          <w:highlight w:val="none"/>
        </w:rPr>
        <w:t>11.2采购人或者采购代理机构可以对已发出的招标文件进行必要的澄清或者修改，但不得改变采购标的和资格条件。澄清或者修改将在原公告发布媒体上发布更正公告。澄清或者修改的内容为招标文件的组成部分。澄清或者修改的内容可能影响投标文件编制的，采购人或者采购代理机构应当在投标截止时间至少15日前，在原公告发布媒体上发布更正公告；不足15日的，采购人或者采购代理机构应当顺延提交投标文件的截止时间。</w:t>
      </w:r>
    </w:p>
    <w:p w14:paraId="7985D93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11.3采购人和采购代理机构可以视采购具体情况，变更投标截止时间和开标时间，并在原公告发布媒体上发布更正公告。</w:t>
      </w:r>
    </w:p>
    <w:p w14:paraId="72BBF7B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11.4招标文件澄清、答复、修改、补充的内容为招标文件的组成部分。</w:t>
      </w:r>
      <w:r>
        <w:rPr>
          <w:rFonts w:hint="eastAsia" w:ascii="仿宋" w:hAnsi="仿宋" w:eastAsia="仿宋" w:cs="仿宋"/>
          <w:b/>
          <w:color w:val="auto"/>
          <w:sz w:val="24"/>
          <w:highlight w:val="none"/>
        </w:rPr>
        <w:t>当招标文件与招标文件的澄清、答复、修改、补充通知就同一内容的表述不一致时，以最后发出的文件为准。</w:t>
      </w:r>
    </w:p>
    <w:p w14:paraId="525A7643">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w:t>
      </w:r>
      <w:bookmarkStart w:id="107" w:name="_Hlk53134511"/>
      <w:r>
        <w:rPr>
          <w:rFonts w:hint="eastAsia" w:ascii="仿宋" w:hAnsi="仿宋" w:eastAsia="仿宋" w:cs="仿宋"/>
          <w:color w:val="auto"/>
          <w:sz w:val="24"/>
          <w:szCs w:val="24"/>
          <w:highlight w:val="none"/>
        </w:rPr>
        <w:t>5采购人或者采购代理机构可以在招标文件提供期限截止后，组织已获取招标文件的潜在投标人现场考察或者召开开标前答疑会，具体详见“投标人须知前附表”。</w:t>
      </w:r>
    </w:p>
    <w:bookmarkEnd w:id="107"/>
    <w:p w14:paraId="5D770EC7">
      <w:pPr>
        <w:pStyle w:val="5"/>
        <w:keepNext w:val="0"/>
        <w:keepLines w:val="0"/>
        <w:jc w:val="center"/>
        <w:rPr>
          <w:rFonts w:hint="eastAsia" w:ascii="仿宋" w:hAnsi="仿宋" w:eastAsia="仿宋" w:cs="仿宋"/>
          <w:color w:val="auto"/>
          <w:highlight w:val="none"/>
        </w:rPr>
      </w:pPr>
      <w:bookmarkStart w:id="108" w:name="_Toc254970676"/>
      <w:bookmarkStart w:id="109" w:name="_Toc254970535"/>
      <w:r>
        <w:rPr>
          <w:rFonts w:hint="eastAsia" w:ascii="仿宋" w:hAnsi="仿宋" w:eastAsia="仿宋" w:cs="仿宋"/>
          <w:color w:val="auto"/>
          <w:highlight w:val="none"/>
        </w:rPr>
        <w:t>三、投标文件的编制</w:t>
      </w:r>
      <w:bookmarkEnd w:id="108"/>
      <w:bookmarkEnd w:id="109"/>
    </w:p>
    <w:p w14:paraId="6F4FE672">
      <w:pPr>
        <w:pStyle w:val="7"/>
        <w:keepNext w:val="0"/>
        <w:keepLines w:val="0"/>
        <w:spacing w:before="0" w:after="0" w:line="360" w:lineRule="auto"/>
        <w:ind w:left="420" w:leftChars="200"/>
        <w:rPr>
          <w:rFonts w:hint="eastAsia" w:ascii="仿宋" w:hAnsi="仿宋" w:eastAsia="仿宋" w:cs="仿宋"/>
          <w:color w:val="auto"/>
          <w:sz w:val="24"/>
          <w:highlight w:val="none"/>
        </w:rPr>
      </w:pPr>
      <w:bookmarkStart w:id="110" w:name="_Toc254970536"/>
      <w:bookmarkStart w:id="111" w:name="_Toc254970677"/>
      <w:r>
        <w:rPr>
          <w:rFonts w:hint="eastAsia" w:ascii="仿宋" w:hAnsi="仿宋" w:eastAsia="仿宋" w:cs="仿宋"/>
          <w:color w:val="auto"/>
          <w:sz w:val="24"/>
          <w:highlight w:val="none"/>
        </w:rPr>
        <w:t>12.投标文件的编制原则</w:t>
      </w:r>
    </w:p>
    <w:p w14:paraId="493C29BB">
      <w:pPr>
        <w:snapToGrid w:val="0"/>
        <w:spacing w:line="360" w:lineRule="auto"/>
        <w:ind w:firstLine="42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投标人必须按照招标文件的要求编制投标文件。投标文件必须对招标文件提出的要求和条件作出明确响应。</w:t>
      </w:r>
    </w:p>
    <w:p w14:paraId="3461DFCC">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13.投标文件的组成</w:t>
      </w:r>
      <w:bookmarkEnd w:id="110"/>
      <w:bookmarkEnd w:id="111"/>
    </w:p>
    <w:p w14:paraId="59ADE642">
      <w:pPr>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13.1投标文件由报价文件、资格证明文件、商务文件、技术文件四部分组成。</w:t>
      </w:r>
    </w:p>
    <w:p w14:paraId="5D9EEAED">
      <w:pPr>
        <w:pStyle w:val="7"/>
        <w:keepNext w:val="0"/>
        <w:keepLines w:val="0"/>
        <w:spacing w:before="0" w:after="0" w:line="360" w:lineRule="auto"/>
        <w:ind w:left="420" w:leftChars="200"/>
        <w:rPr>
          <w:rFonts w:hint="eastAsia" w:ascii="仿宋" w:hAnsi="仿宋" w:eastAsia="仿宋" w:cs="仿宋"/>
          <w:b w:val="0"/>
          <w:color w:val="auto"/>
          <w:sz w:val="24"/>
          <w:highlight w:val="none"/>
        </w:rPr>
      </w:pPr>
      <w:bookmarkStart w:id="112" w:name="_13.1报价文件:_具体材料见“投标人须知前附表”。"/>
      <w:bookmarkEnd w:id="112"/>
      <w:r>
        <w:rPr>
          <w:rFonts w:hint="eastAsia" w:ascii="仿宋" w:hAnsi="仿宋" w:eastAsia="仿宋" w:cs="仿宋"/>
          <w:b w:val="0"/>
          <w:color w:val="auto"/>
          <w:sz w:val="24"/>
          <w:highlight w:val="none"/>
        </w:rPr>
        <w:t>（1）报价文件： 具体材料见“投标人须知前附表”。</w:t>
      </w:r>
    </w:p>
    <w:p w14:paraId="1EC64177">
      <w:pPr>
        <w:pStyle w:val="7"/>
        <w:keepNext w:val="0"/>
        <w:keepLines w:val="0"/>
        <w:spacing w:before="0" w:after="0" w:line="360" w:lineRule="auto"/>
        <w:ind w:left="420" w:leftChars="200"/>
        <w:rPr>
          <w:rFonts w:hint="eastAsia" w:ascii="仿宋" w:hAnsi="仿宋" w:eastAsia="仿宋" w:cs="仿宋"/>
          <w:b w:val="0"/>
          <w:color w:val="auto"/>
          <w:sz w:val="24"/>
          <w:highlight w:val="none"/>
        </w:rPr>
      </w:pPr>
      <w:bookmarkStart w:id="113" w:name="_13.2资格证明文件：具体材料见“投标人须知前附表”。"/>
      <w:bookmarkEnd w:id="113"/>
      <w:r>
        <w:rPr>
          <w:rFonts w:hint="eastAsia" w:ascii="仿宋" w:hAnsi="仿宋" w:eastAsia="仿宋" w:cs="仿宋"/>
          <w:b w:val="0"/>
          <w:color w:val="auto"/>
          <w:sz w:val="24"/>
          <w:highlight w:val="none"/>
        </w:rPr>
        <w:t>（2）资格证明文件：具体材料见“投标人须知前附表”。</w:t>
      </w:r>
    </w:p>
    <w:p w14:paraId="63673936">
      <w:pPr>
        <w:pStyle w:val="7"/>
        <w:keepNext w:val="0"/>
        <w:keepLines w:val="0"/>
        <w:spacing w:before="0" w:after="0" w:line="360" w:lineRule="auto"/>
        <w:ind w:left="420" w:leftChars="200"/>
        <w:rPr>
          <w:rFonts w:hint="eastAsia" w:ascii="仿宋" w:hAnsi="仿宋" w:eastAsia="仿宋" w:cs="仿宋"/>
          <w:b w:val="0"/>
          <w:color w:val="auto"/>
          <w:sz w:val="24"/>
          <w:highlight w:val="none"/>
        </w:rPr>
      </w:pPr>
      <w:bookmarkStart w:id="114" w:name="_13.3商务文件:_具体材料见“投标人须知前附表”。"/>
      <w:bookmarkEnd w:id="114"/>
      <w:r>
        <w:rPr>
          <w:rFonts w:hint="eastAsia" w:ascii="仿宋" w:hAnsi="仿宋" w:eastAsia="仿宋" w:cs="仿宋"/>
          <w:b w:val="0"/>
          <w:color w:val="auto"/>
          <w:sz w:val="24"/>
          <w:highlight w:val="none"/>
        </w:rPr>
        <w:t>（3）商务文件：具体材料见“投标人须知前附表”。</w:t>
      </w:r>
    </w:p>
    <w:p w14:paraId="05A7FAA6">
      <w:pPr>
        <w:pStyle w:val="7"/>
        <w:keepNext w:val="0"/>
        <w:keepLines w:val="0"/>
        <w:spacing w:before="0" w:after="0" w:line="360" w:lineRule="auto"/>
        <w:ind w:left="420" w:leftChars="200"/>
        <w:rPr>
          <w:rFonts w:hint="eastAsia" w:ascii="仿宋" w:hAnsi="仿宋" w:eastAsia="仿宋" w:cs="仿宋"/>
          <w:b w:val="0"/>
          <w:color w:val="auto"/>
          <w:sz w:val="24"/>
          <w:highlight w:val="none"/>
        </w:rPr>
      </w:pPr>
      <w:bookmarkStart w:id="115" w:name="_13.4技术文件：具体材料见“投标人须知前附表”。"/>
      <w:bookmarkEnd w:id="115"/>
      <w:r>
        <w:rPr>
          <w:rFonts w:hint="eastAsia" w:ascii="仿宋" w:hAnsi="仿宋" w:eastAsia="仿宋" w:cs="仿宋"/>
          <w:b w:val="0"/>
          <w:color w:val="auto"/>
          <w:sz w:val="24"/>
          <w:highlight w:val="none"/>
        </w:rPr>
        <w:t>（4）技术文件：具体材料见“投标人须知前附表”。</w:t>
      </w:r>
      <w:bookmarkStart w:id="116" w:name="_13.5投标文件电子版：具体材料见“投标人须知前附表”。"/>
      <w:bookmarkEnd w:id="116"/>
    </w:p>
    <w:p w14:paraId="5AE89721">
      <w:pPr>
        <w:pStyle w:val="7"/>
        <w:keepNext w:val="0"/>
        <w:keepLines w:val="0"/>
        <w:spacing w:before="0" w:after="0" w:line="360" w:lineRule="auto"/>
        <w:ind w:left="420" w:leftChars="200"/>
        <w:rPr>
          <w:rFonts w:hint="eastAsia" w:ascii="仿宋" w:hAnsi="仿宋" w:eastAsia="仿宋" w:cs="仿宋"/>
          <w:color w:val="auto"/>
          <w:sz w:val="24"/>
          <w:highlight w:val="none"/>
        </w:rPr>
      </w:pPr>
      <w:bookmarkStart w:id="117" w:name="_Toc254970537"/>
      <w:bookmarkStart w:id="118" w:name="_Toc254970678"/>
      <w:r>
        <w:rPr>
          <w:rFonts w:hint="eastAsia" w:ascii="仿宋" w:hAnsi="仿宋" w:eastAsia="仿宋" w:cs="仿宋"/>
          <w:color w:val="auto"/>
          <w:sz w:val="24"/>
          <w:highlight w:val="none"/>
        </w:rPr>
        <w:t>14.投标文件的语言及计量</w:t>
      </w:r>
      <w:bookmarkEnd w:id="117"/>
      <w:bookmarkEnd w:id="118"/>
    </w:p>
    <w:p w14:paraId="16CB008C">
      <w:pPr>
        <w:pStyle w:val="7"/>
        <w:keepNext w:val="0"/>
        <w:keepLines w:val="0"/>
        <w:spacing w:before="0" w:after="0" w:line="360" w:lineRule="auto"/>
        <w:ind w:left="420" w:left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14.1语言文字</w:t>
      </w:r>
    </w:p>
    <w:p w14:paraId="03F208D7">
      <w:pPr>
        <w:pStyle w:val="7"/>
        <w:keepNext w:val="0"/>
        <w:keepLines w:val="0"/>
        <w:spacing w:before="0" w:after="0" w:line="360" w:lineRule="auto"/>
        <w:ind w:firstLine="480" w:firstLine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2B2C3659">
      <w:pPr>
        <w:pStyle w:val="7"/>
        <w:keepNext w:val="0"/>
        <w:keepLines w:val="0"/>
        <w:spacing w:before="0" w:after="0" w:line="360" w:lineRule="auto"/>
        <w:ind w:firstLine="480" w:firstLine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14.2投标计量单位</w:t>
      </w:r>
    </w:p>
    <w:p w14:paraId="2566F966">
      <w:pPr>
        <w:pStyle w:val="7"/>
        <w:keepNext w:val="0"/>
        <w:keepLines w:val="0"/>
        <w:spacing w:before="0" w:after="0" w:line="360" w:lineRule="auto"/>
        <w:ind w:firstLine="480" w:firstLine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招标文件已有明确规定的，使用招标文件规定的计量单位；招标文件没有规定的，应采用中华人民共和国法定计量单位，货币种类为人民币，否则视同未响应。</w:t>
      </w:r>
    </w:p>
    <w:p w14:paraId="124A347B">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15.投标的风险</w:t>
      </w:r>
    </w:p>
    <w:p w14:paraId="376DBA8D">
      <w:pPr>
        <w:pStyle w:val="27"/>
        <w:snapToGrid w:val="0"/>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投标人没有按照招标文件要求提供全部资料，或者投标人没有对招标文件作出实质性响应是投标人的风险，并可能导致其投标被拒绝。</w:t>
      </w:r>
    </w:p>
    <w:p w14:paraId="661192DF">
      <w:pPr>
        <w:pStyle w:val="7"/>
        <w:keepNext w:val="0"/>
        <w:keepLines w:val="0"/>
        <w:spacing w:before="0" w:after="0" w:line="360" w:lineRule="auto"/>
        <w:ind w:left="420" w:leftChars="200"/>
        <w:rPr>
          <w:rFonts w:hint="eastAsia" w:ascii="仿宋" w:hAnsi="仿宋" w:eastAsia="仿宋" w:cs="仿宋"/>
          <w:color w:val="auto"/>
          <w:sz w:val="24"/>
          <w:highlight w:val="none"/>
        </w:rPr>
      </w:pPr>
      <w:bookmarkStart w:id="119" w:name="_Toc254970679"/>
      <w:bookmarkStart w:id="120" w:name="_Toc254970538"/>
      <w:r>
        <w:rPr>
          <w:rFonts w:hint="eastAsia" w:ascii="仿宋" w:hAnsi="仿宋" w:eastAsia="仿宋" w:cs="仿宋"/>
          <w:color w:val="auto"/>
          <w:sz w:val="24"/>
          <w:highlight w:val="none"/>
        </w:rPr>
        <w:t>16.投标报价</w:t>
      </w:r>
      <w:bookmarkEnd w:id="119"/>
      <w:bookmarkEnd w:id="120"/>
    </w:p>
    <w:p w14:paraId="40CB805E">
      <w:pPr>
        <w:pStyle w:val="7"/>
        <w:keepNext w:val="0"/>
        <w:keepLines w:val="0"/>
        <w:spacing w:before="0" w:after="0" w:line="360" w:lineRule="auto"/>
        <w:ind w:left="420" w:left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16.1投标报价应按“第六章　投标文件格式”中“开标一览表”格式填写。</w:t>
      </w:r>
    </w:p>
    <w:p w14:paraId="3B517E6F">
      <w:pPr>
        <w:pStyle w:val="7"/>
        <w:keepNext w:val="0"/>
        <w:keepLines w:val="0"/>
        <w:spacing w:before="0" w:after="0" w:line="360" w:lineRule="auto"/>
        <w:ind w:left="420" w:leftChars="200"/>
        <w:rPr>
          <w:rFonts w:hint="eastAsia" w:ascii="仿宋" w:hAnsi="仿宋" w:eastAsia="仿宋" w:cs="仿宋"/>
          <w:b w:val="0"/>
          <w:color w:val="auto"/>
          <w:sz w:val="24"/>
          <w:highlight w:val="none"/>
        </w:rPr>
      </w:pPr>
      <w:bookmarkStart w:id="121" w:name="_16.2投标报价具体定义见投标人须知前附表。"/>
      <w:bookmarkEnd w:id="121"/>
      <w:r>
        <w:rPr>
          <w:rFonts w:hint="eastAsia" w:ascii="仿宋" w:hAnsi="仿宋" w:eastAsia="仿宋" w:cs="仿宋"/>
          <w:b w:val="0"/>
          <w:color w:val="auto"/>
          <w:sz w:val="24"/>
          <w:highlight w:val="none"/>
        </w:rPr>
        <w:t>16.2投标报价具体包括内容详见“投标人须知前附表”。</w:t>
      </w:r>
    </w:p>
    <w:p w14:paraId="252F32C8">
      <w:pPr>
        <w:pStyle w:val="7"/>
        <w:keepNext w:val="0"/>
        <w:keepLines w:val="0"/>
        <w:spacing w:before="0" w:after="0" w:line="360" w:lineRule="auto"/>
        <w:ind w:left="420" w:left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16.3投标人必须就所投标项的全部内容分别作完整唯一总价报价，不得存在漏项报价；投标人必须就所投标项的单项内容作唯一报价。</w:t>
      </w:r>
    </w:p>
    <w:p w14:paraId="7FC8387E">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17.投标有效期</w:t>
      </w:r>
      <w:bookmarkStart w:id="122" w:name="_17.1投标有效期应按“投标人须知中的前附表”规定的期限。"/>
      <w:bookmarkEnd w:id="122"/>
    </w:p>
    <w:p w14:paraId="277F551C">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b w:val="0"/>
          <w:color w:val="auto"/>
          <w:sz w:val="24"/>
          <w:highlight w:val="none"/>
        </w:rPr>
        <w:t>17.1投标有效期是指为保证采购人有足够的时间在开标后完成评标、定标、合同签订等工作而要求投标人提交的投标文件在一定时间内保持有效的期限。</w:t>
      </w:r>
    </w:p>
    <w:p w14:paraId="7D24A309">
      <w:pPr>
        <w:pStyle w:val="7"/>
        <w:keepNext w:val="0"/>
        <w:keepLines w:val="0"/>
        <w:spacing w:before="0" w:after="0" w:line="360" w:lineRule="auto"/>
        <w:ind w:left="420" w:left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17.2</w:t>
      </w:r>
      <w:bookmarkStart w:id="123" w:name="_Toc254970681"/>
      <w:bookmarkStart w:id="124" w:name="_Toc254970540"/>
      <w:r>
        <w:rPr>
          <w:rFonts w:hint="eastAsia" w:ascii="仿宋" w:hAnsi="仿宋" w:eastAsia="仿宋" w:cs="仿宋"/>
          <w:b w:val="0"/>
          <w:color w:val="auto"/>
          <w:sz w:val="24"/>
          <w:highlight w:val="none"/>
        </w:rPr>
        <w:t xml:space="preserve"> 投标有效期应按规定的期限作出承诺，具体详见“投标人须知前附表”。</w:t>
      </w:r>
    </w:p>
    <w:p w14:paraId="59FD3431">
      <w:pPr>
        <w:pStyle w:val="7"/>
        <w:keepNext w:val="0"/>
        <w:keepLines w:val="0"/>
        <w:spacing w:before="0" w:after="0" w:line="360" w:lineRule="auto"/>
        <w:ind w:left="420" w:left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17.3投标人的投标文件在投标有效期内均保持有效。</w:t>
      </w:r>
      <w:bookmarkEnd w:id="123"/>
      <w:bookmarkEnd w:id="124"/>
    </w:p>
    <w:p w14:paraId="087C1F27">
      <w:pPr>
        <w:pStyle w:val="7"/>
        <w:keepNext w:val="0"/>
        <w:keepLines w:val="0"/>
        <w:spacing w:before="0" w:after="0" w:line="360" w:lineRule="auto"/>
        <w:ind w:left="420" w:leftChars="200"/>
        <w:rPr>
          <w:rFonts w:hint="eastAsia" w:ascii="仿宋" w:hAnsi="仿宋" w:eastAsia="仿宋" w:cs="仿宋"/>
          <w:color w:val="auto"/>
          <w:sz w:val="24"/>
          <w:highlight w:val="none"/>
        </w:rPr>
      </w:pPr>
      <w:bookmarkStart w:id="125" w:name="_18.投标保证金"/>
      <w:bookmarkEnd w:id="125"/>
      <w:bookmarkStart w:id="126" w:name="_Toc254970682"/>
      <w:bookmarkStart w:id="127" w:name="_Toc254970541"/>
      <w:r>
        <w:rPr>
          <w:rFonts w:hint="eastAsia" w:ascii="仿宋" w:hAnsi="仿宋" w:eastAsia="仿宋" w:cs="仿宋"/>
          <w:color w:val="auto"/>
          <w:sz w:val="24"/>
          <w:highlight w:val="none"/>
        </w:rPr>
        <w:t>18.投标保证金</w:t>
      </w:r>
      <w:bookmarkEnd w:id="126"/>
      <w:bookmarkEnd w:id="127"/>
    </w:p>
    <w:p w14:paraId="4DA53A60">
      <w:pPr>
        <w:pStyle w:val="7"/>
        <w:keepNext w:val="0"/>
        <w:keepLines w:val="0"/>
        <w:spacing w:before="0" w:after="0" w:line="360" w:lineRule="auto"/>
        <w:ind w:left="420" w:left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18.1投标人须按“投标人须知前附表” 的规定提交投标保证金。</w:t>
      </w:r>
    </w:p>
    <w:p w14:paraId="207825F1">
      <w:pPr>
        <w:pStyle w:val="7"/>
        <w:keepNext w:val="0"/>
        <w:keepLines w:val="0"/>
        <w:spacing w:before="0" w:after="0" w:line="360" w:lineRule="auto"/>
        <w:ind w:left="420" w:left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18.2投标保证金的退还</w:t>
      </w:r>
    </w:p>
    <w:p w14:paraId="7FACEF1D">
      <w:pPr>
        <w:pStyle w:val="7"/>
        <w:keepNext w:val="0"/>
        <w:keepLines w:val="0"/>
        <w:spacing w:before="0" w:after="0" w:line="360" w:lineRule="auto"/>
        <w:ind w:left="420" w:left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 xml:space="preserve">未中标人的投标保证金自中标通知书发出之日起4个工作日内退还；中标人的投标保证金自政府采购合同签订之日起4个工作日内退还。 </w:t>
      </w:r>
    </w:p>
    <w:p w14:paraId="51C0EBAB">
      <w:pPr>
        <w:pStyle w:val="7"/>
        <w:keepNext w:val="0"/>
        <w:keepLines w:val="0"/>
        <w:spacing w:before="0" w:after="0" w:line="360" w:lineRule="auto"/>
        <w:ind w:left="420" w:left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18.3除逾期退还投标保证金和终止招标的情形以外，投标保证金不计息。</w:t>
      </w:r>
    </w:p>
    <w:p w14:paraId="5F1C38BA">
      <w:pPr>
        <w:pStyle w:val="7"/>
        <w:keepNext w:val="0"/>
        <w:keepLines w:val="0"/>
        <w:spacing w:before="0" w:after="0" w:line="360" w:lineRule="auto"/>
        <w:ind w:left="420" w:left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 xml:space="preserve">18.4投标人有下列情形之一的，投标保证金将不予退还： </w:t>
      </w:r>
    </w:p>
    <w:p w14:paraId="0D79EC60">
      <w:pPr>
        <w:snapToGrid w:val="0"/>
        <w:spacing w:line="360" w:lineRule="auto"/>
        <w:ind w:firstLine="470" w:firstLineChars="19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（1）投标人在投标有效期内撤销投标文件的；</w:t>
      </w:r>
    </w:p>
    <w:p w14:paraId="19391FF6">
      <w:pPr>
        <w:snapToGrid w:val="0"/>
        <w:spacing w:line="360" w:lineRule="auto"/>
        <w:ind w:firstLine="470" w:firstLineChars="19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（2）未按规定提交履约保证金的；</w:t>
      </w:r>
    </w:p>
    <w:p w14:paraId="467A4070">
      <w:pPr>
        <w:snapToGrid w:val="0"/>
        <w:spacing w:line="360" w:lineRule="auto"/>
        <w:ind w:firstLine="470" w:firstLineChars="19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（3）投标人在投标过程中弄虚作假，提供虚假材料的；</w:t>
      </w:r>
    </w:p>
    <w:p w14:paraId="7935B915">
      <w:pPr>
        <w:snapToGrid w:val="0"/>
        <w:spacing w:line="360" w:lineRule="auto"/>
        <w:ind w:firstLine="470" w:firstLineChars="196"/>
        <w:rPr>
          <w:rFonts w:hint="eastAsia" w:ascii="仿宋" w:hAnsi="仿宋" w:eastAsia="仿宋" w:cs="仿宋"/>
          <w:color w:val="auto"/>
          <w:sz w:val="24"/>
          <w:highlight w:val="none"/>
        </w:rPr>
      </w:pPr>
      <w:r>
        <w:rPr>
          <w:rFonts w:hint="eastAsia" w:ascii="仿宋" w:hAnsi="仿宋" w:eastAsia="仿宋" w:cs="仿宋"/>
          <w:color w:val="auto"/>
          <w:sz w:val="24"/>
          <w:highlight w:val="none"/>
        </w:rPr>
        <w:t>（4）中标人无正当理由不与采购人签订合同的；</w:t>
      </w:r>
    </w:p>
    <w:p w14:paraId="003648CE">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（5）投标人出现本章第9.2、9.3情形的；</w:t>
      </w:r>
    </w:p>
    <w:p w14:paraId="78D47975">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（6）法律法规规定的其他情形。</w:t>
      </w:r>
    </w:p>
    <w:p w14:paraId="088D6388">
      <w:pPr>
        <w:pStyle w:val="7"/>
        <w:keepNext w:val="0"/>
        <w:keepLines w:val="0"/>
        <w:spacing w:before="0" w:after="0" w:line="360" w:lineRule="auto"/>
        <w:ind w:left="420" w:leftChars="200"/>
        <w:rPr>
          <w:rFonts w:hint="eastAsia" w:ascii="仿宋" w:hAnsi="仿宋" w:eastAsia="仿宋" w:cs="仿宋"/>
          <w:color w:val="auto"/>
          <w:sz w:val="24"/>
          <w:highlight w:val="none"/>
        </w:rPr>
      </w:pPr>
      <w:bookmarkStart w:id="128" w:name="_Toc254970542"/>
      <w:bookmarkStart w:id="129" w:name="_Toc254970683"/>
      <w:r>
        <w:rPr>
          <w:rFonts w:hint="eastAsia" w:ascii="仿宋" w:hAnsi="仿宋" w:eastAsia="仿宋" w:cs="仿宋"/>
          <w:color w:val="auto"/>
          <w:sz w:val="24"/>
          <w:highlight w:val="none"/>
        </w:rPr>
        <w:t>19.投标文件的</w:t>
      </w:r>
      <w:bookmarkEnd w:id="128"/>
      <w:bookmarkEnd w:id="129"/>
      <w:r>
        <w:rPr>
          <w:rFonts w:hint="eastAsia" w:ascii="仿宋" w:hAnsi="仿宋" w:eastAsia="仿宋" w:cs="仿宋"/>
          <w:color w:val="auto"/>
          <w:sz w:val="24"/>
          <w:highlight w:val="none"/>
        </w:rPr>
        <w:t>编制</w:t>
      </w:r>
    </w:p>
    <w:p w14:paraId="7A55AB2B">
      <w:pPr>
        <w:pStyle w:val="7"/>
        <w:keepNext w:val="0"/>
        <w:keepLines w:val="0"/>
        <w:spacing w:before="0" w:after="0" w:line="360" w:lineRule="auto"/>
        <w:ind w:firstLine="360" w:firstLineChars="15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 xml:space="preserve"> 19.1投标人应按本招标文件规定的格式和顺序编制、装订投标文件并标注页码，投标文件内容不完整、编排混乱导致投标文件被误读、漏读或者查找不到相关内容的，由此引发的后果由投标人承担。</w:t>
      </w:r>
    </w:p>
    <w:p w14:paraId="38F38BA5">
      <w:pPr>
        <w:pStyle w:val="7"/>
        <w:keepNext w:val="0"/>
        <w:keepLines w:val="0"/>
        <w:numPr>
          <w:ilvl w:val="0"/>
          <w:numId w:val="0"/>
        </w:numPr>
        <w:spacing w:before="0" w:after="0" w:line="360" w:lineRule="auto"/>
        <w:ind w:firstLine="480" w:firstLineChars="200"/>
        <w:rPr>
          <w:rFonts w:hint="eastAsia" w:ascii="仿宋" w:hAnsi="仿宋" w:eastAsia="仿宋" w:cs="仿宋"/>
          <w:b w:val="0"/>
          <w:color w:val="auto"/>
          <w:sz w:val="24"/>
          <w:highlight w:val="none"/>
        </w:rPr>
      </w:pPr>
      <w:bookmarkStart w:id="130" w:name="_19.2投标文件应按报价文件、资格证明文件、商务文件、技术文件分别编制"/>
      <w:bookmarkEnd w:id="130"/>
      <w:r>
        <w:rPr>
          <w:rFonts w:hint="eastAsia" w:ascii="仿宋" w:hAnsi="仿宋" w:eastAsia="仿宋" w:cs="仿宋"/>
          <w:b w:val="0"/>
          <w:color w:val="auto"/>
          <w:sz w:val="24"/>
          <w:highlight w:val="none"/>
        </w:rPr>
        <w:t>19.2投标文件应按报价文件、资格证明文件、商务文件、技术文件分别编制电子文件，并按“广西政府采购云平台”的要求编制、加密、上传。</w:t>
      </w:r>
    </w:p>
    <w:p w14:paraId="5FAB2E41">
      <w:pPr>
        <w:pStyle w:val="7"/>
        <w:keepNext w:val="0"/>
        <w:keepLines w:val="0"/>
        <w:numPr>
          <w:ilvl w:val="0"/>
          <w:numId w:val="0"/>
        </w:numPr>
        <w:spacing w:before="0" w:after="0" w:line="360" w:lineRule="auto"/>
        <w:ind w:firstLine="480" w:firstLine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19.</w:t>
      </w:r>
      <w:bookmarkStart w:id="131" w:name="_Hlk65832616"/>
      <w:r>
        <w:rPr>
          <w:rFonts w:hint="eastAsia" w:ascii="仿宋" w:hAnsi="仿宋" w:eastAsia="仿宋" w:cs="仿宋"/>
          <w:b w:val="0"/>
          <w:color w:val="auto"/>
          <w:sz w:val="24"/>
          <w:highlight w:val="none"/>
        </w:rPr>
        <w:t>3投标文件须由投标人在规定位置盖公章并签字</w:t>
      </w:r>
      <w:bookmarkStart w:id="132" w:name="_Hlk65832569"/>
      <w:r>
        <w:rPr>
          <w:rFonts w:hint="eastAsia" w:ascii="仿宋" w:hAnsi="仿宋" w:eastAsia="仿宋" w:cs="仿宋"/>
          <w:b w:val="0"/>
          <w:color w:val="auto"/>
          <w:sz w:val="24"/>
          <w:highlight w:val="none"/>
        </w:rPr>
        <w:t>（具体以投标人须知前附表或投标文件格式规定为准）</w:t>
      </w:r>
      <w:bookmarkEnd w:id="131"/>
      <w:bookmarkEnd w:id="132"/>
      <w:r>
        <w:rPr>
          <w:rFonts w:hint="eastAsia" w:ascii="仿宋" w:hAnsi="仿宋" w:eastAsia="仿宋" w:cs="仿宋"/>
          <w:b w:val="0"/>
          <w:color w:val="auto"/>
          <w:sz w:val="24"/>
          <w:highlight w:val="none"/>
        </w:rPr>
        <w:t>，</w:t>
      </w:r>
      <w:r>
        <w:rPr>
          <w:rFonts w:hint="eastAsia" w:ascii="仿宋" w:hAnsi="仿宋" w:eastAsia="仿宋" w:cs="仿宋"/>
          <w:bCs/>
          <w:color w:val="auto"/>
          <w:sz w:val="24"/>
          <w:highlight w:val="none"/>
        </w:rPr>
        <w:t>否则按无效投标处理</w:t>
      </w:r>
      <w:r>
        <w:rPr>
          <w:rFonts w:hint="eastAsia" w:ascii="仿宋" w:hAnsi="仿宋" w:eastAsia="仿宋" w:cs="仿宋"/>
          <w:b w:val="0"/>
          <w:color w:val="auto"/>
          <w:sz w:val="24"/>
          <w:highlight w:val="none"/>
        </w:rPr>
        <w:t>。</w:t>
      </w:r>
    </w:p>
    <w:p w14:paraId="0721A843">
      <w:pPr>
        <w:pStyle w:val="7"/>
        <w:keepNext w:val="0"/>
        <w:keepLines w:val="0"/>
        <w:spacing w:before="0" w:after="0" w:line="360" w:lineRule="auto"/>
        <w:ind w:firstLine="360" w:firstLineChars="15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 xml:space="preserve"> 19.4投标文件中标注的投标人名称应与主体资格证明（如营业执照、事业单位法人证书、执业许可证、自然人身份证等）及公章一致，</w:t>
      </w:r>
      <w:r>
        <w:rPr>
          <w:rFonts w:hint="eastAsia" w:ascii="仿宋" w:hAnsi="仿宋" w:eastAsia="仿宋" w:cs="仿宋"/>
          <w:color w:val="auto"/>
          <w:sz w:val="24"/>
          <w:highlight w:val="none"/>
        </w:rPr>
        <w:t>否则按无效投标处理</w:t>
      </w:r>
      <w:r>
        <w:rPr>
          <w:rFonts w:hint="eastAsia" w:ascii="仿宋" w:hAnsi="仿宋" w:eastAsia="仿宋" w:cs="仿宋"/>
          <w:b w:val="0"/>
          <w:color w:val="auto"/>
          <w:sz w:val="24"/>
          <w:highlight w:val="none"/>
        </w:rPr>
        <w:t>。</w:t>
      </w:r>
    </w:p>
    <w:p w14:paraId="0D8676DA">
      <w:pPr>
        <w:pStyle w:val="7"/>
        <w:keepNext w:val="0"/>
        <w:keepLines w:val="0"/>
        <w:spacing w:before="0" w:after="0" w:line="360" w:lineRule="auto"/>
        <w:ind w:firstLine="360" w:firstLineChars="15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 xml:space="preserve"> 19.5投标文件应尽量避免涂改、行间插字或者删除。如果出现上述情况，改动之处应由投标人的法定代表人或者其委托代理人签字或者加盖公章。投标文件因字迹潦草或者表达不清所引起的后果由投标人承担。</w:t>
      </w:r>
    </w:p>
    <w:p w14:paraId="5EEC9D5D">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20.投标文件的加密、解密</w:t>
      </w:r>
    </w:p>
    <w:p w14:paraId="36657CEA">
      <w:pPr>
        <w:pStyle w:val="7"/>
        <w:keepNext w:val="0"/>
        <w:keepLines w:val="0"/>
        <w:spacing w:before="0" w:after="0" w:line="360" w:lineRule="auto"/>
        <w:ind w:firstLine="360" w:firstLineChars="15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 xml:space="preserve"> 20.1电子投标文件编制完成后，投标人应按“广西政府采购云平台”的要求进行加密，并在规定时间内解密，否则，由此产生的后果由投标人自行负责。</w:t>
      </w:r>
    </w:p>
    <w:p w14:paraId="51B727EE">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21.投标文件的提交</w:t>
      </w:r>
    </w:p>
    <w:p w14:paraId="64A20D33">
      <w:pPr>
        <w:pStyle w:val="7"/>
        <w:keepNext w:val="0"/>
        <w:keepLines w:val="0"/>
        <w:pageBreakBefore w:val="0"/>
        <w:widowControl w:val="0"/>
        <w:numPr>
          <w:ilvl w:val="0"/>
          <w:numId w:val="0"/>
        </w:numPr>
        <w:kinsoku/>
        <w:wordWrap w:val="0"/>
        <w:overflowPunct/>
        <w:topLinePunct w:val="0"/>
        <w:autoSpaceDE/>
        <w:autoSpaceDN/>
        <w:bidi w:val="0"/>
        <w:adjustRightInd/>
        <w:snapToGrid/>
        <w:spacing w:before="0" w:after="0" w:line="360" w:lineRule="auto"/>
        <w:ind w:firstLine="480" w:firstLineChars="200"/>
        <w:textAlignment w:val="auto"/>
        <w:rPr>
          <w:rFonts w:hint="eastAsia" w:ascii="仿宋" w:hAnsi="仿宋" w:eastAsia="仿宋" w:cs="仿宋"/>
          <w:b w:val="0"/>
          <w:color w:val="auto"/>
          <w:sz w:val="24"/>
          <w:highlight w:val="none"/>
        </w:rPr>
      </w:pPr>
      <w:bookmarkStart w:id="133" w:name="_21.1投标人必须在“投标人须知中的前附表”规定的投标文件接收时间和投"/>
      <w:bookmarkEnd w:id="133"/>
      <w:r>
        <w:rPr>
          <w:rFonts w:hint="eastAsia" w:ascii="仿宋" w:hAnsi="仿宋" w:eastAsia="仿宋" w:cs="仿宋"/>
          <w:b w:val="0"/>
          <w:color w:val="auto"/>
          <w:sz w:val="24"/>
          <w:highlight w:val="none"/>
        </w:rPr>
        <w:t>21.1投标人必须在“投标人须知前附表”规定的投标文件接收时间和投标地点提交投标文件。</w:t>
      </w:r>
    </w:p>
    <w:p w14:paraId="66332C9C">
      <w:pPr>
        <w:pStyle w:val="7"/>
        <w:keepNext w:val="0"/>
        <w:keepLines w:val="0"/>
        <w:pageBreakBefore w:val="0"/>
        <w:widowControl w:val="0"/>
        <w:numPr>
          <w:ilvl w:val="0"/>
          <w:numId w:val="0"/>
        </w:numPr>
        <w:kinsoku/>
        <w:wordWrap w:val="0"/>
        <w:overflowPunct/>
        <w:topLinePunct w:val="0"/>
        <w:autoSpaceDE/>
        <w:autoSpaceDN/>
        <w:bidi w:val="0"/>
        <w:adjustRightInd/>
        <w:snapToGrid/>
        <w:spacing w:before="0" w:after="0" w:line="360" w:lineRule="auto"/>
        <w:ind w:firstLine="480" w:firstLineChars="200"/>
        <w:textAlignment w:val="auto"/>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21.2本项目为全流程电子化政府采购项目，通过</w:t>
      </w:r>
      <w:r>
        <w:rPr>
          <w:rFonts w:hint="eastAsia" w:ascii="仿宋" w:hAnsi="仿宋" w:eastAsia="仿宋" w:cs="仿宋"/>
          <w:color w:val="auto"/>
          <w:sz w:val="24"/>
          <w:highlight w:val="none"/>
          <w:u w:val="single"/>
        </w:rPr>
        <w:t>广西政府采购云平台（https://www.gcy.zfcg.gxzf.gov.cn/）</w:t>
      </w:r>
      <w:r>
        <w:rPr>
          <w:rFonts w:hint="eastAsia" w:ascii="仿宋" w:hAnsi="仿宋" w:eastAsia="仿宋" w:cs="仿宋"/>
          <w:b w:val="0"/>
          <w:color w:val="auto"/>
          <w:sz w:val="24"/>
          <w:highlight w:val="none"/>
        </w:rPr>
        <w:t>实行在线电子投标。投标人必须在“投标人须知前附表”规定的投标文件接收时间内通过网络将电子投标文件上传至“广西政府采购云平台”，供应商在“广西政府采购云平台”提交电子版投标文件时，请填写参加远程开标活动经办人联系方式。</w:t>
      </w:r>
    </w:p>
    <w:p w14:paraId="3ADE7F2C">
      <w:pPr>
        <w:pStyle w:val="7"/>
        <w:keepNext w:val="0"/>
        <w:keepLines w:val="0"/>
        <w:numPr>
          <w:ilvl w:val="0"/>
          <w:numId w:val="0"/>
        </w:numPr>
        <w:spacing w:before="0" w:after="0" w:line="360" w:lineRule="auto"/>
        <w:ind w:firstLine="480" w:firstLineChars="200"/>
        <w:jc w:val="left"/>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21.3未在规定时间内上传或者未按“广西政府采购云平台”的要求编制、加密的电子投标文件，“广西政府采购云平台”将拒收。</w:t>
      </w:r>
    </w:p>
    <w:p w14:paraId="626285F8">
      <w:pPr>
        <w:pStyle w:val="7"/>
        <w:keepNext w:val="0"/>
        <w:keepLines w:val="0"/>
        <w:numPr>
          <w:ilvl w:val="0"/>
          <w:numId w:val="0"/>
        </w:numPr>
        <w:spacing w:before="0" w:after="0" w:line="360" w:lineRule="auto"/>
        <w:ind w:firstLine="480" w:firstLine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21.4电子投标文件提交方式见“招标公告”中“四、提交投标文件截止时间、开标时间和地点”。</w:t>
      </w:r>
    </w:p>
    <w:p w14:paraId="7B0E9D45">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22. 投标文件的补充、修改、撤回与退回</w:t>
      </w:r>
    </w:p>
    <w:p w14:paraId="5B0D3B86">
      <w:pPr>
        <w:snapToGrid w:val="0"/>
        <w:spacing w:line="360" w:lineRule="auto"/>
        <w:ind w:firstLine="420"/>
        <w:jc w:val="left"/>
        <w:rPr>
          <w:rFonts w:hint="eastAsia" w:ascii="仿宋" w:hAnsi="仿宋" w:eastAsia="仿宋" w:cs="仿宋"/>
          <w:color w:val="auto"/>
          <w:sz w:val="24"/>
          <w:highlight w:val="none"/>
        </w:rPr>
      </w:pPr>
      <w:bookmarkStart w:id="134" w:name="_Toc254970684"/>
      <w:bookmarkStart w:id="135" w:name="_Toc254970543"/>
      <w:r>
        <w:rPr>
          <w:rFonts w:hint="eastAsia" w:ascii="仿宋" w:hAnsi="仿宋" w:eastAsia="仿宋" w:cs="仿宋"/>
          <w:color w:val="auto"/>
          <w:sz w:val="24"/>
          <w:highlight w:val="none"/>
        </w:rPr>
        <w:t>22.1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广西政府采购云平台”将予以拒收。</w:t>
      </w:r>
    </w:p>
    <w:bookmarkEnd w:id="134"/>
    <w:bookmarkEnd w:id="135"/>
    <w:p w14:paraId="6BB30D81">
      <w:pPr>
        <w:snapToGrid w:val="0"/>
        <w:spacing w:line="360" w:lineRule="auto"/>
        <w:ind w:firstLine="42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22.2在投标截止时间止提交投标文件的投标人不足3家时，不得开标，采购代理机构将根据“广西政府采购云平台”的操作将电子版投标文件退回，除此之外采购人和采购代理机构对已提交的投标文件概不退回。</w:t>
      </w:r>
    </w:p>
    <w:p w14:paraId="06AC771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22.3 投标人在投标截止时间后书面通知采购人、采购代理机构撤销投标文件的，将根据本须知正文18.4的规定不予退还其投标保证金。</w:t>
      </w:r>
    </w:p>
    <w:p w14:paraId="1EE9F2C4">
      <w:pPr>
        <w:pStyle w:val="5"/>
        <w:keepNext w:val="0"/>
        <w:keepLines w:val="0"/>
        <w:jc w:val="center"/>
        <w:rPr>
          <w:rFonts w:hint="eastAsia" w:ascii="仿宋" w:hAnsi="仿宋" w:eastAsia="仿宋" w:cs="仿宋"/>
          <w:color w:val="auto"/>
          <w:highlight w:val="none"/>
        </w:rPr>
      </w:pPr>
      <w:bookmarkStart w:id="136" w:name="_Toc254970685"/>
      <w:bookmarkStart w:id="137" w:name="_Toc254970544"/>
      <w:r>
        <w:rPr>
          <w:rFonts w:hint="eastAsia" w:ascii="仿宋" w:hAnsi="仿宋" w:eastAsia="仿宋" w:cs="仿宋"/>
          <w:color w:val="auto"/>
          <w:highlight w:val="none"/>
        </w:rPr>
        <w:t>四、开    标</w:t>
      </w:r>
      <w:bookmarkEnd w:id="136"/>
      <w:bookmarkEnd w:id="137"/>
    </w:p>
    <w:p w14:paraId="677F2754">
      <w:pPr>
        <w:pStyle w:val="7"/>
        <w:keepNext w:val="0"/>
        <w:keepLines w:val="0"/>
        <w:spacing w:before="0" w:after="0" w:line="360" w:lineRule="auto"/>
        <w:ind w:left="420" w:leftChars="200"/>
        <w:rPr>
          <w:rFonts w:hint="eastAsia" w:ascii="仿宋" w:hAnsi="仿宋" w:eastAsia="仿宋" w:cs="仿宋"/>
          <w:color w:val="auto"/>
          <w:sz w:val="24"/>
          <w:highlight w:val="none"/>
        </w:rPr>
      </w:pPr>
      <w:bookmarkStart w:id="138" w:name="_23.开标时间和地点"/>
      <w:bookmarkEnd w:id="138"/>
      <w:r>
        <w:rPr>
          <w:rFonts w:hint="eastAsia" w:ascii="仿宋" w:hAnsi="仿宋" w:eastAsia="仿宋" w:cs="仿宋"/>
          <w:color w:val="auto"/>
          <w:sz w:val="24"/>
          <w:highlight w:val="none"/>
        </w:rPr>
        <w:t>23.开标时间和地点</w:t>
      </w:r>
    </w:p>
    <w:p w14:paraId="5146933B">
      <w:pPr>
        <w:snapToGrid w:val="0"/>
        <w:spacing w:line="360" w:lineRule="auto"/>
        <w:ind w:firstLine="42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23.1开标时间及地点详见“投标人须知前附表”</w:t>
      </w:r>
    </w:p>
    <w:p w14:paraId="6009C7FF">
      <w:pPr>
        <w:snapToGrid w:val="0"/>
        <w:spacing w:line="360" w:lineRule="auto"/>
        <w:ind w:firstLine="42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23.2如投标人成功解密投标文件，但未在“广西政府采购云平台”电子开标大厅参加开标的，视同认可开标过程和结果，由此产生的后果由投标人自行负责。成功解密投标文件的投标人不足3家的，不得开标。</w:t>
      </w:r>
    </w:p>
    <w:p w14:paraId="0EA2A0FF">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24.开标程序</w:t>
      </w:r>
    </w:p>
    <w:p w14:paraId="14D43335">
      <w:pPr>
        <w:pStyle w:val="7"/>
        <w:keepNext w:val="0"/>
        <w:keepLines w:val="0"/>
        <w:spacing w:before="0" w:after="0" w:line="360" w:lineRule="auto"/>
        <w:ind w:left="420" w:leftChars="200"/>
        <w:rPr>
          <w:rFonts w:hint="eastAsia" w:ascii="仿宋" w:hAnsi="仿宋" w:eastAsia="仿宋" w:cs="仿宋"/>
          <w:color w:val="auto"/>
          <w:kern w:val="0"/>
          <w:sz w:val="24"/>
          <w:highlight w:val="none"/>
        </w:rPr>
      </w:pPr>
      <w:r>
        <w:rPr>
          <w:rFonts w:hint="eastAsia" w:ascii="仿宋" w:hAnsi="仿宋" w:eastAsia="仿宋" w:cs="仿宋"/>
          <w:bCs/>
          <w:color w:val="auto"/>
          <w:sz w:val="24"/>
          <w:highlight w:val="none"/>
        </w:rPr>
        <w:t>24.1</w:t>
      </w:r>
      <w:r>
        <w:rPr>
          <w:rFonts w:hint="eastAsia" w:ascii="仿宋" w:hAnsi="仿宋" w:eastAsia="仿宋" w:cs="仿宋"/>
          <w:color w:val="auto"/>
          <w:kern w:val="0"/>
          <w:sz w:val="24"/>
          <w:highlight w:val="none"/>
        </w:rPr>
        <w:t>开标形式：</w:t>
      </w:r>
    </w:p>
    <w:p w14:paraId="5204CFB9">
      <w:pPr>
        <w:snapToGrid w:val="0"/>
        <w:spacing w:line="360" w:lineRule="auto"/>
        <w:ind w:firstLine="42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代理机构将按照招标文件规定的时间通过“广西政府采购云平台”组织线上开标活动、开启投标文件，所有供应商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3B43CC03">
      <w:pPr>
        <w:snapToGrid w:val="0"/>
        <w:spacing w:line="360" w:lineRule="auto"/>
        <w:ind w:firstLine="42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24.2开标程序：</w:t>
      </w:r>
    </w:p>
    <w:p w14:paraId="46DE558E">
      <w:pPr>
        <w:snapToGrid w:val="0"/>
        <w:spacing w:line="360" w:lineRule="auto"/>
        <w:ind w:firstLine="420"/>
        <w:jc w:val="left"/>
        <w:rPr>
          <w:rFonts w:hint="eastAsia" w:ascii="仿宋" w:hAnsi="仿宋" w:eastAsia="仿宋" w:cs="仿宋"/>
          <w:bCs/>
          <w:color w:val="auto"/>
          <w:sz w:val="24"/>
          <w:highlight w:val="none"/>
        </w:rPr>
      </w:pPr>
      <w:r>
        <w:rPr>
          <w:rFonts w:hint="eastAsia" w:ascii="仿宋" w:hAnsi="仿宋" w:eastAsia="仿宋" w:cs="仿宋"/>
          <w:color w:val="auto"/>
          <w:sz w:val="24"/>
          <w:highlight w:val="none"/>
        </w:rPr>
        <w:t>（1）解密电子投标文件。“广西政府采购云平台”按开标时间自动提取所有投标文件。采购代理机构依托“广西政府采购云平台”向各投标人发出电子加密投标文件【开始解密】通知，由投标人进</w:t>
      </w:r>
      <w:r>
        <w:rPr>
          <w:rFonts w:hint="eastAsia" w:ascii="仿宋" w:hAnsi="仿宋" w:eastAsia="仿宋" w:cs="仿宋"/>
          <w:bCs/>
          <w:color w:val="auto"/>
          <w:sz w:val="24"/>
          <w:highlight w:val="none"/>
        </w:rPr>
        <w:t>行投标文件解密。</w:t>
      </w:r>
      <w:r>
        <w:rPr>
          <w:rFonts w:hint="eastAsia" w:ascii="仿宋" w:hAnsi="仿宋" w:eastAsia="仿宋" w:cs="仿宋"/>
          <w:b/>
          <w:bCs/>
          <w:color w:val="auto"/>
          <w:sz w:val="24"/>
          <w:highlight w:val="none"/>
        </w:rPr>
        <w:t>投标人的法定代表人或其委托代理人须携带加密时所用的CA锁准时登录到“广西政府采购云平台”电子开标大厅签到</w:t>
      </w:r>
      <w:r>
        <w:rPr>
          <w:rFonts w:hint="eastAsia" w:ascii="仿宋" w:hAnsi="仿宋" w:eastAsia="仿宋" w:cs="仿宋"/>
          <w:b/>
          <w:color w:val="auto"/>
          <w:sz w:val="24"/>
          <w:highlight w:val="none"/>
        </w:rPr>
        <w:t>并在发起解密</w:t>
      </w:r>
      <w:r>
        <w:rPr>
          <w:rFonts w:hint="eastAsia" w:ascii="仿宋" w:hAnsi="仿宋" w:eastAsia="仿宋" w:cs="仿宋"/>
          <w:b/>
          <w:bCs/>
          <w:color w:val="auto"/>
          <w:sz w:val="24"/>
          <w:highlight w:val="none"/>
        </w:rPr>
        <w:t>通知</w:t>
      </w:r>
      <w:r>
        <w:rPr>
          <w:rFonts w:hint="eastAsia" w:ascii="仿宋" w:hAnsi="仿宋" w:eastAsia="仿宋" w:cs="仿宋"/>
          <w:b/>
          <w:color w:val="auto"/>
          <w:sz w:val="24"/>
          <w:highlight w:val="none"/>
        </w:rPr>
        <w:t>之时起30分钟内完成</w:t>
      </w:r>
      <w:r>
        <w:rPr>
          <w:rFonts w:hint="eastAsia" w:ascii="仿宋" w:hAnsi="仿宋" w:eastAsia="仿宋" w:cs="仿宋"/>
          <w:b/>
          <w:bCs/>
          <w:color w:val="auto"/>
          <w:sz w:val="24"/>
          <w:highlight w:val="none"/>
        </w:rPr>
        <w:t>对电子投标文件解密。投标文件未按时解密的，视为无效投标。</w:t>
      </w:r>
      <w:r>
        <w:rPr>
          <w:rFonts w:hint="eastAsia" w:ascii="仿宋" w:hAnsi="仿宋" w:eastAsia="仿宋" w:cs="仿宋"/>
          <w:bCs/>
          <w:color w:val="auto"/>
          <w:sz w:val="24"/>
          <w:highlight w:val="none"/>
        </w:rPr>
        <w:t>（解密异常情况处理：详见本章29.4 电子交易活动的中止。</w:t>
      </w:r>
    </w:p>
    <w:p w14:paraId="6781747E">
      <w:pPr>
        <w:snapToGrid w:val="0"/>
        <w:spacing w:line="360" w:lineRule="auto"/>
        <w:ind w:firstLine="42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（2）电子唱标。投标文件解密结束，各投标供应商报价均在“广西政府采购云平台”远程不见面开标大厅展示；</w:t>
      </w:r>
    </w:p>
    <w:p w14:paraId="42C6220E">
      <w:pPr>
        <w:snapToGrid w:val="0"/>
        <w:spacing w:line="360" w:lineRule="auto"/>
        <w:ind w:firstLine="42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（3）开标过程由采购代理机构如实记录，并电子留痕，由参加电子开标的各投标人代表对电子开标记录在开标记录公布后15分钟内进行当场校核及勘误，并线上确认，未确认的视同认可开标结果。</w:t>
      </w:r>
    </w:p>
    <w:p w14:paraId="3A922807">
      <w:pPr>
        <w:snapToGrid w:val="0"/>
        <w:spacing w:line="360" w:lineRule="auto"/>
        <w:ind w:firstLine="42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14:paraId="1E532473">
      <w:pPr>
        <w:snapToGrid w:val="0"/>
        <w:spacing w:line="360" w:lineRule="auto"/>
        <w:ind w:firstLine="42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（5）开标结束。</w:t>
      </w:r>
    </w:p>
    <w:p w14:paraId="3D7E456F">
      <w:pPr>
        <w:autoSpaceDE w:val="0"/>
        <w:autoSpaceDN w:val="0"/>
        <w:adjustRightInd w:val="0"/>
        <w:spacing w:line="440" w:lineRule="exact"/>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特别说明：如遇“广西政府采购云平台”电子化开标或评审程序调整的，按调整后执行。</w:t>
      </w:r>
    </w:p>
    <w:p w14:paraId="3304D193">
      <w:pPr>
        <w:pStyle w:val="5"/>
        <w:keepNext w:val="0"/>
        <w:keepLines w:val="0"/>
        <w:jc w:val="center"/>
        <w:rPr>
          <w:rFonts w:hint="eastAsia" w:ascii="仿宋" w:hAnsi="仿宋" w:eastAsia="仿宋" w:cs="仿宋"/>
          <w:color w:val="auto"/>
          <w:highlight w:val="none"/>
        </w:rPr>
      </w:pPr>
      <w:r>
        <w:rPr>
          <w:rFonts w:hint="eastAsia" w:ascii="仿宋" w:hAnsi="仿宋" w:eastAsia="仿宋" w:cs="仿宋"/>
          <w:color w:val="auto"/>
          <w:highlight w:val="none"/>
        </w:rPr>
        <w:t>五、资格审查</w:t>
      </w:r>
    </w:p>
    <w:p w14:paraId="626F1F03">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25.资格审查</w:t>
      </w:r>
    </w:p>
    <w:p w14:paraId="24E75CFC">
      <w:pPr>
        <w:pStyle w:val="7"/>
        <w:keepNext w:val="0"/>
        <w:keepLines w:val="0"/>
        <w:spacing w:before="0" w:after="0" w:line="360" w:lineRule="auto"/>
        <w:ind w:firstLine="360" w:firstLineChars="15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 xml:space="preserve"> 25.1开标结束后，采购人或者采购代理机构依法对投标人的资格进行审查。</w:t>
      </w:r>
    </w:p>
    <w:p w14:paraId="4B87B4D7">
      <w:pPr>
        <w:pStyle w:val="7"/>
        <w:keepNext w:val="0"/>
        <w:keepLines w:val="0"/>
        <w:spacing w:before="0" w:after="0" w:line="360" w:lineRule="auto"/>
        <w:ind w:firstLine="360" w:firstLineChars="15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 xml:space="preserve"> 25.2资格审查标准为本招标文件中载明对投标人资格要求的条件。本项目资格审查采用合格制，凡符合招标文件规定的投标人资格要求的投标人均通过资格审查。</w:t>
      </w:r>
    </w:p>
    <w:p w14:paraId="1AE35E10">
      <w:pPr>
        <w:pStyle w:val="7"/>
        <w:keepNext w:val="0"/>
        <w:keepLines w:val="0"/>
        <w:numPr>
          <w:ilvl w:val="0"/>
          <w:numId w:val="0"/>
        </w:numPr>
        <w:spacing w:before="0" w:after="0" w:line="360" w:lineRule="auto"/>
        <w:ind w:firstLine="482" w:firstLineChars="200"/>
        <w:rPr>
          <w:rFonts w:hint="eastAsia" w:ascii="仿宋" w:hAnsi="仿宋" w:eastAsia="仿宋" w:cs="仿宋"/>
          <w:color w:val="auto"/>
          <w:sz w:val="24"/>
          <w:highlight w:val="none"/>
        </w:rPr>
      </w:pPr>
      <w:bookmarkStart w:id="139" w:name="_25.3_投标人有下列情形之一的，资格审查不通过而导致其投标无效："/>
      <w:bookmarkEnd w:id="139"/>
      <w:r>
        <w:rPr>
          <w:rFonts w:hint="eastAsia" w:ascii="仿宋" w:hAnsi="仿宋" w:eastAsia="仿宋" w:cs="仿宋"/>
          <w:color w:val="auto"/>
          <w:sz w:val="24"/>
          <w:highlight w:val="none"/>
        </w:rPr>
        <w:t>25.3 投标人有下列情形之一的，资格审查不通过，作无效投标处理：</w:t>
      </w:r>
    </w:p>
    <w:p w14:paraId="1A41DF61">
      <w:pPr>
        <w:pStyle w:val="27"/>
        <w:snapToGrid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（1）未按招标文件规定的方式获取本招标文件的投标人；</w:t>
      </w:r>
    </w:p>
    <w:p w14:paraId="3903FC2A">
      <w:pPr>
        <w:pStyle w:val="27"/>
        <w:snapToGrid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（2）不具备招标文件中规定的资格要求的；</w:t>
      </w:r>
    </w:p>
    <w:p w14:paraId="7D055DAA">
      <w:pPr>
        <w:pStyle w:val="27"/>
        <w:snapToGrid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（3）在“信用中国”网站（www.creditchina.gov.cn） 、中国政府采购网（www.ccgp.gov.cn）被列入失信被执行人、重大税收违法案件当事人名单、政府采购严重违法失信行为记录名单及其他不符合《中华人民共和国政府采购法》第二十二条规定条件的；（注：其中信用查询规则见“投标人须知前附表”）</w:t>
      </w:r>
    </w:p>
    <w:p w14:paraId="5DE9B59E">
      <w:pPr>
        <w:pStyle w:val="27"/>
        <w:snapToGrid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（4）同一合同项下的不同投标人，单位负责人为同一人或者存在直接控股、管理关系的；为本项目提供过整体设计、规范编制或者项目管理、监理、检测等服务的供应商，再参加该采购项目的其他采购活动的；</w:t>
      </w:r>
    </w:p>
    <w:p w14:paraId="7FEDC9AA">
      <w:pPr>
        <w:pStyle w:val="27"/>
        <w:snapToGrid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（5）投标文件中的资格证明文件缺少任一项“投标人须知前附表”资格证明文件规定“必须提供”的文件资料的；</w:t>
      </w:r>
    </w:p>
    <w:p w14:paraId="2B3B3C45">
      <w:pPr>
        <w:pStyle w:val="27"/>
        <w:snapToGrid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（6）投标文件中的资格证明文件出现任一项不符合“投标人须知前附表”资格证明文件规定“必须提供”的文件资料要求或者无效的。</w:t>
      </w:r>
    </w:p>
    <w:p w14:paraId="27F2D557">
      <w:pPr>
        <w:pStyle w:val="7"/>
        <w:keepNext w:val="0"/>
        <w:keepLines w:val="0"/>
        <w:spacing w:before="0" w:after="0" w:line="360" w:lineRule="auto"/>
        <w:ind w:left="420" w:leftChars="200"/>
        <w:rPr>
          <w:rFonts w:hint="eastAsia" w:ascii="仿宋" w:hAnsi="仿宋" w:eastAsia="仿宋" w:cs="仿宋"/>
          <w:b w:val="0"/>
          <w:color w:val="auto"/>
          <w:sz w:val="24"/>
          <w:highlight w:val="none"/>
        </w:rPr>
      </w:pPr>
      <w:r>
        <w:rPr>
          <w:rFonts w:hint="eastAsia" w:ascii="仿宋" w:hAnsi="仿宋" w:eastAsia="仿宋" w:cs="仿宋"/>
          <w:color w:val="auto"/>
          <w:sz w:val="24"/>
          <w:highlight w:val="none"/>
        </w:rPr>
        <w:t>25.4合格投标人不足3家的，不得评标。</w:t>
      </w:r>
    </w:p>
    <w:p w14:paraId="7D492874">
      <w:pPr>
        <w:pStyle w:val="5"/>
        <w:keepNext w:val="0"/>
        <w:keepLines w:val="0"/>
        <w:jc w:val="center"/>
        <w:rPr>
          <w:rFonts w:hint="eastAsia" w:ascii="仿宋" w:hAnsi="仿宋" w:eastAsia="仿宋" w:cs="仿宋"/>
          <w:color w:val="auto"/>
          <w:highlight w:val="none"/>
        </w:rPr>
      </w:pPr>
      <w:r>
        <w:rPr>
          <w:rFonts w:hint="eastAsia" w:ascii="仿宋" w:hAnsi="仿宋" w:eastAsia="仿宋" w:cs="仿宋"/>
          <w:color w:val="auto"/>
          <w:highlight w:val="none"/>
        </w:rPr>
        <w:t>六、评   标</w:t>
      </w:r>
    </w:p>
    <w:p w14:paraId="2C4C0E80">
      <w:pPr>
        <w:pStyle w:val="7"/>
        <w:keepNext w:val="0"/>
        <w:keepLines w:val="0"/>
        <w:spacing w:before="0" w:after="0" w:line="360" w:lineRule="auto"/>
        <w:ind w:left="420" w:leftChars="200"/>
        <w:rPr>
          <w:rFonts w:hint="eastAsia" w:ascii="仿宋" w:hAnsi="仿宋" w:eastAsia="仿宋" w:cs="仿宋"/>
          <w:color w:val="auto"/>
          <w:sz w:val="24"/>
          <w:highlight w:val="none"/>
        </w:rPr>
      </w:pPr>
      <w:bookmarkStart w:id="140" w:name="_26.组建评标委员会"/>
      <w:bookmarkEnd w:id="140"/>
      <w:r>
        <w:rPr>
          <w:rFonts w:hint="eastAsia" w:ascii="仿宋" w:hAnsi="仿宋" w:eastAsia="仿宋" w:cs="仿宋"/>
          <w:color w:val="auto"/>
          <w:sz w:val="24"/>
          <w:highlight w:val="none"/>
        </w:rPr>
        <w:t>26.组建评标委员会</w:t>
      </w:r>
    </w:p>
    <w:p w14:paraId="77182F24">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评标委员会由采购人代表和评审专家组成，具体人数详见“投标人须知前附表”，其中评审专家不得少于成员总数的三分之二。</w:t>
      </w:r>
    </w:p>
    <w:p w14:paraId="1643A86C">
      <w:pPr>
        <w:pStyle w:val="27"/>
        <w:snapToGrid w:val="0"/>
        <w:spacing w:line="360" w:lineRule="auto"/>
        <w:ind w:left="2" w:leftChars="1"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参加过采购项目前期咨询论证的专家，不得参加该采购项目的评审活动。</w:t>
      </w:r>
    </w:p>
    <w:p w14:paraId="271D38EA">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27.评标的依据</w:t>
      </w:r>
    </w:p>
    <w:p w14:paraId="5FA1974D">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评标委员会以“第四章 评标方法和评标标准”为依据对投标文件进行评审，没有规定的方法、评审因素和标准，不作为评标依据。</w:t>
      </w:r>
    </w:p>
    <w:p w14:paraId="68C8B832">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28.评标原则</w:t>
      </w:r>
    </w:p>
    <w:p w14:paraId="15C467D6">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1F7D43DD">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28.2</w:t>
      </w:r>
      <w:bookmarkStart w:id="141" w:name="_28.3评标方法。本项目将按须知前附表规定的评标办法进行评标，具体评标"/>
      <w:bookmarkEnd w:id="141"/>
      <w:r>
        <w:rPr>
          <w:rFonts w:hint="eastAsia" w:ascii="仿宋" w:hAnsi="仿宋" w:eastAsia="仿宋" w:cs="仿宋"/>
          <w:color w:val="auto"/>
          <w:sz w:val="24"/>
          <w:szCs w:val="24"/>
          <w:highlight w:val="none"/>
        </w:rPr>
        <w:t>评委表决。评标委员会成员对需要共同认定的事项存在争议的，应当按照少数服从多数的原则作出结论。</w:t>
      </w:r>
    </w:p>
    <w:p w14:paraId="04F0F4AB">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28.3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33DB140A">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28.4评标过程的监控。本项目评标过程实行全程录音、录像监控，</w:t>
      </w:r>
      <w:r>
        <w:rPr>
          <w:rFonts w:hint="eastAsia" w:ascii="仿宋" w:hAnsi="仿宋" w:eastAsia="仿宋" w:cs="仿宋"/>
          <w:b/>
          <w:bCs/>
          <w:color w:val="auto"/>
          <w:sz w:val="24"/>
          <w:szCs w:val="24"/>
          <w:highlight w:val="none"/>
        </w:rPr>
        <w:t>投标人在评标过程中所进行的试图影响评标结果的不公正活动，可能导致其投标无效</w:t>
      </w:r>
      <w:r>
        <w:rPr>
          <w:rFonts w:hint="eastAsia" w:ascii="仿宋" w:hAnsi="仿宋" w:eastAsia="仿宋" w:cs="仿宋"/>
          <w:color w:val="auto"/>
          <w:sz w:val="24"/>
          <w:szCs w:val="24"/>
          <w:highlight w:val="none"/>
        </w:rPr>
        <w:t>。</w:t>
      </w:r>
    </w:p>
    <w:p w14:paraId="2CC887BD">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29.评标方法及中标候选人推荐</w:t>
      </w:r>
    </w:p>
    <w:p w14:paraId="245F075C">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29.1本项目的评标方法详见“投标人须知前附表”。</w:t>
      </w:r>
    </w:p>
    <w:p w14:paraId="76ACD16A">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29.2允许负偏离的条款数量详见“投标人须知前附表”。</w:t>
      </w:r>
    </w:p>
    <w:p w14:paraId="24E08484">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29.3中标候选人推荐数量详见“投标人须知前附表”。</w:t>
      </w:r>
    </w:p>
    <w:p w14:paraId="0A6688F2">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29.4评标委员会将按照“第四章 评标方法和评标标准”规定的方法、评审因素、标准和程序对投标文件进行评审。</w:t>
      </w:r>
    </w:p>
    <w:p w14:paraId="3F0C41DC">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29.5电子交易活动的中止。采购过程中出现以下情形，导致电子交易平台无法正常运行，或者无法保证电子交易的公平、公正和安全时，采购代理机构可中止电子交易活动：</w:t>
      </w:r>
    </w:p>
    <w:p w14:paraId="55899A48">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（1）电子交易平台发生故障而无法登录访问的； </w:t>
      </w:r>
    </w:p>
    <w:p w14:paraId="63898009">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（2）电子交易平台应用或数据库出现错误，不能进行正常操作的；</w:t>
      </w:r>
    </w:p>
    <w:p w14:paraId="562D9246">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（3）电子交易平台发现严重安全漏洞，有潜在泄密危险的；</w:t>
      </w:r>
    </w:p>
    <w:p w14:paraId="22042A61">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（4）病毒发作导致不能进行正常操作的； </w:t>
      </w:r>
    </w:p>
    <w:p w14:paraId="73ABFBA6">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（4）其他无法保证电子交易的公平、公正和安全的情况。</w:t>
      </w:r>
    </w:p>
    <w:p w14:paraId="746B9E12">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29.6出现以上情形，不影响采购公平、公正性的，采购代理机构可以待上述情形消除后继续组织电子交易活动；影响或可能影响采购公平、公正性的，经采购代理机构确认后，应当重新采购。</w:t>
      </w:r>
    </w:p>
    <w:p w14:paraId="0569F30F">
      <w:pPr>
        <w:pStyle w:val="5"/>
        <w:keepNext w:val="0"/>
        <w:keepLines w:val="0"/>
        <w:jc w:val="center"/>
        <w:rPr>
          <w:rFonts w:hint="eastAsia" w:ascii="仿宋" w:hAnsi="仿宋" w:eastAsia="仿宋" w:cs="仿宋"/>
          <w:color w:val="auto"/>
          <w:highlight w:val="none"/>
        </w:rPr>
      </w:pPr>
      <w:bookmarkStart w:id="142" w:name="_Toc254970546"/>
      <w:bookmarkStart w:id="143" w:name="_Toc254970687"/>
      <w:r>
        <w:rPr>
          <w:rFonts w:hint="eastAsia" w:ascii="仿宋" w:hAnsi="仿宋" w:eastAsia="仿宋" w:cs="仿宋"/>
          <w:color w:val="auto"/>
          <w:highlight w:val="none"/>
        </w:rPr>
        <w:t>七、</w:t>
      </w:r>
      <w:bookmarkEnd w:id="142"/>
      <w:bookmarkEnd w:id="143"/>
      <w:r>
        <w:rPr>
          <w:rFonts w:hint="eastAsia" w:ascii="仿宋" w:hAnsi="仿宋" w:eastAsia="仿宋" w:cs="仿宋"/>
          <w:color w:val="auto"/>
          <w:highlight w:val="none"/>
        </w:rPr>
        <w:t>中标和合同</w:t>
      </w:r>
    </w:p>
    <w:p w14:paraId="70201C56">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30.确定中标人</w:t>
      </w:r>
    </w:p>
    <w:p w14:paraId="40A70FD3">
      <w:pPr>
        <w:pStyle w:val="7"/>
        <w:keepNext w:val="0"/>
        <w:keepLines w:val="0"/>
        <w:spacing w:before="0" w:after="0" w:line="360" w:lineRule="auto"/>
        <w:ind w:firstLine="480" w:firstLine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30.1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14:paraId="6C691FCF">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30.2采购人在收到评标报告5个工作日内未按评标报告推荐的中标候选人顺序确定中标人，又不能说明合法理由的，视同按评标报告推荐的顺序确定排名第一的中标候选人为中标人。</w:t>
      </w:r>
    </w:p>
    <w:p w14:paraId="56300396">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30.3出现下列情形之一的，应予废标：</w:t>
      </w:r>
    </w:p>
    <w:p w14:paraId="54C53D73">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（1）符合专业条件的供应商或者对招标文件作实质响应的供应商不足三家的；</w:t>
      </w:r>
    </w:p>
    <w:p w14:paraId="480D8933">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（2）出现影响采购公正的违法、违规行为的；</w:t>
      </w:r>
    </w:p>
    <w:p w14:paraId="5813F560">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（3）投标人的报价均超过了采购预算，采购人不能支付的；</w:t>
      </w:r>
    </w:p>
    <w:p w14:paraId="36AD6FB4">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（4）因重大变故，采购任务取消的。</w:t>
      </w:r>
    </w:p>
    <w:p w14:paraId="5E58DD26">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废标后，采购人应当将废标理由通知所有投标人。</w:t>
      </w:r>
    </w:p>
    <w:p w14:paraId="690B7E90">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30.4 中标人拒绝签订政府采购合同（包括但不限于放弃中标、因不可抗力不能履行合同而放弃签订合同），采购人可以按照评审报告推荐的中标候选人名单排序，确定下一候选人为中标供应商，也可以重新开展政府采购活动。拒绝签订政府采购合同的中标人不得参加对该项目重新开展的采购活动。</w:t>
      </w:r>
    </w:p>
    <w:p w14:paraId="503A3CC2">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31.结果公告</w:t>
      </w:r>
    </w:p>
    <w:p w14:paraId="151CA936">
      <w:pPr>
        <w:pStyle w:val="7"/>
        <w:keepNext w:val="0"/>
        <w:keepLines w:val="0"/>
        <w:spacing w:before="0" w:after="0" w:line="360" w:lineRule="auto"/>
        <w:ind w:firstLine="480" w:firstLine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31.1采购人或者采购代理机构应当自中标人确定之日起2个工作日内，在省级以上财政部门指定的媒体上公告中标结果，招标文件应当随中标结果同时公告。</w:t>
      </w:r>
      <w:r>
        <w:rPr>
          <w:rFonts w:hint="eastAsia" w:ascii="仿宋" w:hAnsi="仿宋" w:eastAsia="仿宋" w:cs="仿宋"/>
          <w:color w:val="auto"/>
          <w:sz w:val="24"/>
          <w:highlight w:val="none"/>
        </w:rPr>
        <w:t>采购人或者采购代理发出中标通知书前，应当对中标人信用进行查询，对列入失信被执行人、重大税收违法案件当事人名单、政府采购严重违法失信行为记录名单及其他不符合《中华人民共和国政府采购法》第二十二条规定条件的投标人，取消其中标资格，并确定排名第二的中标候选人为中标人。</w:t>
      </w:r>
      <w:r>
        <w:rPr>
          <w:rFonts w:hint="eastAsia" w:ascii="仿宋" w:hAnsi="仿宋" w:eastAsia="仿宋" w:cs="仿宋"/>
          <w:b w:val="0"/>
          <w:color w:val="auto"/>
          <w:sz w:val="24"/>
          <w:highlight w:val="none"/>
        </w:rPr>
        <w:t>排名第二的中标候选人因前款规定的同样原因被取消中标资格的，采购人可以确定排名第三的中标候选人为中标人，以此类推。以上信息查询记录及相关证据与采购文件一并保存。</w:t>
      </w:r>
    </w:p>
    <w:p w14:paraId="15D68D7A">
      <w:pPr>
        <w:pStyle w:val="7"/>
        <w:keepNext w:val="0"/>
        <w:keepLines w:val="0"/>
        <w:spacing w:before="0" w:after="0" w:line="360" w:lineRule="auto"/>
        <w:ind w:firstLine="480" w:firstLine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31.2中标供应商享受《政府采购促进中小企业发展管理办法》（财库〔2020〕46号）规定的中小企业扶持政策的，采购人、采购代理机构应当随中标结果公开中标供应商的《中小企业声明函》。</w:t>
      </w:r>
    </w:p>
    <w:p w14:paraId="4F7E1E5D">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32.发出中标通知书</w:t>
      </w:r>
    </w:p>
    <w:p w14:paraId="50476DEE">
      <w:pPr>
        <w:pStyle w:val="7"/>
        <w:keepNext w:val="0"/>
        <w:keepLines w:val="0"/>
        <w:spacing w:before="0" w:after="0" w:line="360" w:lineRule="auto"/>
        <w:ind w:firstLine="480" w:firstLine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在公告中标结果的同时，采购代理机构向中标人发出中标通知书。对未通过资格审查的投标人，应当告知其未通过的原因；采用综合评分办法评审的，还应当告知未中标人本人的评审得分与排序。</w:t>
      </w:r>
    </w:p>
    <w:p w14:paraId="1CA410DE">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33.无义务解释未中标原因</w:t>
      </w:r>
    </w:p>
    <w:p w14:paraId="5BD6786F">
      <w:pPr>
        <w:pStyle w:val="7"/>
        <w:keepNext w:val="0"/>
        <w:keepLines w:val="0"/>
        <w:spacing w:before="0" w:after="0" w:line="360" w:lineRule="auto"/>
        <w:ind w:left="420" w:left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采购代理机构无义务向未中标的投标人解释未中标原因和退还投标文件。</w:t>
      </w:r>
    </w:p>
    <w:p w14:paraId="28EA0B20">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34.合同授予标准</w:t>
      </w:r>
    </w:p>
    <w:p w14:paraId="3E6FE929">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合同将授予被确定实质上响应招标文件要求，具备履行合同能力的中标人（招标文件另有约定多名中标人的除外）。</w:t>
      </w:r>
    </w:p>
    <w:p w14:paraId="04364169">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35.履约保证金</w:t>
      </w:r>
    </w:p>
    <w:p w14:paraId="048C0705">
      <w:pPr>
        <w:pStyle w:val="7"/>
        <w:keepNext w:val="0"/>
        <w:keepLines w:val="0"/>
        <w:spacing w:before="0" w:after="0" w:line="360" w:lineRule="auto"/>
        <w:ind w:firstLine="360" w:firstLineChars="150"/>
        <w:rPr>
          <w:rFonts w:hint="eastAsia" w:ascii="仿宋" w:hAnsi="仿宋" w:eastAsia="仿宋" w:cs="仿宋"/>
          <w:b w:val="0"/>
          <w:color w:val="auto"/>
          <w:sz w:val="24"/>
          <w:highlight w:val="none"/>
        </w:rPr>
      </w:pPr>
      <w:bookmarkStart w:id="144" w:name="_39.1中标人须于签订合同前按本须知前附表规定的金额转账或电汇到指定账"/>
      <w:bookmarkEnd w:id="144"/>
      <w:r>
        <w:rPr>
          <w:rFonts w:hint="eastAsia" w:ascii="仿宋" w:hAnsi="仿宋" w:eastAsia="仿宋" w:cs="仿宋"/>
          <w:b w:val="0"/>
          <w:color w:val="auto"/>
          <w:sz w:val="24"/>
          <w:highlight w:val="none"/>
        </w:rPr>
        <w:t>35.1 履约保证金的金额、提交方式、退付的时间和条件详见 “投标人须知前附表”。中标人未按规定提交履约保证金的，视为拒绝与采购人签订合同。</w:t>
      </w:r>
    </w:p>
    <w:p w14:paraId="4367C765">
      <w:pPr>
        <w:pStyle w:val="7"/>
        <w:keepNext w:val="0"/>
        <w:keepLines w:val="0"/>
        <w:spacing w:before="0" w:after="0" w:line="360" w:lineRule="auto"/>
        <w:ind w:firstLine="360" w:firstLineChars="150"/>
        <w:rPr>
          <w:rFonts w:hint="eastAsia" w:ascii="仿宋" w:hAnsi="仿宋" w:eastAsia="仿宋" w:cs="仿宋"/>
          <w:color w:val="auto"/>
          <w:sz w:val="24"/>
          <w:highlight w:val="none"/>
        </w:rPr>
      </w:pPr>
      <w:r>
        <w:rPr>
          <w:rFonts w:hint="eastAsia" w:ascii="仿宋" w:hAnsi="仿宋" w:eastAsia="仿宋" w:cs="仿宋"/>
          <w:b w:val="0"/>
          <w:bCs/>
          <w:color w:val="auto"/>
          <w:sz w:val="24"/>
          <w:highlight w:val="none"/>
        </w:rPr>
        <w:t>35.2在履约保证金退还日期前，若中标人的开户名称、开户银行、账号有变动的，请以书面形式通知履约保证金收取单位，否则由此产生的后果由中标人自行承担。</w:t>
      </w:r>
    </w:p>
    <w:p w14:paraId="648AEACA">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36.签订合同</w:t>
      </w:r>
    </w:p>
    <w:p w14:paraId="724BDD63">
      <w:pPr>
        <w:pStyle w:val="7"/>
        <w:keepNext w:val="0"/>
        <w:keepLines w:val="0"/>
        <w:spacing w:before="0" w:after="0" w:line="360" w:lineRule="auto"/>
        <w:ind w:firstLine="360" w:firstLineChars="150"/>
        <w:rPr>
          <w:rFonts w:hint="eastAsia" w:ascii="仿宋" w:hAnsi="仿宋" w:eastAsia="仿宋" w:cs="仿宋"/>
          <w:b w:val="0"/>
          <w:bCs/>
          <w:color w:val="auto"/>
          <w:sz w:val="24"/>
          <w:highlight w:val="none"/>
        </w:rPr>
      </w:pPr>
      <w:bookmarkStart w:id="145" w:name="_40.1投标人接到中标通知书后，按须知前附表规定向采购人出示相关资格证"/>
      <w:bookmarkEnd w:id="145"/>
      <w:r>
        <w:rPr>
          <w:rFonts w:hint="eastAsia" w:ascii="仿宋" w:hAnsi="仿宋" w:eastAsia="仿宋" w:cs="仿宋"/>
          <w:b w:val="0"/>
          <w:color w:val="auto"/>
          <w:sz w:val="24"/>
          <w:highlight w:val="none"/>
        </w:rPr>
        <w:t xml:space="preserve"> 36.1投标人领取中标通知书（书面或电子）后，按“投标人须知前附表”规定向采购人出示相关证明材料，经采购人核验合格后方可签订采购合同（书面或电子）。</w:t>
      </w:r>
      <w:r>
        <w:rPr>
          <w:rFonts w:hint="eastAsia" w:ascii="仿宋" w:hAnsi="仿宋" w:eastAsia="仿宋" w:cs="仿宋"/>
          <w:b w:val="0"/>
          <w:bCs/>
          <w:color w:val="auto"/>
          <w:sz w:val="24"/>
          <w:highlight w:val="none"/>
        </w:rPr>
        <w:t>如中标人为联合体的，联合体各方应当共同与采购人签订采购合同，就采购合同约定的事项对采购人承担连带责任。</w:t>
      </w:r>
    </w:p>
    <w:p w14:paraId="3D328AD4">
      <w:pPr>
        <w:pStyle w:val="7"/>
        <w:keepNext w:val="0"/>
        <w:keepLines w:val="0"/>
        <w:numPr>
          <w:ilvl w:val="0"/>
          <w:numId w:val="0"/>
        </w:numPr>
        <w:spacing w:before="0" w:after="0" w:line="360" w:lineRule="auto"/>
        <w:ind w:firstLine="480" w:firstLine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36.2签订合同时间：中标通知书（中标公告）发出之日起25个日历日内。</w:t>
      </w:r>
    </w:p>
    <w:p w14:paraId="3CC6424C">
      <w:pPr>
        <w:pStyle w:val="7"/>
        <w:keepNext w:val="0"/>
        <w:keepLines w:val="0"/>
        <w:spacing w:before="0" w:after="0" w:line="360" w:lineRule="auto"/>
        <w:ind w:firstLine="360" w:firstLineChars="15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 xml:space="preserve"> 36.3中标人拒绝与采购人签订合同的，按照本须知正文第30.4条的规定执行。</w:t>
      </w:r>
    </w:p>
    <w:p w14:paraId="08BEC3BD">
      <w:pPr>
        <w:pStyle w:val="7"/>
        <w:keepNext w:val="0"/>
        <w:keepLines w:val="0"/>
        <w:spacing w:before="0" w:after="0" w:line="360" w:lineRule="auto"/>
        <w:ind w:left="420" w:leftChars="200"/>
        <w:rPr>
          <w:rFonts w:hint="eastAsia" w:ascii="仿宋" w:hAnsi="仿宋" w:eastAsia="仿宋" w:cs="仿宋"/>
          <w:color w:val="auto"/>
          <w:sz w:val="24"/>
          <w:highlight w:val="none"/>
        </w:rPr>
      </w:pPr>
      <w:bookmarkStart w:id="146" w:name="_41.政府采购合同公告"/>
      <w:bookmarkEnd w:id="146"/>
      <w:r>
        <w:rPr>
          <w:rFonts w:hint="eastAsia" w:ascii="仿宋" w:hAnsi="仿宋" w:eastAsia="仿宋" w:cs="仿宋"/>
          <w:color w:val="auto"/>
          <w:sz w:val="24"/>
          <w:highlight w:val="none"/>
        </w:rPr>
        <w:t>37.政府采购合同公告</w:t>
      </w:r>
    </w:p>
    <w:p w14:paraId="143B48C3">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采购人或者受托采购代理机构应当自政府采购合同签订之日起2个工作日内，将政府采购合同在省级以上人民政府财政部门指定的媒体上公告，但政府采购合同中涉及国家秘密、商业秘密的内容除外。</w:t>
      </w:r>
    </w:p>
    <w:p w14:paraId="3A55B37E">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38. 询问、质疑和投诉</w:t>
      </w:r>
    </w:p>
    <w:p w14:paraId="24D31B48">
      <w:pPr>
        <w:pStyle w:val="8"/>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38.1供应商对政府采购活动事项有疑问的，可以向采购人提出询问，采购人或者采购代理机构应当在3个工作日内对供应商依法提出的询问作出答复，但答复的内容不得涉及商业秘密。</w:t>
      </w:r>
    </w:p>
    <w:p w14:paraId="08623C9F">
      <w:pPr>
        <w:pStyle w:val="8"/>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 xml:space="preserve">38.2供应商认为招标文件、采购过程或者中标结果使自己的合法权益受到损害的，必须在知道或者应知其权益受到损害之日起7个工作日内，以纸质书面形式向采购人、采购代理机构提出质疑。采购人、采购代理机构接收质疑函的方式、联系部门、联系电话和通讯地址等信息详见“投标人须知前附表”。具体质疑起算时间如下： </w:t>
      </w:r>
    </w:p>
    <w:p w14:paraId="66015BA9">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（1）对可以质疑的招标文件提出质疑的，为收到招标文件之日或者招标文件公告期限届满之日；</w:t>
      </w:r>
    </w:p>
    <w:p w14:paraId="634558F3">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（2）对采购过程提出质疑的，为各采购程序环节结束之日；</w:t>
      </w:r>
    </w:p>
    <w:p w14:paraId="5E9FEF58">
      <w:pPr>
        <w:pStyle w:val="27"/>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（3）对中标结果提出质疑的，为中标结果公告期限届满之日。</w:t>
      </w:r>
    </w:p>
    <w:p w14:paraId="70779F64">
      <w:pPr>
        <w:pStyle w:val="7"/>
        <w:keepNext w:val="0"/>
        <w:keepLines w:val="0"/>
        <w:spacing w:before="0" w:after="0" w:line="360" w:lineRule="auto"/>
        <w:ind w:firstLine="360" w:firstLineChars="15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38.3</w:t>
      </w:r>
      <w:r>
        <w:rPr>
          <w:rFonts w:hint="eastAsia" w:ascii="仿宋" w:hAnsi="仿宋" w:eastAsia="仿宋" w:cs="仿宋"/>
          <w:bCs/>
          <w:color w:val="auto"/>
          <w:sz w:val="24"/>
          <w:highlight w:val="none"/>
        </w:rPr>
        <w:t>供应商提出质疑应当提交质疑函和必要的证明材料，针对同一采购程序环节的质疑必须在法定质疑期内一次性提出。质疑函应当包括下列内容（质疑函格式后附）：</w:t>
      </w:r>
    </w:p>
    <w:p w14:paraId="3A0148EC">
      <w:pPr>
        <w:pStyle w:val="27"/>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（1）供应商的姓名或者名称、地址、邮编、联系人及联系电话；</w:t>
      </w:r>
    </w:p>
    <w:p w14:paraId="3253E509">
      <w:pPr>
        <w:pStyle w:val="27"/>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（2）质疑项目的名称、编号；</w:t>
      </w:r>
    </w:p>
    <w:p w14:paraId="082F0AA6">
      <w:pPr>
        <w:pStyle w:val="27"/>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（3）具体、明确的质疑事项和与质疑事项相关的请求；</w:t>
      </w:r>
    </w:p>
    <w:p w14:paraId="2962AF82">
      <w:pPr>
        <w:pStyle w:val="27"/>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（4）事实依据；</w:t>
      </w:r>
    </w:p>
    <w:p w14:paraId="2D465915">
      <w:pPr>
        <w:pStyle w:val="27"/>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（5）必要的法律依据；</w:t>
      </w:r>
    </w:p>
    <w:p w14:paraId="47937712">
      <w:pPr>
        <w:pStyle w:val="27"/>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（6）提出质疑的日期。</w:t>
      </w:r>
    </w:p>
    <w:p w14:paraId="6D9BD8EC">
      <w:pPr>
        <w:pStyle w:val="27"/>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供应商为自然人的，应当由本人签字；供应商为法人或者其他组织的，应当由法定代表人、主要负责人，或者其委托代理人签字或者盖章，并加盖公章。</w:t>
      </w:r>
    </w:p>
    <w:p w14:paraId="5B51C2BF">
      <w:pPr>
        <w:pStyle w:val="7"/>
        <w:keepNext w:val="0"/>
        <w:keepLines w:val="0"/>
        <w:snapToGrid w:val="0"/>
        <w:spacing w:before="0" w:after="0" w:line="360" w:lineRule="auto"/>
        <w:ind w:firstLine="480" w:firstLineChars="200"/>
        <w:rPr>
          <w:rFonts w:hint="eastAsia" w:ascii="仿宋" w:hAnsi="仿宋" w:eastAsia="仿宋" w:cs="仿宋"/>
          <w:b w:val="0"/>
          <w:bCs/>
          <w:color w:val="auto"/>
          <w:sz w:val="24"/>
          <w:highlight w:val="none"/>
        </w:rPr>
      </w:pPr>
      <w:r>
        <w:rPr>
          <w:rFonts w:hint="eastAsia" w:ascii="仿宋" w:hAnsi="仿宋" w:eastAsia="仿宋" w:cs="仿宋"/>
          <w:b w:val="0"/>
          <w:color w:val="auto"/>
          <w:sz w:val="24"/>
          <w:highlight w:val="none"/>
        </w:rPr>
        <w:t>3</w:t>
      </w:r>
      <w:r>
        <w:rPr>
          <w:rFonts w:hint="eastAsia" w:ascii="仿宋" w:hAnsi="仿宋" w:eastAsia="仿宋" w:cs="仿宋"/>
          <w:b w:val="0"/>
          <w:bCs/>
          <w:color w:val="auto"/>
          <w:sz w:val="24"/>
          <w:highlight w:val="none"/>
        </w:rPr>
        <w:t>8.4采购人、采购代理机构认为供应商质疑不成立，或者成立但未对中标结果构成影响的，继续开展采购活动；认为供应商质疑成立且影响或者可能影响中标结果的，按照下列情况处理：</w:t>
      </w:r>
    </w:p>
    <w:p w14:paraId="34263AA5">
      <w:pPr>
        <w:pStyle w:val="27"/>
        <w:snapToGrid w:val="0"/>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　　（1）对招标文件提出的质疑，依法通过澄清或者修改可以继续开展采购活动的，澄清或者修改招标文件后继续开展采购活动；否则应当修改招标文件后重新开展采购活动。</w:t>
      </w:r>
    </w:p>
    <w:p w14:paraId="4FE07B81">
      <w:pPr>
        <w:pStyle w:val="27"/>
        <w:snapToGrid w:val="0"/>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　　（2）对采购过程、中标结果提出的质疑，合格供应商符合法定数量时，可以从合格的中标候选人中另行确定中标供应商的，应当依法另行确定中标供应商；否则应当重新开展采购活动。</w:t>
      </w:r>
    </w:p>
    <w:p w14:paraId="3C0AFEFB">
      <w:pPr>
        <w:pStyle w:val="27"/>
        <w:snapToGrid w:val="0"/>
        <w:spacing w:line="360" w:lineRule="auto"/>
        <w:ind w:firstLine="42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质疑答复导致中标结果改变的，采购人或者采购代理机构应当将有关情况书面报告本级财政部门。</w:t>
      </w:r>
    </w:p>
    <w:p w14:paraId="74D48E23">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38.5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bookmarkStart w:id="147" w:name="_八、其他事项"/>
      <w:bookmarkEnd w:id="147"/>
    </w:p>
    <w:p w14:paraId="241CCDF6">
      <w:pPr>
        <w:pStyle w:val="5"/>
        <w:keepNext w:val="0"/>
        <w:keepLines w:val="0"/>
        <w:jc w:val="center"/>
        <w:rPr>
          <w:rFonts w:hint="eastAsia" w:ascii="仿宋" w:hAnsi="仿宋" w:eastAsia="仿宋" w:cs="仿宋"/>
          <w:color w:val="auto"/>
          <w:highlight w:val="none"/>
        </w:rPr>
      </w:pPr>
      <w:r>
        <w:rPr>
          <w:rFonts w:hint="eastAsia" w:ascii="仿宋" w:hAnsi="仿宋" w:eastAsia="仿宋" w:cs="仿宋"/>
          <w:color w:val="auto"/>
          <w:highlight w:val="none"/>
        </w:rPr>
        <w:t>八、其他事项</w:t>
      </w:r>
    </w:p>
    <w:p w14:paraId="4E0FBD05">
      <w:pPr>
        <w:pStyle w:val="7"/>
        <w:keepNext w:val="0"/>
        <w:keepLines w:val="0"/>
        <w:spacing w:before="0" w:after="0" w:line="360" w:lineRule="auto"/>
        <w:ind w:left="420" w:leftChars="200"/>
        <w:rPr>
          <w:rFonts w:hint="eastAsia" w:ascii="仿宋" w:hAnsi="仿宋" w:eastAsia="仿宋" w:cs="仿宋"/>
          <w:color w:val="auto"/>
          <w:sz w:val="24"/>
          <w:highlight w:val="none"/>
        </w:rPr>
      </w:pPr>
      <w:bookmarkStart w:id="148" w:name="_42.代理服务费"/>
      <w:bookmarkEnd w:id="148"/>
      <w:r>
        <w:rPr>
          <w:rFonts w:hint="eastAsia" w:ascii="仿宋" w:hAnsi="仿宋" w:eastAsia="仿宋" w:cs="仿宋"/>
          <w:color w:val="auto"/>
          <w:sz w:val="24"/>
          <w:highlight w:val="none"/>
        </w:rPr>
        <w:t>39.代理服务费</w:t>
      </w:r>
    </w:p>
    <w:p w14:paraId="30B57212">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39.1代理服务收取标准及缴费账户详见“投标人须知前附表”，投标人为联合体的，可以由联合体中的一方或者多方共同交纳代理服务费。</w:t>
      </w:r>
    </w:p>
    <w:p w14:paraId="0091B1E9">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39.2代理服务收费标准（按固定采购代理收费标准的不适合此条款）：</w:t>
      </w:r>
    </w:p>
    <w:tbl>
      <w:tblPr>
        <w:tblStyle w:val="51"/>
        <w:tblW w:w="9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06"/>
        <w:gridCol w:w="1914"/>
        <w:gridCol w:w="1946"/>
        <w:gridCol w:w="1914"/>
      </w:tblGrid>
      <w:tr w14:paraId="19D8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006" w:type="dxa"/>
            <w:tcBorders>
              <w:tl2br w:val="single" w:color="auto" w:sz="4" w:space="0"/>
            </w:tcBorders>
            <w:vAlign w:val="center"/>
          </w:tcPr>
          <w:p w14:paraId="34912A97">
            <w:pPr>
              <w:spacing w:line="360" w:lineRule="auto"/>
              <w:ind w:firstLine="3000" w:firstLineChars="1250"/>
              <w:rPr>
                <w:rFonts w:hint="eastAsia" w:ascii="仿宋" w:hAnsi="仿宋" w:eastAsia="仿宋" w:cs="仿宋"/>
                <w:color w:val="auto"/>
                <w:sz w:val="24"/>
                <w:highlight w:val="none"/>
              </w:rPr>
            </w:pPr>
            <w:r>
              <w:rPr>
                <w:rFonts w:hint="eastAsia" w:ascii="仿宋" w:hAnsi="仿宋" w:eastAsia="仿宋" w:cs="仿宋"/>
                <w:color w:val="auto"/>
                <w:sz w:val="24"/>
                <w:highlight w:val="none"/>
              </w:rPr>
              <w:t>费率</w:t>
            </w:r>
          </w:p>
          <w:p w14:paraId="390D92F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中标金额</w:t>
            </w:r>
          </w:p>
        </w:tc>
        <w:tc>
          <w:tcPr>
            <w:tcW w:w="1914" w:type="dxa"/>
            <w:vAlign w:val="center"/>
          </w:tcPr>
          <w:p w14:paraId="3D757DB6">
            <w:pPr>
              <w:spacing w:line="360" w:lineRule="auto"/>
              <w:ind w:firstLine="120" w:firstLineChars="5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货物招标</w:t>
            </w:r>
          </w:p>
        </w:tc>
        <w:tc>
          <w:tcPr>
            <w:tcW w:w="1946" w:type="dxa"/>
            <w:vAlign w:val="center"/>
          </w:tcPr>
          <w:p w14:paraId="407F6400">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服务招标</w:t>
            </w:r>
          </w:p>
        </w:tc>
        <w:tc>
          <w:tcPr>
            <w:tcW w:w="1914" w:type="dxa"/>
            <w:vAlign w:val="center"/>
          </w:tcPr>
          <w:p w14:paraId="4B4A8780">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工程招标</w:t>
            </w:r>
          </w:p>
        </w:tc>
      </w:tr>
      <w:tr w14:paraId="1546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4006" w:type="dxa"/>
            <w:vAlign w:val="center"/>
          </w:tcPr>
          <w:p w14:paraId="23D368E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100万元以下</w:t>
            </w:r>
          </w:p>
        </w:tc>
        <w:tc>
          <w:tcPr>
            <w:tcW w:w="1914" w:type="dxa"/>
            <w:vAlign w:val="center"/>
          </w:tcPr>
          <w:p w14:paraId="55A88F8F">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1.5%</w:t>
            </w:r>
          </w:p>
        </w:tc>
        <w:tc>
          <w:tcPr>
            <w:tcW w:w="1946" w:type="dxa"/>
            <w:vAlign w:val="center"/>
          </w:tcPr>
          <w:p w14:paraId="59EEB1B5">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1.5%</w:t>
            </w:r>
          </w:p>
        </w:tc>
        <w:tc>
          <w:tcPr>
            <w:tcW w:w="1914" w:type="dxa"/>
            <w:vAlign w:val="center"/>
          </w:tcPr>
          <w:p w14:paraId="0765D6A3">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1.0%</w:t>
            </w:r>
          </w:p>
        </w:tc>
      </w:tr>
      <w:tr w14:paraId="3CB3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4006" w:type="dxa"/>
            <w:vAlign w:val="center"/>
          </w:tcPr>
          <w:p w14:paraId="1FC65BF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100～500万元</w:t>
            </w:r>
          </w:p>
        </w:tc>
        <w:tc>
          <w:tcPr>
            <w:tcW w:w="1914" w:type="dxa"/>
            <w:vAlign w:val="center"/>
          </w:tcPr>
          <w:p w14:paraId="4D641A8C">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1.1%</w:t>
            </w:r>
          </w:p>
        </w:tc>
        <w:tc>
          <w:tcPr>
            <w:tcW w:w="1946" w:type="dxa"/>
            <w:vAlign w:val="center"/>
          </w:tcPr>
          <w:p w14:paraId="4CE8C7F4">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0.8%</w:t>
            </w:r>
          </w:p>
        </w:tc>
        <w:tc>
          <w:tcPr>
            <w:tcW w:w="1914" w:type="dxa"/>
            <w:vAlign w:val="center"/>
          </w:tcPr>
          <w:p w14:paraId="26F06AA3">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0.7%</w:t>
            </w:r>
          </w:p>
        </w:tc>
      </w:tr>
      <w:tr w14:paraId="14A22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6" w:type="dxa"/>
            <w:vAlign w:val="center"/>
          </w:tcPr>
          <w:p w14:paraId="585DE45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500～1000万元</w:t>
            </w:r>
          </w:p>
        </w:tc>
        <w:tc>
          <w:tcPr>
            <w:tcW w:w="1914" w:type="dxa"/>
            <w:vAlign w:val="center"/>
          </w:tcPr>
          <w:p w14:paraId="58940646">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0.8%</w:t>
            </w:r>
          </w:p>
        </w:tc>
        <w:tc>
          <w:tcPr>
            <w:tcW w:w="1946" w:type="dxa"/>
            <w:vAlign w:val="center"/>
          </w:tcPr>
          <w:p w14:paraId="6169393D">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0.45%</w:t>
            </w:r>
          </w:p>
        </w:tc>
        <w:tc>
          <w:tcPr>
            <w:tcW w:w="1914" w:type="dxa"/>
            <w:vAlign w:val="center"/>
          </w:tcPr>
          <w:p w14:paraId="066A1EAA">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0.55%</w:t>
            </w:r>
          </w:p>
        </w:tc>
      </w:tr>
      <w:tr w14:paraId="21C5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4006" w:type="dxa"/>
            <w:vAlign w:val="center"/>
          </w:tcPr>
          <w:p w14:paraId="3134126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1000～5000万元</w:t>
            </w:r>
          </w:p>
        </w:tc>
        <w:tc>
          <w:tcPr>
            <w:tcW w:w="1914" w:type="dxa"/>
            <w:vAlign w:val="center"/>
          </w:tcPr>
          <w:p w14:paraId="4876D03A">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0.5%</w:t>
            </w:r>
          </w:p>
        </w:tc>
        <w:tc>
          <w:tcPr>
            <w:tcW w:w="1946" w:type="dxa"/>
            <w:vAlign w:val="center"/>
          </w:tcPr>
          <w:p w14:paraId="4C06F3C6">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0.25%</w:t>
            </w:r>
          </w:p>
        </w:tc>
        <w:tc>
          <w:tcPr>
            <w:tcW w:w="1914" w:type="dxa"/>
            <w:vAlign w:val="center"/>
          </w:tcPr>
          <w:p w14:paraId="5C9D98AD">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0.35%</w:t>
            </w:r>
          </w:p>
        </w:tc>
      </w:tr>
      <w:tr w14:paraId="21D02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4006" w:type="dxa"/>
            <w:vAlign w:val="center"/>
          </w:tcPr>
          <w:p w14:paraId="59B83E4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5000万元～1亿元</w:t>
            </w:r>
          </w:p>
        </w:tc>
        <w:tc>
          <w:tcPr>
            <w:tcW w:w="1914" w:type="dxa"/>
            <w:vAlign w:val="center"/>
          </w:tcPr>
          <w:p w14:paraId="72B1CD9B">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0.25%</w:t>
            </w:r>
          </w:p>
        </w:tc>
        <w:tc>
          <w:tcPr>
            <w:tcW w:w="1946" w:type="dxa"/>
            <w:vAlign w:val="center"/>
          </w:tcPr>
          <w:p w14:paraId="46B820D0">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0.1%</w:t>
            </w:r>
          </w:p>
        </w:tc>
        <w:tc>
          <w:tcPr>
            <w:tcW w:w="1914" w:type="dxa"/>
            <w:vAlign w:val="center"/>
          </w:tcPr>
          <w:p w14:paraId="14A1B9E8">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0.2%</w:t>
            </w:r>
          </w:p>
        </w:tc>
      </w:tr>
      <w:tr w14:paraId="4D4BF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4006" w:type="dxa"/>
            <w:vAlign w:val="center"/>
          </w:tcPr>
          <w:p w14:paraId="0B3BFA1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1～5亿元</w:t>
            </w:r>
          </w:p>
        </w:tc>
        <w:tc>
          <w:tcPr>
            <w:tcW w:w="1914" w:type="dxa"/>
            <w:vAlign w:val="center"/>
          </w:tcPr>
          <w:p w14:paraId="45030A2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0.05%</w:t>
            </w:r>
          </w:p>
        </w:tc>
        <w:tc>
          <w:tcPr>
            <w:tcW w:w="1946" w:type="dxa"/>
            <w:vAlign w:val="center"/>
          </w:tcPr>
          <w:p w14:paraId="0C1DECA0">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0.05%</w:t>
            </w:r>
          </w:p>
        </w:tc>
        <w:tc>
          <w:tcPr>
            <w:tcW w:w="1914" w:type="dxa"/>
            <w:vAlign w:val="center"/>
          </w:tcPr>
          <w:p w14:paraId="2F898AA1">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0.05%</w:t>
            </w:r>
          </w:p>
        </w:tc>
      </w:tr>
      <w:tr w14:paraId="14992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6" w:type="dxa"/>
            <w:vAlign w:val="center"/>
          </w:tcPr>
          <w:p w14:paraId="76B1418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5～10亿元</w:t>
            </w:r>
          </w:p>
        </w:tc>
        <w:tc>
          <w:tcPr>
            <w:tcW w:w="1914" w:type="dxa"/>
            <w:vAlign w:val="center"/>
          </w:tcPr>
          <w:p w14:paraId="633E53DF">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0.035%</w:t>
            </w:r>
          </w:p>
        </w:tc>
        <w:tc>
          <w:tcPr>
            <w:tcW w:w="1946" w:type="dxa"/>
            <w:vAlign w:val="center"/>
          </w:tcPr>
          <w:p w14:paraId="3C4F2824">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0.035%</w:t>
            </w:r>
          </w:p>
        </w:tc>
        <w:tc>
          <w:tcPr>
            <w:tcW w:w="1914" w:type="dxa"/>
            <w:vAlign w:val="center"/>
          </w:tcPr>
          <w:p w14:paraId="20607213">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0.035%</w:t>
            </w:r>
          </w:p>
        </w:tc>
      </w:tr>
      <w:tr w14:paraId="49EA3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4006" w:type="dxa"/>
            <w:vAlign w:val="center"/>
          </w:tcPr>
          <w:p w14:paraId="197D3EB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10～50亿元</w:t>
            </w:r>
          </w:p>
        </w:tc>
        <w:tc>
          <w:tcPr>
            <w:tcW w:w="1914" w:type="dxa"/>
            <w:vAlign w:val="center"/>
          </w:tcPr>
          <w:p w14:paraId="329848D7">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0.008%</w:t>
            </w:r>
          </w:p>
        </w:tc>
        <w:tc>
          <w:tcPr>
            <w:tcW w:w="1946" w:type="dxa"/>
            <w:vAlign w:val="center"/>
          </w:tcPr>
          <w:p w14:paraId="5EF5F6DE">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0.008%</w:t>
            </w:r>
          </w:p>
        </w:tc>
        <w:tc>
          <w:tcPr>
            <w:tcW w:w="1914" w:type="dxa"/>
            <w:vAlign w:val="center"/>
          </w:tcPr>
          <w:p w14:paraId="0284F9D6">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0.008%</w:t>
            </w:r>
          </w:p>
        </w:tc>
      </w:tr>
      <w:tr w14:paraId="33DB5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4006" w:type="dxa"/>
            <w:vAlign w:val="center"/>
          </w:tcPr>
          <w:p w14:paraId="3A47D5E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50～100亿元</w:t>
            </w:r>
          </w:p>
        </w:tc>
        <w:tc>
          <w:tcPr>
            <w:tcW w:w="1914" w:type="dxa"/>
            <w:vAlign w:val="center"/>
          </w:tcPr>
          <w:p w14:paraId="6D2BB6DF">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0.006%</w:t>
            </w:r>
          </w:p>
        </w:tc>
        <w:tc>
          <w:tcPr>
            <w:tcW w:w="1946" w:type="dxa"/>
            <w:vAlign w:val="center"/>
          </w:tcPr>
          <w:p w14:paraId="3D47681F">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0.006%</w:t>
            </w:r>
          </w:p>
        </w:tc>
        <w:tc>
          <w:tcPr>
            <w:tcW w:w="1914" w:type="dxa"/>
            <w:vAlign w:val="center"/>
          </w:tcPr>
          <w:p w14:paraId="4C52B7BC">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0.006%</w:t>
            </w:r>
          </w:p>
        </w:tc>
      </w:tr>
      <w:tr w14:paraId="7A0A3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4006" w:type="dxa"/>
            <w:vAlign w:val="center"/>
          </w:tcPr>
          <w:p w14:paraId="62B37FC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100亿以上</w:t>
            </w:r>
          </w:p>
        </w:tc>
        <w:tc>
          <w:tcPr>
            <w:tcW w:w="1914" w:type="dxa"/>
            <w:vAlign w:val="center"/>
          </w:tcPr>
          <w:p w14:paraId="7D451FB7">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0.004%</w:t>
            </w:r>
          </w:p>
        </w:tc>
        <w:tc>
          <w:tcPr>
            <w:tcW w:w="1946" w:type="dxa"/>
            <w:vAlign w:val="center"/>
          </w:tcPr>
          <w:p w14:paraId="6FE7ABA3">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0.004%</w:t>
            </w:r>
          </w:p>
        </w:tc>
        <w:tc>
          <w:tcPr>
            <w:tcW w:w="1914" w:type="dxa"/>
            <w:vAlign w:val="center"/>
          </w:tcPr>
          <w:p w14:paraId="25FED4EF">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0.004%</w:t>
            </w:r>
          </w:p>
        </w:tc>
      </w:tr>
    </w:tbl>
    <w:p w14:paraId="40F6A32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注:</w:t>
      </w:r>
    </w:p>
    <w:p w14:paraId="24AEC62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（1）按本表费率计算的收费为采购代理的收费基准价格；</w:t>
      </w:r>
    </w:p>
    <w:p w14:paraId="3A7F518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（2）采购代理收费按差额定率累进法计算。</w:t>
      </w:r>
    </w:p>
    <w:p w14:paraId="44D5245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例如：某货物采购代理业务中标金额或者暂定价为200万元，计算采购代理收费额如下：</w:t>
      </w:r>
    </w:p>
    <w:p w14:paraId="035076D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100万元×l.5％＝1.5万元</w:t>
      </w:r>
    </w:p>
    <w:p w14:paraId="6392872C">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（200－100）万元 ×1.1％＝1.1万元</w:t>
      </w:r>
    </w:p>
    <w:p w14:paraId="233EB7C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合计收费＝1.5+1.1＝2.6（万元）</w:t>
      </w:r>
    </w:p>
    <w:p w14:paraId="0AA0756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39.3代理服务费交纳银行账号信息：详见“投标人须知前附表”</w:t>
      </w:r>
    </w:p>
    <w:p w14:paraId="28F0C510">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40. 需要补充的其他内容</w:t>
      </w:r>
    </w:p>
    <w:p w14:paraId="204ABD1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40.1本招标文件解释规则详见“投标人须知前附表”。</w:t>
      </w:r>
    </w:p>
    <w:p w14:paraId="65D097D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40.2 其他事项详见“投标人须知前附表”。</w:t>
      </w:r>
    </w:p>
    <w:p w14:paraId="43F644C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40.3</w:t>
      </w:r>
      <w:bookmarkStart w:id="149" w:name="_Hlk65857140"/>
      <w:r>
        <w:rPr>
          <w:rFonts w:hint="eastAsia" w:ascii="仿宋" w:hAnsi="仿宋" w:eastAsia="仿宋" w:cs="仿宋"/>
          <w:color w:val="auto"/>
          <w:sz w:val="24"/>
          <w:highlight w:val="none"/>
        </w:rPr>
        <w:t>本招标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招标文件规定的中小企业扶持政策：</w:t>
      </w:r>
    </w:p>
    <w:p w14:paraId="615509C7">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（1）在货物采购项目中，货物由中小企业制造，即货物由中小企业生产且使用该中小企业商号或者注册商标，不对其中涉及的工程承建商和服务的承接商作出要求；</w:t>
      </w:r>
    </w:p>
    <w:p w14:paraId="6335E45B">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（2）在工程采购项目中，工程由中小企业承建，即工程施工单位为中小企业，不对其中涉及的货物的制造商和服务的承接商作出要求；</w:t>
      </w:r>
    </w:p>
    <w:p w14:paraId="11804E6D">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199127CD">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货物采购项目中，供应商提供的货物既有中小企业制造货物，也有大型企业制造货物的，不享受本招标文件规定的中小企业扶持政策。以联合体形式参加政府采购活动，联合体各方均为中小企业的，联合体视同中小企业。其中，联合体各方均为小微企业的，联合体视同小微企业。</w:t>
      </w:r>
    </w:p>
    <w:p w14:paraId="7FC39DC7">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依据本招标文件规定享受扶持政策获得政府采购合同的，小微企业不得将合同分包给大中型企业，中型企业不得将合同分包给大型企业。</w:t>
      </w:r>
      <w:bookmarkEnd w:id="149"/>
    </w:p>
    <w:p w14:paraId="4FB3445F">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40.4</w:t>
      </w:r>
      <w:r>
        <w:rPr>
          <w:rFonts w:hint="eastAsia" w:ascii="仿宋" w:hAnsi="仿宋" w:eastAsia="仿宋" w:cs="仿宋"/>
          <w:color w:val="auto"/>
          <w:sz w:val="24"/>
          <w:szCs w:val="24"/>
          <w:highlight w:val="none"/>
        </w:rPr>
        <w:t>对本国产品的支持政策</w:t>
      </w:r>
    </w:p>
    <w:p w14:paraId="2B44D697">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40.4.1</w:t>
      </w:r>
      <w:r>
        <w:rPr>
          <w:rFonts w:hint="eastAsia" w:ascii="仿宋" w:hAnsi="仿宋" w:eastAsia="仿宋" w:cs="仿宋"/>
          <w:color w:val="auto"/>
          <w:sz w:val="24"/>
          <w:szCs w:val="24"/>
          <w:highlight w:val="none"/>
        </w:rPr>
        <w:t>本国产品标准</w:t>
      </w:r>
    </w:p>
    <w:p w14:paraId="1BBF36B9">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“本国产品标准的产品”是指：符合《国务院办公厅关于在政府采购中实施本国产品标准及相关政策的通知》（国办发〔2025〕34号）规定的本国产品标准的产品。</w:t>
      </w:r>
    </w:p>
    <w:p w14:paraId="6AC2FA7C">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本国产品标准的产品应当符合以下条件：</w:t>
      </w:r>
    </w:p>
    <w:p w14:paraId="392B33A8">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在中国境内生产。产品应当在中国境内生产，即在中华人民共和国关境内（含保税区、综合保税区等海关特殊监管区域）实现从原材料、组件到产品的属性改变；属性改变是指经过制造、加工或者组装等工序，产生完全不同于原材料、组件的新产品，并具有新的名称和特征（用途），属性改变不包括以下细微操作：</w:t>
      </w:r>
    </w:p>
    <w:p w14:paraId="356973ED">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①为确保产品在运输或者储存期间保持某种状态而进行的操作；</w:t>
      </w:r>
    </w:p>
    <w:p w14:paraId="1E657C17">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②为产品运输或者销售进行的包装或者展示；</w:t>
      </w:r>
    </w:p>
    <w:p w14:paraId="2A4A9E6E">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③在产品或者其包装上粘贴或者印刷品牌、标志、标识以及其他用于区别的标记；</w:t>
      </w:r>
    </w:p>
    <w:p w14:paraId="1133A6CB">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④简单的上漆、磨光和分装；</w:t>
      </w:r>
    </w:p>
    <w:p w14:paraId="0C8C3E4E">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⑤其他不属于属性改变的情形；</w:t>
      </w:r>
    </w:p>
    <w:p w14:paraId="5014FE40">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（2）中国境内生产的组件成本占比达到规定比例。</w:t>
      </w:r>
    </w:p>
    <w:p w14:paraId="117C5D37">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①产品在中国境内生产的组件成本占比应当达到规定比例，计算公式为：产品在中国境内生产的组件成本/产品总成本≥规定比例；</w:t>
      </w:r>
    </w:p>
    <w:p w14:paraId="258EC69C">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②产品在中国境内生产的组件成本，按照《中国境内生产的组件成本核算基本规则》计算；</w:t>
      </w:r>
    </w:p>
    <w:p w14:paraId="3D066983">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③中国境内生产的组件成本占比相关要求实施前，符合第（1）项条件的产品在政府采购活动中视同本国产品。</w:t>
      </w:r>
    </w:p>
    <w:p w14:paraId="09F10043">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（3）特定产品的关键组件和工序在中国境内完成。</w:t>
      </w:r>
    </w:p>
    <w:p w14:paraId="42FF7A87">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①对特定产品，在符合第（1）项和第（2）项条件的基础上，应当符合财政部会同有关行业主管部门确定的其关键组件、关键工序在中国境内生产、完成等要求；</w:t>
      </w:r>
    </w:p>
    <w:p w14:paraId="6AF87332">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②特定产品的关键组件、关键工序符合相关要求实施前，符合第（1）项和第（2）项条件的产品在政府采购活动中视同本国产品。</w:t>
      </w:r>
    </w:p>
    <w:p w14:paraId="535D2522">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40.4.2</w:t>
      </w:r>
      <w:r>
        <w:rPr>
          <w:rFonts w:hint="eastAsia" w:ascii="仿宋" w:hAnsi="仿宋" w:eastAsia="仿宋" w:cs="仿宋"/>
          <w:color w:val="auto"/>
          <w:sz w:val="24"/>
          <w:szCs w:val="24"/>
          <w:highlight w:val="none"/>
        </w:rPr>
        <w:t>本国产品标准的适用范围</w:t>
      </w:r>
    </w:p>
    <w:p w14:paraId="24BD5C7C">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B75298A">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40.4</w:t>
      </w:r>
      <w:r>
        <w:rPr>
          <w:rFonts w:hint="eastAsia" w:ascii="仿宋" w:hAnsi="仿宋" w:eastAsia="仿宋" w:cs="仿宋"/>
          <w:color w:val="auto"/>
          <w:sz w:val="24"/>
          <w:szCs w:val="24"/>
          <w:highlight w:val="none"/>
        </w:rPr>
        <w:t>.3 价格评审优惠</w:t>
      </w:r>
    </w:p>
    <w:p w14:paraId="4BDA2CB0">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既有本国产品又有非本国产品参与竞争的，依法对本国产品给予价格评审优惠，对本国产品的报价给予20%的价格扣除，用扣除后的价格参与评审。</w:t>
      </w:r>
    </w:p>
    <w:p w14:paraId="72F19322">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F0B9A1A">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价格扣除比例在第四章评审方法及标准中规定。</w:t>
      </w:r>
    </w:p>
    <w:p w14:paraId="13BCDCE6">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40.4.</w:t>
      </w:r>
      <w:r>
        <w:rPr>
          <w:rFonts w:hint="eastAsia" w:ascii="仿宋" w:hAnsi="仿宋" w:eastAsia="仿宋" w:cs="仿宋"/>
          <w:color w:val="auto"/>
          <w:sz w:val="24"/>
          <w:szCs w:val="24"/>
          <w:highlight w:val="none"/>
        </w:rPr>
        <w:t>4政策执行要求</w:t>
      </w:r>
    </w:p>
    <w:p w14:paraId="196120F8">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40.4</w:t>
      </w:r>
      <w:r>
        <w:rPr>
          <w:rFonts w:hint="eastAsia" w:ascii="仿宋" w:hAnsi="仿宋" w:eastAsia="仿宋" w:cs="仿宋"/>
          <w:color w:val="auto"/>
          <w:sz w:val="24"/>
          <w:szCs w:val="24"/>
          <w:highlight w:val="none"/>
        </w:rPr>
        <w:t>.4.1产品在中国境内生产的组件成本核算规则：产品在中国境内生产的组件成本，按照《中国境内生产的组件成本核算基本规则》计算。</w:t>
      </w:r>
    </w:p>
    <w:p w14:paraId="1BBAEA43">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《中国境内生产的组件成本核算基本规则》</w:t>
      </w:r>
    </w:p>
    <w:p w14:paraId="126DAC78">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0E1F2231">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1.产品的一级组件是指直接组成产品的组件。产品的二级组件是指直接组成产品一级组件的组件。一级组件不可分解的，视同二级组件。</w:t>
      </w:r>
    </w:p>
    <w:p w14:paraId="4DD66606">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2.二级组件在中国境内生产的，其全部成本计入中国境内生产的组件成本；二级组件不在中国境内生产的，其成本不计入中国境内生产的组件成本。</w:t>
      </w:r>
    </w:p>
    <w:p w14:paraId="66A58F52">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3.产品总成本和组件成本以相关会计核算数据、采购合同、进货记录等为基础进行计算。</w:t>
      </w:r>
    </w:p>
    <w:p w14:paraId="10C21F3C">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4.需要对成本核算规则予以进一步明确的其他有关事项，由财政部会同有关部门另行规定。</w:t>
      </w:r>
    </w:p>
    <w:p w14:paraId="0FD52838">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40.4</w:t>
      </w:r>
      <w:r>
        <w:rPr>
          <w:rFonts w:hint="eastAsia" w:ascii="仿宋" w:hAnsi="仿宋" w:eastAsia="仿宋" w:cs="仿宋"/>
          <w:color w:val="auto"/>
          <w:sz w:val="24"/>
          <w:szCs w:val="24"/>
          <w:highlight w:val="none"/>
        </w:rPr>
        <w:t>.4.2证明材料提交与审查：供应商需在投标（响应）文件中对其提供的产品出具《关于符合本国产品标准的声明函》（样式见投标文件格式）或财政部会同有关部门规定的有关证明文件。医疗器械产品凭药品监督管理部门授予的准字号注册证直接认定属于在中国境内生产的产品。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p>
    <w:p w14:paraId="4C49FC41">
      <w:pPr>
        <w:pStyle w:val="27"/>
        <w:spacing w:before="120" w:after="12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委员会应对《声明函》的完整性、准确性进行审查，对《声明函》内容含义不明确、同类事项与投标（响应）文件表述不一致或存在明显文字错误的，应当以书面形式要求供应商澄清、说明或者补正；经澄清、说明或者补正后仍不符合要求的，不认定为本国产品。</w:t>
      </w:r>
    </w:p>
    <w:p w14:paraId="6B0F9DDB">
      <w:pPr>
        <w:pStyle w:val="27"/>
        <w:spacing w:before="120" w:after="120" w:line="360" w:lineRule="auto"/>
        <w:ind w:firstLine="480" w:firstLineChars="200"/>
        <w:contextualSpacing/>
        <w:rPr>
          <w:rFonts w:hint="eastAsia" w:ascii="仿宋" w:hAnsi="仿宋" w:eastAsia="仿宋" w:cs="仿宋"/>
          <w:color w:val="auto"/>
          <w:sz w:val="24"/>
          <w:szCs w:val="24"/>
          <w:highlight w:val="none"/>
          <w:lang w:val="en-US" w:eastAsia="zh-CN"/>
        </w:rPr>
      </w:pPr>
    </w:p>
    <w:p w14:paraId="0EB9AF0F">
      <w:pPr>
        <w:pStyle w:val="3"/>
        <w:keepNext w:val="0"/>
        <w:keepLines w:val="0"/>
        <w:pageBreakBefore/>
        <w:spacing w:before="0" w:after="0" w:line="360" w:lineRule="auto"/>
        <w:jc w:val="center"/>
        <w:rPr>
          <w:rFonts w:hint="eastAsia" w:ascii="仿宋" w:hAnsi="仿宋" w:eastAsia="仿宋" w:cs="仿宋"/>
          <w:color w:val="auto"/>
          <w:highlight w:val="none"/>
        </w:rPr>
      </w:pPr>
      <w:bookmarkStart w:id="150" w:name="_Toc254970689"/>
      <w:bookmarkStart w:id="151" w:name="_Toc254970548"/>
      <w:bookmarkStart w:id="152" w:name="_Toc74320803"/>
      <w:bookmarkStart w:id="153" w:name="_Toc330456896"/>
      <w:r>
        <w:rPr>
          <w:rFonts w:hint="eastAsia" w:ascii="仿宋" w:hAnsi="仿宋" w:eastAsia="仿宋" w:cs="仿宋"/>
          <w:color w:val="auto"/>
          <w:highlight w:val="none"/>
        </w:rPr>
        <w:t>第四章  评标方法及评标标准</w:t>
      </w:r>
      <w:bookmarkEnd w:id="150"/>
      <w:bookmarkEnd w:id="151"/>
      <w:bookmarkEnd w:id="152"/>
      <w:bookmarkEnd w:id="153"/>
    </w:p>
    <w:p w14:paraId="5A10382F">
      <w:pPr>
        <w:pStyle w:val="5"/>
        <w:keepNext w:val="0"/>
        <w:keepLines w:val="0"/>
        <w:spacing w:before="0" w:after="0" w:line="415" w:lineRule="auto"/>
        <w:jc w:val="cente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一、评标方法</w:t>
      </w:r>
    </w:p>
    <w:p w14:paraId="6DFC416B">
      <w:pPr>
        <w:pStyle w:val="27"/>
        <w:spacing w:line="360" w:lineRule="auto"/>
        <w:ind w:firstLine="42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综合评分法，是指投标文件满足招标文件全部实质性要求，且按照评审因素的量化指标评审得分最高的投标人为中标候选人的评标方法。</w:t>
      </w:r>
    </w:p>
    <w:p w14:paraId="38392923">
      <w:pPr>
        <w:pStyle w:val="5"/>
        <w:keepNext w:val="0"/>
        <w:keepLines w:val="0"/>
        <w:spacing w:before="120" w:beforeLines="50" w:after="0" w:line="360" w:lineRule="auto"/>
        <w:jc w:val="cente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二、评标程序</w:t>
      </w:r>
    </w:p>
    <w:p w14:paraId="4C7D7727">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1.符合性审查</w:t>
      </w:r>
    </w:p>
    <w:p w14:paraId="716EED13">
      <w:pPr>
        <w:pStyle w:val="27"/>
        <w:snapToGrid w:val="0"/>
        <w:spacing w:line="360" w:lineRule="auto"/>
        <w:ind w:left="1" w:firstLine="420"/>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rPr>
        <w:t>评标委员会应当对符合资格的投标人的投标文件进行投标报价、商务、技术等实质性内容符合性审查，以确定其是否满足招标文件的实质性要求。</w:t>
      </w:r>
    </w:p>
    <w:p w14:paraId="3BA85906">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2.符合性审查不通过而导致投标无效的情形</w:t>
      </w:r>
    </w:p>
    <w:p w14:paraId="14365874">
      <w:p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投标人的投标文件中存在对招标文件的任何实质性要求和条件的负偏离，将被视为投标无效。</w:t>
      </w:r>
    </w:p>
    <w:p w14:paraId="3C1EFECF">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2.1在报价评审时，如发现下列情形之一的，将被视为投标无效：</w:t>
      </w:r>
    </w:p>
    <w:p w14:paraId="79E92A21">
      <w:pPr>
        <w:pStyle w:val="8"/>
        <w:numPr>
          <w:ilvl w:val="0"/>
          <w:numId w:val="6"/>
        </w:numPr>
        <w:spacing w:line="360" w:lineRule="auto"/>
        <w:ind w:firstLine="422"/>
        <w:rPr>
          <w:rFonts w:hint="eastAsia" w:ascii="仿宋" w:hAnsi="仿宋" w:eastAsia="仿宋" w:cs="仿宋"/>
          <w:b/>
          <w:color w:val="auto"/>
          <w:sz w:val="24"/>
          <w:szCs w:val="24"/>
          <w:highlight w:val="none"/>
        </w:rPr>
      </w:pPr>
      <w:r>
        <w:rPr>
          <w:rFonts w:hint="eastAsia" w:ascii="仿宋" w:hAnsi="仿宋" w:eastAsia="仿宋" w:cs="仿宋"/>
          <w:b/>
          <w:color w:val="auto"/>
          <w:spacing w:val="-6"/>
          <w:sz w:val="24"/>
          <w:szCs w:val="24"/>
          <w:highlight w:val="none"/>
        </w:rPr>
        <w:t>报价文件</w:t>
      </w:r>
      <w:r>
        <w:rPr>
          <w:rFonts w:hint="eastAsia" w:ascii="仿宋" w:hAnsi="仿宋" w:eastAsia="仿宋" w:cs="仿宋"/>
          <w:b/>
          <w:color w:val="auto"/>
          <w:sz w:val="24"/>
          <w:szCs w:val="24"/>
          <w:highlight w:val="none"/>
        </w:rPr>
        <w:t>未提供“投标人须知前附表”第13.1条规定中“必须提供”的文件资料的；</w:t>
      </w:r>
    </w:p>
    <w:p w14:paraId="05C6D221">
      <w:pPr>
        <w:pStyle w:val="8"/>
        <w:numPr>
          <w:ilvl w:val="0"/>
          <w:numId w:val="6"/>
        </w:numPr>
        <w:spacing w:line="360" w:lineRule="auto"/>
        <w:ind w:firstLine="422"/>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未采用人民币报价或者未按照招标文件标明的币种报价的；</w:t>
      </w:r>
    </w:p>
    <w:p w14:paraId="44FB5ECD">
      <w:pPr>
        <w:pStyle w:val="8"/>
        <w:numPr>
          <w:ilvl w:val="0"/>
          <w:numId w:val="6"/>
        </w:numPr>
        <w:spacing w:line="360" w:lineRule="auto"/>
        <w:ind w:firstLine="422"/>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各</w:t>
      </w:r>
      <w:r>
        <w:rPr>
          <w:rFonts w:hint="eastAsia" w:ascii="仿宋" w:hAnsi="仿宋" w:eastAsia="仿宋" w:cs="仿宋"/>
          <w:b/>
          <w:color w:val="auto"/>
          <w:sz w:val="24"/>
          <w:highlight w:val="none"/>
        </w:rPr>
        <w:t>标项</w:t>
      </w:r>
      <w:r>
        <w:rPr>
          <w:rFonts w:hint="eastAsia" w:ascii="仿宋" w:hAnsi="仿宋" w:eastAsia="仿宋" w:cs="仿宋"/>
          <w:b/>
          <w:color w:val="auto"/>
          <w:sz w:val="24"/>
          <w:szCs w:val="24"/>
          <w:highlight w:val="none"/>
        </w:rPr>
        <w:t>报价超出招标文件相应</w:t>
      </w:r>
      <w:r>
        <w:rPr>
          <w:rFonts w:hint="eastAsia" w:ascii="仿宋" w:hAnsi="仿宋" w:eastAsia="仿宋" w:cs="仿宋"/>
          <w:b/>
          <w:color w:val="auto"/>
          <w:sz w:val="24"/>
          <w:highlight w:val="none"/>
        </w:rPr>
        <w:t>标项</w:t>
      </w:r>
      <w:r>
        <w:rPr>
          <w:rFonts w:hint="eastAsia" w:ascii="仿宋" w:hAnsi="仿宋" w:eastAsia="仿宋" w:cs="仿宋"/>
          <w:b/>
          <w:color w:val="auto"/>
          <w:sz w:val="24"/>
          <w:szCs w:val="24"/>
          <w:highlight w:val="none"/>
        </w:rPr>
        <w:t>规定最高限价，或者超出相应</w:t>
      </w:r>
      <w:r>
        <w:rPr>
          <w:rFonts w:hint="eastAsia" w:ascii="仿宋" w:hAnsi="仿宋" w:eastAsia="仿宋" w:cs="仿宋"/>
          <w:b/>
          <w:color w:val="auto"/>
          <w:sz w:val="24"/>
          <w:highlight w:val="none"/>
        </w:rPr>
        <w:t>标项</w:t>
      </w:r>
      <w:r>
        <w:rPr>
          <w:rFonts w:hint="eastAsia" w:ascii="仿宋" w:hAnsi="仿宋" w:eastAsia="仿宋" w:cs="仿宋"/>
          <w:b/>
          <w:color w:val="auto"/>
          <w:sz w:val="24"/>
          <w:szCs w:val="24"/>
          <w:highlight w:val="none"/>
        </w:rPr>
        <w:t>采购预算金额的；</w:t>
      </w:r>
    </w:p>
    <w:p w14:paraId="74A36FC0">
      <w:pPr>
        <w:pStyle w:val="8"/>
        <w:numPr>
          <w:ilvl w:val="0"/>
          <w:numId w:val="6"/>
        </w:numPr>
        <w:spacing w:line="360" w:lineRule="auto"/>
        <w:ind w:firstLine="422"/>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投标人未就所投</w:t>
      </w:r>
      <w:r>
        <w:rPr>
          <w:rFonts w:hint="eastAsia" w:ascii="仿宋" w:hAnsi="仿宋" w:eastAsia="仿宋" w:cs="仿宋"/>
          <w:b/>
          <w:color w:val="auto"/>
          <w:sz w:val="24"/>
          <w:highlight w:val="none"/>
        </w:rPr>
        <w:t>标项</w:t>
      </w:r>
      <w:r>
        <w:rPr>
          <w:rFonts w:hint="eastAsia" w:ascii="仿宋" w:hAnsi="仿宋" w:eastAsia="仿宋" w:cs="仿宋"/>
          <w:b/>
          <w:color w:val="auto"/>
          <w:sz w:val="24"/>
          <w:szCs w:val="24"/>
          <w:highlight w:val="none"/>
        </w:rPr>
        <w:t>进行报价或者存在漏项报价；投标人未就所投</w:t>
      </w:r>
      <w:r>
        <w:rPr>
          <w:rFonts w:hint="eastAsia" w:ascii="仿宋" w:hAnsi="仿宋" w:eastAsia="仿宋" w:cs="仿宋"/>
          <w:b/>
          <w:color w:val="auto"/>
          <w:sz w:val="24"/>
          <w:highlight w:val="none"/>
        </w:rPr>
        <w:t>标项</w:t>
      </w:r>
      <w:r>
        <w:rPr>
          <w:rFonts w:hint="eastAsia" w:ascii="仿宋" w:hAnsi="仿宋" w:eastAsia="仿宋" w:cs="仿宋"/>
          <w:b/>
          <w:color w:val="auto"/>
          <w:sz w:val="24"/>
          <w:szCs w:val="24"/>
          <w:highlight w:val="none"/>
        </w:rPr>
        <w:t>的单项内容作唯一报价；投标人未就所投</w:t>
      </w:r>
      <w:r>
        <w:rPr>
          <w:rFonts w:hint="eastAsia" w:ascii="仿宋" w:hAnsi="仿宋" w:eastAsia="仿宋" w:cs="仿宋"/>
          <w:b/>
          <w:color w:val="auto"/>
          <w:sz w:val="24"/>
          <w:highlight w:val="none"/>
        </w:rPr>
        <w:t>标项</w:t>
      </w:r>
      <w:r>
        <w:rPr>
          <w:rFonts w:hint="eastAsia" w:ascii="仿宋" w:hAnsi="仿宋" w:eastAsia="仿宋" w:cs="仿宋"/>
          <w:b/>
          <w:color w:val="auto"/>
          <w:sz w:val="24"/>
          <w:szCs w:val="24"/>
          <w:highlight w:val="none"/>
        </w:rPr>
        <w:t>的全部内容作完整唯一总价报价；存在有选择、有条件报价的（招标文件允许有备选方案或者其他约定的除外）；</w:t>
      </w:r>
    </w:p>
    <w:p w14:paraId="622BB93E">
      <w:pPr>
        <w:pStyle w:val="8"/>
        <w:numPr>
          <w:ilvl w:val="0"/>
          <w:numId w:val="6"/>
        </w:numPr>
        <w:spacing w:line="360" w:lineRule="auto"/>
        <w:ind w:firstLine="422"/>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修正后的报价，投标人不确认的；</w:t>
      </w:r>
    </w:p>
    <w:p w14:paraId="149F7EC1">
      <w:pPr>
        <w:pStyle w:val="8"/>
        <w:numPr>
          <w:ilvl w:val="0"/>
          <w:numId w:val="6"/>
        </w:numPr>
        <w:spacing w:line="360" w:lineRule="auto"/>
        <w:ind w:firstLine="422"/>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投标人属于本章第5.1条（2）或者第5.2条（2）项情形的；</w:t>
      </w:r>
    </w:p>
    <w:p w14:paraId="4EAD6AB6">
      <w:pPr>
        <w:pStyle w:val="8"/>
        <w:numPr>
          <w:ilvl w:val="0"/>
          <w:numId w:val="6"/>
        </w:numPr>
        <w:spacing w:line="360" w:lineRule="auto"/>
        <w:ind w:firstLine="422"/>
        <w:rPr>
          <w:rFonts w:hint="eastAsia" w:ascii="仿宋" w:hAnsi="仿宋" w:eastAsia="仿宋" w:cs="仿宋"/>
          <w:b/>
          <w:color w:val="auto"/>
          <w:sz w:val="24"/>
          <w:szCs w:val="24"/>
          <w:highlight w:val="none"/>
        </w:rPr>
      </w:pPr>
      <w:r>
        <w:rPr>
          <w:rFonts w:hint="eastAsia" w:ascii="仿宋" w:hAnsi="仿宋" w:eastAsia="仿宋" w:cs="仿宋"/>
          <w:b/>
          <w:color w:val="auto"/>
          <w:spacing w:val="-6"/>
          <w:sz w:val="24"/>
          <w:szCs w:val="24"/>
          <w:highlight w:val="none"/>
        </w:rPr>
        <w:t>报价文件</w:t>
      </w:r>
      <w:r>
        <w:rPr>
          <w:rFonts w:hint="eastAsia" w:ascii="仿宋" w:hAnsi="仿宋" w:eastAsia="仿宋" w:cs="仿宋"/>
          <w:b/>
          <w:color w:val="auto"/>
          <w:sz w:val="24"/>
          <w:szCs w:val="24"/>
          <w:highlight w:val="none"/>
        </w:rPr>
        <w:t>响应的标的数量及单位与招标文件要求实质性不一致的。</w:t>
      </w:r>
    </w:p>
    <w:p w14:paraId="02AD11BD">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2.2在商务评审时，如发现下列情形之一的，将被视为投标无效：</w:t>
      </w:r>
    </w:p>
    <w:p w14:paraId="4ADDFFC8">
      <w:pPr>
        <w:numPr>
          <w:ilvl w:val="0"/>
          <w:numId w:val="7"/>
        </w:num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投标文件未按招标文件要求签署、盖章的；</w:t>
      </w:r>
    </w:p>
    <w:p w14:paraId="2CE45164">
      <w:pPr>
        <w:numPr>
          <w:ilvl w:val="0"/>
          <w:numId w:val="7"/>
        </w:num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委托代理人未能出具有效身份证或者出具的身份证与授权委托书中的信息不符的；</w:t>
      </w:r>
    </w:p>
    <w:p w14:paraId="678BBD2E">
      <w:pPr>
        <w:numPr>
          <w:ilvl w:val="0"/>
          <w:numId w:val="7"/>
        </w:num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为无效投标保证金的或者未按照招标文件的规定提交投标保证金的；</w:t>
      </w:r>
    </w:p>
    <w:p w14:paraId="58590411">
      <w:pPr>
        <w:numPr>
          <w:ilvl w:val="0"/>
          <w:numId w:val="7"/>
        </w:num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投标文件未提供“投标人须知前附表”第13.1条规定中“必须提供”或者“委托时必须提供”的文件资料的；</w:t>
      </w:r>
    </w:p>
    <w:p w14:paraId="7447C34D">
      <w:pPr>
        <w:numPr>
          <w:ilvl w:val="0"/>
          <w:numId w:val="7"/>
        </w:num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商务要求评审允许负偏离的条款数超过“投标人须知前附表”规定项数的；</w:t>
      </w:r>
    </w:p>
    <w:p w14:paraId="540AC2B4">
      <w:pPr>
        <w:numPr>
          <w:ilvl w:val="0"/>
          <w:numId w:val="7"/>
        </w:num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投标文件的实质性内容未使用中文表述、使用计量单位不符合招标文件要求的；</w:t>
      </w:r>
    </w:p>
    <w:p w14:paraId="65B3D230">
      <w:pPr>
        <w:numPr>
          <w:ilvl w:val="0"/>
          <w:numId w:val="7"/>
        </w:num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投标文件中的文件资料因填写不齐全或者内容虚假或者出现其他情形而导致被评标委员会认定无效的；</w:t>
      </w:r>
    </w:p>
    <w:p w14:paraId="337E2085">
      <w:pPr>
        <w:numPr>
          <w:ilvl w:val="0"/>
          <w:numId w:val="7"/>
        </w:num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投标文件含有采购人不能接受的附加条件的；</w:t>
      </w:r>
    </w:p>
    <w:p w14:paraId="1E17A6C1">
      <w:pPr>
        <w:numPr>
          <w:ilvl w:val="0"/>
          <w:numId w:val="7"/>
        </w:num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属于投标人须知正文第9.2条情形的；</w:t>
      </w:r>
    </w:p>
    <w:p w14:paraId="318D2ECA">
      <w:pPr>
        <w:numPr>
          <w:ilvl w:val="0"/>
          <w:numId w:val="7"/>
        </w:num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投标文件标注的项目名称或者项目编号与招标文件标注的项目名称或者项目编号不一致的；</w:t>
      </w:r>
    </w:p>
    <w:p w14:paraId="22040718">
      <w:pPr>
        <w:numPr>
          <w:ilvl w:val="0"/>
          <w:numId w:val="7"/>
        </w:num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招标文件明确不允许分包，投标文件拟分包的；</w:t>
      </w:r>
    </w:p>
    <w:p w14:paraId="7D41FBD3">
      <w:pPr>
        <w:numPr>
          <w:ilvl w:val="0"/>
          <w:numId w:val="7"/>
        </w:num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未响应招标文件实质性要求的；</w:t>
      </w:r>
    </w:p>
    <w:p w14:paraId="080AEBFD">
      <w:pPr>
        <w:numPr>
          <w:ilvl w:val="0"/>
          <w:numId w:val="7"/>
        </w:num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法律、法规和招标文件规定的其他无效情形。</w:t>
      </w:r>
    </w:p>
    <w:p w14:paraId="49B36E95">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2.3在技术评审时，如发现下列情形之一的，将被视为投标无效：</w:t>
      </w:r>
    </w:p>
    <w:p w14:paraId="40B84C6A">
      <w:pPr>
        <w:pStyle w:val="20"/>
        <w:snapToGrid w:val="0"/>
        <w:spacing w:line="360" w:lineRule="auto"/>
        <w:ind w:firstLine="472" w:firstLineChars="196"/>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rPr>
        <w:t>（1）技术要求评审允许负偏离的条款数超过“投标人须知前附表”规定项数的；</w:t>
      </w:r>
    </w:p>
    <w:p w14:paraId="6BC94B0D">
      <w:pPr>
        <w:pStyle w:val="20"/>
        <w:snapToGrid w:val="0"/>
        <w:spacing w:line="360" w:lineRule="auto"/>
        <w:ind w:firstLine="472" w:firstLineChars="196"/>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rPr>
        <w:t>（2）投标文件未提供“投标人须知前附表”第13.1条规定中“必须提供”的文件资料的；</w:t>
      </w:r>
    </w:p>
    <w:p w14:paraId="20ACDD34">
      <w:pPr>
        <w:pStyle w:val="20"/>
        <w:snapToGrid w:val="0"/>
        <w:spacing w:line="360" w:lineRule="auto"/>
        <w:ind w:firstLine="472" w:firstLineChars="196"/>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rPr>
        <w:t>（3）虚假投标，或者出现其他情形而导致被评标委员会认定无效的；</w:t>
      </w:r>
    </w:p>
    <w:p w14:paraId="342B6F55">
      <w:pPr>
        <w:pStyle w:val="20"/>
        <w:snapToGrid w:val="0"/>
        <w:spacing w:line="360" w:lineRule="auto"/>
        <w:ind w:firstLine="472" w:firstLineChars="196"/>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rPr>
        <w:t>（4）</w:t>
      </w:r>
      <w:bookmarkStart w:id="154" w:name="_Hlk71706244"/>
      <w:r>
        <w:rPr>
          <w:rFonts w:hint="eastAsia" w:ascii="仿宋" w:hAnsi="仿宋" w:eastAsia="仿宋" w:cs="仿宋"/>
          <w:b/>
          <w:color w:val="auto"/>
          <w:kern w:val="2"/>
          <w:sz w:val="24"/>
          <w:szCs w:val="24"/>
          <w:highlight w:val="none"/>
        </w:rPr>
        <w:t>招标文件未载明允许提供备选（替代）投标方案或明确不允许提供备选（替代）投标方案时，投标人提供了备选（替代）投标方案的；</w:t>
      </w:r>
      <w:bookmarkEnd w:id="154"/>
    </w:p>
    <w:p w14:paraId="2650076F">
      <w:pPr>
        <w:pStyle w:val="20"/>
        <w:snapToGrid w:val="0"/>
        <w:spacing w:line="360" w:lineRule="auto"/>
        <w:ind w:firstLine="472" w:firstLineChars="196"/>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rPr>
        <w:t>（5）未响应招标文件实质性要求的。</w:t>
      </w:r>
    </w:p>
    <w:p w14:paraId="7D054B62">
      <w:pPr>
        <w:pStyle w:val="20"/>
        <w:snapToGrid w:val="0"/>
        <w:spacing w:line="360" w:lineRule="auto"/>
        <w:ind w:firstLine="472" w:firstLineChars="196"/>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rPr>
        <w:t>2.4通过符合性审查的投标人不足3家，评标委员会不得继续评标，并出具评标报告。</w:t>
      </w:r>
    </w:p>
    <w:p w14:paraId="6BAB9A1D">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3.澄清补正</w:t>
      </w:r>
    </w:p>
    <w:p w14:paraId="298DA877">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对投标文件中含义不明确、同类问题表述不一致或者有明显文字和计算错误的内容，评标委员会以电子澄清函形式要求投标人在规定时间内作出必要的澄清、说明或者纠正。投标人的澄清、说明或者补正必须采用电子回函形式，并加盖投标人公章，或者由法定代表人或者其授权的代表签字。投标人的澄清、说明或者补正不得超出投标文件的范围或者改变投标文件的实质性内容。</w:t>
      </w:r>
    </w:p>
    <w:p w14:paraId="26A9DF5B">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4.投标文件修正</w:t>
      </w:r>
    </w:p>
    <w:p w14:paraId="7E3439B9">
      <w:pPr>
        <w:pStyle w:val="7"/>
        <w:keepNext w:val="0"/>
        <w:keepLines w:val="0"/>
        <w:spacing w:before="0" w:after="0" w:line="360" w:lineRule="auto"/>
        <w:ind w:left="420" w:left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 xml:space="preserve">4.1投标文件报价出现前后不一致的，按照下列规定修正： </w:t>
      </w:r>
    </w:p>
    <w:p w14:paraId="68307AFF">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（1）投标文件中开标一览表（报价表）内容与投标文件中相应内容不一致的，以开标一览表（报价表）为准；</w:t>
      </w:r>
    </w:p>
    <w:p w14:paraId="17B3AE76">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（2）大写金额和小写金额不一致的，以大写金额为准；</w:t>
      </w:r>
    </w:p>
    <w:p w14:paraId="3DC2D359">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（3）单价金额小数点或者百分比有明显错位的，以开标一览表的总价为准，并修改单价；</w:t>
      </w:r>
    </w:p>
    <w:p w14:paraId="7E71003B">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（4）总价金额与按单价汇总金额不一致的，以单价金额计算结果为准。</w:t>
      </w:r>
    </w:p>
    <w:p w14:paraId="2D01D442">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同时出现两种以上不一致的，按照以上（1）-（4）规定的顺序修正。修正后的报价经投标人确认后产生约束力，投标人不确认的，</w:t>
      </w:r>
      <w:r>
        <w:rPr>
          <w:rFonts w:hint="eastAsia" w:ascii="仿宋" w:hAnsi="仿宋" w:eastAsia="仿宋" w:cs="仿宋"/>
          <w:b/>
          <w:color w:val="auto"/>
          <w:kern w:val="2"/>
          <w:sz w:val="24"/>
          <w:szCs w:val="24"/>
          <w:highlight w:val="none"/>
        </w:rPr>
        <w:t>其投标无效</w:t>
      </w:r>
      <w:r>
        <w:rPr>
          <w:rFonts w:hint="eastAsia" w:ascii="仿宋" w:hAnsi="仿宋" w:eastAsia="仿宋" w:cs="仿宋"/>
          <w:color w:val="auto"/>
          <w:sz w:val="24"/>
          <w:szCs w:val="24"/>
          <w:highlight w:val="none"/>
        </w:rPr>
        <w:t>。</w:t>
      </w:r>
    </w:p>
    <w:p w14:paraId="3A9F7578">
      <w:pPr>
        <w:pStyle w:val="7"/>
        <w:keepNext w:val="0"/>
        <w:keepLines w:val="0"/>
        <w:spacing w:before="0" w:after="0" w:line="360" w:lineRule="auto"/>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 xml:space="preserve">    4.2经投标人确认修正后的报价若超过采购预算金额或者最高限价，</w:t>
      </w:r>
      <w:r>
        <w:rPr>
          <w:rFonts w:hint="eastAsia" w:ascii="仿宋" w:hAnsi="仿宋" w:eastAsia="仿宋" w:cs="仿宋"/>
          <w:color w:val="auto"/>
          <w:sz w:val="24"/>
          <w:highlight w:val="none"/>
        </w:rPr>
        <w:t>投标人的投标文件作无效投标处理</w:t>
      </w:r>
      <w:r>
        <w:rPr>
          <w:rFonts w:hint="eastAsia" w:ascii="仿宋" w:hAnsi="仿宋" w:eastAsia="仿宋" w:cs="仿宋"/>
          <w:b w:val="0"/>
          <w:color w:val="auto"/>
          <w:sz w:val="24"/>
          <w:highlight w:val="none"/>
        </w:rPr>
        <w:t>。</w:t>
      </w:r>
    </w:p>
    <w:p w14:paraId="16AB9E68">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4.3经投标人确认修正后的报价作为签订合同的依据，并以此报价计算价格分。</w:t>
      </w:r>
    </w:p>
    <w:p w14:paraId="1E0181B6">
      <w:pPr>
        <w:pStyle w:val="7"/>
        <w:keepNext w:val="0"/>
        <w:keepLines w:val="0"/>
        <w:spacing w:before="0" w:after="0"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5.比较与评价</w:t>
      </w:r>
    </w:p>
    <w:p w14:paraId="2A9D5691">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5.1评审方法：综合评分法</w:t>
      </w:r>
    </w:p>
    <w:p w14:paraId="14128AA1">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（1）评标委员会按照招标文件中规定的评标方法及评标标准，对符合性审查合格的投标文件进行商务和技术评估，综合比较与评价。</w:t>
      </w:r>
    </w:p>
    <w:p w14:paraId="33D460AC">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（2）评标委员会独立对每个投标人的投标文件进行评价，并汇总每个投标人的得分。</w:t>
      </w:r>
    </w:p>
    <w:p w14:paraId="75CC85AA">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评标委员会认为投标人的报价明显低于其他通过符合性审查投标人的报价，有可能影响产品质量或者不能诚信履约的，应当要求其在评标现场合理的时间内提供书面说明，必要时提交相关证明材料；</w:t>
      </w:r>
      <w:r>
        <w:rPr>
          <w:rFonts w:hint="eastAsia" w:ascii="仿宋" w:hAnsi="仿宋" w:eastAsia="仿宋" w:cs="仿宋"/>
          <w:b/>
          <w:color w:val="auto"/>
          <w:sz w:val="24"/>
          <w:highlight w:val="none"/>
        </w:rPr>
        <w:t>投标人不能证明其报价合理性的，评标委员会将其作为无效投标处理</w:t>
      </w:r>
      <w:r>
        <w:rPr>
          <w:rFonts w:hint="eastAsia" w:ascii="仿宋" w:hAnsi="仿宋" w:eastAsia="仿宋" w:cs="仿宋"/>
          <w:color w:val="auto"/>
          <w:sz w:val="24"/>
          <w:highlight w:val="none"/>
        </w:rPr>
        <w:t>。</w:t>
      </w:r>
    </w:p>
    <w:p w14:paraId="545FCA6F">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（3）评标委员会按照招标文件中规定的评标方法和标准计算各投标人的报价得分。在计算过程中</w:t>
      </w:r>
      <w:r>
        <w:rPr>
          <w:rFonts w:hint="eastAsia" w:ascii="仿宋" w:hAnsi="仿宋" w:eastAsia="仿宋" w:cs="仿宋"/>
          <w:color w:val="auto"/>
          <w:sz w:val="24"/>
          <w:szCs w:val="24"/>
          <w:highlight w:val="none"/>
        </w:rPr>
        <w:t>，不得去掉最高报价或者最低报价。</w:t>
      </w:r>
    </w:p>
    <w:p w14:paraId="4FDD6C69">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根据《关于推动解决政府采购异常低价问题的通知》（财库〔2026〕2号）的规定，评审中出现下列情形之一的，</w:t>
      </w:r>
      <w:r>
        <w:rPr>
          <w:rFonts w:hint="eastAsia" w:ascii="仿宋" w:hAnsi="仿宋" w:eastAsia="仿宋" w:cs="仿宋"/>
          <w:color w:val="auto"/>
          <w:sz w:val="24"/>
          <w:szCs w:val="24"/>
          <w:highlight w:val="none"/>
          <w:lang w:val="en-US" w:eastAsia="zh-CN"/>
        </w:rPr>
        <w:t>评标委员会</w:t>
      </w:r>
      <w:r>
        <w:rPr>
          <w:rFonts w:hint="eastAsia" w:ascii="仿宋" w:hAnsi="仿宋" w:eastAsia="仿宋" w:cs="仿宋"/>
          <w:color w:val="auto"/>
          <w:sz w:val="24"/>
          <w:szCs w:val="24"/>
          <w:highlight w:val="none"/>
        </w:rPr>
        <w:t>应当启动异常低价投标审查程序：</w:t>
      </w:r>
    </w:p>
    <w:p w14:paraId="2EF9202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 1 \* GB3 </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z w:val="24"/>
          <w:szCs w:val="24"/>
          <w:highlight w:val="none"/>
        </w:rPr>
        <w:t>①</w:t>
      </w:r>
      <w:r>
        <w:rPr>
          <w:rFonts w:hint="eastAsia" w:ascii="仿宋" w:hAnsi="仿宋" w:eastAsia="仿宋" w:cs="仿宋"/>
          <w:color w:val="auto"/>
          <w:sz w:val="24"/>
          <w:szCs w:val="24"/>
          <w:highlight w:val="none"/>
        </w:rPr>
        <w:fldChar w:fldCharType="end"/>
      </w:r>
      <w:r>
        <w:rPr>
          <w:rFonts w:hint="eastAsia" w:ascii="仿宋" w:hAnsi="仿宋" w:eastAsia="仿宋" w:cs="仿宋"/>
          <w:color w:val="auto"/>
          <w:sz w:val="24"/>
          <w:szCs w:val="24"/>
          <w:highlight w:val="none"/>
        </w:rPr>
        <w:t xml:space="preserve"> 投标报价低于全部通过符合性审查供应商投标报价平均值</w:t>
      </w:r>
      <w:r>
        <w:rPr>
          <w:rFonts w:hint="eastAsia" w:ascii="仿宋" w:hAnsi="仿宋" w:eastAsia="仿宋" w:cs="仿宋"/>
          <w:color w:val="auto"/>
          <w:sz w:val="24"/>
          <w:szCs w:val="24"/>
          <w:highlight w:val="none"/>
          <w:lang w:val="en-US" w:eastAsia="zh-CN"/>
        </w:rPr>
        <w:t>65</w:t>
      </w:r>
      <w:r>
        <w:rPr>
          <w:rFonts w:hint="eastAsia" w:ascii="仿宋" w:hAnsi="仿宋" w:eastAsia="仿宋" w:cs="仿宋"/>
          <w:color w:val="auto"/>
          <w:sz w:val="24"/>
          <w:szCs w:val="24"/>
          <w:highlight w:val="none"/>
        </w:rPr>
        <w:t>%的，</w:t>
      </w:r>
      <w:r>
        <w:rPr>
          <w:rFonts w:hint="eastAsia" w:ascii="仿宋" w:hAnsi="仿宋" w:eastAsia="仿宋" w:cs="仿宋"/>
          <w:b/>
          <w:color w:val="auto"/>
          <w:sz w:val="24"/>
          <w:szCs w:val="24"/>
          <w:highlight w:val="none"/>
        </w:rPr>
        <w:t>即投标报价＜全部通过符合性审查供应商投标报价平均值×</w:t>
      </w:r>
      <w:r>
        <w:rPr>
          <w:rFonts w:hint="eastAsia" w:ascii="仿宋" w:hAnsi="仿宋" w:eastAsia="仿宋" w:cs="仿宋"/>
          <w:b/>
          <w:color w:val="auto"/>
          <w:sz w:val="24"/>
          <w:szCs w:val="24"/>
          <w:highlight w:val="none"/>
          <w:lang w:val="en-US" w:eastAsia="zh-CN"/>
        </w:rPr>
        <w:t>65</w:t>
      </w:r>
      <w:r>
        <w:rPr>
          <w:rFonts w:hint="eastAsia" w:ascii="仿宋" w:hAnsi="仿宋" w:eastAsia="仿宋" w:cs="仿宋"/>
          <w:b/>
          <w:color w:val="auto"/>
          <w:sz w:val="24"/>
          <w:szCs w:val="24"/>
          <w:highlight w:val="none"/>
        </w:rPr>
        <w:t>%</w:t>
      </w:r>
      <w:r>
        <w:rPr>
          <w:rFonts w:hint="eastAsia" w:ascii="仿宋" w:hAnsi="仿宋" w:eastAsia="仿宋" w:cs="仿宋"/>
          <w:color w:val="auto"/>
          <w:sz w:val="24"/>
          <w:szCs w:val="24"/>
          <w:highlight w:val="none"/>
        </w:rPr>
        <w:t>；</w:t>
      </w:r>
    </w:p>
    <w:p w14:paraId="02F0E2CB">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 2 \* GB3 </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z w:val="24"/>
          <w:szCs w:val="24"/>
          <w:highlight w:val="none"/>
        </w:rPr>
        <w:t>②</w:t>
      </w:r>
      <w:r>
        <w:rPr>
          <w:rFonts w:hint="eastAsia" w:ascii="仿宋" w:hAnsi="仿宋" w:eastAsia="仿宋" w:cs="仿宋"/>
          <w:color w:val="auto"/>
          <w:sz w:val="24"/>
          <w:szCs w:val="24"/>
          <w:highlight w:val="none"/>
        </w:rPr>
        <w:fldChar w:fldCharType="end"/>
      </w:r>
      <w:r>
        <w:rPr>
          <w:rFonts w:hint="eastAsia" w:ascii="仿宋" w:hAnsi="仿宋" w:eastAsia="仿宋" w:cs="仿宋"/>
          <w:color w:val="auto"/>
          <w:sz w:val="24"/>
          <w:szCs w:val="24"/>
          <w:highlight w:val="none"/>
        </w:rPr>
        <w:t>投标报价低于通过符合性审查的次低报价供应商投标报价</w:t>
      </w:r>
      <w:r>
        <w:rPr>
          <w:rFonts w:hint="eastAsia" w:ascii="仿宋" w:hAnsi="仿宋" w:eastAsia="仿宋" w:cs="仿宋"/>
          <w:color w:val="auto"/>
          <w:sz w:val="24"/>
          <w:szCs w:val="24"/>
          <w:highlight w:val="none"/>
          <w:lang w:val="en-US" w:eastAsia="zh-CN"/>
        </w:rPr>
        <w:t>65</w:t>
      </w:r>
      <w:r>
        <w:rPr>
          <w:rFonts w:hint="eastAsia" w:ascii="仿宋" w:hAnsi="仿宋" w:eastAsia="仿宋" w:cs="仿宋"/>
          <w:color w:val="auto"/>
          <w:sz w:val="24"/>
          <w:szCs w:val="24"/>
          <w:highlight w:val="none"/>
        </w:rPr>
        <w:t>%的，</w:t>
      </w:r>
      <w:r>
        <w:rPr>
          <w:rFonts w:hint="eastAsia" w:ascii="仿宋" w:hAnsi="仿宋" w:eastAsia="仿宋" w:cs="仿宋"/>
          <w:b/>
          <w:color w:val="auto"/>
          <w:sz w:val="24"/>
          <w:szCs w:val="24"/>
          <w:highlight w:val="none"/>
        </w:rPr>
        <w:t>即投标报价＜通过符合性审查的次低报价供应商投标报价×</w:t>
      </w:r>
      <w:r>
        <w:rPr>
          <w:rFonts w:hint="eastAsia" w:ascii="仿宋" w:hAnsi="仿宋" w:eastAsia="仿宋" w:cs="仿宋"/>
          <w:b/>
          <w:color w:val="auto"/>
          <w:sz w:val="24"/>
          <w:szCs w:val="24"/>
          <w:highlight w:val="none"/>
          <w:lang w:val="en-US" w:eastAsia="zh-CN"/>
        </w:rPr>
        <w:t>65</w:t>
      </w:r>
      <w:r>
        <w:rPr>
          <w:rFonts w:hint="eastAsia" w:ascii="仿宋" w:hAnsi="仿宋" w:eastAsia="仿宋" w:cs="仿宋"/>
          <w:b/>
          <w:color w:val="auto"/>
          <w:sz w:val="24"/>
          <w:szCs w:val="24"/>
          <w:highlight w:val="none"/>
        </w:rPr>
        <w:t>%</w:t>
      </w:r>
      <w:r>
        <w:rPr>
          <w:rFonts w:hint="eastAsia" w:ascii="仿宋" w:hAnsi="仿宋" w:eastAsia="仿宋" w:cs="仿宋"/>
          <w:color w:val="auto"/>
          <w:sz w:val="24"/>
          <w:szCs w:val="24"/>
          <w:highlight w:val="none"/>
        </w:rPr>
        <w:t>；</w:t>
      </w:r>
    </w:p>
    <w:p w14:paraId="42A3D03C">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 3 \* GB3 </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z w:val="24"/>
          <w:szCs w:val="24"/>
          <w:highlight w:val="none"/>
        </w:rPr>
        <w:t>③</w:t>
      </w:r>
      <w:r>
        <w:rPr>
          <w:rFonts w:hint="eastAsia" w:ascii="仿宋" w:hAnsi="仿宋" w:eastAsia="仿宋" w:cs="仿宋"/>
          <w:color w:val="auto"/>
          <w:sz w:val="24"/>
          <w:szCs w:val="24"/>
          <w:highlight w:val="none"/>
        </w:rPr>
        <w:fldChar w:fldCharType="end"/>
      </w:r>
      <w:r>
        <w:rPr>
          <w:rFonts w:hint="eastAsia" w:ascii="仿宋" w:hAnsi="仿宋" w:eastAsia="仿宋" w:cs="仿宋"/>
          <w:color w:val="auto"/>
          <w:sz w:val="24"/>
          <w:szCs w:val="24"/>
          <w:highlight w:val="none"/>
        </w:rPr>
        <w:t>投标报价低于采购项目最高限价</w:t>
      </w:r>
      <w:r>
        <w:rPr>
          <w:rFonts w:hint="eastAsia" w:ascii="仿宋" w:hAnsi="仿宋" w:eastAsia="仿宋" w:cs="仿宋"/>
          <w:color w:val="auto"/>
          <w:sz w:val="24"/>
          <w:szCs w:val="24"/>
          <w:highlight w:val="none"/>
          <w:lang w:val="en-US" w:eastAsia="zh-CN"/>
        </w:rPr>
        <w:t>65</w:t>
      </w:r>
      <w:r>
        <w:rPr>
          <w:rFonts w:hint="eastAsia" w:ascii="仿宋" w:hAnsi="仿宋" w:eastAsia="仿宋" w:cs="仿宋"/>
          <w:color w:val="auto"/>
          <w:sz w:val="24"/>
          <w:szCs w:val="24"/>
          <w:highlight w:val="none"/>
        </w:rPr>
        <w:t>%的，</w:t>
      </w:r>
      <w:r>
        <w:rPr>
          <w:rFonts w:hint="eastAsia" w:ascii="仿宋" w:hAnsi="仿宋" w:eastAsia="仿宋" w:cs="仿宋"/>
          <w:b/>
          <w:color w:val="auto"/>
          <w:sz w:val="24"/>
          <w:szCs w:val="24"/>
          <w:highlight w:val="none"/>
        </w:rPr>
        <w:t>即投标报价＜采购项目最高限价×</w:t>
      </w:r>
      <w:r>
        <w:rPr>
          <w:rFonts w:hint="eastAsia" w:ascii="仿宋" w:hAnsi="仿宋" w:eastAsia="仿宋" w:cs="仿宋"/>
          <w:b/>
          <w:color w:val="auto"/>
          <w:sz w:val="24"/>
          <w:szCs w:val="24"/>
          <w:highlight w:val="none"/>
          <w:lang w:val="en-US" w:eastAsia="zh-CN"/>
        </w:rPr>
        <w:t>65</w:t>
      </w:r>
      <w:r>
        <w:rPr>
          <w:rFonts w:hint="eastAsia" w:ascii="仿宋" w:hAnsi="仿宋" w:eastAsia="仿宋" w:cs="仿宋"/>
          <w:b/>
          <w:color w:val="auto"/>
          <w:sz w:val="24"/>
          <w:szCs w:val="24"/>
          <w:highlight w:val="none"/>
        </w:rPr>
        <w:t>%</w:t>
      </w:r>
      <w:r>
        <w:rPr>
          <w:rFonts w:hint="eastAsia" w:ascii="仿宋" w:hAnsi="仿宋" w:eastAsia="仿宋" w:cs="仿宋"/>
          <w:color w:val="auto"/>
          <w:sz w:val="24"/>
          <w:szCs w:val="24"/>
          <w:highlight w:val="none"/>
        </w:rPr>
        <w:t>；</w:t>
      </w:r>
    </w:p>
    <w:p w14:paraId="2D69C7B9">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 4 \* GB3 </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z w:val="24"/>
          <w:szCs w:val="24"/>
          <w:highlight w:val="none"/>
        </w:rPr>
        <w:t>④</w:t>
      </w:r>
      <w:r>
        <w:rPr>
          <w:rFonts w:hint="eastAsia" w:ascii="仿宋" w:hAnsi="仿宋" w:eastAsia="仿宋" w:cs="仿宋"/>
          <w:color w:val="auto"/>
          <w:sz w:val="24"/>
          <w:szCs w:val="24"/>
          <w:highlight w:val="none"/>
        </w:rPr>
        <w:fldChar w:fldCharType="end"/>
      </w:r>
      <w:r>
        <w:rPr>
          <w:rFonts w:hint="eastAsia" w:ascii="仿宋" w:hAnsi="仿宋" w:eastAsia="仿宋" w:cs="仿宋"/>
          <w:color w:val="auto"/>
          <w:sz w:val="24"/>
          <w:szCs w:val="24"/>
          <w:highlight w:val="none"/>
          <w:lang w:eastAsia="zh-CN"/>
        </w:rPr>
        <w:t>评标委员会</w:t>
      </w:r>
      <w:r>
        <w:rPr>
          <w:rFonts w:hint="eastAsia" w:ascii="仿宋" w:hAnsi="仿宋" w:eastAsia="仿宋" w:cs="仿宋"/>
          <w:color w:val="auto"/>
          <w:sz w:val="24"/>
          <w:szCs w:val="24"/>
          <w:highlight w:val="none"/>
        </w:rPr>
        <w:t>基于专业判断，认为供应商报价过低，有可能影响产品质量或者不能诚信履约的其他情形。</w:t>
      </w:r>
    </w:p>
    <w:p w14:paraId="2675BB92">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评标委员会</w:t>
      </w:r>
      <w:r>
        <w:rPr>
          <w:rFonts w:hint="eastAsia" w:ascii="仿宋" w:hAnsi="仿宋" w:eastAsia="仿宋" w:cs="仿宋"/>
          <w:color w:val="auto"/>
          <w:sz w:val="24"/>
          <w:szCs w:val="24"/>
          <w:highlight w:val="none"/>
        </w:rPr>
        <w:t>启动异常低价投标审查后，属于前述第1项至第4项情形的，应当要求相关供应商在评审现场</w:t>
      </w:r>
      <w:r>
        <w:rPr>
          <w:rFonts w:hint="eastAsia" w:ascii="仿宋" w:hAnsi="仿宋" w:eastAsia="仿宋" w:cs="仿宋"/>
          <w:b/>
          <w:color w:val="auto"/>
          <w:sz w:val="24"/>
          <w:szCs w:val="24"/>
          <w:highlight w:val="none"/>
        </w:rPr>
        <w:t>30分钟</w:t>
      </w:r>
      <w:r>
        <w:rPr>
          <w:rFonts w:hint="eastAsia" w:ascii="仿宋" w:hAnsi="仿宋" w:eastAsia="仿宋" w:cs="仿宋"/>
          <w:color w:val="auto"/>
          <w:sz w:val="24"/>
          <w:szCs w:val="24"/>
          <w:highlight w:val="none"/>
        </w:rPr>
        <w:t>内对投标价格作出解释，提供项目具体成本测算等与报价合理性相关的书面说明及必要的证明材料，包括但不限于原材料成本、人工成本、制造费用等。其中，属于第3项情形，供应商已随投标文件一并提交相关书面说明及必要的证明材料的，在评审现场可不再重复提交。</w:t>
      </w:r>
    </w:p>
    <w:p w14:paraId="4CE0035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评标委员会</w:t>
      </w:r>
      <w:r>
        <w:rPr>
          <w:rFonts w:hint="eastAsia" w:ascii="仿宋" w:hAnsi="仿宋" w:eastAsia="仿宋" w:cs="仿宋"/>
          <w:color w:val="auto"/>
          <w:sz w:val="24"/>
          <w:szCs w:val="24"/>
          <w:highlight w:val="none"/>
        </w:rPr>
        <w:t>依据专业经验，参考同类项目中标价格、类似产品市场价格水平、行业人工费用标准、国家有关部门指导行业协会发布的行业平均成本等情况，对报价合理性进行判断。</w:t>
      </w:r>
      <w:r>
        <w:rPr>
          <w:rFonts w:hint="eastAsia" w:ascii="仿宋" w:hAnsi="仿宋" w:eastAsia="仿宋" w:cs="仿宋"/>
          <w:b/>
          <w:color w:val="auto"/>
          <w:sz w:val="24"/>
          <w:szCs w:val="24"/>
          <w:highlight w:val="none"/>
        </w:rPr>
        <w:t>供应商在规定时间内不能提供书面说明、证明材料，或者提供的书面说明、证明材料不能证明其报价合理性的，</w:t>
      </w:r>
      <w:r>
        <w:rPr>
          <w:rFonts w:hint="eastAsia" w:ascii="仿宋" w:hAnsi="仿宋" w:eastAsia="仿宋" w:cs="仿宋"/>
          <w:b/>
          <w:color w:val="auto"/>
          <w:sz w:val="24"/>
          <w:szCs w:val="24"/>
          <w:highlight w:val="none"/>
          <w:lang w:eastAsia="zh-CN"/>
        </w:rPr>
        <w:t>评标委员会</w:t>
      </w:r>
      <w:r>
        <w:rPr>
          <w:rFonts w:hint="eastAsia" w:ascii="仿宋" w:hAnsi="仿宋" w:eastAsia="仿宋" w:cs="仿宋"/>
          <w:b/>
          <w:color w:val="auto"/>
          <w:sz w:val="24"/>
          <w:szCs w:val="24"/>
          <w:highlight w:val="none"/>
        </w:rPr>
        <w:t>应当将其作为无效响应处理。</w:t>
      </w:r>
    </w:p>
    <w:p w14:paraId="25099080">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（4）各投标人的得分为所有评委的有效评分的算术平均数。</w:t>
      </w:r>
    </w:p>
    <w:p w14:paraId="5DF9D483">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（5）评标委员会按照招标文件中的规定推荐中标候选人。</w:t>
      </w:r>
    </w:p>
    <w:p w14:paraId="581BB56E">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3801C7A2">
      <w:pPr>
        <w:snapToGrid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br w:type="page"/>
      </w:r>
      <w:r>
        <w:rPr>
          <w:rFonts w:hint="eastAsia" w:ascii="仿宋" w:hAnsi="仿宋" w:eastAsia="仿宋" w:cs="仿宋"/>
          <w:b/>
          <w:bCs/>
          <w:color w:val="auto"/>
          <w:sz w:val="32"/>
          <w:szCs w:val="32"/>
          <w:highlight w:val="none"/>
        </w:rPr>
        <w:t>三、评标标准</w:t>
      </w:r>
    </w:p>
    <w:p w14:paraId="174C3C83">
      <w:pPr>
        <w:pStyle w:val="5"/>
        <w:keepNext w:val="0"/>
        <w:keepLines w:val="0"/>
        <w:spacing w:before="0" w:after="0"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综合评分法</w:t>
      </w:r>
    </w:p>
    <w:p w14:paraId="6583A28F">
      <w:pP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评标标准：</w:t>
      </w:r>
    </w:p>
    <w:tbl>
      <w:tblPr>
        <w:tblStyle w:val="51"/>
        <w:tblW w:w="96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1122"/>
        <w:gridCol w:w="675"/>
        <w:gridCol w:w="1054"/>
        <w:gridCol w:w="6107"/>
      </w:tblGrid>
      <w:tr w14:paraId="25017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730" w:type="dxa"/>
            <w:noWrap w:val="0"/>
            <w:vAlign w:val="center"/>
          </w:tcPr>
          <w:p w14:paraId="18864707">
            <w:pPr>
              <w:adjustRightInd w:val="0"/>
              <w:spacing w:line="440" w:lineRule="exact"/>
              <w:jc w:val="center"/>
              <w:textAlignment w:val="baseline"/>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序号</w:t>
            </w:r>
          </w:p>
        </w:tc>
        <w:tc>
          <w:tcPr>
            <w:tcW w:w="1122" w:type="dxa"/>
            <w:noWrap w:val="0"/>
            <w:vAlign w:val="center"/>
          </w:tcPr>
          <w:p w14:paraId="38FC229F">
            <w:pPr>
              <w:adjustRightInd w:val="0"/>
              <w:spacing w:line="440" w:lineRule="exact"/>
              <w:jc w:val="center"/>
              <w:textAlignment w:val="baseline"/>
              <w:rPr>
                <w:rFonts w:hint="eastAsia" w:ascii="仿宋" w:hAnsi="仿宋" w:eastAsia="仿宋" w:cs="仿宋"/>
                <w:color w:val="auto"/>
                <w:sz w:val="24"/>
                <w:highlight w:val="none"/>
              </w:rPr>
            </w:pPr>
            <w:r>
              <w:rPr>
                <w:rFonts w:hint="eastAsia" w:ascii="仿宋" w:hAnsi="仿宋" w:eastAsia="仿宋" w:cs="仿宋"/>
                <w:b/>
                <w:color w:val="auto"/>
                <w:sz w:val="24"/>
                <w:highlight w:val="none"/>
              </w:rPr>
              <w:t>评审因素</w:t>
            </w:r>
          </w:p>
        </w:tc>
        <w:tc>
          <w:tcPr>
            <w:tcW w:w="675" w:type="dxa"/>
            <w:noWrap w:val="0"/>
            <w:vAlign w:val="center"/>
          </w:tcPr>
          <w:p w14:paraId="0D9BC4CA">
            <w:pPr>
              <w:adjustRightInd w:val="0"/>
              <w:spacing w:line="440" w:lineRule="exact"/>
              <w:jc w:val="center"/>
              <w:textAlignment w:val="baseline"/>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分值</w:t>
            </w:r>
          </w:p>
        </w:tc>
        <w:tc>
          <w:tcPr>
            <w:tcW w:w="7161" w:type="dxa"/>
            <w:gridSpan w:val="2"/>
            <w:noWrap w:val="0"/>
            <w:vAlign w:val="center"/>
          </w:tcPr>
          <w:p w14:paraId="308DDD5D">
            <w:pPr>
              <w:adjustRightInd w:val="0"/>
              <w:spacing w:line="440" w:lineRule="exact"/>
              <w:jc w:val="center"/>
              <w:textAlignment w:val="baseline"/>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评标标准</w:t>
            </w:r>
          </w:p>
        </w:tc>
      </w:tr>
      <w:tr w14:paraId="559F6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30" w:type="dxa"/>
            <w:noWrap w:val="0"/>
            <w:vAlign w:val="center"/>
          </w:tcPr>
          <w:p w14:paraId="2B77B1E4">
            <w:pPr>
              <w:adjustRightInd w:val="0"/>
              <w:spacing w:line="440" w:lineRule="exact"/>
              <w:jc w:val="center"/>
              <w:textAlignment w:val="baseline"/>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w:t>
            </w:r>
          </w:p>
        </w:tc>
        <w:tc>
          <w:tcPr>
            <w:tcW w:w="1122" w:type="dxa"/>
            <w:noWrap w:val="0"/>
            <w:vAlign w:val="center"/>
          </w:tcPr>
          <w:p w14:paraId="0AFEB53F">
            <w:pPr>
              <w:adjustRightInd w:val="0"/>
              <w:spacing w:line="440" w:lineRule="exact"/>
              <w:jc w:val="center"/>
              <w:textAlignment w:val="baseline"/>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投标报价</w:t>
            </w:r>
          </w:p>
        </w:tc>
        <w:tc>
          <w:tcPr>
            <w:tcW w:w="675" w:type="dxa"/>
            <w:noWrap w:val="0"/>
            <w:vAlign w:val="center"/>
          </w:tcPr>
          <w:p w14:paraId="4A5D2B8D">
            <w:pPr>
              <w:adjustRightInd w:val="0"/>
              <w:spacing w:line="440" w:lineRule="exact"/>
              <w:jc w:val="center"/>
              <w:textAlignment w:val="baseline"/>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30分</w:t>
            </w:r>
          </w:p>
        </w:tc>
        <w:tc>
          <w:tcPr>
            <w:tcW w:w="7161" w:type="dxa"/>
            <w:gridSpan w:val="2"/>
            <w:noWrap w:val="0"/>
            <w:vAlign w:val="center"/>
          </w:tcPr>
          <w:p w14:paraId="5FF0948B">
            <w:pPr>
              <w:keepNext w:val="0"/>
              <w:keepLines w:val="0"/>
              <w:pageBreakBefore w:val="0"/>
              <w:widowControl w:val="0"/>
              <w:kinsoku/>
              <w:wordWrap/>
              <w:overflowPunct/>
              <w:topLinePunct w:val="0"/>
              <w:autoSpaceDE/>
              <w:autoSpaceDN/>
              <w:bidi w:val="0"/>
              <w:adjustRightInd/>
              <w:snapToGrid/>
              <w:spacing w:line="420" w:lineRule="exact"/>
              <w:ind w:left="105" w:leftChars="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（1）评标报价为投标人的投标报价进行政策性扣除后的价格，评标报价只是作为评标时使用。最终中标人的中标金额等于投标报价。</w:t>
            </w:r>
          </w:p>
          <w:p w14:paraId="098CBBB8">
            <w:pPr>
              <w:keepNext w:val="0"/>
              <w:keepLines w:val="0"/>
              <w:pageBreakBefore w:val="0"/>
              <w:widowControl w:val="0"/>
              <w:kinsoku/>
              <w:wordWrap/>
              <w:overflowPunct/>
              <w:topLinePunct w:val="0"/>
              <w:autoSpaceDE/>
              <w:autoSpaceDN/>
              <w:bidi w:val="0"/>
              <w:adjustRightInd/>
              <w:snapToGrid/>
              <w:spacing w:line="420" w:lineRule="exact"/>
              <w:ind w:left="105" w:leftChars="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按照《政府采购促进中小企业发展暂行办法》（财库[2011]181号）的规定，投标人为小型和微型企业，并在其投标文件中提供《中小企业声明函》，且其所投标产品全部为小型和微型企业产品的，对其投标价格给予10%的扣除。</w:t>
            </w:r>
          </w:p>
          <w:p w14:paraId="2E804FCD">
            <w:pPr>
              <w:keepNext w:val="0"/>
              <w:keepLines w:val="0"/>
              <w:pageBreakBefore w:val="0"/>
              <w:widowControl w:val="0"/>
              <w:kinsoku/>
              <w:wordWrap/>
              <w:overflowPunct/>
              <w:topLinePunct w:val="0"/>
              <w:autoSpaceDE/>
              <w:autoSpaceDN/>
              <w:bidi w:val="0"/>
              <w:adjustRightInd/>
              <w:snapToGrid/>
              <w:spacing w:line="420" w:lineRule="exact"/>
              <w:ind w:left="105" w:leftChars="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627D90AB">
            <w:pPr>
              <w:keepNext w:val="0"/>
              <w:keepLines w:val="0"/>
              <w:pageBreakBefore w:val="0"/>
              <w:widowControl w:val="0"/>
              <w:kinsoku/>
              <w:wordWrap/>
              <w:overflowPunct/>
              <w:topLinePunct w:val="0"/>
              <w:autoSpaceDE/>
              <w:autoSpaceDN/>
              <w:bidi w:val="0"/>
              <w:adjustRightInd/>
              <w:snapToGrid/>
              <w:spacing w:line="420" w:lineRule="exact"/>
              <w:ind w:left="105" w:leftChars="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4696E15A">
            <w:pPr>
              <w:keepNext w:val="0"/>
              <w:keepLines w:val="0"/>
              <w:pageBreakBefore w:val="0"/>
              <w:widowControl w:val="0"/>
              <w:kinsoku/>
              <w:wordWrap/>
              <w:overflowPunct/>
              <w:topLinePunct w:val="0"/>
              <w:autoSpaceDE/>
              <w:autoSpaceDN/>
              <w:bidi w:val="0"/>
              <w:adjustRightInd/>
              <w:snapToGrid/>
              <w:spacing w:line="420" w:lineRule="exact"/>
              <w:ind w:left="105" w:leftChars="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（5）政策性扣除计算方法。</w:t>
            </w:r>
          </w:p>
          <w:p w14:paraId="57BBA531">
            <w:pPr>
              <w:keepNext w:val="0"/>
              <w:keepLines w:val="0"/>
              <w:pageBreakBefore w:val="0"/>
              <w:widowControl w:val="0"/>
              <w:kinsoku/>
              <w:wordWrap/>
              <w:overflowPunct/>
              <w:topLinePunct w:val="0"/>
              <w:autoSpaceDE/>
              <w:autoSpaceDN/>
              <w:bidi w:val="0"/>
              <w:adjustRightInd/>
              <w:snapToGrid/>
              <w:spacing w:line="420" w:lineRule="exact"/>
              <w:ind w:left="105" w:leftChars="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被评定为监狱企业或者残疾人福利性单位或者小型和微型企业且其所投标全部产品为小型和微型企业产品的，该投标人的投标报价给予10%的扣除，扣除后的价格为评标报价，即评标报价=投标报价×（1-10%）； 大中型企业和其他自然人、法人或者其他组织与小型、微型企业组成联合体投标，且联合体协议中约定小型、微型企业的协议合同金额占到联合体协议合同总金额30%以上的，联合体投标价给予3%的扣除，扣除后的价格为评标价，即评标报价=投标报价×（1-3%）；除上述情况外，评标报价=投标报价。</w:t>
            </w:r>
          </w:p>
          <w:p w14:paraId="63490392">
            <w:pPr>
              <w:pStyle w:val="27"/>
              <w:keepNext w:val="0"/>
              <w:keepLines w:val="0"/>
              <w:pageBreakBefore w:val="0"/>
              <w:widowControl w:val="0"/>
              <w:kinsoku/>
              <w:wordWrap/>
              <w:overflowPunct/>
              <w:topLinePunct w:val="0"/>
              <w:autoSpaceDE/>
              <w:autoSpaceDN/>
              <w:bidi w:val="0"/>
              <w:adjustRightInd/>
              <w:snapToGrid/>
              <w:spacing w:line="420" w:lineRule="exact"/>
              <w:ind w:left="105" w:leftChars="50" w:right="105" w:rightChars="50" w:firstLine="31" w:firstLineChars="13"/>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val="en-US"/>
              </w:rPr>
              <w:t>）本国产品政策性扣除计算方法。</w:t>
            </w:r>
          </w:p>
          <w:p w14:paraId="2C0CFCB5">
            <w:pPr>
              <w:pStyle w:val="27"/>
              <w:keepNext w:val="0"/>
              <w:keepLines w:val="0"/>
              <w:pageBreakBefore w:val="0"/>
              <w:widowControl w:val="0"/>
              <w:kinsoku/>
              <w:wordWrap/>
              <w:overflowPunct/>
              <w:topLinePunct w:val="0"/>
              <w:autoSpaceDE/>
              <w:autoSpaceDN/>
              <w:bidi w:val="0"/>
              <w:adjustRightInd/>
              <w:snapToGrid/>
              <w:spacing w:line="420" w:lineRule="exact"/>
              <w:ind w:left="105" w:leftChars="50" w:right="105" w:rightChars="50" w:firstLine="31" w:firstLineChars="13"/>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5C68F076">
            <w:pPr>
              <w:pStyle w:val="27"/>
              <w:keepNext w:val="0"/>
              <w:keepLines w:val="0"/>
              <w:pageBreakBefore w:val="0"/>
              <w:widowControl w:val="0"/>
              <w:kinsoku/>
              <w:wordWrap/>
              <w:overflowPunct/>
              <w:topLinePunct w:val="0"/>
              <w:autoSpaceDE/>
              <w:autoSpaceDN/>
              <w:bidi w:val="0"/>
              <w:adjustRightInd/>
              <w:snapToGrid/>
              <w:spacing w:line="420" w:lineRule="exact"/>
              <w:ind w:left="105" w:leftChars="50" w:right="105" w:rightChars="50" w:firstLine="31" w:firstLineChars="13"/>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w:t>
            </w:r>
          </w:p>
          <w:p w14:paraId="455CF989">
            <w:pPr>
              <w:pStyle w:val="27"/>
              <w:keepNext w:val="0"/>
              <w:keepLines w:val="0"/>
              <w:pageBreakBefore w:val="0"/>
              <w:widowControl w:val="0"/>
              <w:kinsoku/>
              <w:wordWrap/>
              <w:overflowPunct/>
              <w:topLinePunct w:val="0"/>
              <w:autoSpaceDE/>
              <w:autoSpaceDN/>
              <w:bidi w:val="0"/>
              <w:adjustRightInd/>
              <w:snapToGrid/>
              <w:spacing w:line="420" w:lineRule="exact"/>
              <w:ind w:left="105" w:leftChars="50" w:right="105" w:rightChars="50" w:firstLine="31" w:firstLineChars="13"/>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t>供应商在其投标文件中提供《关于符合本国产品标准的声明函》或财政部会同有关部门规定的有关证明文件，出具符合要求的《声明函》或有关证明文件的，该产品视为本国产品。</w:t>
            </w:r>
          </w:p>
          <w:p w14:paraId="0E46ED5D">
            <w:pPr>
              <w:pStyle w:val="27"/>
              <w:keepNext w:val="0"/>
              <w:keepLines w:val="0"/>
              <w:pageBreakBefore w:val="0"/>
              <w:widowControl w:val="0"/>
              <w:kinsoku/>
              <w:wordWrap/>
              <w:overflowPunct/>
              <w:topLinePunct w:val="0"/>
              <w:autoSpaceDE/>
              <w:autoSpaceDN/>
              <w:bidi w:val="0"/>
              <w:adjustRightInd/>
              <w:snapToGrid/>
              <w:spacing w:line="420" w:lineRule="exact"/>
              <w:ind w:left="105" w:leftChars="50" w:right="105" w:rightChars="50" w:firstLine="31" w:firstLineChars="13"/>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t>如果所有参与竞争的供应商均可享受本国产品价格评审优惠，则统一不进行价格扣除。</w:t>
            </w:r>
          </w:p>
          <w:p w14:paraId="77BA5B4D">
            <w:pPr>
              <w:pStyle w:val="27"/>
              <w:keepNext w:val="0"/>
              <w:keepLines w:val="0"/>
              <w:pageBreakBefore w:val="0"/>
              <w:widowControl w:val="0"/>
              <w:kinsoku/>
              <w:wordWrap/>
              <w:overflowPunct/>
              <w:topLinePunct w:val="0"/>
              <w:autoSpaceDE/>
              <w:autoSpaceDN/>
              <w:bidi w:val="0"/>
              <w:adjustRightInd/>
              <w:snapToGrid/>
              <w:spacing w:line="420" w:lineRule="exact"/>
              <w:ind w:left="105" w:leftChars="50" w:right="105" w:rightChars="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rPr>
              <w:t>（</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lang w:val="en-US"/>
              </w:rPr>
              <w:t>）中小企业折扣与本国产品折扣进行叠加计算，用扣除后的价格参加评审。即评标报价=投标报价-中小企业折扣-本国产品折扣，除上述情况外，评标报价=投标报价。</w:t>
            </w:r>
          </w:p>
          <w:p w14:paraId="323CB71B">
            <w:pPr>
              <w:keepNext w:val="0"/>
              <w:keepLines w:val="0"/>
              <w:pageBreakBefore w:val="0"/>
              <w:widowControl w:val="0"/>
              <w:kinsoku/>
              <w:wordWrap/>
              <w:overflowPunct/>
              <w:topLinePunct w:val="0"/>
              <w:autoSpaceDE/>
              <w:autoSpaceDN/>
              <w:bidi w:val="0"/>
              <w:adjustRightInd/>
              <w:snapToGrid/>
              <w:spacing w:line="420" w:lineRule="exact"/>
              <w:ind w:left="105" w:leftChars="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）满足招标文件要求且评标报价最低的评标报价为评标基准价，基准价报价得分为 30 分。</w:t>
            </w:r>
          </w:p>
          <w:p w14:paraId="556C29C1">
            <w:pPr>
              <w:keepNext w:val="0"/>
              <w:keepLines w:val="0"/>
              <w:pageBreakBefore w:val="0"/>
              <w:widowControl w:val="0"/>
              <w:kinsoku/>
              <w:wordWrap/>
              <w:overflowPunct/>
              <w:topLinePunct w:val="0"/>
              <w:autoSpaceDE/>
              <w:autoSpaceDN/>
              <w:bidi w:val="0"/>
              <w:adjustRightInd/>
              <w:snapToGrid/>
              <w:spacing w:line="420" w:lineRule="exact"/>
              <w:ind w:left="105" w:leftChars="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）价格分计算公式：价格分= (评标基准价／评标报价)×30分</w:t>
            </w:r>
          </w:p>
          <w:p w14:paraId="1401A630">
            <w:pPr>
              <w:pStyle w:val="27"/>
              <w:keepNext w:val="0"/>
              <w:keepLines w:val="0"/>
              <w:pageBreakBefore w:val="0"/>
              <w:widowControl w:val="0"/>
              <w:kinsoku/>
              <w:wordWrap/>
              <w:overflowPunct/>
              <w:topLinePunct w:val="0"/>
              <w:autoSpaceDE/>
              <w:autoSpaceDN/>
              <w:bidi w:val="0"/>
              <w:adjustRightInd/>
              <w:snapToGrid/>
              <w:spacing w:line="420" w:lineRule="exact"/>
              <w:textAlignment w:val="auto"/>
              <w:outlineLvl w:val="0"/>
              <w:rPr>
                <w:rFonts w:hint="eastAsia" w:ascii="仿宋" w:hAnsi="仿宋" w:eastAsia="仿宋" w:cs="仿宋"/>
                <w:bCs/>
                <w:color w:val="auto"/>
                <w:kern w:val="2"/>
                <w:sz w:val="24"/>
                <w:szCs w:val="24"/>
                <w:highlight w:val="none"/>
              </w:rPr>
            </w:pPr>
            <w:r>
              <w:rPr>
                <w:rFonts w:hint="eastAsia" w:ascii="仿宋" w:hAnsi="仿宋" w:eastAsia="仿宋" w:cs="仿宋"/>
                <w:color w:val="auto"/>
                <w:sz w:val="24"/>
                <w:szCs w:val="24"/>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14:paraId="350E4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30" w:type="dxa"/>
            <w:vMerge w:val="restart"/>
            <w:noWrap w:val="0"/>
            <w:vAlign w:val="center"/>
          </w:tcPr>
          <w:p w14:paraId="58F7FBFB">
            <w:pPr>
              <w:adjustRightInd w:val="0"/>
              <w:spacing w:line="440" w:lineRule="exact"/>
              <w:jc w:val="center"/>
              <w:textAlignment w:val="baseline"/>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w:t>
            </w:r>
          </w:p>
        </w:tc>
        <w:tc>
          <w:tcPr>
            <w:tcW w:w="1122" w:type="dxa"/>
            <w:vMerge w:val="restart"/>
            <w:noWrap w:val="0"/>
            <w:vAlign w:val="center"/>
          </w:tcPr>
          <w:p w14:paraId="51534D61">
            <w:pPr>
              <w:adjustRightInd w:val="0"/>
              <w:spacing w:line="440" w:lineRule="exact"/>
              <w:jc w:val="center"/>
              <w:textAlignment w:val="baseline"/>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技术分</w:t>
            </w:r>
          </w:p>
        </w:tc>
        <w:tc>
          <w:tcPr>
            <w:tcW w:w="675" w:type="dxa"/>
            <w:vMerge w:val="restart"/>
            <w:noWrap w:val="0"/>
            <w:vAlign w:val="center"/>
          </w:tcPr>
          <w:p w14:paraId="618A40F3">
            <w:pPr>
              <w:adjustRightInd w:val="0"/>
              <w:spacing w:line="440" w:lineRule="exact"/>
              <w:jc w:val="center"/>
              <w:textAlignment w:val="baseline"/>
              <w:rPr>
                <w:rFonts w:hint="eastAsia" w:ascii="仿宋" w:hAnsi="仿宋" w:eastAsia="仿宋" w:cs="仿宋"/>
                <w:b/>
                <w:color w:val="auto"/>
                <w:sz w:val="24"/>
                <w:highlight w:val="none"/>
              </w:rPr>
            </w:pPr>
            <w:r>
              <w:rPr>
                <w:rFonts w:hint="eastAsia" w:ascii="仿宋" w:hAnsi="仿宋" w:eastAsia="仿宋" w:cs="仿宋"/>
                <w:b/>
                <w:color w:val="auto"/>
                <w:sz w:val="24"/>
                <w:highlight w:val="none"/>
              </w:rPr>
              <w:t>48分</w:t>
            </w:r>
          </w:p>
        </w:tc>
        <w:tc>
          <w:tcPr>
            <w:tcW w:w="1054" w:type="dxa"/>
            <w:noWrap w:val="0"/>
            <w:vAlign w:val="center"/>
          </w:tcPr>
          <w:p w14:paraId="113BD31C">
            <w:pPr>
              <w:adjustRightInd w:val="0"/>
              <w:spacing w:line="440" w:lineRule="exact"/>
              <w:jc w:val="center"/>
              <w:textAlignment w:val="baseline"/>
              <w:rPr>
                <w:rFonts w:hint="eastAsia" w:ascii="仿宋" w:hAnsi="仿宋" w:eastAsia="仿宋" w:cs="仿宋"/>
                <w:bCs/>
                <w:color w:val="auto"/>
                <w:sz w:val="24"/>
                <w:highlight w:val="none"/>
              </w:rPr>
            </w:pPr>
            <w:r>
              <w:rPr>
                <w:rFonts w:hint="eastAsia" w:ascii="仿宋" w:hAnsi="仿宋" w:eastAsia="仿宋" w:cs="仿宋"/>
                <w:b/>
                <w:color w:val="auto"/>
                <w:sz w:val="24"/>
                <w:highlight w:val="none"/>
              </w:rPr>
              <w:t>技术性能分(满分30分）</w:t>
            </w:r>
          </w:p>
        </w:tc>
        <w:tc>
          <w:tcPr>
            <w:tcW w:w="6107" w:type="dxa"/>
            <w:noWrap w:val="0"/>
            <w:vAlign w:val="center"/>
          </w:tcPr>
          <w:p w14:paraId="5CFCA5D9">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完全满足招标文件技术要求，无负偏离的得30分。非标注“</w:t>
            </w:r>
            <w:bookmarkStart w:id="155" w:name="OLE_LINK13"/>
            <w:r>
              <w:rPr>
                <w:rFonts w:hint="eastAsia" w:ascii="仿宋" w:hAnsi="仿宋" w:eastAsia="仿宋" w:cs="仿宋"/>
                <w:bCs/>
                <w:color w:val="auto"/>
                <w:sz w:val="24"/>
                <w:highlight w:val="none"/>
              </w:rPr>
              <w:t>▲</w:t>
            </w:r>
            <w:bookmarkEnd w:id="155"/>
            <w:r>
              <w:rPr>
                <w:rFonts w:hint="eastAsia" w:ascii="仿宋" w:hAnsi="仿宋" w:eastAsia="仿宋" w:cs="仿宋"/>
                <w:bCs/>
                <w:color w:val="auto"/>
                <w:sz w:val="24"/>
                <w:highlight w:val="none"/>
              </w:rPr>
              <w:t>”的非实质性参数存在负偏离的，每有一项扣5分（如有要求提供相关证明材料的按要求提供，并经评标委员会认定有效的视为无偏离，否则视为负偏离）。扣至0分为止。</w:t>
            </w:r>
          </w:p>
          <w:p w14:paraId="7C0B724C">
            <w:pPr>
              <w:spacing w:line="440" w:lineRule="exact"/>
              <w:rPr>
                <w:rFonts w:hint="eastAsia" w:ascii="仿宋" w:hAnsi="仿宋" w:eastAsia="仿宋" w:cs="仿宋"/>
                <w:bCs/>
                <w:color w:val="auto"/>
                <w:sz w:val="24"/>
                <w:highlight w:val="none"/>
              </w:rPr>
            </w:pPr>
            <w:r>
              <w:rPr>
                <w:rFonts w:hint="eastAsia" w:ascii="仿宋" w:hAnsi="仿宋" w:eastAsia="仿宋" w:cs="仿宋"/>
                <w:bCs/>
                <w:color w:val="auto"/>
                <w:sz w:val="24"/>
                <w:szCs w:val="24"/>
                <w:highlight w:val="none"/>
                <w:lang w:val="en-US" w:eastAsia="zh-CN"/>
              </w:rPr>
              <w:t>注：1.</w:t>
            </w:r>
            <w:r>
              <w:rPr>
                <w:rFonts w:hint="eastAsia" w:ascii="仿宋" w:hAnsi="仿宋" w:eastAsia="仿宋" w:cs="仿宋"/>
                <w:bCs/>
                <w:color w:val="auto"/>
                <w:sz w:val="24"/>
                <w:szCs w:val="24"/>
                <w:highlight w:val="none"/>
              </w:rPr>
              <w:t>标注“</w:t>
            </w:r>
            <w:r>
              <w:rPr>
                <w:rFonts w:hint="eastAsia" w:ascii="仿宋" w:hAnsi="仿宋" w:eastAsia="仿宋" w:cs="仿宋"/>
                <w:b/>
                <w:bCs/>
                <w:color w:val="auto"/>
                <w:kern w:val="0"/>
                <w:sz w:val="24"/>
                <w:szCs w:val="24"/>
                <w:highlight w:val="none"/>
              </w:rPr>
              <w:t>▲</w:t>
            </w:r>
            <w:r>
              <w:rPr>
                <w:rFonts w:hint="eastAsia" w:ascii="仿宋" w:hAnsi="仿宋" w:eastAsia="仿宋" w:cs="仿宋"/>
                <w:bCs/>
                <w:color w:val="auto"/>
                <w:sz w:val="24"/>
                <w:szCs w:val="24"/>
                <w:highlight w:val="none"/>
              </w:rPr>
              <w:t>”的条款或要求系指实质性条款或实质性要求，必须满足，如存在负偏离将导致响应被否决。</w:t>
            </w:r>
          </w:p>
        </w:tc>
      </w:tr>
      <w:tr w14:paraId="06B00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30" w:type="dxa"/>
            <w:vMerge w:val="continue"/>
            <w:noWrap w:val="0"/>
            <w:vAlign w:val="center"/>
          </w:tcPr>
          <w:p w14:paraId="5F59F6F3">
            <w:pPr>
              <w:adjustRightInd w:val="0"/>
              <w:spacing w:line="440" w:lineRule="exact"/>
              <w:jc w:val="center"/>
              <w:textAlignment w:val="baseline"/>
              <w:rPr>
                <w:rFonts w:hint="eastAsia" w:ascii="仿宋" w:hAnsi="仿宋" w:eastAsia="仿宋" w:cs="仿宋"/>
                <w:b/>
                <w:color w:val="auto"/>
                <w:sz w:val="24"/>
                <w:highlight w:val="none"/>
              </w:rPr>
            </w:pPr>
          </w:p>
        </w:tc>
        <w:tc>
          <w:tcPr>
            <w:tcW w:w="1122" w:type="dxa"/>
            <w:vMerge w:val="continue"/>
            <w:noWrap w:val="0"/>
            <w:vAlign w:val="center"/>
          </w:tcPr>
          <w:p w14:paraId="60648F47">
            <w:pPr>
              <w:adjustRightInd w:val="0"/>
              <w:spacing w:line="440" w:lineRule="exact"/>
              <w:jc w:val="center"/>
              <w:textAlignment w:val="baseline"/>
              <w:rPr>
                <w:rFonts w:hint="eastAsia" w:ascii="仿宋" w:hAnsi="仿宋" w:eastAsia="仿宋" w:cs="仿宋"/>
                <w:b/>
                <w:color w:val="auto"/>
                <w:sz w:val="24"/>
                <w:highlight w:val="none"/>
              </w:rPr>
            </w:pPr>
          </w:p>
        </w:tc>
        <w:tc>
          <w:tcPr>
            <w:tcW w:w="675" w:type="dxa"/>
            <w:vMerge w:val="continue"/>
            <w:noWrap w:val="0"/>
            <w:vAlign w:val="center"/>
          </w:tcPr>
          <w:p w14:paraId="1C94A8E5">
            <w:pPr>
              <w:adjustRightInd w:val="0"/>
              <w:spacing w:line="440" w:lineRule="exact"/>
              <w:jc w:val="center"/>
              <w:textAlignment w:val="baseline"/>
              <w:rPr>
                <w:rFonts w:hint="eastAsia" w:ascii="仿宋" w:hAnsi="仿宋" w:eastAsia="仿宋" w:cs="仿宋"/>
                <w:b/>
                <w:color w:val="auto"/>
                <w:sz w:val="24"/>
                <w:highlight w:val="none"/>
              </w:rPr>
            </w:pPr>
          </w:p>
        </w:tc>
        <w:tc>
          <w:tcPr>
            <w:tcW w:w="1054" w:type="dxa"/>
            <w:noWrap w:val="0"/>
            <w:vAlign w:val="center"/>
          </w:tcPr>
          <w:p w14:paraId="384EE06D">
            <w:pPr>
              <w:adjustRightInd w:val="0"/>
              <w:spacing w:line="440" w:lineRule="exact"/>
              <w:jc w:val="center"/>
              <w:textAlignment w:val="baseline"/>
              <w:rPr>
                <w:rFonts w:hint="eastAsia" w:ascii="仿宋" w:hAnsi="仿宋" w:eastAsia="仿宋" w:cs="仿宋"/>
                <w:bCs/>
                <w:color w:val="auto"/>
                <w:sz w:val="24"/>
                <w:highlight w:val="none"/>
              </w:rPr>
            </w:pPr>
            <w:r>
              <w:rPr>
                <w:rFonts w:hint="eastAsia" w:ascii="仿宋" w:hAnsi="仿宋" w:eastAsia="仿宋" w:cs="仿宋"/>
                <w:b/>
                <w:color w:val="auto"/>
                <w:sz w:val="24"/>
                <w:highlight w:val="none"/>
              </w:rPr>
              <w:t>技术服务方案分（满分18分）</w:t>
            </w:r>
          </w:p>
        </w:tc>
        <w:tc>
          <w:tcPr>
            <w:tcW w:w="6107" w:type="dxa"/>
            <w:noWrap w:val="0"/>
            <w:vAlign w:val="center"/>
          </w:tcPr>
          <w:p w14:paraId="0635A677">
            <w:pP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由评委根据供应商</w:t>
            </w:r>
            <w:r>
              <w:rPr>
                <w:rFonts w:hint="eastAsia" w:ascii="仿宋" w:hAnsi="仿宋" w:eastAsia="仿宋" w:cs="仿宋"/>
                <w:bCs/>
                <w:color w:val="auto"/>
                <w:sz w:val="24"/>
                <w:highlight w:val="none"/>
                <w:lang w:eastAsia="zh-CN"/>
              </w:rPr>
              <w:t>投标文件</w:t>
            </w:r>
            <w:r>
              <w:rPr>
                <w:rFonts w:hint="eastAsia" w:ascii="仿宋" w:hAnsi="仿宋" w:eastAsia="仿宋" w:cs="仿宋"/>
                <w:bCs/>
                <w:color w:val="auto"/>
                <w:sz w:val="24"/>
                <w:highlight w:val="none"/>
              </w:rPr>
              <w:t>中的项目建设服务技术方案内容中的技术实施方案、实施进度计划、安装调试方案、实施过程风险和难点分析控制、质量保障措施、文明施工措施、环境保护措施、项目实施人员安排、系统试运行方案等内容进行独立评审</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并独立</w:t>
            </w:r>
            <w:r>
              <w:rPr>
                <w:rFonts w:hint="eastAsia" w:ascii="仿宋" w:hAnsi="仿宋" w:eastAsia="仿宋" w:cs="仿宋"/>
                <w:bCs/>
                <w:color w:val="auto"/>
                <w:sz w:val="24"/>
                <w:highlight w:val="none"/>
              </w:rPr>
              <w:t>打分。</w:t>
            </w:r>
          </w:p>
          <w:p w14:paraId="784430B9">
            <w:pPr>
              <w:spacing w:line="440" w:lineRule="exact"/>
              <w:rPr>
                <w:rFonts w:hint="eastAsia" w:ascii="仿宋" w:hAnsi="仿宋" w:eastAsia="仿宋" w:cs="仿宋"/>
                <w:bCs/>
                <w:color w:val="auto"/>
                <w:sz w:val="24"/>
                <w:highlight w:val="none"/>
              </w:rPr>
            </w:pPr>
            <w:bookmarkStart w:id="156" w:name="OLE_LINK4"/>
            <w:r>
              <w:rPr>
                <w:rFonts w:hint="eastAsia" w:ascii="仿宋" w:hAnsi="仿宋" w:eastAsia="仿宋" w:cs="仿宋"/>
                <w:bCs/>
                <w:color w:val="auto"/>
                <w:sz w:val="24"/>
                <w:highlight w:val="none"/>
              </w:rPr>
              <w:t>一档（0分）：未提供或提供的技术服务方案内容中（技术实施方案、实施进度计划、安装调试方案、实施过程风险和难点分析控制、质量保障措施、文明施工措施、环境保护措施、项目实施人员安排、系统试运行方案）有4项（含）以上缺项的，未提供项目实施人员的，不得分。</w:t>
            </w:r>
          </w:p>
          <w:p w14:paraId="7622E985">
            <w:pPr>
              <w:spacing w:line="440" w:lineRule="exac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二档（4.5分）：提供的技术服务方案内容中</w:t>
            </w:r>
            <w:bookmarkStart w:id="157" w:name="OLE_LINK6"/>
            <w:r>
              <w:rPr>
                <w:rFonts w:hint="eastAsia" w:ascii="仿宋" w:hAnsi="仿宋" w:eastAsia="仿宋" w:cs="仿宋"/>
                <w:bCs/>
                <w:color w:val="auto"/>
                <w:sz w:val="24"/>
                <w:highlight w:val="none"/>
              </w:rPr>
              <w:t>（技术实施方案、实施进度计划、安装调试方案、实施过程风险和难点分析控制、质量保障措施、文明施工措施、环境保护措施、项目实施人员安排、系统试运行方案）</w:t>
            </w:r>
            <w:bookmarkEnd w:id="157"/>
            <w:r>
              <w:rPr>
                <w:rFonts w:hint="eastAsia" w:ascii="仿宋" w:hAnsi="仿宋" w:eastAsia="仿宋" w:cs="仿宋"/>
                <w:bCs/>
                <w:color w:val="auto"/>
                <w:sz w:val="24"/>
                <w:highlight w:val="none"/>
              </w:rPr>
              <w:t>有3项缺项的，提供的项目实施人员少于2人。</w:t>
            </w:r>
          </w:p>
          <w:p w14:paraId="02E06CBD">
            <w:pPr>
              <w:spacing w:line="440" w:lineRule="exac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三档（9分）：在二档基础上，提供的技术服务方案内容中的（技术实施方案、实施进度计划、安装调试方案、实施过程风险和难点分析控制、质量保障措施、文明施工措施、环境保护措施、项目实施人员安排、系统试运行方案）有2项缺项的。</w:t>
            </w:r>
          </w:p>
          <w:p w14:paraId="2F091822">
            <w:pPr>
              <w:spacing w:line="440" w:lineRule="exact"/>
              <w:rPr>
                <w:rFonts w:ascii="仿宋" w:hAnsi="仿宋" w:eastAsia="仿宋" w:cs="仿宋"/>
                <w:bCs/>
                <w:color w:val="auto"/>
                <w:sz w:val="24"/>
                <w:highlight w:val="none"/>
              </w:rPr>
            </w:pPr>
            <w:r>
              <w:rPr>
                <w:rFonts w:hint="eastAsia" w:ascii="仿宋" w:hAnsi="仿宋" w:eastAsia="仿宋" w:cs="仿宋"/>
                <w:bCs/>
                <w:color w:val="auto"/>
                <w:sz w:val="24"/>
                <w:highlight w:val="none"/>
              </w:rPr>
              <w:t>四档（13.5分）：在三档基础上，提供的技术服务方案内容钟（技术实施方案、实施进度计划、安装调试方案、实施过程风险和难点分析控制、质量保障措施、文明施工措施、环境保护措施、项目实施人员安排、系统试运行方案）有1项缺项</w:t>
            </w:r>
            <w:r>
              <w:rPr>
                <w:rFonts w:ascii="仿宋" w:hAnsi="仿宋" w:eastAsia="仿宋" w:cs="仿宋"/>
                <w:bCs/>
                <w:color w:val="auto"/>
                <w:sz w:val="24"/>
                <w:highlight w:val="none"/>
              </w:rPr>
              <w:t>。</w:t>
            </w:r>
          </w:p>
          <w:p w14:paraId="73CA0130">
            <w:pPr>
              <w:spacing w:line="440" w:lineRule="exac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五档（18分）：在四档基础上，提供的技术服务方案内容钟（技术实施方案、实施进度计划、安装调试方案、实施过程风险和难点分析控制、质量保障措施、文明施工措施、环境保护措施、项目实施人员安排、系统试运行方案）无缺项，对项目整体实施方案的重点和难点理解透彻、分析精准，逻辑严谨清晰，提供项目实施人员3人（含）以上。</w:t>
            </w:r>
            <w:bookmarkEnd w:id="156"/>
          </w:p>
        </w:tc>
      </w:tr>
      <w:tr w14:paraId="1EEDC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30" w:type="dxa"/>
            <w:noWrap w:val="0"/>
            <w:vAlign w:val="center"/>
          </w:tcPr>
          <w:p w14:paraId="1C547B45">
            <w:pPr>
              <w:adjustRightInd w:val="0"/>
              <w:spacing w:line="440" w:lineRule="exact"/>
              <w:jc w:val="center"/>
              <w:textAlignment w:val="baseline"/>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w:t>
            </w:r>
          </w:p>
        </w:tc>
        <w:tc>
          <w:tcPr>
            <w:tcW w:w="1122" w:type="dxa"/>
            <w:noWrap w:val="0"/>
            <w:vAlign w:val="center"/>
          </w:tcPr>
          <w:p w14:paraId="18F3FD1D">
            <w:pPr>
              <w:adjustRightInd w:val="0"/>
              <w:spacing w:line="440" w:lineRule="exact"/>
              <w:jc w:val="center"/>
              <w:textAlignment w:val="baseline"/>
              <w:rPr>
                <w:rFonts w:hint="eastAsia" w:ascii="仿宋" w:hAnsi="仿宋" w:eastAsia="仿宋" w:cs="仿宋"/>
                <w:b/>
                <w:color w:val="auto"/>
                <w:sz w:val="24"/>
                <w:highlight w:val="none"/>
              </w:rPr>
            </w:pPr>
            <w:bookmarkStart w:id="158" w:name="OLE_LINK7"/>
            <w:r>
              <w:rPr>
                <w:rFonts w:hint="eastAsia" w:ascii="仿宋" w:hAnsi="仿宋" w:eastAsia="仿宋" w:cs="仿宋"/>
                <w:b/>
                <w:color w:val="auto"/>
                <w:sz w:val="24"/>
                <w:highlight w:val="none"/>
              </w:rPr>
              <w:t>售后服务分</w:t>
            </w:r>
            <w:bookmarkEnd w:id="158"/>
          </w:p>
        </w:tc>
        <w:tc>
          <w:tcPr>
            <w:tcW w:w="675" w:type="dxa"/>
            <w:noWrap w:val="0"/>
            <w:vAlign w:val="center"/>
          </w:tcPr>
          <w:p w14:paraId="6F8B16C1">
            <w:pPr>
              <w:adjustRightInd w:val="0"/>
              <w:spacing w:line="440" w:lineRule="exact"/>
              <w:jc w:val="center"/>
              <w:textAlignment w:val="baseline"/>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15分</w:t>
            </w:r>
          </w:p>
        </w:tc>
        <w:tc>
          <w:tcPr>
            <w:tcW w:w="7161" w:type="dxa"/>
            <w:gridSpan w:val="2"/>
            <w:noWrap w:val="0"/>
            <w:vAlign w:val="center"/>
          </w:tcPr>
          <w:p w14:paraId="22140E38">
            <w:pPr>
              <w:spacing w:line="440" w:lineRule="exact"/>
              <w:rPr>
                <w:rFonts w:ascii="仿宋" w:hAnsi="仿宋" w:eastAsia="仿宋" w:cs="仿宋"/>
                <w:bCs/>
                <w:color w:val="auto"/>
                <w:sz w:val="24"/>
                <w:highlight w:val="none"/>
              </w:rPr>
            </w:pPr>
            <w:r>
              <w:rPr>
                <w:rFonts w:hint="eastAsia" w:ascii="仿宋" w:hAnsi="仿宋" w:eastAsia="仿宋" w:cs="仿宋"/>
                <w:bCs/>
                <w:color w:val="auto"/>
                <w:sz w:val="24"/>
                <w:highlight w:val="none"/>
              </w:rPr>
              <w:t>（1）售后服务承诺</w:t>
            </w:r>
          </w:p>
          <w:p w14:paraId="56EA164D">
            <w:pP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由评委根据供应商</w:t>
            </w:r>
            <w:r>
              <w:rPr>
                <w:rFonts w:hint="eastAsia" w:ascii="仿宋" w:hAnsi="仿宋" w:eastAsia="仿宋" w:cs="仿宋"/>
                <w:bCs/>
                <w:color w:val="auto"/>
                <w:sz w:val="24"/>
                <w:highlight w:val="none"/>
                <w:lang w:eastAsia="zh-CN"/>
              </w:rPr>
              <w:t>投标文件</w:t>
            </w:r>
            <w:r>
              <w:rPr>
                <w:rFonts w:hint="eastAsia" w:ascii="仿宋" w:hAnsi="仿宋" w:eastAsia="仿宋" w:cs="仿宋"/>
                <w:bCs/>
                <w:color w:val="auto"/>
                <w:sz w:val="24"/>
                <w:highlight w:val="none"/>
              </w:rPr>
              <w:t>中的售后服务方案内容（至少包括：免费保修期、到达故障现场时间、故障出现解决方案，定期维护（注明时间）、免费技术培训方案、免费保修期外维修方案、本地化售后服务措施、其他优惠方案）进行独立评审，并独立打分。</w:t>
            </w:r>
          </w:p>
          <w:p w14:paraId="44A1FAC3">
            <w:pPr>
              <w:spacing w:line="440" w:lineRule="exact"/>
              <w:ind w:firstLine="480" w:firstLineChars="200"/>
              <w:rPr>
                <w:rFonts w:ascii="仿宋" w:hAnsi="仿宋" w:eastAsia="仿宋" w:cs="仿宋"/>
                <w:bCs/>
                <w:color w:val="auto"/>
                <w:sz w:val="24"/>
                <w:highlight w:val="none"/>
              </w:rPr>
            </w:pPr>
            <w:bookmarkStart w:id="159" w:name="OLE_LINK5"/>
            <w:r>
              <w:rPr>
                <w:rFonts w:hint="eastAsia" w:ascii="仿宋" w:hAnsi="仿宋" w:eastAsia="仿宋" w:cs="仿宋"/>
                <w:bCs/>
                <w:color w:val="auto"/>
                <w:sz w:val="24"/>
                <w:highlight w:val="none"/>
              </w:rPr>
              <w:t>一档（0分）：供应商未提供或提供的内容有缺项的，不得分。</w:t>
            </w:r>
          </w:p>
          <w:p w14:paraId="35F092FE">
            <w:pP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档（5分）：提供了售后服务方案（免费保修期、到达故障现场时间、故障出现解决方案，定期维护（注明时间）、免费技术培训方案、免费保修期外维修方案、本地化售后服务措施、其他优惠方案）基本满足招标文件售后服务要求，本地化售后服务措施中提供1名专职售后服务工程师，提供售后服务工程师人员名单、联系电话。</w:t>
            </w:r>
          </w:p>
          <w:p w14:paraId="38588374">
            <w:pP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三档（10分）：在二档基础上，到达故障现场时间优于招标需求，定期维护时间在质保期内每年不低于4次，提供的专职售后服务工程师不少于2人，提供售后服务工程师人员名单、联系电话</w:t>
            </w:r>
            <w:r>
              <w:rPr>
                <w:rFonts w:ascii="仿宋" w:hAnsi="仿宋" w:eastAsia="仿宋" w:cs="仿宋"/>
                <w:bCs/>
                <w:color w:val="auto"/>
                <w:sz w:val="24"/>
                <w:highlight w:val="none"/>
              </w:rPr>
              <w:t>。</w:t>
            </w:r>
          </w:p>
          <w:p w14:paraId="772A220B">
            <w:pP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四档（15分）：在三档基础上，提供的售后服务方案</w:t>
            </w:r>
            <w:r>
              <w:rPr>
                <w:rFonts w:ascii="仿宋" w:hAnsi="仿宋" w:eastAsia="仿宋" w:cs="仿宋"/>
                <w:bCs/>
                <w:color w:val="auto"/>
                <w:sz w:val="24"/>
                <w:highlight w:val="none"/>
              </w:rPr>
              <w:t>内容深度契合项目技术参数与场景需求，</w:t>
            </w:r>
            <w:r>
              <w:rPr>
                <w:rFonts w:hint="eastAsia" w:ascii="仿宋" w:hAnsi="仿宋" w:eastAsia="仿宋" w:cs="仿宋"/>
                <w:bCs/>
                <w:color w:val="auto"/>
                <w:sz w:val="24"/>
                <w:highlight w:val="none"/>
              </w:rPr>
              <w:t>24小时远程支持，有分级</w:t>
            </w:r>
            <w:r>
              <w:rPr>
                <w:rFonts w:ascii="仿宋" w:hAnsi="仿宋" w:eastAsia="仿宋" w:cs="仿宋"/>
                <w:bCs/>
                <w:color w:val="auto"/>
                <w:sz w:val="24"/>
                <w:highlight w:val="none"/>
              </w:rPr>
              <w:t>响应机制</w:t>
            </w:r>
            <w:r>
              <w:rPr>
                <w:rFonts w:hint="eastAsia" w:ascii="仿宋" w:hAnsi="仿宋" w:eastAsia="仿宋" w:cs="仿宋"/>
                <w:bCs/>
                <w:color w:val="auto"/>
                <w:sz w:val="24"/>
                <w:highlight w:val="none"/>
              </w:rPr>
              <w:t>,</w:t>
            </w:r>
            <w:r>
              <w:rPr>
                <w:rFonts w:hint="eastAsia" w:ascii="Cambria Math" w:hAnsi="Cambria Math" w:eastAsia="仿宋" w:cs="Cambria Math"/>
                <w:bCs/>
                <w:color w:val="auto"/>
                <w:sz w:val="24"/>
                <w:highlight w:val="none"/>
              </w:rPr>
              <w:t>有</w:t>
            </w:r>
            <w:r>
              <w:rPr>
                <w:rFonts w:ascii="Cambria Math" w:hAnsi="Cambria Math" w:eastAsia="仿宋" w:cs="Cambria Math"/>
                <w:bCs/>
                <w:color w:val="auto"/>
                <w:sz w:val="24"/>
                <w:highlight w:val="none"/>
              </w:rPr>
              <w:t>应急保障</w:t>
            </w:r>
            <w:r>
              <w:rPr>
                <w:rFonts w:hint="eastAsia" w:ascii="Cambria Math" w:hAnsi="Cambria Math" w:eastAsia="仿宋" w:cs="Cambria Math"/>
                <w:bCs/>
                <w:color w:val="auto"/>
                <w:sz w:val="24"/>
                <w:highlight w:val="none"/>
              </w:rPr>
              <w:t>方案</w:t>
            </w:r>
            <w:r>
              <w:rPr>
                <w:rFonts w:hint="eastAsia" w:ascii="仿宋" w:hAnsi="仿宋" w:eastAsia="仿宋" w:cs="仿宋"/>
                <w:bCs/>
                <w:color w:val="auto"/>
                <w:sz w:val="24"/>
                <w:highlight w:val="none"/>
              </w:rPr>
              <w:t>，提供的专职售后服务工程师不少于</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人，提供售后服务工程师人员名单、联系电话</w:t>
            </w:r>
            <w:r>
              <w:rPr>
                <w:rFonts w:ascii="仿宋" w:hAnsi="仿宋" w:eastAsia="仿宋" w:cs="仿宋"/>
                <w:bCs/>
                <w:color w:val="auto"/>
                <w:sz w:val="24"/>
                <w:highlight w:val="none"/>
              </w:rPr>
              <w:t>。</w:t>
            </w:r>
            <w:bookmarkEnd w:id="159"/>
          </w:p>
        </w:tc>
      </w:tr>
      <w:tr w14:paraId="1645A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730" w:type="dxa"/>
            <w:noWrap w:val="0"/>
            <w:vAlign w:val="center"/>
          </w:tcPr>
          <w:p w14:paraId="6886C861">
            <w:pPr>
              <w:adjustRightInd w:val="0"/>
              <w:spacing w:line="440" w:lineRule="exact"/>
              <w:jc w:val="center"/>
              <w:textAlignment w:val="baseline"/>
              <w:rPr>
                <w:rFonts w:hint="eastAsia" w:ascii="仿宋" w:hAnsi="仿宋" w:eastAsia="仿宋" w:cs="仿宋"/>
                <w:b/>
                <w:color w:val="auto"/>
                <w:sz w:val="24"/>
                <w:highlight w:val="none"/>
              </w:rPr>
            </w:pPr>
            <w:r>
              <w:rPr>
                <w:rFonts w:hint="eastAsia" w:ascii="仿宋" w:hAnsi="仿宋" w:eastAsia="仿宋" w:cs="仿宋"/>
                <w:b/>
                <w:color w:val="auto"/>
                <w:sz w:val="24"/>
                <w:highlight w:val="none"/>
              </w:rPr>
              <w:t>4</w:t>
            </w:r>
          </w:p>
        </w:tc>
        <w:tc>
          <w:tcPr>
            <w:tcW w:w="1122" w:type="dxa"/>
            <w:noWrap w:val="0"/>
            <w:vAlign w:val="center"/>
          </w:tcPr>
          <w:p w14:paraId="54934F06">
            <w:pPr>
              <w:adjustRightInd w:val="0"/>
              <w:spacing w:line="440" w:lineRule="exact"/>
              <w:jc w:val="center"/>
              <w:textAlignment w:val="baseline"/>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商务分</w:t>
            </w:r>
          </w:p>
        </w:tc>
        <w:tc>
          <w:tcPr>
            <w:tcW w:w="675" w:type="dxa"/>
            <w:noWrap w:val="0"/>
            <w:vAlign w:val="center"/>
          </w:tcPr>
          <w:p w14:paraId="14302BF6">
            <w:pPr>
              <w:adjustRightInd w:val="0"/>
              <w:spacing w:line="440" w:lineRule="exact"/>
              <w:jc w:val="center"/>
              <w:textAlignment w:val="baseline"/>
              <w:rPr>
                <w:rFonts w:hint="eastAsia" w:ascii="仿宋" w:hAnsi="仿宋" w:eastAsia="仿宋" w:cs="仿宋"/>
                <w:b/>
                <w:color w:val="auto"/>
                <w:sz w:val="24"/>
                <w:highlight w:val="none"/>
              </w:rPr>
            </w:pPr>
            <w:r>
              <w:rPr>
                <w:rFonts w:hint="eastAsia" w:ascii="仿宋" w:hAnsi="仿宋" w:eastAsia="仿宋" w:cs="仿宋"/>
                <w:b/>
                <w:color w:val="auto"/>
                <w:sz w:val="24"/>
                <w:highlight w:val="none"/>
              </w:rPr>
              <w:t>5分</w:t>
            </w:r>
          </w:p>
        </w:tc>
        <w:tc>
          <w:tcPr>
            <w:tcW w:w="7161" w:type="dxa"/>
            <w:gridSpan w:val="2"/>
            <w:noWrap w:val="0"/>
            <w:vAlign w:val="center"/>
          </w:tcPr>
          <w:p w14:paraId="0B8B7FDA">
            <w:pPr>
              <w:numPr>
                <w:ilvl w:val="0"/>
                <w:numId w:val="8"/>
              </w:numPr>
              <w:spacing w:line="440" w:lineRule="exac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投标人具备</w:t>
            </w:r>
            <w:r>
              <w:rPr>
                <w:rFonts w:hint="eastAsia" w:ascii="仿宋" w:hAnsi="仿宋" w:eastAsia="仿宋" w:cs="仿宋"/>
                <w:bCs/>
                <w:color w:val="auto"/>
                <w:sz w:val="24"/>
                <w:highlight w:val="none"/>
                <w:lang w:val="en-US" w:eastAsia="zh-CN"/>
              </w:rPr>
              <w:t>有效期内的</w:t>
            </w:r>
            <w:r>
              <w:rPr>
                <w:rFonts w:hint="eastAsia" w:ascii="仿宋" w:hAnsi="仿宋" w:eastAsia="仿宋" w:cs="仿宋"/>
                <w:bCs/>
                <w:color w:val="auto"/>
                <w:sz w:val="24"/>
                <w:highlight w:val="none"/>
              </w:rPr>
              <w:t>ISO9001质量管理体系认证、ISO45001职业健康安全管理体系认证、ISO14001环境管理体系认证评定符合要求的认证证书，每提供1项得1分，最多得3分，不提供得0分。</w:t>
            </w:r>
          </w:p>
          <w:p w14:paraId="59DE0F29">
            <w:pPr>
              <w:numPr>
                <w:ilvl w:val="0"/>
                <w:numId w:val="8"/>
              </w:numPr>
              <w:spacing w:line="440" w:lineRule="exac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供应商 202</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年 1 月 1 日至投标截止时间具有类似项目业绩，每个项目得 0.</w:t>
            </w: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分，满分 2 分[以投标文件提供合同原件扫描件或中标（成交）通知书扫描件且能体现采购标的，以合同签订日期或中标（成交）通知日期为准]。</w:t>
            </w:r>
          </w:p>
        </w:tc>
      </w:tr>
      <w:tr w14:paraId="74A4E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30" w:type="dxa"/>
            <w:noWrap w:val="0"/>
            <w:vAlign w:val="center"/>
          </w:tcPr>
          <w:p w14:paraId="676E2F9F">
            <w:pPr>
              <w:adjustRightInd w:val="0"/>
              <w:spacing w:line="440" w:lineRule="exact"/>
              <w:jc w:val="center"/>
              <w:textAlignment w:val="baseline"/>
              <w:rPr>
                <w:rFonts w:hint="eastAsia" w:ascii="仿宋" w:hAnsi="仿宋" w:eastAsia="仿宋" w:cs="仿宋"/>
                <w:b/>
                <w:color w:val="auto"/>
                <w:sz w:val="24"/>
                <w:highlight w:val="none"/>
              </w:rPr>
            </w:pPr>
            <w:r>
              <w:rPr>
                <w:rFonts w:hint="eastAsia" w:ascii="仿宋" w:hAnsi="仿宋" w:eastAsia="仿宋" w:cs="仿宋"/>
                <w:b/>
                <w:color w:val="auto"/>
                <w:sz w:val="24"/>
                <w:highlight w:val="none"/>
              </w:rPr>
              <w:t>5</w:t>
            </w:r>
          </w:p>
        </w:tc>
        <w:tc>
          <w:tcPr>
            <w:tcW w:w="1122" w:type="dxa"/>
            <w:noWrap w:val="0"/>
            <w:vAlign w:val="center"/>
          </w:tcPr>
          <w:p w14:paraId="01429644">
            <w:pPr>
              <w:adjustRightInd w:val="0"/>
              <w:spacing w:line="440" w:lineRule="exact"/>
              <w:jc w:val="center"/>
              <w:textAlignment w:val="baseline"/>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政策功能</w:t>
            </w:r>
          </w:p>
        </w:tc>
        <w:tc>
          <w:tcPr>
            <w:tcW w:w="675" w:type="dxa"/>
            <w:noWrap w:val="0"/>
            <w:vAlign w:val="center"/>
          </w:tcPr>
          <w:p w14:paraId="2869B099">
            <w:pPr>
              <w:adjustRightInd w:val="0"/>
              <w:spacing w:line="440" w:lineRule="exact"/>
              <w:jc w:val="center"/>
              <w:textAlignment w:val="baseline"/>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2分</w:t>
            </w:r>
          </w:p>
        </w:tc>
        <w:tc>
          <w:tcPr>
            <w:tcW w:w="7161" w:type="dxa"/>
            <w:gridSpan w:val="2"/>
            <w:noWrap w:val="0"/>
            <w:vAlign w:val="center"/>
          </w:tcPr>
          <w:p w14:paraId="518EA36C">
            <w:pPr>
              <w:pStyle w:val="27"/>
              <w:spacing w:line="440" w:lineRule="exact"/>
              <w:ind w:firstLine="480" w:firstLineChars="200"/>
              <w:jc w:val="left"/>
              <w:rPr>
                <w:rFonts w:hint="eastAsia" w:ascii="仿宋" w:hAnsi="仿宋" w:eastAsia="仿宋" w:cs="仿宋"/>
                <w:bCs/>
                <w:color w:val="auto"/>
                <w:kern w:val="2"/>
                <w:sz w:val="24"/>
                <w:szCs w:val="24"/>
                <w:highlight w:val="none"/>
              </w:rPr>
            </w:pPr>
            <w:r>
              <w:rPr>
                <w:rFonts w:hint="eastAsia" w:ascii="仿宋" w:hAnsi="仿宋" w:eastAsia="仿宋" w:cs="仿宋"/>
                <w:bCs/>
                <w:color w:val="auto"/>
                <w:kern w:val="2"/>
                <w:sz w:val="24"/>
                <w:szCs w:val="24"/>
                <w:highlight w:val="none"/>
              </w:rPr>
              <w:t>1、主要投标产品中包含列入政府采购品目清单中的优先采购产品并具有有效的节能产品认证证书的，每项产品得0.5分，满分1分（以政府采购品目清单和有效的节能产品认证证书复印件为准）。</w:t>
            </w:r>
          </w:p>
          <w:p w14:paraId="153A246A">
            <w:pPr>
              <w:pStyle w:val="27"/>
              <w:spacing w:line="440" w:lineRule="exact"/>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kern w:val="2"/>
                <w:sz w:val="24"/>
                <w:szCs w:val="24"/>
                <w:highlight w:val="none"/>
              </w:rPr>
              <w:t>2、主要投标产品中包含列入政府采购品目清单中的优先采购产品并具有有效的环境标志产品认证证书，每项产品得0.5分，满分1分（以政府采购品目清单和有效的环境标志产品认证证书复印件为准）。</w:t>
            </w:r>
          </w:p>
        </w:tc>
      </w:tr>
      <w:tr w14:paraId="27519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9688" w:type="dxa"/>
            <w:gridSpan w:val="5"/>
            <w:noWrap w:val="0"/>
            <w:vAlign w:val="center"/>
          </w:tcPr>
          <w:p w14:paraId="508AD99B">
            <w:pPr>
              <w:pStyle w:val="27"/>
              <w:spacing w:line="440" w:lineRule="exact"/>
              <w:rPr>
                <w:rFonts w:hint="eastAsia" w:ascii="仿宋" w:hAnsi="仿宋" w:eastAsia="仿宋" w:cs="仿宋"/>
                <w:bCs/>
                <w:color w:val="auto"/>
                <w:kern w:val="2"/>
                <w:sz w:val="24"/>
                <w:szCs w:val="24"/>
                <w:highlight w:val="none"/>
              </w:rPr>
            </w:pPr>
            <w:r>
              <w:rPr>
                <w:rFonts w:hint="eastAsia" w:ascii="仿宋" w:hAnsi="仿宋" w:eastAsia="仿宋" w:cs="仿宋"/>
                <w:b/>
                <w:bCs/>
                <w:color w:val="auto"/>
                <w:kern w:val="2"/>
                <w:sz w:val="24"/>
                <w:szCs w:val="24"/>
                <w:highlight w:val="none"/>
              </w:rPr>
              <w:t>总得分=1+2+3+4+5</w:t>
            </w:r>
          </w:p>
        </w:tc>
      </w:tr>
    </w:tbl>
    <w:p w14:paraId="00018CDB">
      <w:pPr>
        <w:pStyle w:val="27"/>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注：1.计分方法按四舍五入取至百分位；</w:t>
      </w:r>
    </w:p>
    <w:p w14:paraId="6BDCE716">
      <w:pPr>
        <w:pStyle w:val="27"/>
        <w:spacing w:line="360" w:lineRule="auto"/>
        <w:ind w:firstLine="420"/>
        <w:rPr>
          <w:rFonts w:hint="eastAsia" w:ascii="仿宋" w:hAnsi="仿宋" w:eastAsia="仿宋" w:cs="仿宋"/>
          <w:bCs/>
          <w:color w:val="auto"/>
          <w:sz w:val="21"/>
          <w:highlight w:val="none"/>
        </w:rPr>
      </w:pPr>
      <w:r>
        <w:rPr>
          <w:rFonts w:hint="eastAsia" w:ascii="仿宋" w:hAnsi="仿宋" w:eastAsia="仿宋" w:cs="仿宋"/>
          <w:bCs/>
          <w:color w:val="auto"/>
          <w:sz w:val="24"/>
          <w:szCs w:val="24"/>
          <w:highlight w:val="none"/>
        </w:rPr>
        <w:t>2.因落实政府采购政策进行价格调整的，以调整后的价格计算评标基准价和投标报价。</w:t>
      </w:r>
    </w:p>
    <w:p w14:paraId="608F6EEA">
      <w:pPr>
        <w:spacing w:line="360" w:lineRule="auto"/>
        <w:jc w:val="center"/>
        <w:rPr>
          <w:rFonts w:hint="eastAsia" w:ascii="仿宋" w:hAnsi="仿宋" w:eastAsia="仿宋" w:cs="仿宋"/>
          <w:color w:val="auto"/>
          <w:highlight w:val="none"/>
        </w:rPr>
      </w:pPr>
    </w:p>
    <w:p w14:paraId="1A9869AE">
      <w:pPr>
        <w:spacing w:line="360" w:lineRule="auto"/>
        <w:jc w:val="center"/>
        <w:rPr>
          <w:rFonts w:hint="eastAsia" w:ascii="仿宋" w:hAnsi="仿宋" w:eastAsia="仿宋" w:cs="仿宋"/>
          <w:color w:val="auto"/>
          <w:sz w:val="30"/>
          <w:szCs w:val="30"/>
          <w:highlight w:val="none"/>
        </w:rPr>
      </w:pPr>
      <w:r>
        <w:rPr>
          <w:rFonts w:hint="eastAsia" w:ascii="仿宋" w:hAnsi="仿宋" w:eastAsia="仿宋" w:cs="仿宋"/>
          <w:b/>
          <w:bCs/>
          <w:color w:val="auto"/>
          <w:sz w:val="32"/>
          <w:szCs w:val="32"/>
          <w:highlight w:val="none"/>
          <w:lang w:val="en-US" w:eastAsia="zh-CN"/>
        </w:rPr>
        <w:t>四</w:t>
      </w:r>
      <w:r>
        <w:rPr>
          <w:rFonts w:hint="eastAsia" w:ascii="仿宋" w:hAnsi="仿宋" w:eastAsia="仿宋" w:cs="仿宋"/>
          <w:b/>
          <w:bCs/>
          <w:color w:val="auto"/>
          <w:sz w:val="32"/>
          <w:szCs w:val="32"/>
          <w:highlight w:val="none"/>
        </w:rPr>
        <w:t>、中标候选人推荐原则</w:t>
      </w:r>
    </w:p>
    <w:p w14:paraId="335E9D15">
      <w:pPr>
        <w:pStyle w:val="27"/>
        <w:spacing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标委员会将根据总得分由高到低排列次序并推荐中标候选人。得分相同的，按投标报价由低到高顺序排列。得分且投标报价相同的并列。投标文件满足招标文件全部实质性要求，且按照评审因素的量化指标评审得分最高的投标人为排名第一的中标候选人。</w:t>
      </w:r>
    </w:p>
    <w:p w14:paraId="2F539483">
      <w:pPr>
        <w:keepNext w:val="0"/>
        <w:keepLines w:val="0"/>
        <w:pageBreakBefore w:val="0"/>
        <w:widowControl w:val="0"/>
        <w:kinsoku/>
        <w:wordWrap/>
        <w:overflowPunct/>
        <w:topLinePunct w:val="0"/>
        <w:bidi w:val="0"/>
        <w:adjustRightInd/>
        <w:spacing w:line="440" w:lineRule="exact"/>
        <w:jc w:val="left"/>
        <w:rPr>
          <w:rFonts w:hint="eastAsia" w:ascii="仿宋" w:hAnsi="仿宋" w:eastAsia="仿宋" w:cs="仿宋"/>
          <w:b/>
          <w:bCs/>
          <w:color w:val="auto"/>
          <w:sz w:val="24"/>
          <w:szCs w:val="24"/>
          <w:highlight w:val="none"/>
        </w:rPr>
      </w:pPr>
    </w:p>
    <w:p w14:paraId="35B7A13F">
      <w:pPr>
        <w:pStyle w:val="4"/>
        <w:keepNext w:val="0"/>
        <w:keepLines w:val="0"/>
        <w:spacing w:before="0" w:after="0" w:line="360" w:lineRule="auto"/>
        <w:jc w:val="center"/>
        <w:rPr>
          <w:rFonts w:hint="eastAsia" w:ascii="仿宋" w:hAnsi="仿宋" w:eastAsia="仿宋" w:cs="仿宋"/>
          <w:color w:val="auto"/>
          <w:sz w:val="44"/>
          <w:szCs w:val="44"/>
          <w:highlight w:val="none"/>
        </w:rPr>
      </w:pPr>
      <w:r>
        <w:rPr>
          <w:rFonts w:hint="eastAsia" w:ascii="仿宋" w:hAnsi="仿宋" w:eastAsia="仿宋" w:cs="仿宋"/>
          <w:color w:val="auto"/>
          <w:highlight w:val="none"/>
        </w:rPr>
        <w:br w:type="page"/>
      </w:r>
      <w:bookmarkStart w:id="160" w:name="_Toc74320804"/>
      <w:r>
        <w:rPr>
          <w:rFonts w:hint="eastAsia" w:ascii="仿宋" w:hAnsi="仿宋" w:eastAsia="仿宋" w:cs="仿宋"/>
          <w:color w:val="auto"/>
          <w:sz w:val="44"/>
          <w:szCs w:val="44"/>
          <w:highlight w:val="none"/>
        </w:rPr>
        <w:t>第五章  拟签订的合同文本</w:t>
      </w:r>
      <w:bookmarkEnd w:id="160"/>
    </w:p>
    <w:p w14:paraId="14FE1EFE">
      <w:pPr>
        <w:snapToGrid w:val="0"/>
        <w:spacing w:line="400" w:lineRule="exact"/>
        <w:jc w:val="center"/>
        <w:rPr>
          <w:rFonts w:hint="eastAsia" w:ascii="仿宋" w:hAnsi="仿宋" w:eastAsia="仿宋" w:cs="仿宋"/>
          <w:b/>
          <w:bCs/>
          <w:color w:val="auto"/>
          <w:sz w:val="32"/>
          <w:szCs w:val="32"/>
          <w:highlight w:val="none"/>
        </w:rPr>
      </w:pPr>
      <w:bookmarkStart w:id="161" w:name="_Toc26520"/>
      <w:r>
        <w:rPr>
          <w:rFonts w:hint="eastAsia" w:ascii="仿宋" w:hAnsi="仿宋" w:eastAsia="仿宋" w:cs="仿宋"/>
          <w:b/>
          <w:bCs/>
          <w:color w:val="auto"/>
          <w:sz w:val="32"/>
          <w:szCs w:val="32"/>
          <w:highlight w:val="none"/>
        </w:rPr>
        <w:t>《广西壮族自治区政府采购合同》</w:t>
      </w:r>
    </w:p>
    <w:p w14:paraId="39477925">
      <w:pPr>
        <w:snapToGrid w:val="0"/>
        <w:spacing w:line="400" w:lineRule="exact"/>
        <w:jc w:val="center"/>
        <w:rPr>
          <w:rFonts w:hint="eastAsia" w:ascii="仿宋" w:hAnsi="仿宋" w:eastAsia="仿宋" w:cs="仿宋"/>
          <w:b/>
          <w:bCs/>
          <w:color w:val="auto"/>
          <w:sz w:val="22"/>
          <w:szCs w:val="22"/>
          <w:highlight w:val="none"/>
        </w:rPr>
      </w:pPr>
      <w:r>
        <w:rPr>
          <w:rFonts w:hint="eastAsia" w:ascii="仿宋" w:hAnsi="仿宋" w:eastAsia="仿宋" w:cs="仿宋"/>
          <w:b/>
          <w:color w:val="auto"/>
          <w:sz w:val="32"/>
          <w:szCs w:val="32"/>
          <w:highlight w:val="none"/>
        </w:rPr>
        <w:t>文本</w:t>
      </w:r>
    </w:p>
    <w:p w14:paraId="2A9FD859">
      <w:pPr>
        <w:snapToGrid w:val="0"/>
        <w:spacing w:line="400" w:lineRule="exact"/>
        <w:ind w:right="480" w:firstLine="6000" w:firstLineChars="2500"/>
        <w:rPr>
          <w:rFonts w:hint="eastAsia" w:ascii="仿宋" w:hAnsi="仿宋" w:eastAsia="仿宋" w:cs="仿宋"/>
          <w:bCs/>
          <w:color w:val="auto"/>
          <w:sz w:val="24"/>
          <w:highlight w:val="none"/>
          <w:u w:val="single"/>
        </w:rPr>
      </w:pPr>
      <w:r>
        <w:rPr>
          <w:rFonts w:hint="eastAsia" w:ascii="仿宋" w:hAnsi="仿宋" w:eastAsia="仿宋" w:cs="仿宋"/>
          <w:bCs/>
          <w:color w:val="auto"/>
          <w:sz w:val="24"/>
          <w:highlight w:val="none"/>
        </w:rPr>
        <w:t>合同编号：</w:t>
      </w:r>
    </w:p>
    <w:p w14:paraId="50117449">
      <w:pPr>
        <w:snapToGrid w:val="0"/>
        <w:spacing w:line="360" w:lineRule="exact"/>
        <w:rPr>
          <w:rFonts w:hint="eastAsia" w:ascii="仿宋" w:hAnsi="仿宋" w:eastAsia="仿宋" w:cs="仿宋"/>
          <w:color w:val="auto"/>
          <w:sz w:val="24"/>
          <w:highlight w:val="none"/>
        </w:rPr>
      </w:pPr>
    </w:p>
    <w:p w14:paraId="74340DD6">
      <w:pPr>
        <w:snapToGrid w:val="0"/>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采购人（甲方）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r>
        <w:rPr>
          <w:rFonts w:hint="eastAsia" w:ascii="仿宋" w:hAnsi="仿宋" w:eastAsia="仿宋" w:cs="仿宋"/>
          <w:color w:val="auto"/>
          <w:spacing w:val="-20"/>
          <w:sz w:val="24"/>
          <w:highlight w:val="none"/>
        </w:rPr>
        <w:t>采 购 计 划 号</w:t>
      </w:r>
      <w:r>
        <w:rPr>
          <w:rFonts w:hint="eastAsia" w:ascii="仿宋" w:hAnsi="仿宋" w:eastAsia="仿宋" w:cs="仿宋"/>
          <w:color w:val="auto"/>
          <w:sz w:val="24"/>
          <w:highlight w:val="none"/>
          <w:u w:val="single"/>
        </w:rPr>
        <w:t xml:space="preserve">             </w:t>
      </w:r>
    </w:p>
    <w:p w14:paraId="2F25269A">
      <w:pPr>
        <w:snapToGrid w:val="0"/>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供 应 商（乙方）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r>
        <w:rPr>
          <w:rFonts w:hint="eastAsia" w:ascii="仿宋" w:hAnsi="仿宋" w:eastAsia="仿宋" w:cs="仿宋"/>
          <w:color w:val="auto"/>
          <w:spacing w:val="-20"/>
          <w:sz w:val="24"/>
          <w:highlight w:val="none"/>
        </w:rPr>
        <w:t>招  标  编  号</w:t>
      </w:r>
      <w:r>
        <w:rPr>
          <w:rFonts w:hint="eastAsia" w:ascii="仿宋" w:hAnsi="仿宋" w:eastAsia="仿宋" w:cs="仿宋"/>
          <w:color w:val="auto"/>
          <w:sz w:val="24"/>
          <w:highlight w:val="none"/>
          <w:u w:val="single"/>
        </w:rPr>
        <w:t xml:space="preserve">             </w:t>
      </w:r>
    </w:p>
    <w:p w14:paraId="61EDB28D">
      <w:pPr>
        <w:snapToGrid w:val="0"/>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 xml:space="preserve">签  订  地  点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签 订 时 间</w:t>
      </w:r>
      <w:r>
        <w:rPr>
          <w:rFonts w:hint="eastAsia" w:ascii="仿宋" w:hAnsi="仿宋" w:eastAsia="仿宋" w:cs="仿宋"/>
          <w:color w:val="auto"/>
          <w:sz w:val="24"/>
          <w:highlight w:val="none"/>
          <w:u w:val="single"/>
        </w:rPr>
        <w:t xml:space="preserve">             </w:t>
      </w:r>
    </w:p>
    <w:p w14:paraId="1AA64CC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本合同为中小企业预留合同：</w:t>
      </w:r>
      <w:r>
        <w:rPr>
          <w:rFonts w:hint="eastAsia" w:ascii="仿宋" w:hAnsi="仿宋" w:eastAsia="仿宋" w:cs="仿宋"/>
          <w:color w:val="auto"/>
          <w:sz w:val="24"/>
          <w:highlight w:val="none"/>
          <w:u w:val="single"/>
        </w:rPr>
        <w:t>（是/否）</w:t>
      </w:r>
      <w:r>
        <w:rPr>
          <w:rFonts w:hint="eastAsia" w:ascii="仿宋" w:hAnsi="仿宋" w:eastAsia="仿宋" w:cs="仿宋"/>
          <w:color w:val="auto"/>
          <w:sz w:val="24"/>
          <w:highlight w:val="none"/>
        </w:rPr>
        <w:t>。</w:t>
      </w:r>
    </w:p>
    <w:p w14:paraId="413B9B33">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根据《中华人民共和国政府采购法》、《中华人民共和国民法典》等法律、法规规定，按照招标文件（采购文件）规定条款和中标（成交）供应商承诺，甲乙双方签订本合同。</w:t>
      </w:r>
    </w:p>
    <w:p w14:paraId="67A0ED7F">
      <w:p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第一条　合同标的</w:t>
      </w:r>
    </w:p>
    <w:p w14:paraId="780FD2DF">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1.供货一览表</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33"/>
        <w:gridCol w:w="1059"/>
        <w:gridCol w:w="1233"/>
        <w:gridCol w:w="1210"/>
        <w:gridCol w:w="908"/>
        <w:gridCol w:w="668"/>
        <w:gridCol w:w="947"/>
        <w:gridCol w:w="1189"/>
      </w:tblGrid>
      <w:tr w14:paraId="0E324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jc w:val="center"/>
        </w:trPr>
        <w:tc>
          <w:tcPr>
            <w:tcW w:w="709" w:type="dxa"/>
            <w:noWrap w:val="0"/>
            <w:vAlign w:val="center"/>
          </w:tcPr>
          <w:p w14:paraId="069F5865">
            <w:pPr>
              <w:snapToGrid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1233" w:type="dxa"/>
            <w:noWrap w:val="0"/>
            <w:vAlign w:val="center"/>
          </w:tcPr>
          <w:p w14:paraId="796613FC">
            <w:pPr>
              <w:snapToGrid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产品名称</w:t>
            </w:r>
          </w:p>
        </w:tc>
        <w:tc>
          <w:tcPr>
            <w:tcW w:w="1059" w:type="dxa"/>
            <w:noWrap w:val="0"/>
            <w:vAlign w:val="center"/>
          </w:tcPr>
          <w:p w14:paraId="535BA00B">
            <w:pPr>
              <w:snapToGrid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商标品牌</w:t>
            </w:r>
          </w:p>
        </w:tc>
        <w:tc>
          <w:tcPr>
            <w:tcW w:w="1233" w:type="dxa"/>
            <w:noWrap w:val="0"/>
            <w:vAlign w:val="center"/>
          </w:tcPr>
          <w:p w14:paraId="4FA07368">
            <w:pPr>
              <w:snapToGrid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规格型号</w:t>
            </w:r>
          </w:p>
        </w:tc>
        <w:tc>
          <w:tcPr>
            <w:tcW w:w="1210" w:type="dxa"/>
            <w:noWrap w:val="0"/>
            <w:vAlign w:val="center"/>
          </w:tcPr>
          <w:p w14:paraId="3678B326">
            <w:pPr>
              <w:snapToGrid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生产厂家</w:t>
            </w:r>
          </w:p>
        </w:tc>
        <w:tc>
          <w:tcPr>
            <w:tcW w:w="908" w:type="dxa"/>
            <w:noWrap w:val="0"/>
            <w:vAlign w:val="center"/>
          </w:tcPr>
          <w:p w14:paraId="31B9A79F">
            <w:pPr>
              <w:snapToGrid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数  量</w:t>
            </w:r>
          </w:p>
        </w:tc>
        <w:tc>
          <w:tcPr>
            <w:tcW w:w="668" w:type="dxa"/>
            <w:noWrap w:val="0"/>
            <w:vAlign w:val="center"/>
          </w:tcPr>
          <w:p w14:paraId="3248792D">
            <w:pPr>
              <w:snapToGrid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单位</w:t>
            </w:r>
          </w:p>
        </w:tc>
        <w:tc>
          <w:tcPr>
            <w:tcW w:w="947" w:type="dxa"/>
            <w:noWrap w:val="0"/>
            <w:vAlign w:val="center"/>
          </w:tcPr>
          <w:p w14:paraId="365EB3D0">
            <w:pPr>
              <w:snapToGrid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单  价</w:t>
            </w:r>
          </w:p>
          <w:p w14:paraId="6BF345F4">
            <w:pPr>
              <w:snapToGrid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（元）</w:t>
            </w:r>
          </w:p>
        </w:tc>
        <w:tc>
          <w:tcPr>
            <w:tcW w:w="1189" w:type="dxa"/>
            <w:noWrap w:val="0"/>
            <w:vAlign w:val="center"/>
          </w:tcPr>
          <w:p w14:paraId="49B1FDB1">
            <w:pPr>
              <w:snapToGrid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金  额</w:t>
            </w:r>
          </w:p>
          <w:p w14:paraId="5624C7C3">
            <w:pPr>
              <w:snapToGrid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（元）</w:t>
            </w:r>
          </w:p>
        </w:tc>
      </w:tr>
      <w:tr w14:paraId="5AD8E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9" w:type="dxa"/>
            <w:noWrap w:val="0"/>
            <w:vAlign w:val="center"/>
          </w:tcPr>
          <w:p w14:paraId="322A4A4E">
            <w:pPr>
              <w:snapToGrid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1233" w:type="dxa"/>
            <w:noWrap w:val="0"/>
            <w:vAlign w:val="center"/>
          </w:tcPr>
          <w:p w14:paraId="32939E45">
            <w:pPr>
              <w:snapToGrid w:val="0"/>
              <w:spacing w:line="360" w:lineRule="auto"/>
              <w:jc w:val="center"/>
              <w:rPr>
                <w:rFonts w:hint="eastAsia" w:ascii="仿宋" w:hAnsi="仿宋" w:eastAsia="仿宋" w:cs="仿宋"/>
                <w:color w:val="auto"/>
                <w:sz w:val="24"/>
                <w:highlight w:val="none"/>
              </w:rPr>
            </w:pPr>
          </w:p>
        </w:tc>
        <w:tc>
          <w:tcPr>
            <w:tcW w:w="1059" w:type="dxa"/>
            <w:noWrap w:val="0"/>
            <w:vAlign w:val="center"/>
          </w:tcPr>
          <w:p w14:paraId="0E129691">
            <w:pPr>
              <w:snapToGrid w:val="0"/>
              <w:spacing w:line="360" w:lineRule="auto"/>
              <w:jc w:val="center"/>
              <w:rPr>
                <w:rFonts w:hint="eastAsia" w:ascii="仿宋" w:hAnsi="仿宋" w:eastAsia="仿宋" w:cs="仿宋"/>
                <w:color w:val="auto"/>
                <w:sz w:val="24"/>
                <w:highlight w:val="none"/>
              </w:rPr>
            </w:pPr>
          </w:p>
        </w:tc>
        <w:tc>
          <w:tcPr>
            <w:tcW w:w="1233" w:type="dxa"/>
            <w:noWrap w:val="0"/>
            <w:vAlign w:val="center"/>
          </w:tcPr>
          <w:p w14:paraId="74A88576">
            <w:pPr>
              <w:snapToGrid w:val="0"/>
              <w:spacing w:line="360" w:lineRule="auto"/>
              <w:jc w:val="center"/>
              <w:rPr>
                <w:rFonts w:hint="eastAsia" w:ascii="仿宋" w:hAnsi="仿宋" w:eastAsia="仿宋" w:cs="仿宋"/>
                <w:color w:val="auto"/>
                <w:sz w:val="24"/>
                <w:highlight w:val="none"/>
              </w:rPr>
            </w:pPr>
          </w:p>
        </w:tc>
        <w:tc>
          <w:tcPr>
            <w:tcW w:w="1210" w:type="dxa"/>
            <w:noWrap w:val="0"/>
            <w:vAlign w:val="top"/>
          </w:tcPr>
          <w:p w14:paraId="69441AD6">
            <w:pPr>
              <w:snapToGrid w:val="0"/>
              <w:spacing w:line="360" w:lineRule="auto"/>
              <w:jc w:val="center"/>
              <w:rPr>
                <w:rFonts w:hint="eastAsia" w:ascii="仿宋" w:hAnsi="仿宋" w:eastAsia="仿宋" w:cs="仿宋"/>
                <w:color w:val="auto"/>
                <w:sz w:val="24"/>
                <w:highlight w:val="none"/>
              </w:rPr>
            </w:pPr>
          </w:p>
        </w:tc>
        <w:tc>
          <w:tcPr>
            <w:tcW w:w="908" w:type="dxa"/>
            <w:noWrap w:val="0"/>
            <w:vAlign w:val="top"/>
          </w:tcPr>
          <w:p w14:paraId="2ECFBF4A">
            <w:pPr>
              <w:snapToGrid w:val="0"/>
              <w:spacing w:line="360" w:lineRule="auto"/>
              <w:jc w:val="center"/>
              <w:rPr>
                <w:rFonts w:hint="eastAsia" w:ascii="仿宋" w:hAnsi="仿宋" w:eastAsia="仿宋" w:cs="仿宋"/>
                <w:color w:val="auto"/>
                <w:sz w:val="24"/>
                <w:highlight w:val="none"/>
              </w:rPr>
            </w:pPr>
          </w:p>
        </w:tc>
        <w:tc>
          <w:tcPr>
            <w:tcW w:w="668" w:type="dxa"/>
            <w:noWrap w:val="0"/>
            <w:vAlign w:val="top"/>
          </w:tcPr>
          <w:p w14:paraId="5DF3A93D">
            <w:pPr>
              <w:snapToGrid w:val="0"/>
              <w:spacing w:line="360" w:lineRule="auto"/>
              <w:jc w:val="center"/>
              <w:rPr>
                <w:rFonts w:hint="eastAsia" w:ascii="仿宋" w:hAnsi="仿宋" w:eastAsia="仿宋" w:cs="仿宋"/>
                <w:color w:val="auto"/>
                <w:sz w:val="24"/>
                <w:highlight w:val="none"/>
              </w:rPr>
            </w:pPr>
          </w:p>
        </w:tc>
        <w:tc>
          <w:tcPr>
            <w:tcW w:w="947" w:type="dxa"/>
            <w:noWrap w:val="0"/>
            <w:vAlign w:val="center"/>
          </w:tcPr>
          <w:p w14:paraId="0DE45F3C">
            <w:pPr>
              <w:snapToGrid w:val="0"/>
              <w:spacing w:line="360" w:lineRule="auto"/>
              <w:jc w:val="center"/>
              <w:rPr>
                <w:rFonts w:hint="eastAsia" w:ascii="仿宋" w:hAnsi="仿宋" w:eastAsia="仿宋" w:cs="仿宋"/>
                <w:color w:val="auto"/>
                <w:sz w:val="24"/>
                <w:highlight w:val="none"/>
              </w:rPr>
            </w:pPr>
          </w:p>
        </w:tc>
        <w:tc>
          <w:tcPr>
            <w:tcW w:w="1189" w:type="dxa"/>
            <w:noWrap w:val="0"/>
            <w:vAlign w:val="center"/>
          </w:tcPr>
          <w:p w14:paraId="064E3B28">
            <w:pPr>
              <w:snapToGrid w:val="0"/>
              <w:spacing w:line="360" w:lineRule="auto"/>
              <w:jc w:val="center"/>
              <w:rPr>
                <w:rFonts w:hint="eastAsia" w:ascii="仿宋" w:hAnsi="仿宋" w:eastAsia="仿宋" w:cs="仿宋"/>
                <w:color w:val="auto"/>
                <w:sz w:val="24"/>
                <w:highlight w:val="none"/>
              </w:rPr>
            </w:pPr>
          </w:p>
        </w:tc>
      </w:tr>
      <w:tr w14:paraId="4272D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9" w:type="dxa"/>
            <w:noWrap w:val="0"/>
            <w:vAlign w:val="center"/>
          </w:tcPr>
          <w:p w14:paraId="64439B5D">
            <w:pPr>
              <w:snapToGrid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1233" w:type="dxa"/>
            <w:noWrap w:val="0"/>
            <w:vAlign w:val="center"/>
          </w:tcPr>
          <w:p w14:paraId="7115FA93">
            <w:pPr>
              <w:snapToGrid w:val="0"/>
              <w:spacing w:line="360" w:lineRule="auto"/>
              <w:jc w:val="center"/>
              <w:rPr>
                <w:rFonts w:hint="eastAsia" w:ascii="仿宋" w:hAnsi="仿宋" w:eastAsia="仿宋" w:cs="仿宋"/>
                <w:color w:val="auto"/>
                <w:sz w:val="24"/>
                <w:highlight w:val="none"/>
              </w:rPr>
            </w:pPr>
          </w:p>
        </w:tc>
        <w:tc>
          <w:tcPr>
            <w:tcW w:w="1059" w:type="dxa"/>
            <w:noWrap w:val="0"/>
            <w:vAlign w:val="center"/>
          </w:tcPr>
          <w:p w14:paraId="26885A30">
            <w:pPr>
              <w:snapToGrid w:val="0"/>
              <w:spacing w:line="360" w:lineRule="auto"/>
              <w:jc w:val="center"/>
              <w:rPr>
                <w:rFonts w:hint="eastAsia" w:ascii="仿宋" w:hAnsi="仿宋" w:eastAsia="仿宋" w:cs="仿宋"/>
                <w:color w:val="auto"/>
                <w:sz w:val="24"/>
                <w:highlight w:val="none"/>
              </w:rPr>
            </w:pPr>
          </w:p>
        </w:tc>
        <w:tc>
          <w:tcPr>
            <w:tcW w:w="1233" w:type="dxa"/>
            <w:noWrap w:val="0"/>
            <w:vAlign w:val="center"/>
          </w:tcPr>
          <w:p w14:paraId="3FF7A8BC">
            <w:pPr>
              <w:snapToGrid w:val="0"/>
              <w:spacing w:line="360" w:lineRule="auto"/>
              <w:jc w:val="center"/>
              <w:rPr>
                <w:rFonts w:hint="eastAsia" w:ascii="仿宋" w:hAnsi="仿宋" w:eastAsia="仿宋" w:cs="仿宋"/>
                <w:color w:val="auto"/>
                <w:sz w:val="24"/>
                <w:highlight w:val="none"/>
              </w:rPr>
            </w:pPr>
          </w:p>
        </w:tc>
        <w:tc>
          <w:tcPr>
            <w:tcW w:w="1210" w:type="dxa"/>
            <w:noWrap w:val="0"/>
            <w:vAlign w:val="top"/>
          </w:tcPr>
          <w:p w14:paraId="25B2E29E">
            <w:pPr>
              <w:snapToGrid w:val="0"/>
              <w:spacing w:line="360" w:lineRule="auto"/>
              <w:jc w:val="center"/>
              <w:rPr>
                <w:rFonts w:hint="eastAsia" w:ascii="仿宋" w:hAnsi="仿宋" w:eastAsia="仿宋" w:cs="仿宋"/>
                <w:color w:val="auto"/>
                <w:sz w:val="24"/>
                <w:highlight w:val="none"/>
              </w:rPr>
            </w:pPr>
          </w:p>
        </w:tc>
        <w:tc>
          <w:tcPr>
            <w:tcW w:w="908" w:type="dxa"/>
            <w:noWrap w:val="0"/>
            <w:vAlign w:val="top"/>
          </w:tcPr>
          <w:p w14:paraId="4D582C90">
            <w:pPr>
              <w:snapToGrid w:val="0"/>
              <w:spacing w:line="360" w:lineRule="auto"/>
              <w:jc w:val="center"/>
              <w:rPr>
                <w:rFonts w:hint="eastAsia" w:ascii="仿宋" w:hAnsi="仿宋" w:eastAsia="仿宋" w:cs="仿宋"/>
                <w:color w:val="auto"/>
                <w:sz w:val="24"/>
                <w:highlight w:val="none"/>
              </w:rPr>
            </w:pPr>
          </w:p>
        </w:tc>
        <w:tc>
          <w:tcPr>
            <w:tcW w:w="668" w:type="dxa"/>
            <w:noWrap w:val="0"/>
            <w:vAlign w:val="top"/>
          </w:tcPr>
          <w:p w14:paraId="75ECE70D">
            <w:pPr>
              <w:snapToGrid w:val="0"/>
              <w:spacing w:line="360" w:lineRule="auto"/>
              <w:jc w:val="center"/>
              <w:rPr>
                <w:rFonts w:hint="eastAsia" w:ascii="仿宋" w:hAnsi="仿宋" w:eastAsia="仿宋" w:cs="仿宋"/>
                <w:color w:val="auto"/>
                <w:sz w:val="24"/>
                <w:highlight w:val="none"/>
              </w:rPr>
            </w:pPr>
          </w:p>
        </w:tc>
        <w:tc>
          <w:tcPr>
            <w:tcW w:w="947" w:type="dxa"/>
            <w:noWrap w:val="0"/>
            <w:vAlign w:val="center"/>
          </w:tcPr>
          <w:p w14:paraId="382248BC">
            <w:pPr>
              <w:snapToGrid w:val="0"/>
              <w:spacing w:line="360" w:lineRule="auto"/>
              <w:jc w:val="center"/>
              <w:rPr>
                <w:rFonts w:hint="eastAsia" w:ascii="仿宋" w:hAnsi="仿宋" w:eastAsia="仿宋" w:cs="仿宋"/>
                <w:color w:val="auto"/>
                <w:sz w:val="24"/>
                <w:highlight w:val="none"/>
              </w:rPr>
            </w:pPr>
          </w:p>
        </w:tc>
        <w:tc>
          <w:tcPr>
            <w:tcW w:w="1189" w:type="dxa"/>
            <w:noWrap w:val="0"/>
            <w:vAlign w:val="center"/>
          </w:tcPr>
          <w:p w14:paraId="0071F4CF">
            <w:pPr>
              <w:snapToGrid w:val="0"/>
              <w:spacing w:line="360" w:lineRule="auto"/>
              <w:jc w:val="center"/>
              <w:rPr>
                <w:rFonts w:hint="eastAsia" w:ascii="仿宋" w:hAnsi="仿宋" w:eastAsia="仿宋" w:cs="仿宋"/>
                <w:color w:val="auto"/>
                <w:sz w:val="24"/>
                <w:highlight w:val="none"/>
              </w:rPr>
            </w:pPr>
          </w:p>
        </w:tc>
      </w:tr>
      <w:tr w14:paraId="6E0C7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9" w:type="dxa"/>
            <w:noWrap w:val="0"/>
            <w:vAlign w:val="center"/>
          </w:tcPr>
          <w:p w14:paraId="38BDF14B">
            <w:pPr>
              <w:snapToGrid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1233" w:type="dxa"/>
            <w:noWrap w:val="0"/>
            <w:vAlign w:val="center"/>
          </w:tcPr>
          <w:p w14:paraId="48AE4EB5">
            <w:pPr>
              <w:snapToGrid w:val="0"/>
              <w:spacing w:line="360" w:lineRule="auto"/>
              <w:jc w:val="center"/>
              <w:rPr>
                <w:rFonts w:hint="eastAsia" w:ascii="仿宋" w:hAnsi="仿宋" w:eastAsia="仿宋" w:cs="仿宋"/>
                <w:color w:val="auto"/>
                <w:sz w:val="24"/>
                <w:highlight w:val="none"/>
              </w:rPr>
            </w:pPr>
          </w:p>
        </w:tc>
        <w:tc>
          <w:tcPr>
            <w:tcW w:w="1059" w:type="dxa"/>
            <w:noWrap w:val="0"/>
            <w:vAlign w:val="center"/>
          </w:tcPr>
          <w:p w14:paraId="213FE74B">
            <w:pPr>
              <w:snapToGrid w:val="0"/>
              <w:spacing w:line="360" w:lineRule="auto"/>
              <w:jc w:val="center"/>
              <w:rPr>
                <w:rFonts w:hint="eastAsia" w:ascii="仿宋" w:hAnsi="仿宋" w:eastAsia="仿宋" w:cs="仿宋"/>
                <w:color w:val="auto"/>
                <w:sz w:val="24"/>
                <w:highlight w:val="none"/>
              </w:rPr>
            </w:pPr>
          </w:p>
        </w:tc>
        <w:tc>
          <w:tcPr>
            <w:tcW w:w="1233" w:type="dxa"/>
            <w:noWrap w:val="0"/>
            <w:vAlign w:val="center"/>
          </w:tcPr>
          <w:p w14:paraId="7BCA8100">
            <w:pPr>
              <w:snapToGrid w:val="0"/>
              <w:spacing w:line="360" w:lineRule="auto"/>
              <w:jc w:val="center"/>
              <w:rPr>
                <w:rFonts w:hint="eastAsia" w:ascii="仿宋" w:hAnsi="仿宋" w:eastAsia="仿宋" w:cs="仿宋"/>
                <w:color w:val="auto"/>
                <w:sz w:val="24"/>
                <w:highlight w:val="none"/>
              </w:rPr>
            </w:pPr>
          </w:p>
        </w:tc>
        <w:tc>
          <w:tcPr>
            <w:tcW w:w="1210" w:type="dxa"/>
            <w:noWrap w:val="0"/>
            <w:vAlign w:val="top"/>
          </w:tcPr>
          <w:p w14:paraId="157B758A">
            <w:pPr>
              <w:snapToGrid w:val="0"/>
              <w:spacing w:line="360" w:lineRule="auto"/>
              <w:jc w:val="center"/>
              <w:rPr>
                <w:rFonts w:hint="eastAsia" w:ascii="仿宋" w:hAnsi="仿宋" w:eastAsia="仿宋" w:cs="仿宋"/>
                <w:color w:val="auto"/>
                <w:sz w:val="24"/>
                <w:highlight w:val="none"/>
              </w:rPr>
            </w:pPr>
          </w:p>
        </w:tc>
        <w:tc>
          <w:tcPr>
            <w:tcW w:w="908" w:type="dxa"/>
            <w:noWrap w:val="0"/>
            <w:vAlign w:val="top"/>
          </w:tcPr>
          <w:p w14:paraId="50D74CCE">
            <w:pPr>
              <w:snapToGrid w:val="0"/>
              <w:spacing w:line="360" w:lineRule="auto"/>
              <w:jc w:val="center"/>
              <w:rPr>
                <w:rFonts w:hint="eastAsia" w:ascii="仿宋" w:hAnsi="仿宋" w:eastAsia="仿宋" w:cs="仿宋"/>
                <w:color w:val="auto"/>
                <w:sz w:val="24"/>
                <w:highlight w:val="none"/>
              </w:rPr>
            </w:pPr>
          </w:p>
        </w:tc>
        <w:tc>
          <w:tcPr>
            <w:tcW w:w="668" w:type="dxa"/>
            <w:noWrap w:val="0"/>
            <w:vAlign w:val="top"/>
          </w:tcPr>
          <w:p w14:paraId="0AFA75FA">
            <w:pPr>
              <w:snapToGrid w:val="0"/>
              <w:spacing w:line="360" w:lineRule="auto"/>
              <w:jc w:val="center"/>
              <w:rPr>
                <w:rFonts w:hint="eastAsia" w:ascii="仿宋" w:hAnsi="仿宋" w:eastAsia="仿宋" w:cs="仿宋"/>
                <w:color w:val="auto"/>
                <w:sz w:val="24"/>
                <w:highlight w:val="none"/>
              </w:rPr>
            </w:pPr>
          </w:p>
        </w:tc>
        <w:tc>
          <w:tcPr>
            <w:tcW w:w="947" w:type="dxa"/>
            <w:noWrap w:val="0"/>
            <w:vAlign w:val="center"/>
          </w:tcPr>
          <w:p w14:paraId="6D6FAE37">
            <w:pPr>
              <w:snapToGrid w:val="0"/>
              <w:spacing w:line="360" w:lineRule="auto"/>
              <w:jc w:val="center"/>
              <w:rPr>
                <w:rFonts w:hint="eastAsia" w:ascii="仿宋" w:hAnsi="仿宋" w:eastAsia="仿宋" w:cs="仿宋"/>
                <w:color w:val="auto"/>
                <w:sz w:val="24"/>
                <w:highlight w:val="none"/>
              </w:rPr>
            </w:pPr>
          </w:p>
        </w:tc>
        <w:tc>
          <w:tcPr>
            <w:tcW w:w="1189" w:type="dxa"/>
            <w:noWrap w:val="0"/>
            <w:vAlign w:val="center"/>
          </w:tcPr>
          <w:p w14:paraId="395E96EC">
            <w:pPr>
              <w:snapToGrid w:val="0"/>
              <w:spacing w:line="360" w:lineRule="auto"/>
              <w:jc w:val="center"/>
              <w:rPr>
                <w:rFonts w:hint="eastAsia" w:ascii="仿宋" w:hAnsi="仿宋" w:eastAsia="仿宋" w:cs="仿宋"/>
                <w:color w:val="auto"/>
                <w:sz w:val="24"/>
                <w:highlight w:val="none"/>
              </w:rPr>
            </w:pPr>
          </w:p>
        </w:tc>
      </w:tr>
      <w:tr w14:paraId="110D3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156" w:type="dxa"/>
            <w:gridSpan w:val="9"/>
            <w:noWrap w:val="0"/>
            <w:vAlign w:val="center"/>
          </w:tcPr>
          <w:p w14:paraId="487CCCB0">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人民币合计金额（大写）                          （小写）                 </w:t>
            </w:r>
          </w:p>
        </w:tc>
      </w:tr>
    </w:tbl>
    <w:p w14:paraId="59FEDDF7">
      <w:pPr>
        <w:snapToGrid w:val="0"/>
        <w:spacing w:line="360" w:lineRule="auto"/>
        <w:ind w:right="42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合同合计金额包括货物的价格、货物的标准附件、备品备件、专用工具的价格、运输、装卸、调试、培训、技术支持、人工、上门服务、售后服务等费用、必要的保险费用和各项税费、安装调试费用以及合同明示或暗示的所有责任、义务和一般风险等一切费用。</w:t>
      </w:r>
    </w:p>
    <w:p w14:paraId="382CE268">
      <w:pPr>
        <w:snapToGrid w:val="0"/>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第二条　质量要求</w:t>
      </w:r>
    </w:p>
    <w:p w14:paraId="661FEC97">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1.乙方所提供的产品名称、商标品牌、生产厂家、规格型号、技术参数等质量必须与招标文件规定及投标文件承诺相一致。乙方提供的节能和环保产品必须是列入政府采购品目清单的产品。</w:t>
      </w:r>
    </w:p>
    <w:p w14:paraId="78300A35">
      <w:pPr>
        <w:snapToGrid w:val="0"/>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2.乙方所提供的货物必须是全新、未使用的原装产品，且在正常安装、使用和保养条件下，其使用寿命期内各项指标均达到招标文件规定或者投标文件承诺的质量要求。</w:t>
      </w:r>
    </w:p>
    <w:p w14:paraId="36548CB8">
      <w:pPr>
        <w:snapToGrid w:val="0"/>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第三条　权利保证</w:t>
      </w:r>
    </w:p>
    <w:p w14:paraId="2A57C2D4">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1.乙方应保证所提供货物在使用时不会侵犯任何第三方的专利权、商标权、工业设计权或者其他权利。</w:t>
      </w:r>
    </w:p>
    <w:p w14:paraId="68E8E417">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2.乙方应按招标文件规定或者投标文件承诺的时间向甲方提供使用货物的有关技术资料。</w:t>
      </w:r>
    </w:p>
    <w:p w14:paraId="3C3F9FF5">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w:t>
      </w:r>
    </w:p>
    <w:p w14:paraId="5FB40796">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4.乙方保证将要交付的货物的所有权完全属于乙方且无任何抵押、质押、查封等产权瑕疵。</w:t>
      </w:r>
    </w:p>
    <w:p w14:paraId="67AAE57E">
      <w:p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第四条　包装和运输</w:t>
      </w:r>
    </w:p>
    <w:p w14:paraId="4605B45B">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1.乙方提供的货物均应按招标文件规定或者投标文件承诺的要求的包装材料、包装标准、包装方式进行包装，每一包装单元内应附详细的装箱单和质量合格证。</w:t>
      </w:r>
    </w:p>
    <w:p w14:paraId="4A0CC8B1">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2.货物的运输方式：</w:t>
      </w:r>
      <w:r>
        <w:rPr>
          <w:rFonts w:hint="eastAsia" w:ascii="仿宋" w:hAnsi="仿宋" w:eastAsia="仿宋" w:cs="仿宋"/>
          <w:color w:val="auto"/>
          <w:sz w:val="24"/>
          <w:highlight w:val="none"/>
          <w:u w:val="single"/>
        </w:rPr>
        <w:t xml:space="preserve">             。</w:t>
      </w:r>
    </w:p>
    <w:p w14:paraId="33A4BF6B">
      <w:pPr>
        <w:snapToGrid w:val="0"/>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3.乙方负责货物运输，货物运输合理损耗及计算方法：</w:t>
      </w:r>
      <w:r>
        <w:rPr>
          <w:rFonts w:hint="eastAsia" w:ascii="仿宋" w:hAnsi="仿宋" w:eastAsia="仿宋" w:cs="仿宋"/>
          <w:color w:val="auto"/>
          <w:sz w:val="24"/>
          <w:highlight w:val="none"/>
          <w:u w:val="single"/>
        </w:rPr>
        <w:t xml:space="preserve">                 。</w:t>
      </w:r>
    </w:p>
    <w:p w14:paraId="05AFF218">
      <w:pPr>
        <w:snapToGrid w:val="0"/>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第五条　交付和验收</w:t>
      </w:r>
    </w:p>
    <w:p w14:paraId="01E862AF">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1.交付时间：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；交付地点：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3B4501A6">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2.乙方提供不符合招标文件规定或者投标文件承诺的和本合同规定的货物，甲方有权拒绝接受。</w:t>
      </w:r>
    </w:p>
    <w:p w14:paraId="5A6C2996">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乙方应将所提供货物的装箱清单、用户手册、原厂保修卡、随机资料、工具和备品、备件等交付给甲方，货物属于进口产品的，供货时应同时附上中文使用说明书，如有缺失应在合理的规定时间内补齐，否则视为逾期交货。</w:t>
      </w:r>
    </w:p>
    <w:p w14:paraId="46DDDF13">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4.甲方应当在到货（安装、调试完）后七个工作日内进行验收，逾期不验收的，乙方可视同验收合格。验收合格后由甲乙双方签署货物验收单并加盖采购人公章，甲乙双方各执一份。</w:t>
      </w:r>
    </w:p>
    <w:p w14:paraId="01287D29">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甲方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7278F48E">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6.甲方对验收有异议的，在验收后五个工作日内以书面形式向乙方提出，乙方应自收到甲方书面异议后</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日内及时予以解决。</w:t>
      </w:r>
    </w:p>
    <w:p w14:paraId="2B799814">
      <w:p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第六条　安装和培训</w:t>
      </w:r>
    </w:p>
    <w:p w14:paraId="33120A4C">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1.甲方应提供必要安装条件（如场地、电源、水源等）。</w:t>
      </w:r>
    </w:p>
    <w:p w14:paraId="41B6F641">
      <w:pPr>
        <w:snapToGrid w:val="0"/>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2.乙方投标文件承诺负责甲方有关人员的培训。培训时间、地点：</w:t>
      </w:r>
      <w:r>
        <w:rPr>
          <w:rFonts w:hint="eastAsia" w:ascii="仿宋" w:hAnsi="仿宋" w:eastAsia="仿宋" w:cs="仿宋"/>
          <w:color w:val="auto"/>
          <w:sz w:val="24"/>
          <w:highlight w:val="none"/>
          <w:u w:val="single"/>
        </w:rPr>
        <w:t xml:space="preserve">                   。</w:t>
      </w:r>
    </w:p>
    <w:p w14:paraId="4B7AFAA2">
      <w:p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第七条  售后服务、保修期</w:t>
      </w:r>
    </w:p>
    <w:p w14:paraId="4599AFB3">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1.乙方应按照国家有关法律法规和“三包”规定以及本合同所附的《服务承诺》，为甲方提供售后服务。</w:t>
      </w:r>
    </w:p>
    <w:p w14:paraId="7CDE3BA6">
      <w:pPr>
        <w:snapToGrid w:val="0"/>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2.货物保修期：</w:t>
      </w:r>
      <w:r>
        <w:rPr>
          <w:rFonts w:hint="eastAsia" w:ascii="仿宋" w:hAnsi="仿宋" w:eastAsia="仿宋" w:cs="仿宋"/>
          <w:color w:val="auto"/>
          <w:sz w:val="24"/>
          <w:highlight w:val="none"/>
          <w:u w:val="single"/>
        </w:rPr>
        <w:t xml:space="preserve">                                          。</w:t>
      </w:r>
    </w:p>
    <w:p w14:paraId="44BBF4AF">
      <w:pPr>
        <w:snapToGrid w:val="0"/>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3.乙方提供的服务承诺和售后服务及保修期责任等其它具体约定事项。（见合同附件）</w:t>
      </w:r>
    </w:p>
    <w:p w14:paraId="5E994835">
      <w:pPr>
        <w:snapToGrid w:val="0"/>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第八条　付款方式</w:t>
      </w:r>
    </w:p>
    <w:p w14:paraId="2A9DF7D8">
      <w:pPr>
        <w:pStyle w:val="27"/>
        <w:snapToGrid w:val="0"/>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1、进口产品：100%信用证，90%凭发货方发货单据支付，10%验收合格后凭采购方验收报告7日内付清。</w:t>
      </w:r>
    </w:p>
    <w:p w14:paraId="16C9AC22">
      <w:pPr>
        <w:pStyle w:val="27"/>
        <w:snapToGrid w:val="0"/>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国产产品：本项目预付款为合同总金额的30%，在合同生效以及具备实施条件后，采购人在10个工作日内支付预付款；在交货验收合格、培训指导完成及设备正常使用后，成交供应商在3日内开具增值税专用发票给采购人，采购人收到增值税专用发票后10个工作日内支付70％的合同金额（无息）。</w:t>
      </w:r>
    </w:p>
    <w:p w14:paraId="039EA136">
      <w:pPr>
        <w:snapToGrid w:val="0"/>
        <w:spacing w:line="360" w:lineRule="auto"/>
        <w:ind w:left="-61" w:leftChars="-29" w:firstLine="590" w:firstLineChars="245"/>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第九条　履约保证金</w:t>
      </w:r>
    </w:p>
    <w:p w14:paraId="6B70FEE9">
      <w:pPr>
        <w:snapToGrid w:val="0"/>
        <w:spacing w:line="460" w:lineRule="exact"/>
        <w:ind w:firstLine="588" w:firstLineChars="245"/>
        <w:rPr>
          <w:rFonts w:hint="eastAsia" w:ascii="仿宋" w:hAnsi="仿宋" w:eastAsia="仿宋" w:cs="宋体"/>
          <w:bCs/>
          <w:color w:val="auto"/>
          <w:sz w:val="24"/>
          <w:highlight w:val="none"/>
        </w:rPr>
      </w:pPr>
      <w:r>
        <w:rPr>
          <w:rFonts w:hint="eastAsia" w:ascii="仿宋" w:hAnsi="仿宋" w:eastAsia="仿宋" w:cs="宋体"/>
          <w:bCs/>
          <w:color w:val="auto"/>
          <w:sz w:val="24"/>
          <w:highlight w:val="none"/>
        </w:rPr>
        <w:t>□免收履约保证金。</w:t>
      </w:r>
    </w:p>
    <w:p w14:paraId="3BF031F9">
      <w:pPr>
        <w:snapToGrid w:val="0"/>
        <w:spacing w:line="460" w:lineRule="exact"/>
        <w:ind w:firstLine="588" w:firstLineChars="245"/>
        <w:rPr>
          <w:rFonts w:ascii="仿宋" w:hAnsi="仿宋" w:eastAsia="仿宋" w:cs="宋体"/>
          <w:bCs/>
          <w:color w:val="auto"/>
          <w:sz w:val="24"/>
          <w:highlight w:val="none"/>
        </w:rPr>
      </w:pPr>
      <w:r>
        <w:rPr>
          <w:rFonts w:hint="eastAsia" w:ascii="仿宋" w:hAnsi="仿宋" w:eastAsia="仿宋" w:cs="宋体"/>
          <w:bCs/>
          <w:color w:val="auto"/>
          <w:sz w:val="24"/>
          <w:highlight w:val="none"/>
        </w:rPr>
        <w:t>☑收取</w:t>
      </w:r>
      <w:r>
        <w:rPr>
          <w:rFonts w:ascii="仿宋" w:hAnsi="仿宋" w:eastAsia="仿宋" w:cs="宋体"/>
          <w:bCs/>
          <w:color w:val="auto"/>
          <w:sz w:val="24"/>
          <w:highlight w:val="none"/>
        </w:rPr>
        <w:t>履约</w:t>
      </w:r>
      <w:r>
        <w:rPr>
          <w:rFonts w:hint="eastAsia" w:ascii="仿宋" w:hAnsi="仿宋" w:eastAsia="仿宋" w:cs="宋体"/>
          <w:bCs/>
          <w:color w:val="auto"/>
          <w:sz w:val="24"/>
          <w:highlight w:val="none"/>
        </w:rPr>
        <w:t>保证</w:t>
      </w:r>
      <w:r>
        <w:rPr>
          <w:rFonts w:ascii="仿宋" w:hAnsi="仿宋" w:eastAsia="仿宋" w:cs="宋体"/>
          <w:bCs/>
          <w:color w:val="auto"/>
          <w:sz w:val="24"/>
          <w:highlight w:val="none"/>
        </w:rPr>
        <w:t>金。</w:t>
      </w:r>
    </w:p>
    <w:p w14:paraId="46F13116">
      <w:pPr>
        <w:snapToGrid w:val="0"/>
        <w:spacing w:line="460" w:lineRule="exact"/>
        <w:ind w:firstLine="588" w:firstLineChars="245"/>
        <w:rPr>
          <w:rFonts w:hint="eastAsia" w:ascii="仿宋" w:hAnsi="仿宋" w:eastAsia="仿宋" w:cs="宋体"/>
          <w:bCs/>
          <w:color w:val="auto"/>
          <w:sz w:val="24"/>
          <w:highlight w:val="none"/>
        </w:rPr>
      </w:pPr>
      <w:r>
        <w:rPr>
          <w:rFonts w:hint="eastAsia" w:ascii="仿宋" w:hAnsi="仿宋" w:eastAsia="仿宋" w:cs="宋体"/>
          <w:bCs/>
          <w:color w:val="auto"/>
          <w:sz w:val="24"/>
          <w:highlight w:val="none"/>
        </w:rPr>
        <w:t>1、履约保证金收取：履约保证金金额按成交价的5%（人民币，四舍五入到元）缴纳（</w:t>
      </w:r>
      <w:r>
        <w:rPr>
          <w:rFonts w:hint="eastAsia" w:ascii="仿宋" w:hAnsi="仿宋" w:eastAsia="仿宋" w:cs="宋体"/>
          <w:bCs/>
          <w:color w:val="auto"/>
          <w:sz w:val="24"/>
          <w:highlight w:val="none"/>
          <w:lang w:eastAsia="zh-CN"/>
        </w:rPr>
        <w:t>乙方</w:t>
      </w:r>
      <w:r>
        <w:rPr>
          <w:rFonts w:hint="eastAsia" w:ascii="仿宋" w:hAnsi="仿宋" w:eastAsia="仿宋" w:cs="宋体"/>
          <w:bCs/>
          <w:color w:val="auto"/>
          <w:sz w:val="24"/>
          <w:highlight w:val="none"/>
        </w:rPr>
        <w:t>被认定为中小微企业的缴纳金额按成交价的2%）。由</w:t>
      </w:r>
      <w:r>
        <w:rPr>
          <w:rFonts w:hint="eastAsia" w:ascii="仿宋" w:hAnsi="仿宋" w:eastAsia="仿宋" w:cs="宋体"/>
          <w:bCs/>
          <w:color w:val="auto"/>
          <w:sz w:val="24"/>
          <w:highlight w:val="none"/>
          <w:lang w:eastAsia="zh-CN"/>
        </w:rPr>
        <w:t>乙方</w:t>
      </w:r>
      <w:r>
        <w:rPr>
          <w:rFonts w:hint="eastAsia" w:ascii="仿宋" w:hAnsi="仿宋" w:eastAsia="仿宋" w:cs="宋体"/>
          <w:bCs/>
          <w:color w:val="auto"/>
          <w:sz w:val="24"/>
          <w:highlight w:val="none"/>
        </w:rPr>
        <w:t>在签订合同前将履约保证金以支票、汇票、本票等非现金方式缴入采购人指定账户。采购人开具履约保证金财务凭证给</w:t>
      </w:r>
      <w:r>
        <w:rPr>
          <w:rFonts w:hint="eastAsia" w:ascii="仿宋" w:hAnsi="仿宋" w:eastAsia="仿宋" w:cs="宋体"/>
          <w:bCs/>
          <w:color w:val="auto"/>
          <w:sz w:val="24"/>
          <w:highlight w:val="none"/>
          <w:lang w:eastAsia="zh-CN"/>
        </w:rPr>
        <w:t>乙方</w:t>
      </w:r>
      <w:r>
        <w:rPr>
          <w:rFonts w:hint="eastAsia" w:ascii="仿宋" w:hAnsi="仿宋" w:eastAsia="仿宋" w:cs="宋体"/>
          <w:bCs/>
          <w:color w:val="auto"/>
          <w:sz w:val="24"/>
          <w:highlight w:val="none"/>
        </w:rPr>
        <w:t>。</w:t>
      </w:r>
    </w:p>
    <w:p w14:paraId="0C5806FB">
      <w:pPr>
        <w:snapToGrid w:val="0"/>
        <w:spacing w:line="460" w:lineRule="exact"/>
        <w:ind w:firstLine="588" w:firstLineChars="245"/>
        <w:rPr>
          <w:rFonts w:hint="eastAsia" w:ascii="仿宋" w:hAnsi="仿宋" w:eastAsia="仿宋" w:cs="宋体"/>
          <w:bCs/>
          <w:color w:val="auto"/>
          <w:sz w:val="24"/>
          <w:highlight w:val="none"/>
        </w:rPr>
      </w:pPr>
      <w:r>
        <w:rPr>
          <w:rFonts w:hint="eastAsia" w:ascii="仿宋" w:hAnsi="仿宋" w:eastAsia="仿宋" w:cs="宋体"/>
          <w:bCs/>
          <w:color w:val="auto"/>
          <w:sz w:val="24"/>
          <w:highlight w:val="none"/>
        </w:rPr>
        <w:t>2、履约保证金退付：</w:t>
      </w:r>
      <w:r>
        <w:rPr>
          <w:rFonts w:hint="eastAsia" w:ascii="仿宋" w:hAnsi="仿宋" w:eastAsia="仿宋" w:cs="宋体"/>
          <w:bCs/>
          <w:color w:val="auto"/>
          <w:sz w:val="24"/>
          <w:highlight w:val="none"/>
          <w:lang w:eastAsia="zh-CN"/>
        </w:rPr>
        <w:t>乙方</w:t>
      </w:r>
      <w:r>
        <w:rPr>
          <w:rFonts w:hint="eastAsia" w:ascii="仿宋" w:hAnsi="仿宋" w:eastAsia="仿宋" w:cs="宋体"/>
          <w:bCs/>
          <w:color w:val="auto"/>
          <w:sz w:val="24"/>
          <w:highlight w:val="none"/>
        </w:rPr>
        <w:t>履行完合同约定权利义务事项且保修期满后无违约情况，凭《项目验收单》和履约保证金交纳凭证向采购人申请办理退还手续，采购人不得额外要求</w:t>
      </w:r>
      <w:r>
        <w:rPr>
          <w:rFonts w:hint="eastAsia" w:ascii="仿宋" w:hAnsi="仿宋" w:eastAsia="仿宋" w:cs="宋体"/>
          <w:bCs/>
          <w:color w:val="auto"/>
          <w:sz w:val="24"/>
          <w:highlight w:val="none"/>
          <w:lang w:eastAsia="zh-CN"/>
        </w:rPr>
        <w:t>乙方</w:t>
      </w:r>
      <w:r>
        <w:rPr>
          <w:rFonts w:hint="eastAsia" w:ascii="仿宋" w:hAnsi="仿宋" w:eastAsia="仿宋" w:cs="宋体"/>
          <w:bCs/>
          <w:color w:val="auto"/>
          <w:sz w:val="24"/>
          <w:highlight w:val="none"/>
        </w:rPr>
        <w:t>提交其他证明材料，并应当自收到退还资料之日起5个工作日内退还其履约保证金（无息）。如</w:t>
      </w:r>
      <w:r>
        <w:rPr>
          <w:rFonts w:hint="eastAsia" w:ascii="仿宋" w:hAnsi="仿宋" w:eastAsia="仿宋" w:cs="宋体"/>
          <w:bCs/>
          <w:color w:val="auto"/>
          <w:sz w:val="24"/>
          <w:highlight w:val="none"/>
          <w:lang w:eastAsia="zh-CN"/>
        </w:rPr>
        <w:t>乙方</w:t>
      </w:r>
      <w:r>
        <w:rPr>
          <w:rFonts w:hint="eastAsia" w:ascii="仿宋" w:hAnsi="仿宋" w:eastAsia="仿宋" w:cs="宋体"/>
          <w:bCs/>
          <w:color w:val="auto"/>
          <w:sz w:val="24"/>
          <w:highlight w:val="none"/>
        </w:rPr>
        <w:t>不按双方签订的合同规定履约，则没收其全部履约保证金，履约保证金不足以赔偿损失的，按实际损失赔偿。</w:t>
      </w:r>
    </w:p>
    <w:p w14:paraId="5F720626">
      <w:pPr>
        <w:snapToGrid w:val="0"/>
        <w:spacing w:line="460" w:lineRule="exact"/>
        <w:ind w:firstLine="588" w:firstLineChars="245"/>
        <w:rPr>
          <w:rFonts w:hint="eastAsia" w:ascii="仿宋" w:hAnsi="仿宋" w:eastAsia="仿宋" w:cs="宋体"/>
          <w:bCs/>
          <w:color w:val="auto"/>
          <w:sz w:val="24"/>
          <w:highlight w:val="none"/>
        </w:rPr>
      </w:pPr>
      <w:r>
        <w:rPr>
          <w:rFonts w:hint="eastAsia" w:ascii="仿宋" w:hAnsi="仿宋" w:eastAsia="仿宋" w:cs="宋体"/>
          <w:bCs/>
          <w:color w:val="auto"/>
          <w:sz w:val="24"/>
          <w:highlight w:val="none"/>
        </w:rPr>
        <w:t>3、履约保证金递交方式：支票、汇票、本票等非现金方式。由</w:t>
      </w:r>
      <w:r>
        <w:rPr>
          <w:rFonts w:hint="eastAsia" w:ascii="仿宋" w:hAnsi="仿宋" w:eastAsia="仿宋" w:cs="宋体"/>
          <w:bCs/>
          <w:color w:val="auto"/>
          <w:sz w:val="24"/>
          <w:highlight w:val="none"/>
          <w:lang w:eastAsia="zh-CN"/>
        </w:rPr>
        <w:t>乙方</w:t>
      </w:r>
      <w:r>
        <w:rPr>
          <w:rFonts w:hint="eastAsia" w:ascii="仿宋" w:hAnsi="仿宋" w:eastAsia="仿宋" w:cs="宋体"/>
          <w:bCs/>
          <w:color w:val="auto"/>
          <w:sz w:val="24"/>
          <w:highlight w:val="none"/>
        </w:rPr>
        <w:t>在签订合同前按规定的金额直接缴入以下采购人账户。凭履约保证金缴纳凭证签订合同。</w:t>
      </w:r>
    </w:p>
    <w:p w14:paraId="20791F5F">
      <w:pPr>
        <w:snapToGrid w:val="0"/>
        <w:spacing w:line="460" w:lineRule="exact"/>
        <w:ind w:firstLine="588" w:firstLineChars="245"/>
        <w:rPr>
          <w:rFonts w:hint="eastAsia" w:ascii="仿宋" w:hAnsi="仿宋" w:eastAsia="仿宋" w:cs="宋体"/>
          <w:bCs/>
          <w:color w:val="auto"/>
          <w:sz w:val="24"/>
          <w:highlight w:val="none"/>
        </w:rPr>
      </w:pPr>
      <w:r>
        <w:rPr>
          <w:rFonts w:hint="eastAsia" w:ascii="仿宋" w:hAnsi="仿宋" w:eastAsia="仿宋" w:cs="宋体"/>
          <w:bCs/>
          <w:color w:val="auto"/>
          <w:sz w:val="24"/>
          <w:highlight w:val="none"/>
        </w:rPr>
        <w:t>开户名称：桂林电子科技大学</w:t>
      </w:r>
    </w:p>
    <w:p w14:paraId="52C521CA">
      <w:pPr>
        <w:snapToGrid w:val="0"/>
        <w:spacing w:line="460" w:lineRule="exact"/>
        <w:ind w:firstLine="588" w:firstLineChars="245"/>
        <w:rPr>
          <w:rFonts w:hint="eastAsia" w:ascii="仿宋" w:hAnsi="仿宋" w:eastAsia="仿宋" w:cs="宋体"/>
          <w:bCs/>
          <w:color w:val="auto"/>
          <w:sz w:val="24"/>
          <w:highlight w:val="none"/>
        </w:rPr>
      </w:pPr>
      <w:r>
        <w:rPr>
          <w:rFonts w:hint="eastAsia" w:ascii="仿宋" w:hAnsi="仿宋" w:eastAsia="仿宋" w:cs="宋体"/>
          <w:bCs/>
          <w:color w:val="auto"/>
          <w:sz w:val="24"/>
          <w:highlight w:val="none"/>
        </w:rPr>
        <w:t>开户银行：桂林市工商银行屏风支行</w:t>
      </w:r>
    </w:p>
    <w:p w14:paraId="1EE7AA90">
      <w:pPr>
        <w:snapToGrid w:val="0"/>
        <w:spacing w:line="460" w:lineRule="exact"/>
        <w:ind w:firstLine="588" w:firstLineChars="245"/>
        <w:rPr>
          <w:rFonts w:hint="eastAsia" w:ascii="仿宋" w:hAnsi="仿宋" w:eastAsia="仿宋" w:cs="宋体"/>
          <w:bCs/>
          <w:color w:val="auto"/>
          <w:sz w:val="24"/>
          <w:highlight w:val="none"/>
        </w:rPr>
      </w:pPr>
      <w:r>
        <w:rPr>
          <w:rFonts w:hint="eastAsia" w:ascii="仿宋" w:hAnsi="仿宋" w:eastAsia="仿宋" w:cs="宋体"/>
          <w:bCs/>
          <w:color w:val="auto"/>
          <w:sz w:val="24"/>
          <w:highlight w:val="none"/>
        </w:rPr>
        <w:t>银行账号：2103215209249017694。</w:t>
      </w:r>
    </w:p>
    <w:p w14:paraId="20C3E8AD">
      <w:pPr>
        <w:snapToGrid w:val="0"/>
        <w:spacing w:line="360" w:lineRule="auto"/>
        <w:ind w:left="-61" w:firstLine="514"/>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第十条  税费</w:t>
      </w:r>
    </w:p>
    <w:p w14:paraId="034DC2AB">
      <w:pPr>
        <w:snapToGrid w:val="0"/>
        <w:spacing w:line="360" w:lineRule="auto"/>
        <w:ind w:left="-61" w:firstLine="514"/>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本合同执行中相关的一切税费均由乙方负担，合同另有约定的除外。</w:t>
      </w:r>
    </w:p>
    <w:p w14:paraId="36D49C1B">
      <w:pPr>
        <w:snapToGrid w:val="0"/>
        <w:spacing w:line="360" w:lineRule="auto"/>
        <w:ind w:left="-61" w:firstLine="514"/>
        <w:rPr>
          <w:rFonts w:hint="eastAsia" w:ascii="仿宋" w:hAnsi="仿宋" w:eastAsia="仿宋" w:cs="仿宋"/>
          <w:color w:val="auto"/>
          <w:sz w:val="24"/>
          <w:highlight w:val="none"/>
        </w:rPr>
      </w:pPr>
      <w:r>
        <w:rPr>
          <w:rFonts w:hint="eastAsia" w:ascii="仿宋" w:hAnsi="仿宋" w:eastAsia="仿宋" w:cs="仿宋"/>
          <w:b/>
          <w:color w:val="auto"/>
          <w:sz w:val="24"/>
          <w:highlight w:val="none"/>
        </w:rPr>
        <w:t>第十一条  质量保证及售后服务</w:t>
      </w:r>
    </w:p>
    <w:p w14:paraId="408F5548">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1.</w:t>
      </w:r>
      <w:r>
        <w:rPr>
          <w:rFonts w:hint="eastAsia" w:ascii="仿宋" w:hAnsi="仿宋" w:eastAsia="仿宋" w:cs="仿宋"/>
          <w:color w:val="auto"/>
          <w:sz w:val="24"/>
          <w:szCs w:val="24"/>
          <w:highlight w:val="none"/>
        </w:rPr>
        <w:t>乙方应按招标文件规定的产品名称、商标品牌、生产厂家、规格型号、技术参数、质量标准向甲方提供未经使用的全新产品。不符合要求的，根据实际情况，经双方协商，可按以下办法处理：</w:t>
      </w:r>
    </w:p>
    <w:p w14:paraId="4C05D982">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⑴更换：由乙方承担所发生的全部费用。</w:t>
      </w:r>
    </w:p>
    <w:p w14:paraId="4F24EC3E">
      <w:pPr>
        <w:pStyle w:val="27"/>
        <w:snapToGrid w:val="0"/>
        <w:spacing w:line="360" w:lineRule="auto"/>
        <w:ind w:firstLine="42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⑵贬值处理：由甲乙双方合议定价。</w:t>
      </w:r>
    </w:p>
    <w:p w14:paraId="48CF6919">
      <w:pPr>
        <w:pStyle w:val="27"/>
        <w:snapToGrid w:val="0"/>
        <w:spacing w:line="360" w:lineRule="auto"/>
        <w:ind w:firstLine="42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⑶退货处理：乙方应退还甲方支付的合同款，同时应承担该货物的直接费用（运输、保险、检验、货款利息及银行手续费等）。</w:t>
      </w:r>
    </w:p>
    <w:p w14:paraId="7A822D45">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2.如在使用过程中发生质量问题，乙方在接到甲方通知后到达甲方现场处理的时间（</w:t>
      </w:r>
      <w:r>
        <w:rPr>
          <w:rFonts w:hint="eastAsia" w:ascii="仿宋" w:hAnsi="仿宋" w:eastAsia="仿宋" w:cs="仿宋"/>
          <w:color w:val="auto"/>
          <w:sz w:val="24"/>
          <w:szCs w:val="24"/>
          <w:highlight w:val="none"/>
          <w:u w:val="single"/>
        </w:rPr>
        <w:t>按投标文件承诺的数据填写</w:t>
      </w:r>
      <w:r>
        <w:rPr>
          <w:rFonts w:hint="eastAsia" w:ascii="仿宋" w:hAnsi="仿宋" w:eastAsia="仿宋" w:cs="仿宋"/>
          <w:color w:val="auto"/>
          <w:sz w:val="24"/>
          <w:szCs w:val="24"/>
          <w:highlight w:val="none"/>
        </w:rPr>
        <w:t>）小时内。</w:t>
      </w:r>
    </w:p>
    <w:p w14:paraId="1C47DAF7">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3.在保修期内，乙方应对货物出现的质量及安全问题负责处理解决并承担一切费用。</w:t>
      </w:r>
    </w:p>
    <w:p w14:paraId="1E0B35CD">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4.上述的货物保修期为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年，因人为因素出现的故障不在免费保修范围内。超过保修期的机器设备，终生维修，维修时只收部件成本费。</w:t>
      </w:r>
    </w:p>
    <w:p w14:paraId="2E930718">
      <w:pPr>
        <w:snapToGrid w:val="0"/>
        <w:spacing w:line="360" w:lineRule="auto"/>
        <w:ind w:left="-61" w:firstLine="514"/>
        <w:rPr>
          <w:rFonts w:hint="eastAsia" w:ascii="仿宋" w:hAnsi="仿宋" w:eastAsia="仿宋" w:cs="仿宋"/>
          <w:color w:val="auto"/>
          <w:sz w:val="24"/>
          <w:highlight w:val="none"/>
        </w:rPr>
      </w:pPr>
      <w:r>
        <w:rPr>
          <w:rFonts w:hint="eastAsia" w:ascii="仿宋" w:hAnsi="仿宋" w:eastAsia="仿宋" w:cs="仿宋"/>
          <w:b/>
          <w:color w:val="auto"/>
          <w:sz w:val="24"/>
          <w:highlight w:val="none"/>
        </w:rPr>
        <w:t>第十二条  调试和验收（本条款适用于甲方自行验收，委托第三方验收的另行规定）</w:t>
      </w:r>
    </w:p>
    <w:p w14:paraId="0971D53E">
      <w:pPr>
        <w:snapToGrid w:val="0"/>
        <w:spacing w:line="460" w:lineRule="exact"/>
        <w:ind w:firstLine="514"/>
        <w:rPr>
          <w:rFonts w:hint="eastAsia" w:ascii="仿宋" w:hAnsi="仿宋" w:eastAsia="仿宋" w:cs="宋体"/>
          <w:color w:val="auto"/>
          <w:sz w:val="24"/>
          <w:highlight w:val="none"/>
        </w:rPr>
      </w:pPr>
      <w:r>
        <w:rPr>
          <w:rFonts w:hint="eastAsia" w:ascii="仿宋" w:hAnsi="仿宋" w:eastAsia="仿宋" w:cs="宋体"/>
          <w:color w:val="auto"/>
          <w:sz w:val="24"/>
          <w:highlight w:val="none"/>
        </w:rPr>
        <w:t>1.验收条件及标准：设备需全新、完好、无破损，按照技术要求的各项指标进行验收；</w:t>
      </w:r>
    </w:p>
    <w:p w14:paraId="5D5A5800">
      <w:pPr>
        <w:snapToGrid w:val="0"/>
        <w:spacing w:line="460" w:lineRule="exact"/>
        <w:ind w:firstLine="514"/>
        <w:rPr>
          <w:rFonts w:hint="eastAsia" w:ascii="仿宋" w:hAnsi="仿宋" w:eastAsia="仿宋" w:cs="宋体"/>
          <w:color w:val="auto"/>
          <w:sz w:val="24"/>
          <w:highlight w:val="none"/>
        </w:rPr>
      </w:pPr>
      <w:r>
        <w:rPr>
          <w:rFonts w:hint="eastAsia" w:ascii="仿宋" w:hAnsi="仿宋" w:eastAsia="仿宋" w:cs="宋体"/>
          <w:color w:val="auto"/>
          <w:sz w:val="24"/>
          <w:highlight w:val="none"/>
        </w:rPr>
        <w:t>2.验收方法及方案：设备开机试运行，测试设备的技术性能指标，确认各项功能正常运行，同时检查随机文件应齐全。</w:t>
      </w:r>
    </w:p>
    <w:p w14:paraId="17A56D3E">
      <w:pPr>
        <w:snapToGrid w:val="0"/>
        <w:spacing w:line="460" w:lineRule="exact"/>
        <w:ind w:firstLine="514"/>
        <w:rPr>
          <w:rFonts w:hint="eastAsia" w:ascii="仿宋" w:hAnsi="仿宋" w:eastAsia="仿宋" w:cs="宋体"/>
          <w:color w:val="auto"/>
          <w:sz w:val="24"/>
          <w:highlight w:val="none"/>
        </w:rPr>
      </w:pPr>
      <w:r>
        <w:rPr>
          <w:rFonts w:hint="eastAsia" w:ascii="仿宋" w:hAnsi="仿宋" w:eastAsia="仿宋" w:cs="宋体"/>
          <w:color w:val="auto"/>
          <w:sz w:val="24"/>
          <w:highlight w:val="none"/>
        </w:rPr>
        <w:t>3.乙方交货前应对产品作出全面检查和对验收文件进行整理，并列出清单，作为甲方收货验收和使用的技术条件依据，检验的结果应随货物交甲方。</w:t>
      </w:r>
    </w:p>
    <w:p w14:paraId="5DE95A4A">
      <w:pPr>
        <w:snapToGrid w:val="0"/>
        <w:spacing w:line="460" w:lineRule="exact"/>
        <w:ind w:firstLine="514"/>
        <w:rPr>
          <w:rFonts w:hint="eastAsia" w:ascii="仿宋" w:hAnsi="仿宋" w:eastAsia="仿宋" w:cs="宋体"/>
          <w:color w:val="auto"/>
          <w:sz w:val="24"/>
          <w:highlight w:val="none"/>
        </w:rPr>
      </w:pPr>
      <w:r>
        <w:rPr>
          <w:rFonts w:hint="eastAsia" w:ascii="仿宋" w:hAnsi="仿宋" w:eastAsia="仿宋" w:cs="宋体"/>
          <w:color w:val="auto"/>
          <w:sz w:val="24"/>
          <w:highlight w:val="none"/>
        </w:rPr>
        <w:t>4.甲方对乙方提供的货物在使用前进行调试时，乙方需负责安装并培训甲方的使用操作人员，并协助甲方一起调试，直到符合技术要求，甲方才做最终验收。</w:t>
      </w:r>
    </w:p>
    <w:p w14:paraId="6A577485">
      <w:pPr>
        <w:snapToGrid w:val="0"/>
        <w:spacing w:line="460" w:lineRule="exact"/>
        <w:ind w:firstLine="514"/>
        <w:rPr>
          <w:rFonts w:hint="eastAsia" w:ascii="仿宋" w:hAnsi="仿宋" w:eastAsia="仿宋" w:cs="宋体"/>
          <w:color w:val="auto"/>
          <w:sz w:val="24"/>
          <w:highlight w:val="none"/>
        </w:rPr>
      </w:pPr>
      <w:r>
        <w:rPr>
          <w:rFonts w:hint="eastAsia" w:ascii="仿宋" w:hAnsi="仿宋" w:eastAsia="仿宋" w:cs="宋体"/>
          <w:color w:val="auto"/>
          <w:sz w:val="24"/>
          <w:highlight w:val="none"/>
        </w:rPr>
        <w:t>5.对技术复杂的货物，甲方应请国家认可的专业检测机构参与初步验收及最终验收，并由其出具质量检测报告。</w:t>
      </w:r>
    </w:p>
    <w:p w14:paraId="48199556">
      <w:pPr>
        <w:snapToGrid w:val="0"/>
        <w:spacing w:line="460" w:lineRule="exact"/>
        <w:ind w:firstLine="514"/>
        <w:rPr>
          <w:rFonts w:hint="eastAsia" w:ascii="仿宋" w:hAnsi="仿宋" w:eastAsia="仿宋" w:cs="宋体"/>
          <w:color w:val="auto"/>
          <w:sz w:val="24"/>
          <w:highlight w:val="none"/>
        </w:rPr>
      </w:pPr>
      <w:r>
        <w:rPr>
          <w:rFonts w:hint="eastAsia" w:ascii="仿宋" w:hAnsi="仿宋" w:eastAsia="仿宋" w:cs="宋体"/>
          <w:color w:val="auto"/>
          <w:sz w:val="24"/>
          <w:highlight w:val="none"/>
        </w:rPr>
        <w:t>6.验收时乙方必须在现场，验收完毕后作出验收结果报告；验收费用由乙方负责。</w:t>
      </w:r>
    </w:p>
    <w:p w14:paraId="4160949C">
      <w:pPr>
        <w:snapToGrid w:val="0"/>
        <w:spacing w:line="460" w:lineRule="exact"/>
        <w:ind w:firstLine="514"/>
        <w:rPr>
          <w:rFonts w:hint="eastAsia" w:ascii="仿宋" w:hAnsi="仿宋" w:eastAsia="仿宋" w:cs="宋体"/>
          <w:color w:val="auto"/>
          <w:sz w:val="24"/>
          <w:highlight w:val="none"/>
        </w:rPr>
      </w:pPr>
      <w:r>
        <w:rPr>
          <w:rFonts w:hint="eastAsia" w:ascii="仿宋" w:hAnsi="仿宋" w:eastAsia="仿宋" w:cs="宋体"/>
          <w:color w:val="auto"/>
          <w:sz w:val="24"/>
          <w:highlight w:val="none"/>
        </w:rPr>
        <w:t>7.甲方应当在到货（安装、调试完）后七个工作日内进行验收，逾期不验收的，乙方可视同验收合格。验收合格后由甲乙双方签署货物验收单并加盖采购单位公章，甲乙双方各执一份。</w:t>
      </w:r>
    </w:p>
    <w:p w14:paraId="725C4E5E">
      <w:pPr>
        <w:snapToGrid w:val="0"/>
        <w:spacing w:line="460" w:lineRule="exact"/>
        <w:ind w:firstLine="514"/>
        <w:rPr>
          <w:rFonts w:hint="eastAsia" w:ascii="仿宋" w:hAnsi="仿宋" w:eastAsia="仿宋" w:cs="宋体"/>
          <w:color w:val="auto"/>
          <w:sz w:val="24"/>
          <w:highlight w:val="none"/>
        </w:rPr>
      </w:pPr>
      <w:r>
        <w:rPr>
          <w:rFonts w:hint="eastAsia" w:ascii="仿宋" w:hAnsi="仿宋" w:eastAsia="仿宋" w:cs="宋体"/>
          <w:color w:val="auto"/>
          <w:sz w:val="24"/>
          <w:highlight w:val="none"/>
        </w:rPr>
        <w:t>8.甲方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064DF935">
      <w:pPr>
        <w:snapToGrid w:val="0"/>
        <w:spacing w:line="460" w:lineRule="exact"/>
        <w:ind w:firstLine="514"/>
        <w:rPr>
          <w:rFonts w:hint="eastAsia" w:ascii="仿宋" w:hAnsi="仿宋" w:eastAsia="仿宋" w:cs="宋体"/>
          <w:color w:val="auto"/>
          <w:sz w:val="24"/>
          <w:highlight w:val="none"/>
        </w:rPr>
      </w:pPr>
      <w:r>
        <w:rPr>
          <w:rFonts w:hint="eastAsia" w:ascii="仿宋" w:hAnsi="仿宋" w:eastAsia="仿宋" w:cs="宋体"/>
          <w:color w:val="auto"/>
          <w:sz w:val="24"/>
          <w:highlight w:val="none"/>
        </w:rPr>
        <w:t>9.甲方对验收有异议的，在验收后五个工作日内以书面形式向乙方提出，乙方应自收到甲方书面异议后10日内及时予以解决。</w:t>
      </w:r>
    </w:p>
    <w:p w14:paraId="7709D954">
      <w:pPr>
        <w:snapToGrid w:val="0"/>
        <w:spacing w:line="460" w:lineRule="exact"/>
        <w:ind w:firstLine="514"/>
        <w:rPr>
          <w:rFonts w:hint="eastAsia" w:ascii="仿宋" w:hAnsi="仿宋" w:eastAsia="仿宋" w:cs="宋体"/>
          <w:color w:val="auto"/>
          <w:sz w:val="24"/>
          <w:highlight w:val="none"/>
        </w:rPr>
      </w:pPr>
      <w:r>
        <w:rPr>
          <w:rFonts w:hint="eastAsia" w:ascii="仿宋" w:hAnsi="仿宋" w:eastAsia="仿宋" w:cs="宋体"/>
          <w:color w:val="auto"/>
          <w:sz w:val="24"/>
          <w:highlight w:val="none"/>
        </w:rPr>
        <w:t>10.质量标准：符合设备制造厂家合格产品的出厂质量标准。</w:t>
      </w:r>
    </w:p>
    <w:p w14:paraId="7EE66446">
      <w:pPr>
        <w:snapToGrid w:val="0"/>
        <w:spacing w:line="460" w:lineRule="exact"/>
        <w:ind w:firstLine="514"/>
        <w:rPr>
          <w:rFonts w:hint="eastAsia" w:ascii="仿宋" w:hAnsi="仿宋" w:eastAsia="仿宋" w:cs="宋体"/>
          <w:b/>
          <w:bCs/>
          <w:color w:val="auto"/>
          <w:sz w:val="24"/>
          <w:highlight w:val="none"/>
        </w:rPr>
      </w:pPr>
      <w:r>
        <w:rPr>
          <w:rFonts w:hint="eastAsia" w:ascii="仿宋" w:hAnsi="仿宋" w:eastAsia="仿宋" w:cs="宋体"/>
          <w:b/>
          <w:bCs/>
          <w:color w:val="auto"/>
          <w:sz w:val="24"/>
          <w:highlight w:val="none"/>
        </w:rPr>
        <w:t>第十三条  货物包装、发运及运输</w:t>
      </w:r>
    </w:p>
    <w:p w14:paraId="5836337F">
      <w:pPr>
        <w:snapToGrid w:val="0"/>
        <w:spacing w:line="460" w:lineRule="exact"/>
        <w:ind w:firstLine="514"/>
        <w:rPr>
          <w:rFonts w:hint="eastAsia" w:ascii="仿宋" w:hAnsi="仿宋" w:eastAsia="仿宋" w:cs="仿宋"/>
          <w:color w:val="auto"/>
          <w:sz w:val="24"/>
          <w:highlight w:val="none"/>
        </w:rPr>
      </w:pPr>
      <w:r>
        <w:rPr>
          <w:rFonts w:hint="eastAsia" w:ascii="仿宋" w:hAnsi="仿宋" w:eastAsia="仿宋" w:cs="宋体"/>
          <w:color w:val="auto"/>
          <w:sz w:val="24"/>
          <w:highlight w:val="none"/>
        </w:rPr>
        <w:t>1.乙方应在货物发运前对其进行满足运输距离、防潮</w:t>
      </w:r>
      <w:r>
        <w:rPr>
          <w:rFonts w:hint="eastAsia" w:ascii="仿宋" w:hAnsi="仿宋" w:eastAsia="仿宋" w:cs="仿宋"/>
          <w:color w:val="auto"/>
          <w:sz w:val="24"/>
          <w:highlight w:val="none"/>
        </w:rPr>
        <w:t>、防震、防锈和防破损装卸等要求包装，以保证货物安全运达甲方指定地点。</w:t>
      </w:r>
    </w:p>
    <w:p w14:paraId="2633C358">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 使用说明书（货物属于进口产品的，供货时应同时附上中文使用说明书）、质量检验证明书、随配附件和工具以及清单一并附于货物内。</w:t>
      </w:r>
    </w:p>
    <w:p w14:paraId="0F90B4FF">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3.乙方在货物发运手续办理完毕后二十四小时内或者货到甲方四十八小时前通知甲方，以准备接货。</w:t>
      </w:r>
    </w:p>
    <w:p w14:paraId="4679D77A">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4.货物在交付甲方前发生的风险均由乙方负责。</w:t>
      </w:r>
    </w:p>
    <w:p w14:paraId="05F59131">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5.货物在规</w:t>
      </w:r>
      <w:r>
        <w:rPr>
          <w:rFonts w:hint="eastAsia" w:ascii="仿宋" w:hAnsi="仿宋" w:eastAsia="仿宋" w:cs="仿宋"/>
          <w:color w:val="auto"/>
          <w:spacing w:val="-8"/>
          <w:sz w:val="24"/>
          <w:szCs w:val="24"/>
          <w:highlight w:val="none"/>
        </w:rPr>
        <w:t>定的交付期限内由乙方送达甲方指定的地点视为交付，乙方同时需通知甲方货物已送达。</w:t>
      </w:r>
    </w:p>
    <w:p w14:paraId="4DFD9A4D">
      <w:p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第十四条　违约责任</w:t>
      </w:r>
    </w:p>
    <w:p w14:paraId="48BAC91A">
      <w:pPr>
        <w:snapToGrid w:val="0"/>
        <w:spacing w:line="460" w:lineRule="exact"/>
        <w:ind w:firstLine="470" w:firstLineChars="196"/>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乙方所提供的产品名称、商标品牌、生产厂家、规格型号、技术参数等质量不合格的，应及时更换，更换不及时的按逾期交货处罚；因质量问题甲方不同意接收的或者特殊情况甲方同意接收的，乙方应向甲方支付违约货款额 5%违约金并赔偿甲方经济损失。</w:t>
      </w:r>
    </w:p>
    <w:p w14:paraId="555DADDF">
      <w:pPr>
        <w:snapToGrid w:val="0"/>
        <w:spacing w:line="460" w:lineRule="exact"/>
        <w:ind w:firstLine="470" w:firstLineChars="196"/>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2.乙方提供的货物如侵犯了第三方合法权益而引发的任何纠纷或者诉讼，均由乙方负责交涉并承担全部责任。</w:t>
      </w:r>
    </w:p>
    <w:p w14:paraId="1FCA1F2B">
      <w:pPr>
        <w:snapToGrid w:val="0"/>
        <w:spacing w:line="460" w:lineRule="exact"/>
        <w:ind w:firstLine="470" w:firstLineChars="196"/>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3.因包装、运输引起的货物损坏，按质量不合格处罚。</w:t>
      </w:r>
    </w:p>
    <w:p w14:paraId="605B4FE5">
      <w:pPr>
        <w:snapToGrid w:val="0"/>
        <w:spacing w:line="460" w:lineRule="exact"/>
        <w:ind w:firstLine="470" w:firstLineChars="196"/>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4.甲方无故延期接收货物、乙方逾期交货的，每天向对方偿付违约货款额3‰违约金，但违约金累计不得超过违约货款额5%，超过  15 天对方有权解除合同，违约方承担因此给对方造成经济损失；甲方延期付货款的，每天向乙方偿付延期货款额3‰滞纳金，但滞纳金累计不得超过延期货款额5%。甲方无故延期退付履约保证金的，每天向对方偿付未退付履约保证金3‰的违约金。</w:t>
      </w:r>
    </w:p>
    <w:p w14:paraId="5001A3BE">
      <w:pPr>
        <w:snapToGrid w:val="0"/>
        <w:spacing w:line="460" w:lineRule="exact"/>
        <w:ind w:firstLine="470" w:firstLineChars="196"/>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5.乙方未按本合同和</w:t>
      </w:r>
      <w:r>
        <w:rPr>
          <w:rFonts w:hint="eastAsia" w:ascii="仿宋" w:hAnsi="仿宋" w:eastAsia="仿宋" w:cs="宋体"/>
          <w:color w:val="auto"/>
          <w:kern w:val="0"/>
          <w:sz w:val="24"/>
          <w:highlight w:val="none"/>
          <w:lang w:eastAsia="zh-CN"/>
        </w:rPr>
        <w:t>投标文件</w:t>
      </w:r>
      <w:r>
        <w:rPr>
          <w:rFonts w:hint="eastAsia" w:ascii="仿宋" w:hAnsi="仿宋" w:eastAsia="仿宋" w:cs="宋体"/>
          <w:color w:val="auto"/>
          <w:kern w:val="0"/>
          <w:sz w:val="24"/>
          <w:highlight w:val="none"/>
        </w:rPr>
        <w:t>中规定的服务承诺提供售后服务的，乙方应按本合同合计金额 5%向甲方支付违约金。</w:t>
      </w:r>
    </w:p>
    <w:p w14:paraId="111F279B">
      <w:pPr>
        <w:snapToGrid w:val="0"/>
        <w:spacing w:line="460" w:lineRule="exact"/>
        <w:ind w:firstLine="470" w:firstLineChars="196"/>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6.乙方提供的货物在质量保证期内，因设计、工艺或者材料的缺陷和其它质量原因造成的问题，由乙方负责，费用从余款或者履约保证金中扣除，不足另补。</w:t>
      </w:r>
    </w:p>
    <w:p w14:paraId="3E735780">
      <w:pPr>
        <w:snapToGrid w:val="0"/>
        <w:spacing w:line="460" w:lineRule="exact"/>
        <w:ind w:firstLine="470" w:firstLineChars="196"/>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7.甲乙双方有其它违约行为的，由违约方向对方支付违约内容涉及货款额的5%，违约内容涉及货款额的5%不足以赔偿经济损失的按实际赔偿。</w:t>
      </w:r>
    </w:p>
    <w:p w14:paraId="494C6965">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宋体"/>
          <w:color w:val="auto"/>
          <w:kern w:val="0"/>
          <w:sz w:val="24"/>
          <w:highlight w:val="none"/>
        </w:rPr>
        <w:t>8.乙方于</w:t>
      </w:r>
      <w:r>
        <w:rPr>
          <w:rFonts w:hint="eastAsia" w:ascii="仿宋" w:hAnsi="仿宋" w:eastAsia="仿宋" w:cs="宋体"/>
          <w:color w:val="auto"/>
          <w:kern w:val="0"/>
          <w:sz w:val="24"/>
          <w:highlight w:val="none"/>
          <w:lang w:eastAsia="zh-CN"/>
        </w:rPr>
        <w:t>投标文件</w:t>
      </w:r>
      <w:r>
        <w:rPr>
          <w:rFonts w:hint="eastAsia" w:ascii="仿宋" w:hAnsi="仿宋" w:eastAsia="仿宋" w:cs="宋体"/>
          <w:color w:val="auto"/>
          <w:kern w:val="0"/>
          <w:sz w:val="24"/>
          <w:highlight w:val="none"/>
        </w:rPr>
        <w:t>中必须对所有产品的技术参数要求作出真实、有效的响应和承诺。所提供的产品必须为原装正品的、全新的、符合国家有关质量标准的产品。验收前，甲方现场根据</w:t>
      </w:r>
      <w:r>
        <w:rPr>
          <w:rFonts w:hint="eastAsia" w:ascii="仿宋" w:hAnsi="仿宋" w:eastAsia="仿宋" w:cs="宋体"/>
          <w:color w:val="auto"/>
          <w:kern w:val="0"/>
          <w:sz w:val="24"/>
          <w:highlight w:val="none"/>
          <w:lang w:val="en-US" w:eastAsia="zh-CN"/>
        </w:rPr>
        <w:t>招标文件</w:t>
      </w:r>
      <w:r>
        <w:rPr>
          <w:rFonts w:hint="eastAsia" w:ascii="仿宋" w:hAnsi="仿宋" w:eastAsia="仿宋" w:cs="宋体"/>
          <w:color w:val="auto"/>
          <w:kern w:val="0"/>
          <w:sz w:val="24"/>
          <w:highlight w:val="none"/>
        </w:rPr>
        <w:t>要求及</w:t>
      </w:r>
      <w:r>
        <w:rPr>
          <w:rFonts w:hint="eastAsia" w:ascii="仿宋" w:hAnsi="仿宋" w:eastAsia="仿宋" w:cs="宋体"/>
          <w:color w:val="auto"/>
          <w:kern w:val="0"/>
          <w:sz w:val="24"/>
          <w:highlight w:val="none"/>
          <w:lang w:eastAsia="zh-CN"/>
        </w:rPr>
        <w:t>投标文件</w:t>
      </w:r>
      <w:r>
        <w:rPr>
          <w:rFonts w:hint="eastAsia" w:ascii="仿宋" w:hAnsi="仿宋" w:eastAsia="仿宋" w:cs="宋体"/>
          <w:color w:val="auto"/>
          <w:kern w:val="0"/>
          <w:sz w:val="24"/>
          <w:highlight w:val="none"/>
        </w:rPr>
        <w:t>承诺对各项参数逐条对应进行核验，核验或检测数据不符合甲方要求及</w:t>
      </w:r>
      <w:r>
        <w:rPr>
          <w:rFonts w:hint="eastAsia" w:ascii="仿宋" w:hAnsi="仿宋" w:eastAsia="仿宋" w:cs="宋体"/>
          <w:color w:val="auto"/>
          <w:kern w:val="0"/>
          <w:sz w:val="24"/>
          <w:highlight w:val="none"/>
          <w:lang w:eastAsia="zh-CN"/>
        </w:rPr>
        <w:t>投标文件</w:t>
      </w:r>
      <w:r>
        <w:rPr>
          <w:rFonts w:hint="eastAsia" w:ascii="仿宋" w:hAnsi="仿宋" w:eastAsia="仿宋" w:cs="宋体"/>
          <w:color w:val="auto"/>
          <w:kern w:val="0"/>
          <w:sz w:val="24"/>
          <w:highlight w:val="none"/>
        </w:rPr>
        <w:t>承诺的指标的，甲方有权终止合同执行并全部退货，由此造成甲方经济损失的由</w:t>
      </w:r>
      <w:r>
        <w:rPr>
          <w:rFonts w:hint="eastAsia" w:ascii="仿宋" w:hAnsi="仿宋" w:eastAsia="仿宋" w:cs="宋体"/>
          <w:color w:val="auto"/>
          <w:kern w:val="0"/>
          <w:sz w:val="24"/>
          <w:highlight w:val="none"/>
          <w:lang w:eastAsia="zh-CN"/>
        </w:rPr>
        <w:t>乙方</w:t>
      </w:r>
      <w:r>
        <w:rPr>
          <w:rFonts w:hint="eastAsia" w:ascii="仿宋" w:hAnsi="仿宋" w:eastAsia="仿宋" w:cs="宋体"/>
          <w:color w:val="auto"/>
          <w:kern w:val="0"/>
          <w:sz w:val="24"/>
          <w:highlight w:val="none"/>
        </w:rPr>
        <w:t>负责承担全部赔偿责任并向甲方支付合同金额的30%违约赔偿金。如有异议，将交由国家认可并具有检验检测资质的第三方机构进行检验，若核验结果的各项参数指标不满足甲方要求及</w:t>
      </w:r>
      <w:r>
        <w:rPr>
          <w:rFonts w:hint="eastAsia" w:ascii="仿宋" w:hAnsi="仿宋" w:eastAsia="仿宋" w:cs="宋体"/>
          <w:color w:val="auto"/>
          <w:kern w:val="0"/>
          <w:sz w:val="24"/>
          <w:highlight w:val="none"/>
          <w:lang w:eastAsia="zh-CN"/>
        </w:rPr>
        <w:t>投标文件</w:t>
      </w:r>
      <w:r>
        <w:rPr>
          <w:rFonts w:hint="eastAsia" w:ascii="仿宋" w:hAnsi="仿宋" w:eastAsia="仿宋" w:cs="宋体"/>
          <w:color w:val="auto"/>
          <w:kern w:val="0"/>
          <w:sz w:val="24"/>
          <w:highlight w:val="none"/>
        </w:rPr>
        <w:t>承诺的指标要求，所有产生的费用由</w:t>
      </w:r>
      <w:r>
        <w:rPr>
          <w:rFonts w:hint="eastAsia" w:ascii="仿宋" w:hAnsi="仿宋" w:eastAsia="仿宋" w:cs="宋体"/>
          <w:color w:val="auto"/>
          <w:kern w:val="0"/>
          <w:sz w:val="24"/>
          <w:highlight w:val="none"/>
          <w:lang w:eastAsia="zh-CN"/>
        </w:rPr>
        <w:t>乙方</w:t>
      </w:r>
      <w:r>
        <w:rPr>
          <w:rFonts w:hint="eastAsia" w:ascii="仿宋" w:hAnsi="仿宋" w:eastAsia="仿宋" w:cs="仿宋"/>
          <w:color w:val="auto"/>
          <w:sz w:val="24"/>
          <w:highlight w:val="none"/>
        </w:rPr>
        <w:t>承担，并承担政府采购虚假</w:t>
      </w:r>
      <w:r>
        <w:rPr>
          <w:rFonts w:hint="eastAsia" w:ascii="仿宋" w:hAnsi="仿宋" w:eastAsia="仿宋" w:cs="仿宋"/>
          <w:color w:val="auto"/>
          <w:sz w:val="24"/>
          <w:highlight w:val="none"/>
          <w:lang w:eastAsia="zh-CN"/>
        </w:rPr>
        <w:t>投标</w:t>
      </w:r>
      <w:r>
        <w:rPr>
          <w:rFonts w:hint="eastAsia" w:ascii="仿宋" w:hAnsi="仿宋" w:eastAsia="仿宋" w:cs="仿宋"/>
          <w:color w:val="auto"/>
          <w:sz w:val="24"/>
          <w:highlight w:val="none"/>
        </w:rPr>
        <w:t>的相关法律责任。</w:t>
      </w:r>
    </w:p>
    <w:p w14:paraId="73A7A31D">
      <w:p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第十五条  不可抗力事件处理</w:t>
      </w:r>
    </w:p>
    <w:p w14:paraId="381D1312">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1.在合同有效期内，任何一方因不可抗力事件导致不能履行合同，则合同履行期可延长，其延长期与不可抗力影响期相同。</w:t>
      </w:r>
    </w:p>
    <w:p w14:paraId="000861B8">
      <w:pPr>
        <w:pStyle w:val="27"/>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2.不可抗力事件发生后，应立即通知对方，并寄送有关权威机构出具的证明。</w:t>
      </w:r>
    </w:p>
    <w:p w14:paraId="23DAEC36">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3.不可抗力事件延续一百二十天以上，双方应通过友好协商，确定是否继续履行合同。</w:t>
      </w:r>
    </w:p>
    <w:p w14:paraId="4CCA2736">
      <w:pPr>
        <w:snapToGrid w:val="0"/>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第十六条  合同争议解决</w:t>
      </w:r>
    </w:p>
    <w:p w14:paraId="3E7B05DC">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 因货物质量问题发生争议的，应邀请国家认可的质量检测机构对货物质量进行鉴定。货物符合标准的，鉴定费由甲方承担；货物不符合标准的，鉴定费由乙方承担。</w:t>
      </w:r>
    </w:p>
    <w:p w14:paraId="7C89051E">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 因履行本合同引起的或者与本合同有关的争议，甲乙双方应首先通过友好协商解决，如果协商不能解决，可向甲方所在地有管辖权的人民法院提起诉讼。</w:t>
      </w:r>
    </w:p>
    <w:p w14:paraId="0FF8C595">
      <w:pPr>
        <w:snapToGrid w:val="0"/>
        <w:spacing w:line="360" w:lineRule="auto"/>
        <w:ind w:left="-61" w:firstLine="514"/>
        <w:rPr>
          <w:rFonts w:hint="eastAsia" w:ascii="仿宋" w:hAnsi="仿宋" w:eastAsia="仿宋" w:cs="仿宋"/>
          <w:color w:val="auto"/>
          <w:sz w:val="24"/>
          <w:highlight w:val="none"/>
        </w:rPr>
      </w:pPr>
      <w:r>
        <w:rPr>
          <w:rFonts w:hint="eastAsia" w:ascii="仿宋" w:hAnsi="仿宋" w:eastAsia="仿宋" w:cs="仿宋"/>
          <w:color w:val="auto"/>
          <w:sz w:val="24"/>
          <w:highlight w:val="none"/>
        </w:rPr>
        <w:t>3.诉讼期间，本合同继续履行。</w:t>
      </w:r>
    </w:p>
    <w:p w14:paraId="42C5AA33">
      <w:pPr>
        <w:pStyle w:val="27"/>
        <w:snapToGrid w:val="0"/>
        <w:spacing w:line="360" w:lineRule="auto"/>
        <w:ind w:firstLine="472" w:firstLineChars="196"/>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第十七条  合同生效及其它</w:t>
      </w:r>
    </w:p>
    <w:p w14:paraId="7AEADF82">
      <w:pPr>
        <w:pStyle w:val="27"/>
        <w:snapToGrid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 合同经双方法定代表人或者委托代理人签字并加盖单位公章后生效（委托代理人签字的需后附授权委托书，格式自拟）。</w:t>
      </w:r>
    </w:p>
    <w:p w14:paraId="5DF3E6F4">
      <w:pPr>
        <w:pStyle w:val="27"/>
        <w:snapToGrid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2.合同执行中涉及采购资金和采购内容修改或者补充的，须经财政部门审批，并签书面补充协议报财政部门备案，方可作为主合同不可分割的一部分。</w:t>
      </w:r>
    </w:p>
    <w:p w14:paraId="68073F47">
      <w:pPr>
        <w:pStyle w:val="27"/>
        <w:snapToGrid w:val="0"/>
        <w:spacing w:line="360" w:lineRule="auto"/>
        <w:ind w:left="420" w:left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3.本合同未尽事宜，遵照《中华人民共和国民法典》有关条文执行。</w:t>
      </w:r>
    </w:p>
    <w:p w14:paraId="52613B76">
      <w:p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第十八条　合同的变更、终止与转让</w:t>
      </w:r>
    </w:p>
    <w:p w14:paraId="3557C1A0">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 除《中华人民共和国政府采购法》第五十条规定的情形外，本合同一经签订，甲乙双方不得擅自变更、中止或者终止。</w:t>
      </w:r>
    </w:p>
    <w:p w14:paraId="42F2726F">
      <w:pPr>
        <w:snapToGrid w:val="0"/>
        <w:spacing w:line="360" w:lineRule="auto"/>
        <w:ind w:left="-61" w:firstLine="514"/>
        <w:rPr>
          <w:rFonts w:hint="eastAsia" w:ascii="仿宋" w:hAnsi="仿宋" w:eastAsia="仿宋" w:cs="仿宋"/>
          <w:color w:val="auto"/>
          <w:sz w:val="24"/>
          <w:highlight w:val="none"/>
        </w:rPr>
      </w:pPr>
      <w:r>
        <w:rPr>
          <w:rFonts w:hint="eastAsia" w:ascii="仿宋" w:hAnsi="仿宋" w:eastAsia="仿宋" w:cs="仿宋"/>
          <w:color w:val="auto"/>
          <w:sz w:val="24"/>
          <w:highlight w:val="none"/>
        </w:rPr>
        <w:t>2. 乙方不得擅自转让（无进口资格的供应商委托进口货物除外）其应履行的合同义务。</w:t>
      </w:r>
    </w:p>
    <w:p w14:paraId="6EFB3313">
      <w:p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第十九条　</w:t>
      </w:r>
      <w:r>
        <w:rPr>
          <w:rFonts w:hint="eastAsia" w:ascii="仿宋" w:hAnsi="仿宋" w:eastAsia="仿宋" w:cs="仿宋"/>
          <w:color w:val="auto"/>
          <w:spacing w:val="-2"/>
          <w:kern w:val="0"/>
          <w:sz w:val="24"/>
          <w:highlight w:val="none"/>
        </w:rPr>
        <w:t>本</w:t>
      </w:r>
      <w:r>
        <w:rPr>
          <w:rFonts w:hint="eastAsia" w:ascii="仿宋" w:hAnsi="仿宋" w:eastAsia="仿宋" w:cs="仿宋"/>
          <w:color w:val="auto"/>
          <w:kern w:val="0"/>
          <w:sz w:val="24"/>
          <w:highlight w:val="none"/>
        </w:rPr>
        <w:t>合同书</w:t>
      </w:r>
      <w:r>
        <w:rPr>
          <w:rFonts w:hint="eastAsia" w:ascii="仿宋" w:hAnsi="仿宋" w:eastAsia="仿宋" w:cs="仿宋"/>
          <w:color w:val="auto"/>
          <w:spacing w:val="-2"/>
          <w:kern w:val="0"/>
          <w:sz w:val="24"/>
          <w:highlight w:val="none"/>
        </w:rPr>
        <w:t>与</w:t>
      </w:r>
      <w:r>
        <w:rPr>
          <w:rFonts w:hint="eastAsia" w:ascii="仿宋" w:hAnsi="仿宋" w:eastAsia="仿宋" w:cs="仿宋"/>
          <w:color w:val="auto"/>
          <w:kern w:val="0"/>
          <w:sz w:val="24"/>
          <w:highlight w:val="none"/>
        </w:rPr>
        <w:t>下</w:t>
      </w:r>
      <w:r>
        <w:rPr>
          <w:rFonts w:hint="eastAsia" w:ascii="仿宋" w:hAnsi="仿宋" w:eastAsia="仿宋" w:cs="仿宋"/>
          <w:color w:val="auto"/>
          <w:spacing w:val="-2"/>
          <w:kern w:val="0"/>
          <w:sz w:val="24"/>
          <w:highlight w:val="none"/>
        </w:rPr>
        <w:t>列</w:t>
      </w:r>
      <w:r>
        <w:rPr>
          <w:rFonts w:hint="eastAsia" w:ascii="仿宋" w:hAnsi="仿宋" w:eastAsia="仿宋" w:cs="仿宋"/>
          <w:color w:val="auto"/>
          <w:kern w:val="0"/>
          <w:sz w:val="24"/>
          <w:highlight w:val="none"/>
        </w:rPr>
        <w:t>文</w:t>
      </w:r>
      <w:r>
        <w:rPr>
          <w:rFonts w:hint="eastAsia" w:ascii="仿宋" w:hAnsi="仿宋" w:eastAsia="仿宋" w:cs="仿宋"/>
          <w:color w:val="auto"/>
          <w:spacing w:val="-2"/>
          <w:kern w:val="0"/>
          <w:sz w:val="24"/>
          <w:highlight w:val="none"/>
        </w:rPr>
        <w:t>件一</w:t>
      </w:r>
      <w:r>
        <w:rPr>
          <w:rFonts w:hint="eastAsia" w:ascii="仿宋" w:hAnsi="仿宋" w:eastAsia="仿宋" w:cs="仿宋"/>
          <w:color w:val="auto"/>
          <w:kern w:val="0"/>
          <w:sz w:val="24"/>
          <w:highlight w:val="none"/>
        </w:rPr>
        <w:t>起构</w:t>
      </w:r>
      <w:r>
        <w:rPr>
          <w:rFonts w:hint="eastAsia" w:ascii="仿宋" w:hAnsi="仿宋" w:eastAsia="仿宋" w:cs="仿宋"/>
          <w:color w:val="auto"/>
          <w:spacing w:val="-2"/>
          <w:kern w:val="0"/>
          <w:sz w:val="24"/>
          <w:highlight w:val="none"/>
        </w:rPr>
        <w:t>成</w:t>
      </w:r>
      <w:r>
        <w:rPr>
          <w:rFonts w:hint="eastAsia" w:ascii="仿宋" w:hAnsi="仿宋" w:eastAsia="仿宋" w:cs="仿宋"/>
          <w:color w:val="auto"/>
          <w:kern w:val="0"/>
          <w:sz w:val="24"/>
          <w:highlight w:val="none"/>
        </w:rPr>
        <w:t>合</w:t>
      </w:r>
      <w:r>
        <w:rPr>
          <w:rFonts w:hint="eastAsia" w:ascii="仿宋" w:hAnsi="仿宋" w:eastAsia="仿宋" w:cs="仿宋"/>
          <w:color w:val="auto"/>
          <w:spacing w:val="-2"/>
          <w:kern w:val="0"/>
          <w:sz w:val="24"/>
          <w:highlight w:val="none"/>
        </w:rPr>
        <w:t>同</w:t>
      </w:r>
      <w:r>
        <w:rPr>
          <w:rFonts w:hint="eastAsia" w:ascii="仿宋" w:hAnsi="仿宋" w:eastAsia="仿宋" w:cs="仿宋"/>
          <w:color w:val="auto"/>
          <w:kern w:val="0"/>
          <w:sz w:val="24"/>
          <w:highlight w:val="none"/>
        </w:rPr>
        <w:t>文</w:t>
      </w:r>
      <w:r>
        <w:rPr>
          <w:rFonts w:hint="eastAsia" w:ascii="仿宋" w:hAnsi="仿宋" w:eastAsia="仿宋" w:cs="仿宋"/>
          <w:color w:val="auto"/>
          <w:spacing w:val="-2"/>
          <w:kern w:val="0"/>
          <w:sz w:val="24"/>
          <w:highlight w:val="none"/>
        </w:rPr>
        <w:t>件</w:t>
      </w:r>
    </w:p>
    <w:p w14:paraId="126E48C0">
      <w:pPr>
        <w:pStyle w:val="27"/>
        <w:snapToGrid w:val="0"/>
        <w:spacing w:line="360" w:lineRule="auto"/>
        <w:ind w:left="420" w:left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1.中标通知书；</w:t>
      </w:r>
    </w:p>
    <w:p w14:paraId="3EBE5223">
      <w:pPr>
        <w:pStyle w:val="27"/>
        <w:snapToGrid w:val="0"/>
        <w:spacing w:line="360" w:lineRule="auto"/>
        <w:ind w:left="420" w:left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2.投标函；</w:t>
      </w:r>
    </w:p>
    <w:p w14:paraId="4885D283">
      <w:pPr>
        <w:pStyle w:val="27"/>
        <w:snapToGrid w:val="0"/>
        <w:spacing w:line="360" w:lineRule="auto"/>
        <w:ind w:left="420" w:left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3.商务要求偏离表和技术要求偏离表；</w:t>
      </w:r>
    </w:p>
    <w:p w14:paraId="093EC658">
      <w:pPr>
        <w:pStyle w:val="27"/>
        <w:snapToGrid w:val="0"/>
        <w:spacing w:line="360" w:lineRule="auto"/>
        <w:ind w:left="420" w:left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4.采购需求；</w:t>
      </w:r>
    </w:p>
    <w:p w14:paraId="53EC8FA6">
      <w:pPr>
        <w:pStyle w:val="27"/>
        <w:snapToGrid w:val="0"/>
        <w:spacing w:line="360" w:lineRule="auto"/>
        <w:ind w:left="420" w:left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5.开标一览表；</w:t>
      </w:r>
    </w:p>
    <w:p w14:paraId="2F6302FD">
      <w:pPr>
        <w:pStyle w:val="27"/>
        <w:snapToGrid w:val="0"/>
        <w:spacing w:line="360" w:lineRule="auto"/>
        <w:ind w:left="420" w:left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6.设备性能配置清单；</w:t>
      </w:r>
    </w:p>
    <w:p w14:paraId="6B2AA81F">
      <w:pPr>
        <w:pStyle w:val="27"/>
        <w:snapToGrid w:val="0"/>
        <w:spacing w:line="360" w:lineRule="auto"/>
        <w:ind w:left="420" w:left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p>
    <w:p w14:paraId="064BCFAF">
      <w:pPr>
        <w:pStyle w:val="27"/>
        <w:snapToGrid w:val="0"/>
        <w:spacing w:line="360" w:lineRule="auto"/>
        <w:ind w:left="420" w:left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8.其他合同文件。</w:t>
      </w:r>
    </w:p>
    <w:p w14:paraId="192B2D47">
      <w:pPr>
        <w:pStyle w:val="27"/>
        <w:snapToGrid w:val="0"/>
        <w:spacing w:line="360" w:lineRule="auto"/>
        <w:ind w:left="420" w:leftChars="200"/>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9.上述合同文件互相补充和解释。如果合同文件之间存在矛盾或者不一致之处，以上述文件 的排列顺序在先者为准。</w:t>
      </w:r>
    </w:p>
    <w:p w14:paraId="4A8043B6">
      <w:pPr>
        <w:snapToGrid w:val="0"/>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第二十条　</w:t>
      </w:r>
      <w:r>
        <w:rPr>
          <w:rFonts w:hint="eastAsia" w:ascii="仿宋" w:hAnsi="仿宋" w:eastAsia="仿宋" w:cs="仿宋"/>
          <w:color w:val="auto"/>
          <w:sz w:val="24"/>
          <w:highlight w:val="none"/>
        </w:rPr>
        <w:t>本合同一式四份，具有同等法律效力，财政部门（政府采购监管部门）、采购代理机构各一份，甲乙双方各一份（可根据需要另增加）。</w:t>
      </w:r>
    </w:p>
    <w:p w14:paraId="766A345A">
      <w:pPr>
        <w:snapToGrid w:val="0"/>
        <w:spacing w:line="360" w:lineRule="auto"/>
        <w:ind w:left="-61" w:firstLine="514"/>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本合同甲乙双方签字盖章后生效，自签订之日起七个工作日内，甲方应当将合同副本报同级财政部门备案。</w:t>
      </w:r>
    </w:p>
    <w:p w14:paraId="50B809A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本合同自签订之日起2个工作日内，甲方应当将采购合同在广西壮族自治区财政厅指定的媒体上公告。</w:t>
      </w:r>
    </w:p>
    <w:p w14:paraId="5C876659">
      <w:pPr>
        <w:snapToGrid w:val="0"/>
        <w:spacing w:line="360" w:lineRule="auto"/>
        <w:rPr>
          <w:rFonts w:hint="eastAsia" w:ascii="仿宋" w:hAnsi="仿宋" w:eastAsia="仿宋" w:cs="仿宋"/>
          <w:color w:val="auto"/>
          <w:sz w:val="24"/>
          <w:highlight w:val="none"/>
        </w:rPr>
      </w:pP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517"/>
      </w:tblGrid>
      <w:tr w14:paraId="1A2A5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jc w:val="center"/>
        </w:trPr>
        <w:tc>
          <w:tcPr>
            <w:tcW w:w="4516" w:type="dxa"/>
            <w:noWrap w:val="0"/>
            <w:vAlign w:val="center"/>
          </w:tcPr>
          <w:p w14:paraId="5C3F1F30">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甲方（章）           </w:t>
            </w:r>
          </w:p>
          <w:p w14:paraId="5ED01F0B">
            <w:pPr>
              <w:snapToGrid w:val="0"/>
              <w:spacing w:line="360" w:lineRule="auto"/>
              <w:rPr>
                <w:rFonts w:hint="eastAsia" w:ascii="仿宋" w:hAnsi="仿宋" w:eastAsia="仿宋" w:cs="仿宋"/>
                <w:color w:val="auto"/>
                <w:sz w:val="24"/>
                <w:highlight w:val="none"/>
              </w:rPr>
            </w:pPr>
          </w:p>
          <w:p w14:paraId="3F13A4A9">
            <w:pPr>
              <w:snapToGrid w:val="0"/>
              <w:spacing w:line="360" w:lineRule="auto"/>
              <w:ind w:firstLine="1080" w:firstLineChars="450"/>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年   月   日</w:t>
            </w:r>
          </w:p>
        </w:tc>
        <w:tc>
          <w:tcPr>
            <w:tcW w:w="4517" w:type="dxa"/>
            <w:noWrap w:val="0"/>
            <w:vAlign w:val="center"/>
          </w:tcPr>
          <w:p w14:paraId="243CEF25">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乙方（章）              </w:t>
            </w:r>
          </w:p>
          <w:p w14:paraId="76687977">
            <w:pPr>
              <w:snapToGrid w:val="0"/>
              <w:spacing w:line="360" w:lineRule="auto"/>
              <w:rPr>
                <w:rFonts w:hint="eastAsia" w:ascii="仿宋" w:hAnsi="仿宋" w:eastAsia="仿宋" w:cs="仿宋"/>
                <w:color w:val="auto"/>
                <w:sz w:val="24"/>
                <w:highlight w:val="none"/>
              </w:rPr>
            </w:pPr>
          </w:p>
          <w:p w14:paraId="08E070B1">
            <w:pPr>
              <w:snapToGrid w:val="0"/>
              <w:spacing w:line="360" w:lineRule="auto"/>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年   月   日</w:t>
            </w:r>
          </w:p>
        </w:tc>
      </w:tr>
      <w:tr w14:paraId="5958C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4516" w:type="dxa"/>
            <w:noWrap w:val="0"/>
            <w:vAlign w:val="center"/>
          </w:tcPr>
          <w:p w14:paraId="50486820">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单位地址：</w:t>
            </w:r>
          </w:p>
        </w:tc>
        <w:tc>
          <w:tcPr>
            <w:tcW w:w="4517" w:type="dxa"/>
            <w:noWrap w:val="0"/>
            <w:vAlign w:val="center"/>
          </w:tcPr>
          <w:p w14:paraId="5185E272">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单位地址：</w:t>
            </w:r>
          </w:p>
        </w:tc>
      </w:tr>
      <w:tr w14:paraId="3F55C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4516" w:type="dxa"/>
            <w:noWrap w:val="0"/>
            <w:vAlign w:val="top"/>
          </w:tcPr>
          <w:p w14:paraId="2B8712D6">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法定代表人或者委托代理人：</w:t>
            </w:r>
          </w:p>
        </w:tc>
        <w:tc>
          <w:tcPr>
            <w:tcW w:w="4517" w:type="dxa"/>
            <w:noWrap w:val="0"/>
            <w:vAlign w:val="top"/>
          </w:tcPr>
          <w:p w14:paraId="1A46A365">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法定代表人或者委托代理人：</w:t>
            </w:r>
          </w:p>
        </w:tc>
      </w:tr>
      <w:tr w14:paraId="11DB8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4516" w:type="dxa"/>
            <w:noWrap w:val="0"/>
            <w:vAlign w:val="center"/>
          </w:tcPr>
          <w:p w14:paraId="042F9F8D">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电话：</w:t>
            </w:r>
          </w:p>
        </w:tc>
        <w:tc>
          <w:tcPr>
            <w:tcW w:w="4517" w:type="dxa"/>
            <w:noWrap w:val="0"/>
            <w:vAlign w:val="center"/>
          </w:tcPr>
          <w:p w14:paraId="66983B86">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电话：</w:t>
            </w:r>
          </w:p>
        </w:tc>
      </w:tr>
      <w:tr w14:paraId="064DB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4516" w:type="dxa"/>
            <w:noWrap w:val="0"/>
            <w:vAlign w:val="center"/>
          </w:tcPr>
          <w:p w14:paraId="7A79E4E6">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电子邮箱：</w:t>
            </w:r>
          </w:p>
        </w:tc>
        <w:tc>
          <w:tcPr>
            <w:tcW w:w="4517" w:type="dxa"/>
            <w:noWrap w:val="0"/>
            <w:vAlign w:val="center"/>
          </w:tcPr>
          <w:p w14:paraId="22F18558">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电子邮箱：</w:t>
            </w:r>
          </w:p>
        </w:tc>
      </w:tr>
      <w:tr w14:paraId="7DF67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516" w:type="dxa"/>
            <w:noWrap w:val="0"/>
            <w:vAlign w:val="center"/>
          </w:tcPr>
          <w:p w14:paraId="1F9F4755">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开户银行：</w:t>
            </w:r>
          </w:p>
        </w:tc>
        <w:tc>
          <w:tcPr>
            <w:tcW w:w="4517" w:type="dxa"/>
            <w:noWrap w:val="0"/>
            <w:vAlign w:val="center"/>
          </w:tcPr>
          <w:p w14:paraId="6E206D10">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开户银行：</w:t>
            </w:r>
          </w:p>
        </w:tc>
      </w:tr>
      <w:tr w14:paraId="4115C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jc w:val="center"/>
        </w:trPr>
        <w:tc>
          <w:tcPr>
            <w:tcW w:w="4516" w:type="dxa"/>
            <w:noWrap w:val="0"/>
            <w:vAlign w:val="center"/>
          </w:tcPr>
          <w:p w14:paraId="0CE59062">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账号：</w:t>
            </w:r>
          </w:p>
        </w:tc>
        <w:tc>
          <w:tcPr>
            <w:tcW w:w="4517" w:type="dxa"/>
            <w:noWrap w:val="0"/>
            <w:vAlign w:val="center"/>
          </w:tcPr>
          <w:p w14:paraId="62A5CB0B">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账号：</w:t>
            </w:r>
          </w:p>
        </w:tc>
      </w:tr>
      <w:tr w14:paraId="688A1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4516" w:type="dxa"/>
            <w:noWrap w:val="0"/>
            <w:vAlign w:val="center"/>
          </w:tcPr>
          <w:p w14:paraId="2273098A">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邮政编码：</w:t>
            </w:r>
          </w:p>
        </w:tc>
        <w:tc>
          <w:tcPr>
            <w:tcW w:w="4517" w:type="dxa"/>
            <w:noWrap w:val="0"/>
            <w:vAlign w:val="center"/>
          </w:tcPr>
          <w:p w14:paraId="1C9DCDA3">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邮政编码：</w:t>
            </w:r>
          </w:p>
        </w:tc>
      </w:tr>
    </w:tbl>
    <w:p w14:paraId="1F89C3C6">
      <w:pPr>
        <w:widowControl/>
        <w:jc w:val="left"/>
        <w:rPr>
          <w:rFonts w:ascii="宋体" w:hAnsi="宋体" w:cs="宋体"/>
          <w:b/>
          <w:color w:val="auto"/>
          <w:kern w:val="2"/>
          <w:szCs w:val="21"/>
          <w:highlight w:val="none"/>
        </w:rPr>
      </w:pPr>
    </w:p>
    <w:p w14:paraId="3E634B8B">
      <w:pPr>
        <w:spacing w:line="400" w:lineRule="exact"/>
        <w:rPr>
          <w:rFonts w:hint="eastAsia" w:ascii="仿宋" w:hAnsi="仿宋" w:eastAsia="仿宋" w:cs="仿宋"/>
          <w:color w:val="auto"/>
          <w:highlight w:val="none"/>
        </w:rPr>
      </w:pPr>
    </w:p>
    <w:p w14:paraId="75F454A1">
      <w:pPr>
        <w:keepNext w:val="0"/>
        <w:keepLines w:val="0"/>
        <w:pageBreakBefore w:val="0"/>
        <w:kinsoku/>
        <w:wordWrap/>
        <w:overflowPunct/>
        <w:topLinePunct w:val="0"/>
        <w:autoSpaceDE/>
        <w:autoSpaceDN/>
        <w:bidi w:val="0"/>
        <w:adjustRightInd w:val="0"/>
        <w:spacing w:line="460" w:lineRule="exact"/>
        <w:ind w:left="1675" w:right="1470" w:hanging="2233" w:hangingChars="695"/>
        <w:textAlignment w:val="baseline"/>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32"/>
          <w:szCs w:val="32"/>
          <w:highlight w:val="none"/>
        </w:rPr>
        <w:t xml:space="preserve"> </w:t>
      </w:r>
      <w:r>
        <w:rPr>
          <w:rFonts w:hint="eastAsia" w:ascii="仿宋" w:hAnsi="仿宋" w:eastAsia="仿宋" w:cs="仿宋"/>
          <w:b/>
          <w:color w:val="auto"/>
          <w:kern w:val="0"/>
          <w:sz w:val="24"/>
          <w:szCs w:val="24"/>
          <w:highlight w:val="none"/>
        </w:rPr>
        <w:t xml:space="preserve"> </w:t>
      </w:r>
    </w:p>
    <w:p w14:paraId="1D4F7E6B">
      <w:pPr>
        <w:keepNext w:val="0"/>
        <w:keepLines w:val="0"/>
        <w:pageBreakBefore w:val="0"/>
        <w:kinsoku/>
        <w:wordWrap/>
        <w:overflowPunct/>
        <w:topLinePunct w:val="0"/>
        <w:autoSpaceDE/>
        <w:autoSpaceDN/>
        <w:bidi w:val="0"/>
        <w:spacing w:before="120" w:after="120" w:line="460" w:lineRule="exact"/>
        <w:rPr>
          <w:rFonts w:hint="eastAsia" w:ascii="仿宋" w:hAnsi="仿宋" w:eastAsia="仿宋" w:cs="仿宋"/>
          <w:color w:val="auto"/>
          <w:sz w:val="24"/>
          <w:szCs w:val="24"/>
          <w:highlight w:val="none"/>
        </w:rPr>
      </w:pPr>
    </w:p>
    <w:p w14:paraId="0D6949A8">
      <w:pPr>
        <w:pStyle w:val="2"/>
        <w:keepNext w:val="0"/>
        <w:keepLines w:val="0"/>
        <w:pageBreakBefore w:val="0"/>
        <w:kinsoku/>
        <w:wordWrap/>
        <w:overflowPunct/>
        <w:topLinePunct w:val="0"/>
        <w:autoSpaceDE/>
        <w:autoSpaceDN/>
        <w:bidi w:val="0"/>
        <w:spacing w:line="460" w:lineRule="exact"/>
        <w:rPr>
          <w:rFonts w:hint="eastAsia" w:ascii="仿宋" w:hAnsi="仿宋" w:eastAsia="仿宋" w:cs="仿宋"/>
          <w:color w:val="auto"/>
          <w:sz w:val="24"/>
          <w:szCs w:val="24"/>
          <w:highlight w:val="none"/>
        </w:rPr>
      </w:pPr>
    </w:p>
    <w:p w14:paraId="61B9BE4E">
      <w:pPr>
        <w:pStyle w:val="50"/>
        <w:keepNext w:val="0"/>
        <w:keepLines w:val="0"/>
        <w:pageBreakBefore w:val="0"/>
        <w:kinsoku/>
        <w:wordWrap/>
        <w:overflowPunct/>
        <w:topLinePunct w:val="0"/>
        <w:autoSpaceDE/>
        <w:autoSpaceDN/>
        <w:bidi w:val="0"/>
        <w:spacing w:line="460" w:lineRule="exact"/>
        <w:ind w:left="0" w:leftChars="0" w:firstLine="0" w:firstLineChars="0"/>
        <w:rPr>
          <w:rFonts w:hint="eastAsia" w:ascii="仿宋" w:hAnsi="仿宋" w:eastAsia="仿宋" w:cs="仿宋"/>
          <w:color w:val="auto"/>
          <w:sz w:val="24"/>
          <w:szCs w:val="24"/>
          <w:highlight w:val="none"/>
        </w:rPr>
      </w:pPr>
    </w:p>
    <w:bookmarkEnd w:id="23"/>
    <w:bookmarkEnd w:id="161"/>
    <w:p w14:paraId="026482B2">
      <w:pPr>
        <w:rPr>
          <w:rFonts w:hint="eastAsia" w:ascii="仿宋" w:hAnsi="仿宋" w:eastAsia="仿宋" w:cs="仿宋"/>
          <w:color w:val="auto"/>
          <w:sz w:val="56"/>
          <w:highlight w:val="none"/>
        </w:rPr>
      </w:pPr>
      <w:bookmarkStart w:id="162" w:name="_Toc25663"/>
      <w:bookmarkStart w:id="163" w:name="_Toc74320805"/>
      <w:r>
        <w:rPr>
          <w:rFonts w:hint="eastAsia" w:ascii="仿宋" w:hAnsi="仿宋" w:eastAsia="仿宋" w:cs="仿宋"/>
          <w:color w:val="auto"/>
          <w:sz w:val="56"/>
          <w:highlight w:val="none"/>
        </w:rPr>
        <w:br w:type="page"/>
      </w:r>
    </w:p>
    <w:bookmarkEnd w:id="162"/>
    <w:p w14:paraId="14E062B0">
      <w:pPr>
        <w:jc w:val="center"/>
        <w:rPr>
          <w:rFonts w:hint="eastAsia" w:ascii="仿宋" w:hAnsi="仿宋" w:eastAsia="仿宋" w:cs="仿宋"/>
          <w:color w:val="auto"/>
          <w:sz w:val="32"/>
          <w:szCs w:val="32"/>
          <w:highlight w:val="none"/>
        </w:rPr>
      </w:pPr>
      <w:r>
        <w:rPr>
          <w:rFonts w:hint="eastAsia" w:ascii="仿宋" w:hAnsi="仿宋" w:eastAsia="仿宋" w:cs="仿宋"/>
          <w:b/>
          <w:bCs/>
          <w:color w:val="auto"/>
          <w:kern w:val="0"/>
          <w:sz w:val="32"/>
          <w:szCs w:val="32"/>
          <w:highlight w:val="none"/>
        </w:rPr>
        <w:t>桂林电子科技大学设备采购项目履约保证金退付意见书</w:t>
      </w:r>
    </w:p>
    <w:p w14:paraId="3743734E">
      <w:pPr>
        <w:snapToGrid w:val="0"/>
        <w:spacing w:line="400" w:lineRule="exact"/>
        <w:jc w:val="center"/>
        <w:rPr>
          <w:rFonts w:hint="eastAsia" w:ascii="仿宋" w:hAnsi="仿宋" w:eastAsia="仿宋" w:cs="仿宋"/>
          <w:b/>
          <w:color w:val="auto"/>
          <w:sz w:val="24"/>
          <w:highlight w:val="none"/>
        </w:rPr>
      </w:pP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0"/>
        <w:gridCol w:w="7174"/>
      </w:tblGrid>
      <w:tr w14:paraId="062E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730" w:type="dxa"/>
            <w:vMerge w:val="restart"/>
            <w:noWrap w:val="0"/>
            <w:vAlign w:val="center"/>
          </w:tcPr>
          <w:p w14:paraId="32773763">
            <w:pPr>
              <w:jc w:val="center"/>
              <w:rPr>
                <w:rFonts w:hint="eastAsia" w:ascii="仿宋" w:hAnsi="仿宋" w:eastAsia="仿宋" w:cs="仿宋"/>
                <w:color w:val="auto"/>
                <w:highlight w:val="none"/>
              </w:rPr>
            </w:pPr>
            <w:r>
              <w:rPr>
                <w:rFonts w:hint="eastAsia" w:ascii="仿宋" w:hAnsi="仿宋" w:eastAsia="仿宋" w:cs="仿宋"/>
                <w:color w:val="auto"/>
                <w:highlight w:val="none"/>
              </w:rPr>
              <w:t>供</w:t>
            </w:r>
          </w:p>
          <w:p w14:paraId="6AB615EE">
            <w:pPr>
              <w:jc w:val="center"/>
              <w:rPr>
                <w:rFonts w:hint="eastAsia" w:ascii="仿宋" w:hAnsi="仿宋" w:eastAsia="仿宋" w:cs="仿宋"/>
                <w:color w:val="auto"/>
                <w:highlight w:val="none"/>
              </w:rPr>
            </w:pPr>
            <w:r>
              <w:rPr>
                <w:rFonts w:hint="eastAsia" w:ascii="仿宋" w:hAnsi="仿宋" w:eastAsia="仿宋" w:cs="仿宋"/>
                <w:color w:val="auto"/>
                <w:highlight w:val="none"/>
              </w:rPr>
              <w:t>应</w:t>
            </w:r>
          </w:p>
          <w:p w14:paraId="1D2BEC2B">
            <w:pPr>
              <w:jc w:val="center"/>
              <w:rPr>
                <w:rFonts w:hint="eastAsia" w:ascii="仿宋" w:hAnsi="仿宋" w:eastAsia="仿宋" w:cs="仿宋"/>
                <w:color w:val="auto"/>
                <w:highlight w:val="none"/>
              </w:rPr>
            </w:pPr>
            <w:r>
              <w:rPr>
                <w:rFonts w:hint="eastAsia" w:ascii="仿宋" w:hAnsi="仿宋" w:eastAsia="仿宋" w:cs="仿宋"/>
                <w:color w:val="auto"/>
                <w:highlight w:val="none"/>
              </w:rPr>
              <w:t>商</w:t>
            </w:r>
          </w:p>
          <w:p w14:paraId="57C4B6AD">
            <w:pPr>
              <w:jc w:val="center"/>
              <w:rPr>
                <w:rFonts w:hint="eastAsia" w:ascii="仿宋" w:hAnsi="仿宋" w:eastAsia="仿宋" w:cs="仿宋"/>
                <w:color w:val="auto"/>
                <w:highlight w:val="none"/>
              </w:rPr>
            </w:pPr>
            <w:r>
              <w:rPr>
                <w:rFonts w:hint="eastAsia" w:ascii="仿宋" w:hAnsi="仿宋" w:eastAsia="仿宋" w:cs="仿宋"/>
                <w:color w:val="auto"/>
                <w:highlight w:val="none"/>
              </w:rPr>
              <w:t>申</w:t>
            </w:r>
          </w:p>
          <w:p w14:paraId="31F55143">
            <w:pPr>
              <w:jc w:val="center"/>
              <w:rPr>
                <w:rFonts w:hint="eastAsia" w:ascii="仿宋" w:hAnsi="仿宋" w:eastAsia="仿宋" w:cs="仿宋"/>
                <w:color w:val="auto"/>
                <w:highlight w:val="none"/>
              </w:rPr>
            </w:pPr>
            <w:r>
              <w:rPr>
                <w:rFonts w:hint="eastAsia" w:ascii="仿宋" w:hAnsi="仿宋" w:eastAsia="仿宋" w:cs="仿宋"/>
                <w:color w:val="auto"/>
                <w:highlight w:val="none"/>
              </w:rPr>
              <w:t>请</w:t>
            </w:r>
          </w:p>
        </w:tc>
        <w:tc>
          <w:tcPr>
            <w:tcW w:w="7174" w:type="dxa"/>
            <w:noWrap w:val="0"/>
            <w:vAlign w:val="center"/>
          </w:tcPr>
          <w:p w14:paraId="446D51BB">
            <w:pPr>
              <w:rPr>
                <w:rFonts w:hint="eastAsia" w:ascii="仿宋" w:hAnsi="仿宋" w:eastAsia="仿宋" w:cs="仿宋"/>
                <w:color w:val="auto"/>
                <w:highlight w:val="none"/>
              </w:rPr>
            </w:pPr>
            <w:r>
              <w:rPr>
                <w:rFonts w:hint="eastAsia" w:ascii="仿宋" w:hAnsi="仿宋" w:eastAsia="仿宋" w:cs="仿宋"/>
                <w:color w:val="auto"/>
                <w:highlight w:val="none"/>
              </w:rPr>
              <w:t>合同编号：</w:t>
            </w:r>
          </w:p>
        </w:tc>
      </w:tr>
      <w:tr w14:paraId="5B2A1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730" w:type="dxa"/>
            <w:vMerge w:val="continue"/>
            <w:noWrap w:val="0"/>
            <w:vAlign w:val="top"/>
          </w:tcPr>
          <w:p w14:paraId="31AA82DC">
            <w:pPr>
              <w:rPr>
                <w:rFonts w:hint="eastAsia" w:ascii="仿宋" w:hAnsi="仿宋" w:eastAsia="仿宋" w:cs="仿宋"/>
                <w:color w:val="auto"/>
                <w:highlight w:val="none"/>
              </w:rPr>
            </w:pPr>
          </w:p>
        </w:tc>
        <w:tc>
          <w:tcPr>
            <w:tcW w:w="7174" w:type="dxa"/>
            <w:noWrap w:val="0"/>
            <w:vAlign w:val="center"/>
          </w:tcPr>
          <w:p w14:paraId="01A768DF">
            <w:pPr>
              <w:rPr>
                <w:rFonts w:hint="eastAsia" w:ascii="仿宋" w:hAnsi="仿宋" w:eastAsia="仿宋" w:cs="仿宋"/>
                <w:color w:val="auto"/>
                <w:highlight w:val="none"/>
              </w:rPr>
            </w:pPr>
            <w:r>
              <w:rPr>
                <w:rFonts w:hint="eastAsia" w:ascii="仿宋" w:hAnsi="仿宋" w:eastAsia="仿宋" w:cs="仿宋"/>
                <w:color w:val="auto"/>
                <w:highlight w:val="none"/>
              </w:rPr>
              <w:t xml:space="preserve">项目名称： </w:t>
            </w:r>
          </w:p>
        </w:tc>
      </w:tr>
      <w:tr w14:paraId="7771E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5" w:hRule="atLeast"/>
          <w:jc w:val="center"/>
        </w:trPr>
        <w:tc>
          <w:tcPr>
            <w:tcW w:w="1730" w:type="dxa"/>
            <w:vMerge w:val="continue"/>
            <w:noWrap w:val="0"/>
            <w:vAlign w:val="top"/>
          </w:tcPr>
          <w:p w14:paraId="17BE7007">
            <w:pPr>
              <w:rPr>
                <w:rFonts w:hint="eastAsia" w:ascii="仿宋" w:hAnsi="仿宋" w:eastAsia="仿宋" w:cs="仿宋"/>
                <w:color w:val="auto"/>
                <w:highlight w:val="none"/>
              </w:rPr>
            </w:pPr>
          </w:p>
        </w:tc>
        <w:tc>
          <w:tcPr>
            <w:tcW w:w="7174" w:type="dxa"/>
            <w:noWrap w:val="0"/>
            <w:vAlign w:val="top"/>
          </w:tcPr>
          <w:p w14:paraId="5BB6D39A">
            <w:pPr>
              <w:rPr>
                <w:rFonts w:hint="eastAsia" w:ascii="仿宋" w:hAnsi="仿宋" w:eastAsia="仿宋" w:cs="仿宋"/>
                <w:color w:val="auto"/>
                <w:highlight w:val="none"/>
              </w:rPr>
            </w:pPr>
          </w:p>
          <w:p w14:paraId="2DA081C0">
            <w:pPr>
              <w:ind w:firstLine="525" w:firstLineChars="250"/>
              <w:rPr>
                <w:rFonts w:hint="eastAsia" w:ascii="仿宋" w:hAnsi="仿宋" w:eastAsia="仿宋" w:cs="仿宋"/>
                <w:color w:val="auto"/>
                <w:highlight w:val="none"/>
              </w:rPr>
            </w:pPr>
            <w:r>
              <w:rPr>
                <w:rFonts w:hint="eastAsia" w:ascii="仿宋" w:hAnsi="仿宋" w:eastAsia="仿宋" w:cs="仿宋"/>
                <w:color w:val="auto"/>
                <w:highlight w:val="none"/>
              </w:rPr>
              <w:t>该项目已于   年    月   日按合同要求履约完成。根据合同规定，可将履约保证金（大写）人民币                  元（小写）￥              元退付到达以下</w:t>
            </w:r>
            <w:r>
              <w:rPr>
                <w:rFonts w:hint="eastAsia" w:ascii="仿宋" w:hAnsi="仿宋" w:eastAsia="仿宋" w:cs="仿宋"/>
                <w:color w:val="auto"/>
                <w:highlight w:val="none"/>
                <w:lang w:eastAsia="zh-CN"/>
              </w:rPr>
              <w:t>账户</w:t>
            </w:r>
            <w:r>
              <w:rPr>
                <w:rFonts w:hint="eastAsia" w:ascii="仿宋" w:hAnsi="仿宋" w:eastAsia="仿宋" w:cs="仿宋"/>
                <w:color w:val="auto"/>
                <w:highlight w:val="none"/>
              </w:rPr>
              <w:t>：</w:t>
            </w:r>
          </w:p>
          <w:p w14:paraId="568E73DE">
            <w:pPr>
              <w:spacing w:line="420" w:lineRule="exact"/>
              <w:rPr>
                <w:rFonts w:hint="eastAsia" w:ascii="仿宋" w:hAnsi="仿宋" w:eastAsia="仿宋" w:cs="仿宋"/>
                <w:color w:val="auto"/>
                <w:highlight w:val="none"/>
              </w:rPr>
            </w:pPr>
            <w:r>
              <w:rPr>
                <w:rFonts w:hint="eastAsia" w:ascii="仿宋" w:hAnsi="仿宋" w:eastAsia="仿宋" w:cs="仿宋"/>
                <w:color w:val="auto"/>
                <w:highlight w:val="none"/>
              </w:rPr>
              <w:t>单位名称：</w:t>
            </w:r>
          </w:p>
          <w:p w14:paraId="33E0EF04">
            <w:pPr>
              <w:spacing w:line="420" w:lineRule="exact"/>
              <w:rPr>
                <w:rFonts w:hint="eastAsia" w:ascii="仿宋" w:hAnsi="仿宋" w:eastAsia="仿宋" w:cs="仿宋"/>
                <w:color w:val="auto"/>
                <w:highlight w:val="none"/>
              </w:rPr>
            </w:pPr>
            <w:r>
              <w:rPr>
                <w:rFonts w:hint="eastAsia" w:ascii="仿宋" w:hAnsi="仿宋" w:eastAsia="仿宋" w:cs="仿宋"/>
                <w:color w:val="auto"/>
                <w:highlight w:val="none"/>
              </w:rPr>
              <w:t>开户银行：</w:t>
            </w:r>
          </w:p>
          <w:p w14:paraId="27CCC51C">
            <w:pPr>
              <w:spacing w:line="420" w:lineRule="exact"/>
              <w:rPr>
                <w:rFonts w:hint="eastAsia" w:ascii="仿宋" w:hAnsi="仿宋" w:eastAsia="仿宋" w:cs="仿宋"/>
                <w:color w:val="auto"/>
                <w:highlight w:val="none"/>
              </w:rPr>
            </w:pPr>
            <w:r>
              <w:rPr>
                <w:rFonts w:hint="eastAsia" w:ascii="仿宋" w:hAnsi="仿宋" w:eastAsia="仿宋" w:cs="仿宋"/>
                <w:color w:val="auto"/>
                <w:highlight w:val="none"/>
                <w:lang w:eastAsia="zh-CN"/>
              </w:rPr>
              <w:t>银行账号：</w:t>
            </w:r>
          </w:p>
          <w:p w14:paraId="0BA2024A">
            <w:pPr>
              <w:spacing w:line="420" w:lineRule="exact"/>
              <w:rPr>
                <w:rFonts w:hint="eastAsia" w:ascii="仿宋" w:hAnsi="仿宋" w:eastAsia="仿宋" w:cs="仿宋"/>
                <w:color w:val="auto"/>
                <w:highlight w:val="none"/>
              </w:rPr>
            </w:pPr>
            <w:r>
              <w:rPr>
                <w:rFonts w:hint="eastAsia" w:ascii="仿宋" w:hAnsi="仿宋" w:eastAsia="仿宋" w:cs="仿宋"/>
                <w:color w:val="auto"/>
                <w:highlight w:val="none"/>
              </w:rPr>
              <w:t>联系人：</w:t>
            </w:r>
          </w:p>
          <w:p w14:paraId="37533ED4">
            <w:pPr>
              <w:spacing w:line="420" w:lineRule="exact"/>
              <w:rPr>
                <w:rFonts w:hint="eastAsia" w:ascii="仿宋" w:hAnsi="仿宋" w:eastAsia="仿宋" w:cs="仿宋"/>
                <w:color w:val="auto"/>
                <w:highlight w:val="none"/>
              </w:rPr>
            </w:pPr>
            <w:r>
              <w:rPr>
                <w:rFonts w:hint="eastAsia" w:ascii="仿宋" w:hAnsi="仿宋" w:eastAsia="仿宋" w:cs="仿宋"/>
                <w:color w:val="auto"/>
                <w:highlight w:val="none"/>
              </w:rPr>
              <w:t>联系电话：</w:t>
            </w:r>
          </w:p>
          <w:p w14:paraId="51C24948">
            <w:pPr>
              <w:spacing w:line="420" w:lineRule="exact"/>
              <w:rPr>
                <w:rFonts w:hint="eastAsia" w:ascii="仿宋" w:hAnsi="仿宋" w:eastAsia="仿宋" w:cs="仿宋"/>
                <w:color w:val="auto"/>
                <w:highlight w:val="none"/>
              </w:rPr>
            </w:pPr>
            <w:r>
              <w:rPr>
                <w:rFonts w:hint="eastAsia" w:ascii="仿宋" w:hAnsi="仿宋" w:eastAsia="仿宋" w:cs="仿宋"/>
                <w:color w:val="auto"/>
                <w:highlight w:val="none"/>
              </w:rPr>
              <w:t xml:space="preserve">                                       供应商签章</w:t>
            </w:r>
          </w:p>
          <w:p w14:paraId="657D5755">
            <w:pPr>
              <w:spacing w:line="420" w:lineRule="exact"/>
              <w:rPr>
                <w:rFonts w:hint="eastAsia" w:ascii="仿宋" w:hAnsi="仿宋" w:eastAsia="仿宋" w:cs="仿宋"/>
                <w:color w:val="auto"/>
                <w:highlight w:val="none"/>
              </w:rPr>
            </w:pPr>
            <w:r>
              <w:rPr>
                <w:rFonts w:hint="eastAsia" w:ascii="仿宋" w:hAnsi="仿宋" w:eastAsia="仿宋" w:cs="仿宋"/>
                <w:color w:val="auto"/>
                <w:highlight w:val="none"/>
              </w:rPr>
              <w:t xml:space="preserve">                                     年     月    日</w:t>
            </w:r>
          </w:p>
        </w:tc>
      </w:tr>
      <w:tr w14:paraId="2D484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3" w:hRule="atLeast"/>
          <w:jc w:val="center"/>
        </w:trPr>
        <w:tc>
          <w:tcPr>
            <w:tcW w:w="1730" w:type="dxa"/>
            <w:noWrap w:val="0"/>
            <w:vAlign w:val="center"/>
          </w:tcPr>
          <w:p w14:paraId="0BEA0A72">
            <w:pPr>
              <w:jc w:val="center"/>
              <w:rPr>
                <w:rFonts w:hint="eastAsia" w:ascii="仿宋" w:hAnsi="仿宋" w:eastAsia="仿宋" w:cs="仿宋"/>
                <w:color w:val="auto"/>
                <w:highlight w:val="none"/>
              </w:rPr>
            </w:pPr>
            <w:r>
              <w:rPr>
                <w:rFonts w:hint="eastAsia" w:ascii="仿宋" w:hAnsi="仿宋" w:eastAsia="仿宋" w:cs="仿宋"/>
                <w:color w:val="auto"/>
                <w:highlight w:val="none"/>
              </w:rPr>
              <w:t>使</w:t>
            </w:r>
          </w:p>
          <w:p w14:paraId="1AF4933E">
            <w:pPr>
              <w:jc w:val="center"/>
              <w:rPr>
                <w:rFonts w:hint="eastAsia" w:ascii="仿宋" w:hAnsi="仿宋" w:eastAsia="仿宋" w:cs="仿宋"/>
                <w:color w:val="auto"/>
                <w:highlight w:val="none"/>
              </w:rPr>
            </w:pPr>
            <w:r>
              <w:rPr>
                <w:rFonts w:hint="eastAsia" w:ascii="仿宋" w:hAnsi="仿宋" w:eastAsia="仿宋" w:cs="仿宋"/>
                <w:color w:val="auto"/>
                <w:highlight w:val="none"/>
              </w:rPr>
              <w:t>用</w:t>
            </w:r>
          </w:p>
          <w:p w14:paraId="3DC0D76C">
            <w:pPr>
              <w:jc w:val="center"/>
              <w:rPr>
                <w:rFonts w:hint="eastAsia" w:ascii="仿宋" w:hAnsi="仿宋" w:eastAsia="仿宋" w:cs="仿宋"/>
                <w:color w:val="auto"/>
                <w:highlight w:val="none"/>
              </w:rPr>
            </w:pPr>
            <w:r>
              <w:rPr>
                <w:rFonts w:hint="eastAsia" w:ascii="仿宋" w:hAnsi="仿宋" w:eastAsia="仿宋" w:cs="仿宋"/>
                <w:color w:val="auto"/>
                <w:highlight w:val="none"/>
              </w:rPr>
              <w:t>单</w:t>
            </w:r>
          </w:p>
          <w:p w14:paraId="4C4E4163">
            <w:pPr>
              <w:jc w:val="center"/>
              <w:rPr>
                <w:rFonts w:hint="eastAsia" w:ascii="仿宋" w:hAnsi="仿宋" w:eastAsia="仿宋" w:cs="仿宋"/>
                <w:color w:val="auto"/>
                <w:highlight w:val="none"/>
              </w:rPr>
            </w:pPr>
            <w:r>
              <w:rPr>
                <w:rFonts w:hint="eastAsia" w:ascii="仿宋" w:hAnsi="仿宋" w:eastAsia="仿宋" w:cs="仿宋"/>
                <w:color w:val="auto"/>
                <w:highlight w:val="none"/>
              </w:rPr>
              <w:t>位</w:t>
            </w:r>
          </w:p>
          <w:p w14:paraId="2E18EC80">
            <w:pPr>
              <w:jc w:val="center"/>
              <w:rPr>
                <w:rFonts w:hint="eastAsia" w:ascii="仿宋" w:hAnsi="仿宋" w:eastAsia="仿宋" w:cs="仿宋"/>
                <w:color w:val="auto"/>
                <w:highlight w:val="none"/>
              </w:rPr>
            </w:pPr>
            <w:r>
              <w:rPr>
                <w:rFonts w:hint="eastAsia" w:ascii="仿宋" w:hAnsi="仿宋" w:eastAsia="仿宋" w:cs="仿宋"/>
                <w:color w:val="auto"/>
                <w:highlight w:val="none"/>
              </w:rPr>
              <w:t>意</w:t>
            </w:r>
          </w:p>
          <w:p w14:paraId="1B3B165E">
            <w:pPr>
              <w:jc w:val="center"/>
              <w:rPr>
                <w:rFonts w:hint="eastAsia" w:ascii="仿宋" w:hAnsi="仿宋" w:eastAsia="仿宋" w:cs="仿宋"/>
                <w:color w:val="auto"/>
                <w:highlight w:val="none"/>
              </w:rPr>
            </w:pPr>
            <w:r>
              <w:rPr>
                <w:rFonts w:hint="eastAsia" w:ascii="仿宋" w:hAnsi="仿宋" w:eastAsia="仿宋" w:cs="仿宋"/>
                <w:color w:val="auto"/>
                <w:highlight w:val="none"/>
              </w:rPr>
              <w:t>见</w:t>
            </w:r>
          </w:p>
        </w:tc>
        <w:tc>
          <w:tcPr>
            <w:tcW w:w="7174" w:type="dxa"/>
            <w:noWrap w:val="0"/>
            <w:vAlign w:val="top"/>
          </w:tcPr>
          <w:p w14:paraId="26BCD2A8">
            <w:pPr>
              <w:rPr>
                <w:rFonts w:hint="eastAsia" w:ascii="仿宋" w:hAnsi="仿宋" w:eastAsia="仿宋" w:cs="仿宋"/>
                <w:color w:val="auto"/>
                <w:highlight w:val="none"/>
              </w:rPr>
            </w:pPr>
            <w:r>
              <w:rPr>
                <w:rFonts w:hint="eastAsia" w:ascii="仿宋" w:hAnsi="仿宋" w:eastAsia="仿宋" w:cs="仿宋"/>
                <w:color w:val="auto"/>
                <w:highlight w:val="none"/>
              </w:rPr>
              <w:t>（退付意见：是否同意退付履约保证金）</w:t>
            </w:r>
          </w:p>
          <w:p w14:paraId="3DEB595B">
            <w:pPr>
              <w:spacing w:line="420" w:lineRule="exact"/>
              <w:rPr>
                <w:rFonts w:hint="eastAsia" w:ascii="仿宋" w:hAnsi="仿宋" w:eastAsia="仿宋" w:cs="仿宋"/>
                <w:color w:val="auto"/>
                <w:highlight w:val="none"/>
              </w:rPr>
            </w:pPr>
            <w:r>
              <w:rPr>
                <w:rFonts w:hint="eastAsia" w:ascii="仿宋" w:hAnsi="仿宋" w:eastAsia="仿宋" w:cs="仿宋"/>
                <w:color w:val="auto"/>
                <w:highlight w:val="none"/>
              </w:rPr>
              <w:t>项目负责人意见：</w:t>
            </w:r>
          </w:p>
          <w:p w14:paraId="708FB512">
            <w:pPr>
              <w:spacing w:line="420" w:lineRule="exact"/>
              <w:rPr>
                <w:rFonts w:hint="eastAsia" w:ascii="仿宋" w:hAnsi="仿宋" w:eastAsia="仿宋" w:cs="仿宋"/>
                <w:color w:val="auto"/>
                <w:highlight w:val="none"/>
              </w:rPr>
            </w:pPr>
            <w:r>
              <w:rPr>
                <w:rFonts w:hint="eastAsia" w:ascii="仿宋" w:hAnsi="仿宋" w:eastAsia="仿宋" w:cs="仿宋"/>
                <w:color w:val="auto"/>
                <w:highlight w:val="none"/>
              </w:rPr>
              <w:t>联系人及电话：</w:t>
            </w:r>
          </w:p>
          <w:p w14:paraId="7292ABBB">
            <w:pPr>
              <w:rPr>
                <w:rFonts w:hint="eastAsia" w:ascii="仿宋" w:hAnsi="仿宋" w:eastAsia="仿宋" w:cs="仿宋"/>
                <w:color w:val="auto"/>
                <w:highlight w:val="none"/>
              </w:rPr>
            </w:pPr>
            <w:r>
              <w:rPr>
                <w:rFonts w:hint="eastAsia" w:ascii="仿宋" w:hAnsi="仿宋" w:eastAsia="仿宋" w:cs="仿宋"/>
                <w:color w:val="auto"/>
                <w:highlight w:val="none"/>
              </w:rPr>
              <w:t xml:space="preserve">                                         单位签章</w:t>
            </w:r>
          </w:p>
          <w:p w14:paraId="71F7C4E1">
            <w:pPr>
              <w:spacing w:line="420" w:lineRule="exact"/>
              <w:rPr>
                <w:rFonts w:hint="eastAsia" w:ascii="仿宋" w:hAnsi="仿宋" w:eastAsia="仿宋" w:cs="仿宋"/>
                <w:color w:val="auto"/>
                <w:highlight w:val="none"/>
              </w:rPr>
            </w:pPr>
            <w:r>
              <w:rPr>
                <w:rFonts w:hint="eastAsia" w:ascii="仿宋" w:hAnsi="仿宋" w:eastAsia="仿宋" w:cs="仿宋"/>
                <w:color w:val="auto"/>
                <w:highlight w:val="none"/>
              </w:rPr>
              <w:t xml:space="preserve">                                      年     月    日</w:t>
            </w:r>
          </w:p>
        </w:tc>
      </w:tr>
      <w:tr w14:paraId="3DD62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3" w:hRule="atLeast"/>
          <w:jc w:val="center"/>
        </w:trPr>
        <w:tc>
          <w:tcPr>
            <w:tcW w:w="1730" w:type="dxa"/>
            <w:noWrap w:val="0"/>
            <w:vAlign w:val="center"/>
          </w:tcPr>
          <w:p w14:paraId="0D656185">
            <w:pPr>
              <w:jc w:val="center"/>
              <w:rPr>
                <w:rFonts w:hint="eastAsia" w:ascii="仿宋" w:hAnsi="仿宋" w:eastAsia="仿宋" w:cs="仿宋"/>
                <w:color w:val="auto"/>
                <w:highlight w:val="none"/>
              </w:rPr>
            </w:pPr>
            <w:r>
              <w:rPr>
                <w:rFonts w:hint="eastAsia" w:ascii="仿宋" w:hAnsi="仿宋" w:eastAsia="仿宋" w:cs="仿宋"/>
                <w:color w:val="auto"/>
                <w:highlight w:val="none"/>
              </w:rPr>
              <w:t>国有资产与实验室管理处意见</w:t>
            </w:r>
          </w:p>
        </w:tc>
        <w:tc>
          <w:tcPr>
            <w:tcW w:w="7174" w:type="dxa"/>
            <w:noWrap w:val="0"/>
            <w:vAlign w:val="top"/>
          </w:tcPr>
          <w:p w14:paraId="06F42A67">
            <w:pPr>
              <w:rPr>
                <w:rFonts w:hint="eastAsia" w:ascii="仿宋" w:hAnsi="仿宋" w:eastAsia="仿宋" w:cs="仿宋"/>
                <w:color w:val="auto"/>
                <w:highlight w:val="none"/>
              </w:rPr>
            </w:pPr>
          </w:p>
          <w:p w14:paraId="46CAFE9D">
            <w:pPr>
              <w:rPr>
                <w:rFonts w:hint="eastAsia" w:ascii="仿宋" w:hAnsi="仿宋" w:eastAsia="仿宋" w:cs="仿宋"/>
                <w:color w:val="auto"/>
                <w:highlight w:val="none"/>
              </w:rPr>
            </w:pPr>
            <w:r>
              <w:rPr>
                <w:rFonts w:hint="eastAsia" w:ascii="仿宋" w:hAnsi="仿宋" w:eastAsia="仿宋" w:cs="仿宋"/>
                <w:color w:val="auto"/>
                <w:highlight w:val="none"/>
              </w:rPr>
              <w:t xml:space="preserve">                                       </w:t>
            </w:r>
          </w:p>
          <w:p w14:paraId="4D7A34F0">
            <w:pPr>
              <w:rPr>
                <w:rFonts w:hint="eastAsia" w:ascii="仿宋" w:hAnsi="仿宋" w:eastAsia="仿宋" w:cs="仿宋"/>
                <w:color w:val="auto"/>
                <w:highlight w:val="none"/>
              </w:rPr>
            </w:pPr>
          </w:p>
          <w:p w14:paraId="2993FEB2">
            <w:pPr>
              <w:ind w:firstLine="4200" w:firstLineChars="2000"/>
              <w:rPr>
                <w:rFonts w:hint="eastAsia" w:ascii="仿宋" w:hAnsi="仿宋" w:eastAsia="仿宋" w:cs="仿宋"/>
                <w:color w:val="auto"/>
                <w:highlight w:val="none"/>
              </w:rPr>
            </w:pPr>
            <w:r>
              <w:rPr>
                <w:rFonts w:hint="eastAsia" w:ascii="仿宋" w:hAnsi="仿宋" w:eastAsia="仿宋" w:cs="仿宋"/>
                <w:color w:val="auto"/>
                <w:highlight w:val="none"/>
              </w:rPr>
              <w:t>单位签章</w:t>
            </w:r>
          </w:p>
          <w:p w14:paraId="4313966B">
            <w:pPr>
              <w:rPr>
                <w:rFonts w:hint="eastAsia" w:ascii="仿宋" w:hAnsi="仿宋" w:eastAsia="仿宋" w:cs="仿宋"/>
                <w:color w:val="auto"/>
                <w:highlight w:val="none"/>
              </w:rPr>
            </w:pPr>
            <w:r>
              <w:rPr>
                <w:rFonts w:hint="eastAsia" w:ascii="仿宋" w:hAnsi="仿宋" w:eastAsia="仿宋" w:cs="仿宋"/>
                <w:color w:val="auto"/>
                <w:highlight w:val="none"/>
              </w:rPr>
              <w:t xml:space="preserve">                                      年     月    日</w:t>
            </w:r>
          </w:p>
        </w:tc>
      </w:tr>
    </w:tbl>
    <w:p w14:paraId="786B02AB">
      <w:pPr>
        <w:snapToGrid w:val="0"/>
        <w:spacing w:line="360" w:lineRule="auto"/>
        <w:rPr>
          <w:rFonts w:hint="eastAsia" w:ascii="仿宋" w:hAnsi="仿宋" w:eastAsia="仿宋" w:cs="仿宋"/>
          <w:color w:val="auto"/>
          <w:sz w:val="24"/>
          <w:highlight w:val="none"/>
        </w:rPr>
      </w:pPr>
    </w:p>
    <w:p w14:paraId="23A5A40D">
      <w:pPr>
        <w:pStyle w:val="27"/>
        <w:spacing w:line="360" w:lineRule="auto"/>
        <w:ind w:left="25" w:leftChars="12" w:firstLine="295" w:firstLineChars="147"/>
        <w:rPr>
          <w:rFonts w:hint="eastAsia" w:ascii="仿宋" w:hAnsi="仿宋" w:eastAsia="仿宋" w:cs="仿宋"/>
          <w:b/>
          <w:color w:val="auto"/>
          <w:highlight w:val="none"/>
        </w:rPr>
      </w:pPr>
    </w:p>
    <w:p w14:paraId="26FE3F8E">
      <w:pPr>
        <w:rPr>
          <w:rFonts w:hint="eastAsia" w:ascii="仿宋" w:hAnsi="仿宋" w:eastAsia="仿宋" w:cs="仿宋"/>
          <w:color w:val="auto"/>
          <w:highlight w:val="none"/>
        </w:rPr>
      </w:pPr>
      <w:r>
        <w:rPr>
          <w:rFonts w:hint="eastAsia" w:ascii="仿宋" w:hAnsi="仿宋" w:eastAsia="仿宋" w:cs="仿宋"/>
          <w:color w:val="auto"/>
          <w:highlight w:val="none"/>
        </w:rPr>
        <w:br w:type="page"/>
      </w:r>
    </w:p>
    <w:p w14:paraId="7B1ED5F9">
      <w:pPr>
        <w:pStyle w:val="3"/>
        <w:keepNext w:val="0"/>
        <w:keepLines w:val="0"/>
        <w:pageBreakBefore/>
        <w:spacing w:before="0" w:after="0" w:line="360" w:lineRule="auto"/>
        <w:jc w:val="center"/>
        <w:textAlignment w:val="center"/>
        <w:rPr>
          <w:rFonts w:hint="eastAsia" w:ascii="仿宋" w:hAnsi="仿宋" w:eastAsia="仿宋" w:cs="仿宋"/>
          <w:color w:val="auto"/>
          <w:highlight w:val="none"/>
        </w:rPr>
      </w:pPr>
      <w:r>
        <w:rPr>
          <w:rFonts w:hint="eastAsia" w:ascii="仿宋" w:hAnsi="仿宋" w:eastAsia="仿宋" w:cs="仿宋"/>
          <w:color w:val="auto"/>
          <w:highlight w:val="none"/>
        </w:rPr>
        <w:t>第六章　投标文件格式</w:t>
      </w:r>
      <w:bookmarkEnd w:id="163"/>
    </w:p>
    <w:p w14:paraId="692E2359">
      <w:pPr>
        <w:rPr>
          <w:rFonts w:hint="eastAsia" w:ascii="仿宋" w:hAnsi="仿宋" w:eastAsia="仿宋" w:cs="仿宋"/>
          <w:b/>
          <w:color w:val="auto"/>
          <w:sz w:val="28"/>
          <w:szCs w:val="28"/>
          <w:highlight w:val="none"/>
        </w:rPr>
      </w:pPr>
      <w:bookmarkStart w:id="164" w:name="_Toc19686836"/>
      <w:bookmarkStart w:id="165" w:name="_Toc254970557"/>
      <w:bookmarkStart w:id="166" w:name="_Toc254970698"/>
      <w:r>
        <w:rPr>
          <w:rFonts w:hint="eastAsia" w:ascii="仿宋" w:hAnsi="仿宋" w:eastAsia="仿宋" w:cs="仿宋"/>
          <w:b/>
          <w:color w:val="auto"/>
          <w:sz w:val="28"/>
          <w:szCs w:val="28"/>
          <w:highlight w:val="none"/>
        </w:rPr>
        <w:t>一、报价文件格式</w:t>
      </w:r>
      <w:bookmarkEnd w:id="164"/>
    </w:p>
    <w:p w14:paraId="1773AA87">
      <w:pPr>
        <w:snapToGrid w:val="0"/>
        <w:spacing w:before="120" w:beforeLines="50" w:after="50" w:line="360" w:lineRule="auto"/>
        <w:ind w:left="142"/>
        <w:jc w:val="left"/>
        <w:rPr>
          <w:rFonts w:hint="eastAsia" w:ascii="仿宋" w:hAnsi="仿宋" w:eastAsia="仿宋" w:cs="仿宋"/>
          <w:color w:val="auto"/>
          <w:sz w:val="24"/>
          <w:szCs w:val="20"/>
          <w:highlight w:val="none"/>
        </w:rPr>
      </w:pPr>
      <w:r>
        <w:rPr>
          <w:rFonts w:hint="eastAsia" w:ascii="仿宋" w:hAnsi="仿宋" w:eastAsia="仿宋" w:cs="仿宋"/>
          <w:b/>
          <w:color w:val="auto"/>
          <w:sz w:val="24"/>
          <w:highlight w:val="none"/>
        </w:rPr>
        <w:t xml:space="preserve">1. 报价文件封面格式： </w:t>
      </w:r>
    </w:p>
    <w:p w14:paraId="63A6A08E">
      <w:pPr>
        <w:snapToGrid w:val="0"/>
        <w:spacing w:before="120" w:beforeLines="50" w:after="50" w:line="400" w:lineRule="exact"/>
        <w:rPr>
          <w:rFonts w:hint="eastAsia" w:ascii="仿宋" w:hAnsi="仿宋" w:eastAsia="仿宋" w:cs="仿宋"/>
          <w:bCs/>
          <w:color w:val="auto"/>
          <w:sz w:val="32"/>
          <w:szCs w:val="20"/>
          <w:highlight w:val="none"/>
        </w:rPr>
      </w:pPr>
    </w:p>
    <w:p w14:paraId="1CE06E7B">
      <w:pPr>
        <w:snapToGrid w:val="0"/>
        <w:spacing w:before="120" w:beforeLines="50" w:after="50" w:line="400" w:lineRule="exact"/>
        <w:jc w:val="center"/>
        <w:rPr>
          <w:rFonts w:hint="eastAsia" w:ascii="仿宋" w:hAnsi="仿宋" w:eastAsia="仿宋" w:cs="仿宋"/>
          <w:bCs/>
          <w:color w:val="auto"/>
          <w:sz w:val="24"/>
          <w:szCs w:val="20"/>
          <w:highlight w:val="none"/>
        </w:rPr>
      </w:pPr>
    </w:p>
    <w:p w14:paraId="44E2F8B5">
      <w:pPr>
        <w:snapToGrid w:val="0"/>
        <w:spacing w:before="120" w:beforeLines="50" w:after="50"/>
        <w:jc w:val="center"/>
        <w:rPr>
          <w:rFonts w:hint="eastAsia" w:ascii="仿宋" w:hAnsi="仿宋" w:eastAsia="仿宋" w:cs="仿宋"/>
          <w:color w:val="auto"/>
          <w:sz w:val="84"/>
          <w:szCs w:val="84"/>
          <w:highlight w:val="none"/>
        </w:rPr>
      </w:pPr>
      <w:r>
        <w:rPr>
          <w:rFonts w:hint="eastAsia" w:ascii="仿宋" w:hAnsi="仿宋" w:eastAsia="仿宋" w:cs="仿宋"/>
          <w:color w:val="auto"/>
          <w:sz w:val="84"/>
          <w:szCs w:val="84"/>
          <w:highlight w:val="none"/>
        </w:rPr>
        <w:t>投  标  文  件</w:t>
      </w:r>
    </w:p>
    <w:p w14:paraId="1C99400E">
      <w:pPr>
        <w:snapToGrid w:val="0"/>
        <w:spacing w:before="120" w:beforeLines="50" w:after="50" w:line="400" w:lineRule="exact"/>
        <w:jc w:val="center"/>
        <w:rPr>
          <w:rFonts w:hint="eastAsia" w:ascii="仿宋" w:hAnsi="仿宋" w:eastAsia="仿宋" w:cs="仿宋"/>
          <w:bCs/>
          <w:color w:val="auto"/>
          <w:sz w:val="32"/>
          <w:szCs w:val="32"/>
          <w:highlight w:val="none"/>
        </w:rPr>
      </w:pPr>
    </w:p>
    <w:p w14:paraId="18C544CB">
      <w:pPr>
        <w:snapToGrid w:val="0"/>
        <w:spacing w:before="120" w:beforeLines="50" w:after="50" w:line="400" w:lineRule="exact"/>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报  价  文  件</w:t>
      </w:r>
    </w:p>
    <w:p w14:paraId="56EB7C50">
      <w:pPr>
        <w:snapToGrid w:val="0"/>
        <w:spacing w:before="120" w:beforeLines="50" w:after="50" w:line="400" w:lineRule="exact"/>
        <w:rPr>
          <w:rFonts w:hint="eastAsia" w:ascii="仿宋" w:hAnsi="仿宋" w:eastAsia="仿宋" w:cs="仿宋"/>
          <w:bCs/>
          <w:color w:val="auto"/>
          <w:sz w:val="24"/>
          <w:szCs w:val="20"/>
          <w:highlight w:val="none"/>
        </w:rPr>
      </w:pPr>
    </w:p>
    <w:p w14:paraId="29734F73">
      <w:pPr>
        <w:snapToGrid w:val="0"/>
        <w:spacing w:before="120" w:beforeLines="50" w:after="50" w:line="400" w:lineRule="exact"/>
        <w:rPr>
          <w:rFonts w:hint="eastAsia" w:ascii="仿宋" w:hAnsi="仿宋" w:eastAsia="仿宋" w:cs="仿宋"/>
          <w:bCs/>
          <w:color w:val="auto"/>
          <w:sz w:val="24"/>
          <w:szCs w:val="20"/>
          <w:highlight w:val="none"/>
        </w:rPr>
      </w:pPr>
    </w:p>
    <w:p w14:paraId="5415959C">
      <w:pPr>
        <w:snapToGrid w:val="0"/>
        <w:spacing w:before="120" w:beforeLines="50" w:after="50" w:line="400" w:lineRule="exact"/>
        <w:rPr>
          <w:rFonts w:hint="eastAsia" w:ascii="仿宋" w:hAnsi="仿宋" w:eastAsia="仿宋" w:cs="仿宋"/>
          <w:bCs/>
          <w:color w:val="auto"/>
          <w:sz w:val="24"/>
          <w:szCs w:val="20"/>
          <w:highlight w:val="none"/>
        </w:rPr>
      </w:pPr>
    </w:p>
    <w:p w14:paraId="3157D25C">
      <w:pPr>
        <w:snapToGrid w:val="0"/>
        <w:spacing w:before="120" w:beforeLines="50" w:after="50" w:line="400" w:lineRule="exact"/>
        <w:rPr>
          <w:rFonts w:hint="eastAsia" w:ascii="仿宋" w:hAnsi="仿宋" w:eastAsia="仿宋" w:cs="仿宋"/>
          <w:bCs/>
          <w:color w:val="auto"/>
          <w:sz w:val="24"/>
          <w:szCs w:val="20"/>
          <w:highlight w:val="none"/>
        </w:rPr>
      </w:pPr>
    </w:p>
    <w:p w14:paraId="56A3F3D4">
      <w:pPr>
        <w:snapToGrid w:val="0"/>
        <w:spacing w:before="120" w:beforeLines="50" w:after="50" w:line="400" w:lineRule="exact"/>
        <w:ind w:firstLine="360" w:firstLineChars="15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项目名称： </w:t>
      </w:r>
    </w:p>
    <w:p w14:paraId="5F0CD7AB">
      <w:pPr>
        <w:snapToGrid w:val="0"/>
        <w:spacing w:before="120" w:beforeLines="50" w:after="50" w:line="400" w:lineRule="exact"/>
        <w:ind w:firstLine="360" w:firstLineChars="150"/>
        <w:rPr>
          <w:rFonts w:hint="eastAsia" w:ascii="仿宋" w:hAnsi="仿宋" w:eastAsia="仿宋" w:cs="仿宋"/>
          <w:bCs/>
          <w:color w:val="auto"/>
          <w:sz w:val="24"/>
          <w:highlight w:val="none"/>
        </w:rPr>
      </w:pPr>
    </w:p>
    <w:p w14:paraId="4CFF9C90">
      <w:pPr>
        <w:snapToGrid w:val="0"/>
        <w:spacing w:before="120" w:beforeLines="50" w:after="50" w:line="400" w:lineRule="exact"/>
        <w:ind w:firstLine="360" w:firstLineChars="15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项目编号： </w:t>
      </w:r>
    </w:p>
    <w:p w14:paraId="46F2CD48">
      <w:pPr>
        <w:snapToGrid w:val="0"/>
        <w:spacing w:before="120" w:beforeLines="50" w:after="50" w:line="400" w:lineRule="exact"/>
        <w:ind w:firstLine="360" w:firstLineChars="150"/>
        <w:rPr>
          <w:rFonts w:hint="eastAsia" w:ascii="仿宋" w:hAnsi="仿宋" w:eastAsia="仿宋" w:cs="仿宋"/>
          <w:bCs/>
          <w:color w:val="auto"/>
          <w:sz w:val="24"/>
          <w:highlight w:val="none"/>
        </w:rPr>
      </w:pPr>
    </w:p>
    <w:p w14:paraId="4493B29E">
      <w:pPr>
        <w:snapToGrid w:val="0"/>
        <w:spacing w:before="120" w:beforeLines="50" w:after="50" w:line="400" w:lineRule="exact"/>
        <w:ind w:firstLine="360" w:firstLineChars="15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投标人名称：</w:t>
      </w:r>
    </w:p>
    <w:p w14:paraId="19D85D86">
      <w:pPr>
        <w:snapToGrid w:val="0"/>
        <w:spacing w:before="120" w:beforeLines="50" w:after="50" w:line="400" w:lineRule="exact"/>
        <w:ind w:firstLine="360" w:firstLineChars="150"/>
        <w:rPr>
          <w:rFonts w:hint="eastAsia" w:ascii="仿宋" w:hAnsi="仿宋" w:eastAsia="仿宋" w:cs="仿宋"/>
          <w:bCs/>
          <w:color w:val="auto"/>
          <w:sz w:val="24"/>
          <w:highlight w:val="none"/>
        </w:rPr>
      </w:pPr>
    </w:p>
    <w:p w14:paraId="132C3460">
      <w:pPr>
        <w:snapToGrid w:val="0"/>
        <w:spacing w:before="120" w:beforeLines="50" w:after="50" w:line="400" w:lineRule="exact"/>
        <w:ind w:firstLine="360" w:firstLineChars="15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投标人地址：</w:t>
      </w:r>
    </w:p>
    <w:p w14:paraId="3179B711">
      <w:pPr>
        <w:pStyle w:val="8"/>
        <w:snapToGrid w:val="0"/>
        <w:spacing w:before="50" w:after="50" w:line="400" w:lineRule="exact"/>
        <w:ind w:firstLine="960" w:firstLineChars="400"/>
        <w:rPr>
          <w:rFonts w:hint="eastAsia" w:ascii="仿宋" w:hAnsi="仿宋" w:eastAsia="仿宋" w:cs="仿宋"/>
          <w:bCs/>
          <w:color w:val="auto"/>
          <w:sz w:val="24"/>
          <w:szCs w:val="24"/>
          <w:highlight w:val="none"/>
        </w:rPr>
      </w:pPr>
    </w:p>
    <w:p w14:paraId="549F158E">
      <w:pPr>
        <w:snapToGrid w:val="0"/>
        <w:spacing w:before="120" w:beforeLines="50" w:after="50" w:line="400" w:lineRule="exact"/>
        <w:rPr>
          <w:rFonts w:hint="eastAsia" w:ascii="仿宋" w:hAnsi="仿宋" w:eastAsia="仿宋" w:cs="仿宋"/>
          <w:color w:val="auto"/>
          <w:sz w:val="30"/>
          <w:szCs w:val="20"/>
          <w:highlight w:val="none"/>
        </w:rPr>
      </w:pPr>
      <w:r>
        <w:rPr>
          <w:rFonts w:hint="eastAsia" w:ascii="仿宋" w:hAnsi="仿宋" w:eastAsia="仿宋" w:cs="仿宋"/>
          <w:color w:val="auto"/>
          <w:sz w:val="24"/>
          <w:highlight w:val="none"/>
        </w:rPr>
        <w:t xml:space="preserve">                                   年  月  日</w:t>
      </w:r>
    </w:p>
    <w:p w14:paraId="0C8F19C6">
      <w:pPr>
        <w:snapToGrid w:val="0"/>
        <w:spacing w:before="120" w:beforeLines="50" w:after="50" w:line="360" w:lineRule="auto"/>
        <w:jc w:val="left"/>
        <w:rPr>
          <w:rFonts w:hint="eastAsia" w:ascii="仿宋" w:hAnsi="仿宋" w:eastAsia="仿宋" w:cs="仿宋"/>
          <w:color w:val="auto"/>
          <w:sz w:val="24"/>
          <w:szCs w:val="20"/>
          <w:highlight w:val="none"/>
        </w:rPr>
      </w:pPr>
      <w:r>
        <w:rPr>
          <w:rFonts w:hint="eastAsia" w:ascii="仿宋" w:hAnsi="仿宋" w:eastAsia="仿宋" w:cs="仿宋"/>
          <w:b/>
          <w:color w:val="auto"/>
          <w:sz w:val="24"/>
          <w:highlight w:val="none"/>
        </w:rPr>
        <w:br w:type="page"/>
      </w:r>
      <w:r>
        <w:rPr>
          <w:rFonts w:hint="eastAsia" w:ascii="仿宋" w:hAnsi="仿宋" w:eastAsia="仿宋" w:cs="仿宋"/>
          <w:b/>
          <w:color w:val="auto"/>
          <w:sz w:val="24"/>
          <w:highlight w:val="none"/>
        </w:rPr>
        <w:t>2.</w:t>
      </w:r>
      <w:r>
        <w:rPr>
          <w:rFonts w:hint="eastAsia" w:ascii="仿宋" w:hAnsi="仿宋" w:eastAsia="仿宋" w:cs="仿宋"/>
          <w:b/>
          <w:bCs/>
          <w:color w:val="auto"/>
          <w:sz w:val="24"/>
          <w:highlight w:val="none"/>
        </w:rPr>
        <w:t>报价文件目录</w:t>
      </w:r>
    </w:p>
    <w:p w14:paraId="3A02EA17">
      <w:pPr>
        <w:snapToGrid w:val="0"/>
        <w:spacing w:before="50" w:after="120" w:afterLines="50" w:line="360" w:lineRule="auto"/>
        <w:jc w:val="left"/>
        <w:rPr>
          <w:rFonts w:hint="eastAsia" w:ascii="仿宋" w:hAnsi="仿宋" w:eastAsia="仿宋" w:cs="仿宋"/>
          <w:b/>
          <w:color w:val="auto"/>
          <w:sz w:val="24"/>
          <w:highlight w:val="none"/>
        </w:rPr>
      </w:pPr>
      <w:r>
        <w:rPr>
          <w:rFonts w:hint="eastAsia" w:ascii="仿宋" w:hAnsi="仿宋" w:eastAsia="仿宋" w:cs="仿宋"/>
          <w:color w:val="auto"/>
          <w:sz w:val="24"/>
          <w:highlight w:val="none"/>
        </w:rPr>
        <w:t>根据招标文件规定及投标人提供的材料自行编写目录。</w:t>
      </w:r>
    </w:p>
    <w:p w14:paraId="425E7E66">
      <w:pPr>
        <w:snapToGrid w:val="0"/>
        <w:spacing w:before="120" w:beforeLines="50" w:after="50"/>
        <w:rPr>
          <w:rFonts w:hint="eastAsia" w:ascii="仿宋" w:hAnsi="仿宋" w:eastAsia="仿宋" w:cs="仿宋"/>
          <w:b/>
          <w:color w:val="auto"/>
          <w:sz w:val="24"/>
          <w:highlight w:val="none"/>
        </w:rPr>
      </w:pPr>
    </w:p>
    <w:p w14:paraId="56AB7880">
      <w:pPr>
        <w:snapToGrid w:val="0"/>
        <w:spacing w:before="120" w:beforeLines="50" w:after="50"/>
        <w:rPr>
          <w:rFonts w:hint="eastAsia" w:ascii="仿宋" w:hAnsi="仿宋" w:eastAsia="仿宋" w:cs="仿宋"/>
          <w:b/>
          <w:color w:val="auto"/>
          <w:sz w:val="24"/>
          <w:highlight w:val="none"/>
        </w:rPr>
      </w:pPr>
    </w:p>
    <w:p w14:paraId="36CF1446">
      <w:pPr>
        <w:snapToGrid w:val="0"/>
        <w:spacing w:before="120" w:beforeLines="50" w:after="50"/>
        <w:rPr>
          <w:rFonts w:hint="eastAsia" w:ascii="仿宋" w:hAnsi="仿宋" w:eastAsia="仿宋" w:cs="仿宋"/>
          <w:b/>
          <w:color w:val="auto"/>
          <w:sz w:val="24"/>
          <w:highlight w:val="none"/>
        </w:rPr>
      </w:pPr>
    </w:p>
    <w:p w14:paraId="6E415C74">
      <w:pPr>
        <w:snapToGrid w:val="0"/>
        <w:spacing w:before="120" w:beforeLines="50" w:after="50"/>
        <w:ind w:left="142"/>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br w:type="page"/>
      </w:r>
      <w:r>
        <w:rPr>
          <w:rFonts w:hint="eastAsia" w:ascii="仿宋" w:hAnsi="仿宋" w:eastAsia="仿宋" w:cs="仿宋"/>
          <w:b/>
          <w:color w:val="auto"/>
          <w:sz w:val="24"/>
          <w:highlight w:val="none"/>
        </w:rPr>
        <w:t>3. 投标函格式：</w:t>
      </w:r>
    </w:p>
    <w:p w14:paraId="2695473E">
      <w:pPr>
        <w:snapToGrid w:val="0"/>
        <w:spacing w:before="120" w:beforeLines="50" w:after="50" w:line="360" w:lineRule="auto"/>
        <w:jc w:val="center"/>
        <w:rPr>
          <w:rFonts w:hint="eastAsia" w:ascii="仿宋" w:hAnsi="仿宋" w:eastAsia="仿宋" w:cs="仿宋"/>
          <w:bCs/>
          <w:color w:val="auto"/>
          <w:sz w:val="44"/>
          <w:szCs w:val="44"/>
          <w:highlight w:val="none"/>
        </w:rPr>
      </w:pPr>
      <w:r>
        <w:rPr>
          <w:rFonts w:hint="eastAsia" w:ascii="仿宋" w:hAnsi="仿宋" w:eastAsia="仿宋" w:cs="仿宋"/>
          <w:bCs/>
          <w:color w:val="auto"/>
          <w:sz w:val="44"/>
          <w:szCs w:val="44"/>
          <w:highlight w:val="none"/>
        </w:rPr>
        <w:t>投 标 函</w:t>
      </w:r>
    </w:p>
    <w:p w14:paraId="195AE5F0">
      <w:pPr>
        <w:keepNext w:val="0"/>
        <w:keepLines w:val="0"/>
        <w:pageBreakBefore w:val="0"/>
        <w:widowControl w:val="0"/>
        <w:kinsoku/>
        <w:wordWrap/>
        <w:overflowPunct/>
        <w:topLinePunct w:val="0"/>
        <w:autoSpaceDE/>
        <w:autoSpaceDN/>
        <w:bidi w:val="0"/>
        <w:adjustRightInd/>
        <w:snapToGrid/>
        <w:spacing w:line="420" w:lineRule="exact"/>
        <w:contextualSpacing/>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致：</w:t>
      </w:r>
      <w:r>
        <w:rPr>
          <w:rFonts w:hint="eastAsia" w:ascii="仿宋" w:hAnsi="仿宋" w:eastAsia="仿宋" w:cs="仿宋"/>
          <w:color w:val="auto"/>
          <w:sz w:val="24"/>
          <w:highlight w:val="none"/>
          <w:u w:val="single"/>
        </w:rPr>
        <w:t xml:space="preserve">采购人名称 </w:t>
      </w:r>
    </w:p>
    <w:p w14:paraId="70DEE077">
      <w:pPr>
        <w:keepNext w:val="0"/>
        <w:keepLines w:val="0"/>
        <w:pageBreakBefore w:val="0"/>
        <w:widowControl w:val="0"/>
        <w:kinsoku/>
        <w:wordWrap/>
        <w:overflowPunct/>
        <w:topLinePunct w:val="0"/>
        <w:autoSpaceDE/>
        <w:autoSpaceDN/>
        <w:bidi w:val="0"/>
        <w:adjustRightInd/>
        <w:snapToGrid/>
        <w:spacing w:line="420" w:lineRule="exact"/>
        <w:ind w:firstLine="480"/>
        <w:contextualSpacing/>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根据贵方</w:t>
      </w:r>
      <w:r>
        <w:rPr>
          <w:rFonts w:hint="eastAsia" w:ascii="仿宋" w:hAnsi="仿宋" w:eastAsia="仿宋" w:cs="仿宋"/>
          <w:color w:val="auto"/>
          <w:sz w:val="24"/>
          <w:highlight w:val="none"/>
          <w:u w:val="single"/>
        </w:rPr>
        <w:t xml:space="preserve"> （项目名称） </w:t>
      </w:r>
      <w:r>
        <w:rPr>
          <w:rFonts w:hint="eastAsia" w:ascii="仿宋" w:hAnsi="仿宋" w:eastAsia="仿宋" w:cs="仿宋"/>
          <w:color w:val="auto"/>
          <w:sz w:val="24"/>
          <w:highlight w:val="none"/>
        </w:rPr>
        <w:t>（项目编号：</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）的招标公告，签字代表______（姓名）经正式授权并代表投标人（投标人名称）提交投标文件。</w:t>
      </w:r>
    </w:p>
    <w:p w14:paraId="52059183">
      <w:pPr>
        <w:keepNext w:val="0"/>
        <w:keepLines w:val="0"/>
        <w:pageBreakBefore w:val="0"/>
        <w:widowControl w:val="0"/>
        <w:kinsoku/>
        <w:wordWrap/>
        <w:overflowPunct/>
        <w:topLinePunct w:val="0"/>
        <w:autoSpaceDE/>
        <w:autoSpaceDN/>
        <w:bidi w:val="0"/>
        <w:adjustRightInd/>
        <w:snapToGrid/>
        <w:spacing w:line="420" w:lineRule="exact"/>
        <w:ind w:firstLine="480" w:firstLineChars="200"/>
        <w:contextualSpacing/>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据此函，我方宣布同意如下：</w:t>
      </w:r>
    </w:p>
    <w:p w14:paraId="08D59F2A">
      <w:pPr>
        <w:keepNext w:val="0"/>
        <w:keepLines w:val="0"/>
        <w:pageBreakBefore w:val="0"/>
        <w:widowControl w:val="0"/>
        <w:kinsoku/>
        <w:wordWrap/>
        <w:overflowPunct/>
        <w:topLinePunct w:val="0"/>
        <w:autoSpaceDE/>
        <w:autoSpaceDN/>
        <w:bidi w:val="0"/>
        <w:adjustRightInd/>
        <w:snapToGrid/>
        <w:spacing w:line="420" w:lineRule="exact"/>
        <w:ind w:firstLine="480" w:firstLineChars="200"/>
        <w:contextualSpacing/>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1.我方已详细审查全部“招标文件”，包括修改文件（如有的话）以及全部参考资料和有关附件，已经了解我方对于招标文件、采购过程、采购结果有依法进行询问、质疑、投诉的权利及相关渠道和要求。</w:t>
      </w:r>
    </w:p>
    <w:p w14:paraId="2C2C8E81">
      <w:pPr>
        <w:keepNext w:val="0"/>
        <w:keepLines w:val="0"/>
        <w:pageBreakBefore w:val="0"/>
        <w:widowControl w:val="0"/>
        <w:kinsoku/>
        <w:wordWrap/>
        <w:overflowPunct/>
        <w:topLinePunct w:val="0"/>
        <w:autoSpaceDE/>
        <w:autoSpaceDN/>
        <w:bidi w:val="0"/>
        <w:adjustRightInd/>
        <w:snapToGrid/>
        <w:spacing w:line="420" w:lineRule="exact"/>
        <w:ind w:firstLine="480" w:firstLineChars="200"/>
        <w:contextualSpacing/>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2.我方在投标之前已经完全理解并接受招标文件的各项规定和要求，对招标文件的合理性、合法性不再有异议。</w:t>
      </w:r>
    </w:p>
    <w:p w14:paraId="7161B89E">
      <w:pPr>
        <w:keepNext w:val="0"/>
        <w:keepLines w:val="0"/>
        <w:pageBreakBefore w:val="0"/>
        <w:widowControl w:val="0"/>
        <w:kinsoku/>
        <w:wordWrap/>
        <w:overflowPunct/>
        <w:topLinePunct w:val="0"/>
        <w:autoSpaceDE/>
        <w:autoSpaceDN/>
        <w:bidi w:val="0"/>
        <w:adjustRightInd/>
        <w:snapToGrid/>
        <w:spacing w:line="420" w:lineRule="exact"/>
        <w:ind w:firstLine="480" w:firstLineChars="200"/>
        <w:contextualSpacing/>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3.本投标有效期自投标截止之日起</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日。</w:t>
      </w:r>
    </w:p>
    <w:p w14:paraId="3F2D4952">
      <w:pPr>
        <w:keepNext w:val="0"/>
        <w:keepLines w:val="0"/>
        <w:pageBreakBefore w:val="0"/>
        <w:widowControl w:val="0"/>
        <w:kinsoku/>
        <w:wordWrap/>
        <w:overflowPunct/>
        <w:topLinePunct w:val="0"/>
        <w:autoSpaceDE/>
        <w:autoSpaceDN/>
        <w:bidi w:val="0"/>
        <w:adjustRightInd/>
        <w:snapToGrid/>
        <w:spacing w:line="420" w:lineRule="exact"/>
        <w:ind w:firstLine="480" w:firstLineChars="200"/>
        <w:contextualSpacing/>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4.如中标，本投标文件至本项目合同履行完毕止均保持有效，我方将按“招标文件”及政府采购法律、法规的规定履行合同责任和义务。</w:t>
      </w:r>
    </w:p>
    <w:p w14:paraId="5644839A">
      <w:pPr>
        <w:keepNext w:val="0"/>
        <w:keepLines w:val="0"/>
        <w:pageBreakBefore w:val="0"/>
        <w:widowControl w:val="0"/>
        <w:kinsoku/>
        <w:wordWrap/>
        <w:overflowPunct/>
        <w:topLinePunct w:val="0"/>
        <w:autoSpaceDE/>
        <w:autoSpaceDN/>
        <w:bidi w:val="0"/>
        <w:adjustRightInd/>
        <w:snapToGrid/>
        <w:spacing w:line="420" w:lineRule="exact"/>
        <w:ind w:firstLine="480" w:firstLineChars="200"/>
        <w:contextualSpacing/>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5.我方同意按照贵方要求提供与投标有关的一切数据或者资料。</w:t>
      </w:r>
    </w:p>
    <w:p w14:paraId="4E3CAB33">
      <w:pPr>
        <w:keepNext w:val="0"/>
        <w:keepLines w:val="0"/>
        <w:pageBreakBefore w:val="0"/>
        <w:widowControl w:val="0"/>
        <w:kinsoku/>
        <w:wordWrap/>
        <w:overflowPunct/>
        <w:topLinePunct w:val="0"/>
        <w:autoSpaceDE/>
        <w:autoSpaceDN/>
        <w:bidi w:val="0"/>
        <w:adjustRightInd/>
        <w:snapToGrid/>
        <w:spacing w:line="420" w:lineRule="exact"/>
        <w:ind w:firstLine="480" w:firstLineChars="200"/>
        <w:contextualSpacing/>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6.我方向贵方提交的所有投标文件、资料都是准确的和真实的。</w:t>
      </w:r>
    </w:p>
    <w:p w14:paraId="184B0A39">
      <w:pPr>
        <w:keepNext w:val="0"/>
        <w:keepLines w:val="0"/>
        <w:pageBreakBefore w:val="0"/>
        <w:widowControl w:val="0"/>
        <w:kinsoku/>
        <w:wordWrap/>
        <w:overflowPunct/>
        <w:topLinePunct w:val="0"/>
        <w:autoSpaceDE/>
        <w:autoSpaceDN/>
        <w:bidi w:val="0"/>
        <w:adjustRightInd/>
        <w:snapToGrid/>
        <w:spacing w:line="420" w:lineRule="exact"/>
        <w:ind w:firstLine="480" w:firstLineChars="200"/>
        <w:contextualSpacing/>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7.以上事项如有虚假或者隐瞒，我方愿意承担一切后果，并不再寻求任何旨在减轻或者免除法律责任的辩解。</w:t>
      </w:r>
    </w:p>
    <w:p w14:paraId="30ED30C9">
      <w:pPr>
        <w:keepNext w:val="0"/>
        <w:keepLines w:val="0"/>
        <w:pageBreakBefore w:val="0"/>
        <w:widowControl w:val="0"/>
        <w:kinsoku/>
        <w:wordWrap/>
        <w:overflowPunct/>
        <w:topLinePunct w:val="0"/>
        <w:autoSpaceDE/>
        <w:autoSpaceDN/>
        <w:bidi w:val="0"/>
        <w:adjustRightInd/>
        <w:snapToGrid/>
        <w:spacing w:line="420" w:lineRule="exact"/>
        <w:ind w:firstLine="480" w:firstLineChars="200"/>
        <w:contextualSpacing/>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8.根据《中华人民共和国政府采购法实施条例》第五十条要求对政府采购合同进行公告，但政府采购合同中涉及国家秘密、商业秘密的内容除外。我方就对本次投标文件进行注明如下：（两项内容中必须选择一项）</w:t>
      </w:r>
    </w:p>
    <w:p w14:paraId="7CB6799B">
      <w:pPr>
        <w:keepNext w:val="0"/>
        <w:keepLines w:val="0"/>
        <w:pageBreakBefore w:val="0"/>
        <w:widowControl w:val="0"/>
        <w:kinsoku/>
        <w:wordWrap/>
        <w:overflowPunct/>
        <w:topLinePunct w:val="0"/>
        <w:autoSpaceDE/>
        <w:autoSpaceDN/>
        <w:bidi w:val="0"/>
        <w:adjustRightInd/>
        <w:snapToGrid/>
        <w:spacing w:line="420" w:lineRule="exact"/>
        <w:ind w:firstLine="480" w:firstLineChars="200"/>
        <w:contextualSpacing/>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□我方本次投标文件</w:t>
      </w:r>
      <w:r>
        <w:rPr>
          <w:rFonts w:hint="eastAsia" w:ascii="仿宋" w:hAnsi="仿宋" w:eastAsia="仿宋" w:cs="仿宋"/>
          <w:color w:val="auto"/>
          <w:kern w:val="0"/>
          <w:sz w:val="24"/>
          <w:highlight w:val="none"/>
        </w:rPr>
        <w:t>内容中</w:t>
      </w:r>
      <w:r>
        <w:rPr>
          <w:rFonts w:hint="eastAsia" w:ascii="仿宋" w:hAnsi="仿宋" w:eastAsia="仿宋" w:cs="仿宋"/>
          <w:color w:val="auto"/>
          <w:sz w:val="24"/>
          <w:highlight w:val="none"/>
        </w:rPr>
        <w:t>未</w:t>
      </w:r>
      <w:r>
        <w:rPr>
          <w:rFonts w:hint="eastAsia" w:ascii="仿宋" w:hAnsi="仿宋" w:eastAsia="仿宋" w:cs="仿宋"/>
          <w:color w:val="auto"/>
          <w:kern w:val="0"/>
          <w:sz w:val="24"/>
          <w:highlight w:val="none"/>
        </w:rPr>
        <w:t>涉及商业秘密；</w:t>
      </w:r>
    </w:p>
    <w:p w14:paraId="06869FF5">
      <w:pPr>
        <w:keepNext w:val="0"/>
        <w:keepLines w:val="0"/>
        <w:pageBreakBefore w:val="0"/>
        <w:widowControl w:val="0"/>
        <w:kinsoku/>
        <w:wordWrap/>
        <w:overflowPunct/>
        <w:topLinePunct w:val="0"/>
        <w:autoSpaceDE/>
        <w:autoSpaceDN/>
        <w:bidi w:val="0"/>
        <w:adjustRightInd/>
        <w:snapToGrid/>
        <w:spacing w:line="420" w:lineRule="exact"/>
        <w:ind w:firstLine="480" w:firstLineChars="200"/>
        <w:contextualSpacing/>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□我方本次投标文件</w:t>
      </w:r>
      <w:r>
        <w:rPr>
          <w:rFonts w:hint="eastAsia" w:ascii="仿宋" w:hAnsi="仿宋" w:eastAsia="仿宋" w:cs="仿宋"/>
          <w:color w:val="auto"/>
          <w:kern w:val="0"/>
          <w:sz w:val="24"/>
          <w:highlight w:val="none"/>
        </w:rPr>
        <w:t>涉及商业秘密的内容有：；</w:t>
      </w:r>
    </w:p>
    <w:p w14:paraId="6DE025C6">
      <w:pPr>
        <w:keepNext w:val="0"/>
        <w:keepLines w:val="0"/>
        <w:pageBreakBefore w:val="0"/>
        <w:widowControl w:val="0"/>
        <w:kinsoku/>
        <w:wordWrap/>
        <w:overflowPunct/>
        <w:topLinePunct w:val="0"/>
        <w:autoSpaceDE/>
        <w:autoSpaceDN/>
        <w:bidi w:val="0"/>
        <w:adjustRightInd/>
        <w:snapToGrid/>
        <w:spacing w:line="420" w:lineRule="exact"/>
        <w:ind w:firstLine="480" w:firstLineChars="200"/>
        <w:contextualSpacing/>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9.与本投标有关的一切正式往来信函请寄：</w:t>
      </w:r>
    </w:p>
    <w:p w14:paraId="7C756D91">
      <w:pPr>
        <w:keepNext w:val="0"/>
        <w:keepLines w:val="0"/>
        <w:pageBreakBefore w:val="0"/>
        <w:widowControl w:val="0"/>
        <w:kinsoku/>
        <w:wordWrap/>
        <w:overflowPunct/>
        <w:topLinePunct w:val="0"/>
        <w:autoSpaceDE/>
        <w:autoSpaceDN/>
        <w:bidi w:val="0"/>
        <w:adjustRightInd/>
        <w:snapToGrid/>
        <w:spacing w:line="420" w:lineRule="exact"/>
        <w:ind w:firstLine="480" w:firstLineChars="200"/>
        <w:contextualSpacing/>
        <w:textAlignment w:val="auto"/>
        <w:outlineLvl w:val="9"/>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地址：邮编：</w:t>
      </w:r>
    </w:p>
    <w:p w14:paraId="27093A3B">
      <w:pPr>
        <w:keepNext w:val="0"/>
        <w:keepLines w:val="0"/>
        <w:pageBreakBefore w:val="0"/>
        <w:widowControl w:val="0"/>
        <w:kinsoku/>
        <w:wordWrap/>
        <w:overflowPunct/>
        <w:topLinePunct w:val="0"/>
        <w:autoSpaceDE/>
        <w:autoSpaceDN/>
        <w:bidi w:val="0"/>
        <w:adjustRightInd/>
        <w:snapToGrid/>
        <w:spacing w:line="420" w:lineRule="exact"/>
        <w:ind w:firstLine="480" w:firstLineChars="200"/>
        <w:contextualSpacing/>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电话：传真：</w:t>
      </w:r>
    </w:p>
    <w:p w14:paraId="40EE0E02">
      <w:pPr>
        <w:keepNext w:val="0"/>
        <w:keepLines w:val="0"/>
        <w:pageBreakBefore w:val="0"/>
        <w:widowControl w:val="0"/>
        <w:kinsoku/>
        <w:wordWrap/>
        <w:overflowPunct/>
        <w:topLinePunct w:val="0"/>
        <w:autoSpaceDE/>
        <w:autoSpaceDN/>
        <w:bidi w:val="0"/>
        <w:adjustRightInd/>
        <w:snapToGrid/>
        <w:spacing w:line="420" w:lineRule="exact"/>
        <w:ind w:firstLine="480" w:firstLineChars="200"/>
        <w:contextualSpacing/>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w:t>
      </w:r>
    </w:p>
    <w:p w14:paraId="538ED336">
      <w:pPr>
        <w:keepNext w:val="0"/>
        <w:keepLines w:val="0"/>
        <w:pageBreakBefore w:val="0"/>
        <w:widowControl w:val="0"/>
        <w:kinsoku/>
        <w:wordWrap/>
        <w:overflowPunct/>
        <w:topLinePunct w:val="0"/>
        <w:autoSpaceDE/>
        <w:autoSpaceDN/>
        <w:bidi w:val="0"/>
        <w:adjustRightInd/>
        <w:snapToGrid/>
        <w:spacing w:line="420" w:lineRule="exact"/>
        <w:ind w:firstLine="480" w:firstLineChars="200"/>
        <w:contextualSpacing/>
        <w:jc w:val="left"/>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开户银行：</w:t>
      </w:r>
    </w:p>
    <w:p w14:paraId="5C48CFEB">
      <w:pPr>
        <w:keepNext w:val="0"/>
        <w:keepLines w:val="0"/>
        <w:pageBreakBefore w:val="0"/>
        <w:widowControl w:val="0"/>
        <w:kinsoku/>
        <w:wordWrap/>
        <w:overflowPunct/>
        <w:topLinePunct w:val="0"/>
        <w:autoSpaceDE/>
        <w:autoSpaceDN/>
        <w:bidi w:val="0"/>
        <w:adjustRightInd/>
        <w:snapToGrid/>
        <w:spacing w:line="420" w:lineRule="exact"/>
        <w:ind w:firstLine="480" w:firstLineChars="200"/>
        <w:contextualSpacing/>
        <w:jc w:val="left"/>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银行账号：</w:t>
      </w:r>
    </w:p>
    <w:p w14:paraId="0B0E16B5">
      <w:pPr>
        <w:pStyle w:val="27"/>
        <w:keepNext w:val="0"/>
        <w:keepLines w:val="0"/>
        <w:pageBreakBefore w:val="0"/>
        <w:widowControl w:val="0"/>
        <w:kinsoku/>
        <w:wordWrap/>
        <w:overflowPunct/>
        <w:topLinePunct w:val="0"/>
        <w:autoSpaceDE/>
        <w:autoSpaceDN/>
        <w:bidi w:val="0"/>
        <w:adjustRightInd/>
        <w:snapToGrid/>
        <w:spacing w:line="420" w:lineRule="exact"/>
        <w:ind w:firstLine="480" w:firstLineChars="200"/>
        <w:contextualSpacing/>
        <w:jc w:val="left"/>
        <w:textAlignment w:val="auto"/>
        <w:outlineLvl w:val="9"/>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法定代表人或者委托代理人[签字</w:t>
      </w:r>
      <w:r>
        <w:rPr>
          <w:rFonts w:hint="eastAsia" w:ascii="仿宋" w:hAnsi="仿宋" w:eastAsia="仿宋" w:cs="仿宋"/>
          <w:color w:val="auto"/>
          <w:sz w:val="24"/>
          <w:szCs w:val="24"/>
          <w:highlight w:val="none"/>
          <w:u w:val="none"/>
          <w:lang w:val="en-US" w:eastAsia="zh-CN"/>
        </w:rPr>
        <w:t>或</w:t>
      </w:r>
      <w:r>
        <w:rPr>
          <w:rFonts w:hint="eastAsia" w:ascii="仿宋" w:hAnsi="仿宋" w:eastAsia="仿宋" w:cs="仿宋"/>
          <w:color w:val="auto"/>
          <w:sz w:val="24"/>
          <w:szCs w:val="24"/>
          <w:highlight w:val="none"/>
          <w:u w:val="none"/>
        </w:rPr>
        <w:t xml:space="preserve">CA签章、自然人除外]:___________ </w:t>
      </w:r>
    </w:p>
    <w:p w14:paraId="113CA380">
      <w:pPr>
        <w:pStyle w:val="27"/>
        <w:keepNext w:val="0"/>
        <w:keepLines w:val="0"/>
        <w:pageBreakBefore w:val="0"/>
        <w:widowControl w:val="0"/>
        <w:kinsoku/>
        <w:wordWrap/>
        <w:overflowPunct/>
        <w:topLinePunct w:val="0"/>
        <w:autoSpaceDE/>
        <w:autoSpaceDN/>
        <w:bidi w:val="0"/>
        <w:adjustRightInd/>
        <w:snapToGrid/>
        <w:spacing w:line="420" w:lineRule="exact"/>
        <w:ind w:firstLine="480" w:firstLineChars="200"/>
        <w:contextualSpacing/>
        <w:jc w:val="left"/>
        <w:textAlignment w:val="auto"/>
        <w:outlineLvl w:val="9"/>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投标人[</w:t>
      </w:r>
      <w:r>
        <w:rPr>
          <w:rFonts w:hint="eastAsia" w:ascii="仿宋" w:hAnsi="仿宋" w:eastAsia="仿宋" w:cs="仿宋"/>
          <w:color w:val="auto"/>
          <w:sz w:val="24"/>
          <w:szCs w:val="24"/>
          <w:highlight w:val="none"/>
          <w:u w:val="none"/>
          <w:lang w:eastAsia="zh-CN"/>
        </w:rPr>
        <w:t>公章(或CA签章)</w:t>
      </w:r>
      <w:r>
        <w:rPr>
          <w:rFonts w:hint="eastAsia" w:ascii="仿宋" w:hAnsi="仿宋" w:eastAsia="仿宋" w:cs="仿宋"/>
          <w:color w:val="auto"/>
          <w:sz w:val="24"/>
          <w:szCs w:val="24"/>
          <w:highlight w:val="none"/>
          <w:u w:val="none"/>
        </w:rPr>
        <w:t>、自然人除外]：</w:t>
      </w:r>
    </w:p>
    <w:p w14:paraId="59B5B141">
      <w:pPr>
        <w:pStyle w:val="27"/>
        <w:keepNext w:val="0"/>
        <w:keepLines w:val="0"/>
        <w:pageBreakBefore w:val="0"/>
        <w:widowControl w:val="0"/>
        <w:kinsoku/>
        <w:wordWrap/>
        <w:overflowPunct/>
        <w:topLinePunct w:val="0"/>
        <w:autoSpaceDE/>
        <w:autoSpaceDN/>
        <w:bidi w:val="0"/>
        <w:adjustRightInd/>
        <w:snapToGrid/>
        <w:spacing w:line="420" w:lineRule="exact"/>
        <w:ind w:firstLine="480" w:firstLineChars="200"/>
        <w:contextualSpacing/>
        <w:textAlignment w:val="auto"/>
        <w:outlineLvl w:val="9"/>
        <w:rPr>
          <w:rFonts w:hint="eastAsia" w:ascii="仿宋" w:hAnsi="仿宋" w:eastAsia="仿宋" w:cs="仿宋"/>
          <w:color w:val="auto"/>
          <w:sz w:val="24"/>
          <w:szCs w:val="24"/>
          <w:highlight w:val="none"/>
          <w:u w:val="single"/>
        </w:rPr>
      </w:pPr>
    </w:p>
    <w:p w14:paraId="156500BC">
      <w:pPr>
        <w:pStyle w:val="27"/>
        <w:keepNext w:val="0"/>
        <w:keepLines w:val="0"/>
        <w:pageBreakBefore w:val="0"/>
        <w:widowControl w:val="0"/>
        <w:kinsoku/>
        <w:wordWrap/>
        <w:overflowPunct/>
        <w:topLinePunct w:val="0"/>
        <w:autoSpaceDE/>
        <w:autoSpaceDN/>
        <w:bidi w:val="0"/>
        <w:adjustRightInd/>
        <w:snapToGrid/>
        <w:spacing w:line="420" w:lineRule="exact"/>
        <w:ind w:firstLine="960" w:firstLineChars="400"/>
        <w:contextualSpacing/>
        <w:textAlignment w:val="auto"/>
        <w:outlineLvl w:val="9"/>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年   月   日</w:t>
      </w:r>
    </w:p>
    <w:p w14:paraId="43BA030B">
      <w:pPr>
        <w:snapToGrid w:val="0"/>
        <w:spacing w:before="120" w:beforeLines="50" w:after="50" w:line="440" w:lineRule="exact"/>
        <w:jc w:val="left"/>
        <w:rPr>
          <w:rFonts w:hint="eastAsia" w:ascii="仿宋" w:hAnsi="仿宋" w:eastAsia="仿宋" w:cs="仿宋"/>
          <w:b/>
          <w:color w:val="auto"/>
          <w:sz w:val="24"/>
          <w:szCs w:val="20"/>
          <w:highlight w:val="none"/>
        </w:rPr>
      </w:pPr>
      <w:r>
        <w:rPr>
          <w:rFonts w:hint="eastAsia" w:ascii="仿宋" w:hAnsi="仿宋" w:eastAsia="仿宋" w:cs="仿宋"/>
          <w:color w:val="auto"/>
          <w:highlight w:val="none"/>
          <w:u w:val="single"/>
        </w:rPr>
        <w:br w:type="page"/>
      </w:r>
      <w:r>
        <w:rPr>
          <w:rFonts w:hint="eastAsia" w:ascii="仿宋" w:hAnsi="仿宋" w:eastAsia="仿宋" w:cs="仿宋"/>
          <w:b/>
          <w:color w:val="auto"/>
          <w:sz w:val="24"/>
          <w:highlight w:val="none"/>
        </w:rPr>
        <w:t>4. 开标一览表格式</w:t>
      </w:r>
    </w:p>
    <w:p w14:paraId="5F7BACE1">
      <w:pPr>
        <w:snapToGrid w:val="0"/>
        <w:spacing w:before="50" w:after="50"/>
        <w:jc w:val="center"/>
        <w:rPr>
          <w:rFonts w:hint="eastAsia" w:ascii="仿宋" w:hAnsi="仿宋" w:eastAsia="仿宋" w:cs="仿宋"/>
          <w:b/>
          <w:color w:val="auto"/>
          <w:sz w:val="30"/>
          <w:highlight w:val="none"/>
        </w:rPr>
      </w:pPr>
      <w:r>
        <w:rPr>
          <w:rFonts w:hint="eastAsia" w:ascii="仿宋" w:hAnsi="仿宋" w:eastAsia="仿宋" w:cs="仿宋"/>
          <w:b/>
          <w:color w:val="auto"/>
          <w:sz w:val="30"/>
          <w:highlight w:val="none"/>
        </w:rPr>
        <w:t>开标一览表</w:t>
      </w:r>
    </w:p>
    <w:p w14:paraId="54F7FB2C">
      <w:pPr>
        <w:snapToGrid w:val="0"/>
        <w:spacing w:before="50" w:after="50"/>
        <w:jc w:val="center"/>
        <w:rPr>
          <w:rFonts w:hint="eastAsia" w:ascii="仿宋" w:hAnsi="仿宋" w:eastAsia="仿宋" w:cs="仿宋"/>
          <w:b/>
          <w:color w:val="auto"/>
          <w:sz w:val="30"/>
          <w:szCs w:val="20"/>
          <w:highlight w:val="none"/>
        </w:rPr>
      </w:pPr>
    </w:p>
    <w:p w14:paraId="1BF8D255">
      <w:pPr>
        <w:snapToGrid w:val="0"/>
        <w:spacing w:before="50" w:after="50"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项目名称：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项目编号：</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p w14:paraId="47A5F54D">
      <w:pPr>
        <w:snapToGrid w:val="0"/>
        <w:spacing w:before="50" w:after="50"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单位：元</w:t>
      </w:r>
    </w:p>
    <w:tbl>
      <w:tblPr>
        <w:tblStyle w:val="5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6"/>
        <w:gridCol w:w="2627"/>
        <w:gridCol w:w="809"/>
        <w:gridCol w:w="957"/>
        <w:gridCol w:w="957"/>
        <w:gridCol w:w="3130"/>
      </w:tblGrid>
      <w:tr w14:paraId="5A340A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756" w:type="dxa"/>
            <w:tcBorders>
              <w:top w:val="single" w:color="auto" w:sz="4" w:space="0"/>
              <w:left w:val="single" w:color="auto" w:sz="4" w:space="0"/>
              <w:bottom w:val="single" w:color="auto" w:sz="4" w:space="0"/>
              <w:right w:val="single" w:color="auto" w:sz="4" w:space="0"/>
            </w:tcBorders>
            <w:noWrap w:val="0"/>
            <w:vAlign w:val="center"/>
          </w:tcPr>
          <w:p w14:paraId="0640D013">
            <w:pPr>
              <w:snapToGrid w:val="0"/>
              <w:spacing w:before="50" w:after="50"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序号</w:t>
            </w:r>
          </w:p>
        </w:tc>
        <w:tc>
          <w:tcPr>
            <w:tcW w:w="2627" w:type="dxa"/>
            <w:tcBorders>
              <w:top w:val="single" w:color="auto" w:sz="4" w:space="0"/>
              <w:left w:val="single" w:color="auto" w:sz="4" w:space="0"/>
              <w:bottom w:val="single" w:color="auto" w:sz="4" w:space="0"/>
              <w:right w:val="single" w:color="auto" w:sz="4" w:space="0"/>
            </w:tcBorders>
            <w:noWrap w:val="0"/>
            <w:vAlign w:val="center"/>
          </w:tcPr>
          <w:p w14:paraId="7F3FAAC8">
            <w:pPr>
              <w:snapToGrid w:val="0"/>
              <w:spacing w:before="50" w:after="50"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标的的名称</w:t>
            </w:r>
          </w:p>
        </w:tc>
        <w:tc>
          <w:tcPr>
            <w:tcW w:w="809" w:type="dxa"/>
            <w:tcBorders>
              <w:top w:val="single" w:color="auto" w:sz="4" w:space="0"/>
              <w:left w:val="single" w:color="auto" w:sz="4" w:space="0"/>
              <w:bottom w:val="single" w:color="auto" w:sz="4" w:space="0"/>
              <w:right w:val="single" w:color="auto" w:sz="4" w:space="0"/>
            </w:tcBorders>
            <w:noWrap w:val="0"/>
            <w:vAlign w:val="center"/>
          </w:tcPr>
          <w:p w14:paraId="36A4C4FB">
            <w:pPr>
              <w:snapToGrid w:val="0"/>
              <w:spacing w:before="50" w:after="50"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品牌</w:t>
            </w:r>
          </w:p>
        </w:tc>
        <w:tc>
          <w:tcPr>
            <w:tcW w:w="957" w:type="dxa"/>
            <w:tcBorders>
              <w:top w:val="single" w:color="auto" w:sz="4" w:space="0"/>
              <w:left w:val="single" w:color="auto" w:sz="4" w:space="0"/>
              <w:bottom w:val="single" w:color="auto" w:sz="4" w:space="0"/>
              <w:right w:val="single" w:color="auto" w:sz="4" w:space="0"/>
            </w:tcBorders>
            <w:noWrap w:val="0"/>
            <w:vAlign w:val="center"/>
          </w:tcPr>
          <w:p w14:paraId="15E6C9F0">
            <w:pPr>
              <w:snapToGrid w:val="0"/>
              <w:spacing w:before="50" w:after="50"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数量及单位①</w:t>
            </w:r>
          </w:p>
        </w:tc>
        <w:tc>
          <w:tcPr>
            <w:tcW w:w="957" w:type="dxa"/>
            <w:tcBorders>
              <w:top w:val="single" w:color="auto" w:sz="4" w:space="0"/>
              <w:left w:val="single" w:color="auto" w:sz="4" w:space="0"/>
              <w:bottom w:val="single" w:color="auto" w:sz="4" w:space="0"/>
              <w:right w:val="single" w:color="auto" w:sz="4" w:space="0"/>
            </w:tcBorders>
            <w:noWrap w:val="0"/>
            <w:vAlign w:val="center"/>
          </w:tcPr>
          <w:p w14:paraId="5988DB31">
            <w:pPr>
              <w:snapToGrid w:val="0"/>
              <w:spacing w:before="50" w:after="50"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单价</w:t>
            </w:r>
          </w:p>
          <w:p w14:paraId="0CC3257A">
            <w:pPr>
              <w:snapToGrid w:val="0"/>
              <w:spacing w:before="50" w:after="50"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②</w:t>
            </w:r>
          </w:p>
        </w:tc>
        <w:tc>
          <w:tcPr>
            <w:tcW w:w="3130" w:type="dxa"/>
            <w:tcBorders>
              <w:top w:val="single" w:color="auto" w:sz="4" w:space="0"/>
              <w:left w:val="single" w:color="auto" w:sz="4" w:space="0"/>
              <w:bottom w:val="single" w:color="auto" w:sz="4" w:space="0"/>
              <w:right w:val="single" w:color="auto" w:sz="4" w:space="0"/>
            </w:tcBorders>
            <w:noWrap w:val="0"/>
            <w:vAlign w:val="center"/>
          </w:tcPr>
          <w:p w14:paraId="77DAC29C">
            <w:pPr>
              <w:snapToGrid w:val="0"/>
              <w:spacing w:before="50" w:after="50"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投标报价</w:t>
            </w:r>
          </w:p>
          <w:p w14:paraId="67D6D847">
            <w:pPr>
              <w:snapToGrid w:val="0"/>
              <w:spacing w:before="50" w:after="50"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③=①×②</w:t>
            </w:r>
          </w:p>
        </w:tc>
      </w:tr>
      <w:tr w14:paraId="3F0CF4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756" w:type="dxa"/>
            <w:tcBorders>
              <w:top w:val="single" w:color="auto" w:sz="4" w:space="0"/>
              <w:left w:val="single" w:color="auto" w:sz="4" w:space="0"/>
              <w:bottom w:val="single" w:color="auto" w:sz="4" w:space="0"/>
              <w:right w:val="single" w:color="auto" w:sz="4" w:space="0"/>
            </w:tcBorders>
            <w:noWrap w:val="0"/>
            <w:vAlign w:val="center"/>
          </w:tcPr>
          <w:p w14:paraId="3B690669">
            <w:pPr>
              <w:snapToGrid w:val="0"/>
              <w:spacing w:before="50" w:after="50"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w:t>
            </w:r>
          </w:p>
        </w:tc>
        <w:tc>
          <w:tcPr>
            <w:tcW w:w="2627" w:type="dxa"/>
            <w:tcBorders>
              <w:top w:val="single" w:color="auto" w:sz="4" w:space="0"/>
              <w:left w:val="single" w:color="auto" w:sz="4" w:space="0"/>
              <w:bottom w:val="single" w:color="auto" w:sz="4" w:space="0"/>
              <w:right w:val="single" w:color="auto" w:sz="4" w:space="0"/>
            </w:tcBorders>
            <w:noWrap w:val="0"/>
            <w:vAlign w:val="center"/>
          </w:tcPr>
          <w:p w14:paraId="3E7598F5">
            <w:pPr>
              <w:snapToGrid w:val="0"/>
              <w:spacing w:before="50" w:after="50" w:line="360" w:lineRule="auto"/>
              <w:jc w:val="center"/>
              <w:rPr>
                <w:rFonts w:hint="eastAsia" w:ascii="仿宋" w:hAnsi="仿宋" w:eastAsia="仿宋" w:cs="仿宋"/>
                <w:b/>
                <w:color w:val="auto"/>
                <w:sz w:val="24"/>
                <w:highlight w:val="none"/>
              </w:rPr>
            </w:pPr>
          </w:p>
        </w:tc>
        <w:tc>
          <w:tcPr>
            <w:tcW w:w="809" w:type="dxa"/>
            <w:tcBorders>
              <w:top w:val="single" w:color="auto" w:sz="4" w:space="0"/>
              <w:left w:val="single" w:color="auto" w:sz="4" w:space="0"/>
              <w:bottom w:val="single" w:color="auto" w:sz="4" w:space="0"/>
              <w:right w:val="single" w:color="auto" w:sz="4" w:space="0"/>
            </w:tcBorders>
            <w:noWrap w:val="0"/>
            <w:vAlign w:val="center"/>
          </w:tcPr>
          <w:p w14:paraId="039A968D">
            <w:pPr>
              <w:snapToGrid w:val="0"/>
              <w:spacing w:before="50" w:after="50" w:line="360" w:lineRule="auto"/>
              <w:rPr>
                <w:rFonts w:hint="eastAsia" w:ascii="仿宋" w:hAnsi="仿宋" w:eastAsia="仿宋" w:cs="仿宋"/>
                <w:color w:val="auto"/>
                <w:sz w:val="24"/>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center"/>
          </w:tcPr>
          <w:p w14:paraId="1918600A">
            <w:pPr>
              <w:snapToGrid w:val="0"/>
              <w:spacing w:before="50" w:after="50" w:line="360" w:lineRule="auto"/>
              <w:rPr>
                <w:rFonts w:hint="eastAsia" w:ascii="仿宋" w:hAnsi="仿宋" w:eastAsia="仿宋" w:cs="仿宋"/>
                <w:color w:val="auto"/>
                <w:sz w:val="24"/>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center"/>
          </w:tcPr>
          <w:p w14:paraId="468E0D06">
            <w:pPr>
              <w:snapToGrid w:val="0"/>
              <w:spacing w:before="50" w:after="50" w:line="360" w:lineRule="auto"/>
              <w:rPr>
                <w:rFonts w:hint="eastAsia" w:ascii="仿宋" w:hAnsi="仿宋" w:eastAsia="仿宋" w:cs="仿宋"/>
                <w:color w:val="auto"/>
                <w:sz w:val="24"/>
                <w:highlight w:val="none"/>
              </w:rPr>
            </w:pPr>
          </w:p>
        </w:tc>
        <w:tc>
          <w:tcPr>
            <w:tcW w:w="3130" w:type="dxa"/>
            <w:tcBorders>
              <w:top w:val="single" w:color="auto" w:sz="4" w:space="0"/>
              <w:left w:val="single" w:color="auto" w:sz="4" w:space="0"/>
              <w:bottom w:val="single" w:color="auto" w:sz="4" w:space="0"/>
              <w:right w:val="single" w:color="auto" w:sz="4" w:space="0"/>
            </w:tcBorders>
            <w:noWrap w:val="0"/>
            <w:vAlign w:val="center"/>
          </w:tcPr>
          <w:p w14:paraId="00C4247B">
            <w:pPr>
              <w:snapToGrid w:val="0"/>
              <w:spacing w:before="50" w:after="50" w:line="360" w:lineRule="auto"/>
              <w:rPr>
                <w:rFonts w:hint="eastAsia" w:ascii="仿宋" w:hAnsi="仿宋" w:eastAsia="仿宋" w:cs="仿宋"/>
                <w:color w:val="auto"/>
                <w:sz w:val="24"/>
                <w:highlight w:val="none"/>
              </w:rPr>
            </w:pPr>
          </w:p>
        </w:tc>
      </w:tr>
      <w:tr w14:paraId="2848BB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756" w:type="dxa"/>
            <w:tcBorders>
              <w:top w:val="single" w:color="auto" w:sz="4" w:space="0"/>
              <w:left w:val="single" w:color="auto" w:sz="4" w:space="0"/>
              <w:bottom w:val="single" w:color="auto" w:sz="4" w:space="0"/>
              <w:right w:val="single" w:color="auto" w:sz="4" w:space="0"/>
            </w:tcBorders>
            <w:noWrap w:val="0"/>
            <w:vAlign w:val="center"/>
          </w:tcPr>
          <w:p w14:paraId="3DBCCC99">
            <w:pPr>
              <w:snapToGrid w:val="0"/>
              <w:spacing w:before="50" w:after="50" w:line="360" w:lineRule="auto"/>
              <w:jc w:val="center"/>
              <w:rPr>
                <w:rFonts w:hint="default"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w:t>
            </w:r>
          </w:p>
        </w:tc>
        <w:tc>
          <w:tcPr>
            <w:tcW w:w="2627" w:type="dxa"/>
            <w:tcBorders>
              <w:top w:val="single" w:color="auto" w:sz="4" w:space="0"/>
              <w:left w:val="single" w:color="auto" w:sz="4" w:space="0"/>
              <w:bottom w:val="single" w:color="auto" w:sz="4" w:space="0"/>
              <w:right w:val="single" w:color="auto" w:sz="4" w:space="0"/>
            </w:tcBorders>
            <w:noWrap w:val="0"/>
            <w:vAlign w:val="center"/>
          </w:tcPr>
          <w:p w14:paraId="14ABAE69">
            <w:pPr>
              <w:snapToGrid w:val="0"/>
              <w:spacing w:before="50" w:after="50" w:line="360" w:lineRule="auto"/>
              <w:jc w:val="center"/>
              <w:rPr>
                <w:rFonts w:hint="eastAsia" w:ascii="仿宋" w:hAnsi="仿宋" w:eastAsia="仿宋" w:cs="仿宋"/>
                <w:b/>
                <w:color w:val="auto"/>
                <w:sz w:val="24"/>
                <w:highlight w:val="none"/>
              </w:rPr>
            </w:pPr>
          </w:p>
        </w:tc>
        <w:tc>
          <w:tcPr>
            <w:tcW w:w="809" w:type="dxa"/>
            <w:tcBorders>
              <w:top w:val="single" w:color="auto" w:sz="4" w:space="0"/>
              <w:left w:val="single" w:color="auto" w:sz="4" w:space="0"/>
              <w:bottom w:val="single" w:color="auto" w:sz="4" w:space="0"/>
              <w:right w:val="single" w:color="auto" w:sz="4" w:space="0"/>
            </w:tcBorders>
            <w:noWrap w:val="0"/>
            <w:vAlign w:val="center"/>
          </w:tcPr>
          <w:p w14:paraId="59713032">
            <w:pPr>
              <w:snapToGrid w:val="0"/>
              <w:spacing w:before="50" w:after="50" w:line="360" w:lineRule="auto"/>
              <w:rPr>
                <w:rFonts w:hint="eastAsia" w:ascii="仿宋" w:hAnsi="仿宋" w:eastAsia="仿宋" w:cs="仿宋"/>
                <w:color w:val="auto"/>
                <w:sz w:val="24"/>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center"/>
          </w:tcPr>
          <w:p w14:paraId="4529BD12">
            <w:pPr>
              <w:snapToGrid w:val="0"/>
              <w:spacing w:before="50" w:after="50" w:line="360" w:lineRule="auto"/>
              <w:rPr>
                <w:rFonts w:hint="eastAsia" w:ascii="仿宋" w:hAnsi="仿宋" w:eastAsia="仿宋" w:cs="仿宋"/>
                <w:color w:val="auto"/>
                <w:sz w:val="24"/>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center"/>
          </w:tcPr>
          <w:p w14:paraId="6F2AD2FA">
            <w:pPr>
              <w:snapToGrid w:val="0"/>
              <w:spacing w:before="50" w:after="50" w:line="360" w:lineRule="auto"/>
              <w:rPr>
                <w:rFonts w:hint="eastAsia" w:ascii="仿宋" w:hAnsi="仿宋" w:eastAsia="仿宋" w:cs="仿宋"/>
                <w:color w:val="auto"/>
                <w:sz w:val="24"/>
                <w:highlight w:val="none"/>
              </w:rPr>
            </w:pPr>
          </w:p>
        </w:tc>
        <w:tc>
          <w:tcPr>
            <w:tcW w:w="3130" w:type="dxa"/>
            <w:tcBorders>
              <w:top w:val="single" w:color="auto" w:sz="4" w:space="0"/>
              <w:left w:val="single" w:color="auto" w:sz="4" w:space="0"/>
              <w:bottom w:val="single" w:color="auto" w:sz="4" w:space="0"/>
              <w:right w:val="single" w:color="auto" w:sz="4" w:space="0"/>
            </w:tcBorders>
            <w:noWrap w:val="0"/>
            <w:vAlign w:val="center"/>
          </w:tcPr>
          <w:p w14:paraId="2FACE75E">
            <w:pPr>
              <w:snapToGrid w:val="0"/>
              <w:spacing w:before="50" w:after="50" w:line="360" w:lineRule="auto"/>
              <w:rPr>
                <w:rFonts w:hint="eastAsia" w:ascii="仿宋" w:hAnsi="仿宋" w:eastAsia="仿宋" w:cs="仿宋"/>
                <w:color w:val="auto"/>
                <w:sz w:val="24"/>
                <w:highlight w:val="none"/>
              </w:rPr>
            </w:pPr>
          </w:p>
        </w:tc>
      </w:tr>
      <w:tr w14:paraId="7F44C9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9236" w:type="dxa"/>
            <w:gridSpan w:val="6"/>
            <w:tcBorders>
              <w:top w:val="single" w:color="auto" w:sz="4" w:space="0"/>
              <w:left w:val="single" w:color="auto" w:sz="4" w:space="0"/>
              <w:bottom w:val="single" w:color="auto" w:sz="4" w:space="0"/>
              <w:right w:val="single" w:color="auto" w:sz="4" w:space="0"/>
            </w:tcBorders>
            <w:noWrap w:val="0"/>
            <w:vAlign w:val="center"/>
          </w:tcPr>
          <w:p w14:paraId="6F239A7C">
            <w:pPr>
              <w:snapToGrid w:val="0"/>
              <w:spacing w:before="50" w:after="50"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合计金额大写：人民币</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tc>
      </w:tr>
    </w:tbl>
    <w:p w14:paraId="7BA4CF2A">
      <w:pPr>
        <w:snapToGrid w:val="0"/>
        <w:spacing w:before="50" w:after="50"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注: </w:t>
      </w:r>
    </w:p>
    <w:p w14:paraId="10CA82D4">
      <w:pPr>
        <w:snapToGrid w:val="0"/>
        <w:spacing w:before="50" w:after="50"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1.投标人的开标一览表必须加盖投标人公章并由法定代表人或者委托代理人签字，</w:t>
      </w:r>
      <w:r>
        <w:rPr>
          <w:rFonts w:hint="eastAsia" w:ascii="仿宋" w:hAnsi="仿宋" w:eastAsia="仿宋" w:cs="仿宋"/>
          <w:b/>
          <w:color w:val="auto"/>
          <w:sz w:val="24"/>
          <w:highlight w:val="none"/>
        </w:rPr>
        <w:t>否则其投标作无效标处理</w:t>
      </w:r>
      <w:r>
        <w:rPr>
          <w:rFonts w:hint="eastAsia" w:ascii="仿宋" w:hAnsi="仿宋" w:eastAsia="仿宋" w:cs="仿宋"/>
          <w:color w:val="auto"/>
          <w:sz w:val="24"/>
          <w:highlight w:val="none"/>
        </w:rPr>
        <w:t>。</w:t>
      </w:r>
    </w:p>
    <w:p w14:paraId="4C05580C">
      <w:pPr>
        <w:snapToGrid w:val="0"/>
        <w:spacing w:before="50" w:after="50" w:line="360" w:lineRule="auto"/>
        <w:ind w:firstLine="480" w:firstLineChars="200"/>
        <w:jc w:val="left"/>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2.</w:t>
      </w:r>
      <w:r>
        <w:rPr>
          <w:rFonts w:hint="eastAsia" w:ascii="仿宋" w:hAnsi="仿宋" w:eastAsia="仿宋" w:cs="仿宋"/>
          <w:color w:val="auto"/>
          <w:sz w:val="24"/>
          <w:highlight w:val="none"/>
        </w:rPr>
        <w:t>报价一经涂改，应在涂改处加盖投标人公章或者由法定代表人或者委托代理人签字或者盖章</w:t>
      </w:r>
      <w:r>
        <w:rPr>
          <w:rFonts w:hint="eastAsia" w:ascii="仿宋" w:hAnsi="仿宋" w:eastAsia="仿宋" w:cs="仿宋"/>
          <w:b/>
          <w:color w:val="auto"/>
          <w:sz w:val="24"/>
          <w:highlight w:val="none"/>
        </w:rPr>
        <w:t>，否则其投标作无效标处理。</w:t>
      </w:r>
    </w:p>
    <w:p w14:paraId="54CC45E6">
      <w:pPr>
        <w:snapToGrid w:val="0"/>
        <w:spacing w:before="50" w:after="50"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3.招标文件中列明采购专用耗材的，应按招标文件规定的耗材量或者按耗材的常规试用量提供报价。</w:t>
      </w:r>
    </w:p>
    <w:p w14:paraId="54E44699">
      <w:pPr>
        <w:snapToGrid w:val="0"/>
        <w:spacing w:before="50" w:after="50" w:line="360" w:lineRule="auto"/>
        <w:ind w:firstLine="482" w:firstLineChars="200"/>
        <w:rPr>
          <w:rFonts w:hint="eastAsia" w:ascii="仿宋" w:hAnsi="仿宋" w:eastAsia="仿宋" w:cs="仿宋"/>
          <w:b/>
          <w:color w:val="auto"/>
          <w:sz w:val="24"/>
          <w:highlight w:val="none"/>
        </w:rPr>
      </w:pPr>
    </w:p>
    <w:p w14:paraId="63D69904">
      <w:pPr>
        <w:snapToGrid w:val="0"/>
        <w:spacing w:before="50" w:after="50" w:line="360" w:lineRule="auto"/>
        <w:ind w:firstLine="482" w:firstLineChars="200"/>
        <w:rPr>
          <w:rFonts w:hint="eastAsia" w:ascii="仿宋" w:hAnsi="仿宋" w:eastAsia="仿宋" w:cs="仿宋"/>
          <w:b/>
          <w:color w:val="auto"/>
          <w:sz w:val="24"/>
          <w:highlight w:val="none"/>
        </w:rPr>
      </w:pPr>
    </w:p>
    <w:p w14:paraId="36300472">
      <w:pPr>
        <w:snapToGrid w:val="0"/>
        <w:spacing w:before="50" w:after="50" w:line="360" w:lineRule="auto"/>
        <w:ind w:left="-3" w:leftChars="-15" w:right="-817" w:rightChars="-389" w:hanging="28" w:hangingChars="12"/>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法定代表人或者委托代理人[签字或CA签章、自然人除外]:___________ </w:t>
      </w:r>
    </w:p>
    <w:p w14:paraId="51CFEED2">
      <w:pPr>
        <w:snapToGrid w:val="0"/>
        <w:spacing w:before="50" w:after="50" w:line="360" w:lineRule="auto"/>
        <w:ind w:left="-3" w:leftChars="-15" w:right="-817" w:rightChars="-389" w:hanging="28" w:hangingChars="12"/>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w:t>
      </w:r>
      <w:r>
        <w:rPr>
          <w:rFonts w:hint="eastAsia" w:ascii="仿宋" w:hAnsi="仿宋" w:eastAsia="仿宋" w:cs="仿宋"/>
          <w:color w:val="auto"/>
          <w:sz w:val="24"/>
          <w:highlight w:val="none"/>
          <w:lang w:eastAsia="zh-CN"/>
        </w:rPr>
        <w:t>公章(或CA签章)</w:t>
      </w:r>
      <w:r>
        <w:rPr>
          <w:rFonts w:hint="eastAsia" w:ascii="仿宋" w:hAnsi="仿宋" w:eastAsia="仿宋" w:cs="仿宋"/>
          <w:color w:val="auto"/>
          <w:sz w:val="24"/>
          <w:highlight w:val="none"/>
        </w:rPr>
        <w:t>、自然人除外]：</w:t>
      </w:r>
    </w:p>
    <w:p w14:paraId="2863619A">
      <w:pPr>
        <w:snapToGrid w:val="0"/>
        <w:spacing w:before="50" w:after="50" w:line="360" w:lineRule="auto"/>
        <w:ind w:left="-3" w:leftChars="-15" w:right="-817" w:rightChars="-389" w:hanging="28" w:hangingChars="12"/>
        <w:rPr>
          <w:rFonts w:hint="eastAsia" w:ascii="仿宋" w:hAnsi="仿宋" w:eastAsia="仿宋" w:cs="仿宋"/>
          <w:color w:val="auto"/>
          <w:szCs w:val="21"/>
          <w:highlight w:val="none"/>
        </w:rPr>
      </w:pPr>
      <w:r>
        <w:rPr>
          <w:rFonts w:hint="eastAsia" w:ascii="仿宋" w:hAnsi="仿宋" w:eastAsia="仿宋" w:cs="仿宋"/>
          <w:color w:val="auto"/>
          <w:sz w:val="24"/>
          <w:highlight w:val="none"/>
        </w:rPr>
        <w:t>日期：    年   月   日</w:t>
      </w:r>
    </w:p>
    <w:p w14:paraId="7FF6221D">
      <w:pPr>
        <w:rPr>
          <w:rFonts w:hint="eastAsia" w:ascii="仿宋" w:hAnsi="仿宋" w:eastAsia="仿宋" w:cs="仿宋"/>
          <w:b/>
          <w:bCs/>
          <w:color w:val="auto"/>
          <w:sz w:val="24"/>
          <w:highlight w:val="none"/>
        </w:rPr>
      </w:pPr>
    </w:p>
    <w:p w14:paraId="7E1C2590">
      <w:pPr>
        <w:rPr>
          <w:rFonts w:hint="eastAsia" w:ascii="仿宋" w:hAnsi="仿宋" w:eastAsia="仿宋" w:cs="仿宋"/>
          <w:b/>
          <w:bCs/>
          <w:color w:val="auto"/>
          <w:sz w:val="24"/>
          <w:highlight w:val="none"/>
        </w:rPr>
      </w:pPr>
    </w:p>
    <w:p w14:paraId="5048735C">
      <w:pPr>
        <w:rPr>
          <w:rFonts w:hint="eastAsia" w:ascii="仿宋" w:hAnsi="仿宋" w:eastAsia="仿宋" w:cs="仿宋"/>
          <w:b/>
          <w:color w:val="auto"/>
          <w:sz w:val="28"/>
          <w:szCs w:val="28"/>
          <w:highlight w:val="none"/>
        </w:rPr>
      </w:pPr>
      <w:r>
        <w:rPr>
          <w:rFonts w:hint="eastAsia" w:ascii="仿宋" w:hAnsi="仿宋" w:eastAsia="仿宋" w:cs="仿宋"/>
          <w:b/>
          <w:bCs/>
          <w:color w:val="auto"/>
          <w:sz w:val="24"/>
          <w:highlight w:val="none"/>
        </w:rPr>
        <w:t>5、投标人针对报价需要说明的其他文件和说明（格式自拟）</w:t>
      </w:r>
      <w:r>
        <w:rPr>
          <w:rFonts w:hint="eastAsia" w:ascii="仿宋" w:hAnsi="仿宋" w:eastAsia="仿宋" w:cs="仿宋"/>
          <w:b/>
          <w:bCs/>
          <w:color w:val="auto"/>
          <w:sz w:val="24"/>
          <w:highlight w:val="none"/>
        </w:rPr>
        <w:br w:type="page"/>
      </w:r>
      <w:bookmarkStart w:id="167" w:name="_Toc19686837"/>
      <w:r>
        <w:rPr>
          <w:rFonts w:hint="eastAsia" w:ascii="仿宋" w:hAnsi="仿宋" w:eastAsia="仿宋" w:cs="仿宋"/>
          <w:b/>
          <w:color w:val="auto"/>
          <w:sz w:val="28"/>
          <w:szCs w:val="28"/>
          <w:highlight w:val="none"/>
        </w:rPr>
        <w:t>二、资格证明文件格式</w:t>
      </w:r>
      <w:bookmarkEnd w:id="165"/>
      <w:bookmarkEnd w:id="166"/>
      <w:bookmarkEnd w:id="167"/>
    </w:p>
    <w:p w14:paraId="333CD370">
      <w:pPr>
        <w:numPr>
          <w:ilvl w:val="2"/>
          <w:numId w:val="9"/>
        </w:numPr>
        <w:snapToGrid w:val="0"/>
        <w:spacing w:before="120" w:beforeLines="50" w:after="50" w:line="360" w:lineRule="auto"/>
        <w:ind w:left="0" w:firstLine="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 xml:space="preserve">资格证明文件封面格式： </w:t>
      </w:r>
    </w:p>
    <w:p w14:paraId="4BA9E04C">
      <w:pPr>
        <w:snapToGrid w:val="0"/>
        <w:spacing w:before="120" w:beforeLines="50" w:after="50"/>
        <w:rPr>
          <w:rFonts w:hint="eastAsia" w:ascii="仿宋" w:hAnsi="仿宋" w:eastAsia="仿宋" w:cs="仿宋"/>
          <w:bCs/>
          <w:color w:val="auto"/>
          <w:sz w:val="32"/>
          <w:szCs w:val="20"/>
          <w:highlight w:val="none"/>
        </w:rPr>
      </w:pPr>
    </w:p>
    <w:p w14:paraId="019D5A47">
      <w:pPr>
        <w:snapToGrid w:val="0"/>
        <w:spacing w:before="120" w:beforeLines="50" w:after="50"/>
        <w:rPr>
          <w:rFonts w:hint="eastAsia" w:ascii="仿宋" w:hAnsi="仿宋" w:eastAsia="仿宋" w:cs="仿宋"/>
          <w:color w:val="auto"/>
          <w:sz w:val="24"/>
          <w:szCs w:val="20"/>
          <w:highlight w:val="none"/>
        </w:rPr>
      </w:pPr>
    </w:p>
    <w:p w14:paraId="7CE086E6">
      <w:pPr>
        <w:snapToGrid w:val="0"/>
        <w:spacing w:before="120" w:beforeLines="50" w:after="50"/>
        <w:rPr>
          <w:rFonts w:hint="eastAsia" w:ascii="仿宋" w:hAnsi="仿宋" w:eastAsia="仿宋" w:cs="仿宋"/>
          <w:color w:val="auto"/>
          <w:sz w:val="24"/>
          <w:szCs w:val="20"/>
          <w:highlight w:val="none"/>
        </w:rPr>
      </w:pPr>
    </w:p>
    <w:p w14:paraId="45745001">
      <w:pPr>
        <w:snapToGrid w:val="0"/>
        <w:spacing w:before="120" w:beforeLines="50" w:after="50"/>
        <w:jc w:val="center"/>
        <w:rPr>
          <w:rFonts w:hint="eastAsia" w:ascii="仿宋" w:hAnsi="仿宋" w:eastAsia="仿宋" w:cs="仿宋"/>
          <w:color w:val="auto"/>
          <w:sz w:val="84"/>
          <w:szCs w:val="84"/>
          <w:highlight w:val="none"/>
        </w:rPr>
      </w:pPr>
      <w:r>
        <w:rPr>
          <w:rFonts w:hint="eastAsia" w:ascii="仿宋" w:hAnsi="仿宋" w:eastAsia="仿宋" w:cs="仿宋"/>
          <w:color w:val="auto"/>
          <w:sz w:val="84"/>
          <w:szCs w:val="84"/>
          <w:highlight w:val="none"/>
        </w:rPr>
        <w:t>投  标  文  件</w:t>
      </w:r>
    </w:p>
    <w:p w14:paraId="6FDE697F">
      <w:pPr>
        <w:snapToGrid w:val="0"/>
        <w:spacing w:before="120" w:beforeLines="50" w:after="50"/>
        <w:rPr>
          <w:rFonts w:hint="eastAsia" w:ascii="仿宋" w:hAnsi="仿宋" w:eastAsia="仿宋" w:cs="仿宋"/>
          <w:color w:val="auto"/>
          <w:sz w:val="24"/>
          <w:szCs w:val="20"/>
          <w:highlight w:val="none"/>
        </w:rPr>
      </w:pPr>
    </w:p>
    <w:p w14:paraId="03C26108">
      <w:pPr>
        <w:snapToGrid w:val="0"/>
        <w:spacing w:before="120" w:beforeLines="50" w:after="50"/>
        <w:rPr>
          <w:rFonts w:hint="eastAsia" w:ascii="仿宋" w:hAnsi="仿宋" w:eastAsia="仿宋" w:cs="仿宋"/>
          <w:color w:val="auto"/>
          <w:sz w:val="24"/>
          <w:szCs w:val="20"/>
          <w:highlight w:val="none"/>
        </w:rPr>
      </w:pPr>
    </w:p>
    <w:p w14:paraId="60BEFD6A">
      <w:pPr>
        <w:snapToGrid w:val="0"/>
        <w:spacing w:before="120" w:beforeLines="50" w:after="50"/>
        <w:jc w:val="center"/>
        <w:rPr>
          <w:rFonts w:hint="eastAsia" w:ascii="仿宋" w:hAnsi="仿宋" w:eastAsia="仿宋" w:cs="仿宋"/>
          <w:b/>
          <w:color w:val="auto"/>
          <w:sz w:val="24"/>
          <w:szCs w:val="20"/>
          <w:highlight w:val="none"/>
        </w:rPr>
      </w:pPr>
      <w:r>
        <w:rPr>
          <w:rFonts w:hint="eastAsia" w:ascii="仿宋" w:hAnsi="仿宋" w:eastAsia="仿宋" w:cs="仿宋"/>
          <w:b/>
          <w:color w:val="auto"/>
          <w:sz w:val="32"/>
          <w:szCs w:val="32"/>
          <w:highlight w:val="none"/>
        </w:rPr>
        <w:t>资 格 证 明 文 件</w:t>
      </w:r>
    </w:p>
    <w:p w14:paraId="1D7DF938">
      <w:pPr>
        <w:snapToGrid w:val="0"/>
        <w:spacing w:before="120" w:beforeLines="50" w:after="50"/>
        <w:rPr>
          <w:rFonts w:hint="eastAsia" w:ascii="仿宋" w:hAnsi="仿宋" w:eastAsia="仿宋" w:cs="仿宋"/>
          <w:bCs/>
          <w:color w:val="auto"/>
          <w:sz w:val="24"/>
          <w:szCs w:val="20"/>
          <w:highlight w:val="none"/>
        </w:rPr>
      </w:pPr>
    </w:p>
    <w:p w14:paraId="7908E522">
      <w:pPr>
        <w:snapToGrid w:val="0"/>
        <w:spacing w:before="120" w:beforeLines="50" w:after="50"/>
        <w:rPr>
          <w:rFonts w:hint="eastAsia" w:ascii="仿宋" w:hAnsi="仿宋" w:eastAsia="仿宋" w:cs="仿宋"/>
          <w:bCs/>
          <w:color w:val="auto"/>
          <w:sz w:val="24"/>
          <w:szCs w:val="20"/>
          <w:highlight w:val="none"/>
        </w:rPr>
      </w:pPr>
    </w:p>
    <w:p w14:paraId="1A9CD02B">
      <w:pPr>
        <w:snapToGrid w:val="0"/>
        <w:spacing w:before="120" w:beforeLines="50" w:after="50"/>
        <w:rPr>
          <w:rFonts w:hint="eastAsia" w:ascii="仿宋" w:hAnsi="仿宋" w:eastAsia="仿宋" w:cs="仿宋"/>
          <w:bCs/>
          <w:color w:val="auto"/>
          <w:sz w:val="24"/>
          <w:szCs w:val="20"/>
          <w:highlight w:val="none"/>
        </w:rPr>
      </w:pPr>
    </w:p>
    <w:p w14:paraId="255A330C">
      <w:pPr>
        <w:snapToGrid w:val="0"/>
        <w:spacing w:before="120" w:beforeLines="50" w:after="50"/>
        <w:rPr>
          <w:rFonts w:hint="eastAsia" w:ascii="仿宋" w:hAnsi="仿宋" w:eastAsia="仿宋" w:cs="仿宋"/>
          <w:bCs/>
          <w:color w:val="auto"/>
          <w:sz w:val="24"/>
          <w:szCs w:val="20"/>
          <w:highlight w:val="none"/>
        </w:rPr>
      </w:pPr>
    </w:p>
    <w:p w14:paraId="1D41775F">
      <w:pPr>
        <w:snapToGrid w:val="0"/>
        <w:spacing w:before="120" w:beforeLines="50" w:after="50"/>
        <w:rPr>
          <w:rFonts w:hint="eastAsia" w:ascii="仿宋" w:hAnsi="仿宋" w:eastAsia="仿宋" w:cs="仿宋"/>
          <w:bCs/>
          <w:color w:val="auto"/>
          <w:sz w:val="24"/>
          <w:szCs w:val="20"/>
          <w:highlight w:val="none"/>
        </w:rPr>
      </w:pPr>
    </w:p>
    <w:p w14:paraId="69B0237B">
      <w:pPr>
        <w:snapToGrid w:val="0"/>
        <w:spacing w:before="120" w:beforeLines="50" w:after="50"/>
        <w:ind w:firstLine="540" w:firstLineChars="225"/>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项目名称：</w:t>
      </w:r>
    </w:p>
    <w:p w14:paraId="27635B50">
      <w:pPr>
        <w:snapToGrid w:val="0"/>
        <w:spacing w:before="120" w:beforeLines="50" w:after="50"/>
        <w:ind w:firstLine="540" w:firstLineChars="225"/>
        <w:rPr>
          <w:rFonts w:hint="eastAsia" w:ascii="仿宋" w:hAnsi="仿宋" w:eastAsia="仿宋" w:cs="仿宋"/>
          <w:bCs/>
          <w:color w:val="auto"/>
          <w:sz w:val="24"/>
          <w:szCs w:val="20"/>
          <w:highlight w:val="none"/>
        </w:rPr>
      </w:pPr>
    </w:p>
    <w:p w14:paraId="1BAA07F6">
      <w:pPr>
        <w:snapToGrid w:val="0"/>
        <w:spacing w:before="120" w:beforeLines="50" w:after="50"/>
        <w:ind w:firstLine="540" w:firstLineChars="225"/>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项目编号：</w:t>
      </w:r>
    </w:p>
    <w:p w14:paraId="210BF59A">
      <w:pPr>
        <w:snapToGrid w:val="0"/>
        <w:spacing w:before="120" w:beforeLines="50" w:after="50"/>
        <w:ind w:firstLine="540" w:firstLineChars="225"/>
        <w:rPr>
          <w:rFonts w:hint="eastAsia" w:ascii="仿宋" w:hAnsi="仿宋" w:eastAsia="仿宋" w:cs="仿宋"/>
          <w:bCs/>
          <w:color w:val="auto"/>
          <w:sz w:val="24"/>
          <w:szCs w:val="20"/>
          <w:highlight w:val="none"/>
        </w:rPr>
      </w:pPr>
    </w:p>
    <w:p w14:paraId="047EB177">
      <w:pPr>
        <w:pStyle w:val="8"/>
        <w:snapToGrid w:val="0"/>
        <w:spacing w:before="50" w:after="50"/>
        <w:ind w:firstLine="540" w:firstLineChars="225"/>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投标人名称：</w:t>
      </w:r>
    </w:p>
    <w:p w14:paraId="673C3EAC">
      <w:pPr>
        <w:pStyle w:val="8"/>
        <w:snapToGrid w:val="0"/>
        <w:spacing w:before="50" w:after="50"/>
        <w:ind w:firstLine="540" w:firstLineChars="225"/>
        <w:rPr>
          <w:rFonts w:hint="eastAsia" w:ascii="仿宋" w:hAnsi="仿宋" w:eastAsia="仿宋" w:cs="仿宋"/>
          <w:bCs/>
          <w:color w:val="auto"/>
          <w:sz w:val="24"/>
          <w:szCs w:val="24"/>
          <w:highlight w:val="none"/>
        </w:rPr>
      </w:pPr>
    </w:p>
    <w:p w14:paraId="6644023C">
      <w:pPr>
        <w:pStyle w:val="8"/>
        <w:snapToGrid w:val="0"/>
        <w:spacing w:before="50" w:after="50"/>
        <w:ind w:firstLine="960" w:firstLineChars="400"/>
        <w:rPr>
          <w:rFonts w:hint="eastAsia" w:ascii="仿宋" w:hAnsi="仿宋" w:eastAsia="仿宋" w:cs="仿宋"/>
          <w:bCs/>
          <w:color w:val="auto"/>
          <w:sz w:val="24"/>
          <w:szCs w:val="24"/>
          <w:highlight w:val="none"/>
        </w:rPr>
      </w:pPr>
    </w:p>
    <w:p w14:paraId="6A3B0508">
      <w:pPr>
        <w:snapToGrid w:val="0"/>
        <w:spacing w:before="120" w:beforeLines="50" w:after="50"/>
        <w:ind w:firstLine="645"/>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年  月  日</w:t>
      </w:r>
    </w:p>
    <w:p w14:paraId="340D3263">
      <w:pPr>
        <w:snapToGrid w:val="0"/>
        <w:spacing w:before="120" w:beforeLines="50" w:after="50"/>
        <w:rPr>
          <w:rFonts w:hint="eastAsia" w:ascii="仿宋" w:hAnsi="仿宋" w:eastAsia="仿宋" w:cs="仿宋"/>
          <w:color w:val="auto"/>
          <w:sz w:val="24"/>
          <w:szCs w:val="20"/>
          <w:highlight w:val="none"/>
        </w:rPr>
      </w:pPr>
    </w:p>
    <w:p w14:paraId="592A4C7D">
      <w:pPr>
        <w:snapToGrid w:val="0"/>
        <w:spacing w:before="120" w:beforeLines="50" w:after="50"/>
        <w:rPr>
          <w:rFonts w:hint="eastAsia" w:ascii="仿宋" w:hAnsi="仿宋" w:eastAsia="仿宋" w:cs="仿宋"/>
          <w:color w:val="auto"/>
          <w:sz w:val="24"/>
          <w:szCs w:val="20"/>
          <w:highlight w:val="none"/>
        </w:rPr>
      </w:pPr>
    </w:p>
    <w:p w14:paraId="6441EC08">
      <w:pPr>
        <w:tabs>
          <w:tab w:val="left" w:pos="1815"/>
        </w:tabs>
        <w:snapToGrid w:val="0"/>
        <w:spacing w:before="120" w:beforeLines="50" w:after="50" w:line="360" w:lineRule="auto"/>
        <w:jc w:val="left"/>
        <w:rPr>
          <w:rFonts w:hint="eastAsia" w:ascii="仿宋" w:hAnsi="仿宋" w:eastAsia="仿宋" w:cs="仿宋"/>
          <w:b/>
          <w:color w:val="auto"/>
          <w:sz w:val="24"/>
          <w:szCs w:val="20"/>
          <w:highlight w:val="none"/>
        </w:rPr>
      </w:pPr>
      <w:r>
        <w:rPr>
          <w:rFonts w:hint="eastAsia" w:ascii="仿宋" w:hAnsi="仿宋" w:eastAsia="仿宋" w:cs="仿宋"/>
          <w:b/>
          <w:bCs/>
          <w:color w:val="auto"/>
          <w:sz w:val="24"/>
          <w:highlight w:val="none"/>
        </w:rPr>
        <w:br w:type="page"/>
      </w:r>
      <w:r>
        <w:rPr>
          <w:rFonts w:hint="eastAsia" w:ascii="仿宋" w:hAnsi="仿宋" w:eastAsia="仿宋" w:cs="仿宋"/>
          <w:b/>
          <w:bCs/>
          <w:color w:val="auto"/>
          <w:sz w:val="24"/>
          <w:highlight w:val="none"/>
        </w:rPr>
        <w:t>2.资格证明文件目录</w:t>
      </w:r>
    </w:p>
    <w:p w14:paraId="785575AF">
      <w:pPr>
        <w:snapToGrid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根据招标文件规定及投标人提供的材料自行编写目录。</w:t>
      </w:r>
    </w:p>
    <w:p w14:paraId="4F42E625">
      <w:pPr>
        <w:snapToGrid w:val="0"/>
        <w:spacing w:before="50" w:after="120" w:afterLines="50"/>
        <w:jc w:val="left"/>
        <w:rPr>
          <w:rFonts w:hint="eastAsia" w:ascii="仿宋" w:hAnsi="仿宋" w:eastAsia="仿宋" w:cs="仿宋"/>
          <w:color w:val="auto"/>
          <w:sz w:val="24"/>
          <w:highlight w:val="none"/>
        </w:rPr>
      </w:pPr>
    </w:p>
    <w:p w14:paraId="340B5257">
      <w:pPr>
        <w:snapToGrid w:val="0"/>
        <w:spacing w:before="50" w:after="120" w:afterLines="50"/>
        <w:jc w:val="left"/>
        <w:rPr>
          <w:rFonts w:hint="eastAsia" w:ascii="仿宋" w:hAnsi="仿宋" w:eastAsia="仿宋" w:cs="仿宋"/>
          <w:color w:val="auto"/>
          <w:sz w:val="24"/>
          <w:highlight w:val="none"/>
        </w:rPr>
      </w:pPr>
    </w:p>
    <w:p w14:paraId="6F9D32A2">
      <w:pPr>
        <w:numPr>
          <w:ilvl w:val="2"/>
          <w:numId w:val="9"/>
        </w:numPr>
        <w:snapToGrid w:val="0"/>
        <w:spacing w:before="120" w:beforeLines="50" w:after="50"/>
        <w:ind w:left="0" w:firstLine="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br w:type="page"/>
      </w:r>
      <w:r>
        <w:rPr>
          <w:rFonts w:hint="eastAsia" w:ascii="仿宋" w:hAnsi="仿宋" w:eastAsia="仿宋" w:cs="仿宋"/>
          <w:b/>
          <w:color w:val="auto"/>
          <w:sz w:val="24"/>
          <w:highlight w:val="none"/>
        </w:rPr>
        <w:t>投标人直接控股、管理关系信息表</w:t>
      </w:r>
      <w:r>
        <w:rPr>
          <w:rFonts w:hint="eastAsia" w:ascii="仿宋" w:hAnsi="仿宋" w:eastAsia="仿宋" w:cs="仿宋"/>
          <w:b/>
          <w:color w:val="auto"/>
          <w:sz w:val="24"/>
          <w:highlight w:val="none"/>
          <w:lang w:val="en-US" w:eastAsia="zh-CN"/>
        </w:rPr>
        <w:t>格式</w:t>
      </w:r>
    </w:p>
    <w:p w14:paraId="1F7B01D0">
      <w:pPr>
        <w:snapToGrid w:val="0"/>
        <w:spacing w:before="50" w:after="120" w:afterLines="50"/>
        <w:jc w:val="center"/>
        <w:rPr>
          <w:rFonts w:hint="eastAsia" w:ascii="仿宋" w:hAnsi="仿宋" w:eastAsia="仿宋" w:cs="仿宋"/>
          <w:b/>
          <w:color w:val="auto"/>
          <w:sz w:val="28"/>
          <w:szCs w:val="28"/>
          <w:highlight w:val="none"/>
        </w:rPr>
      </w:pPr>
    </w:p>
    <w:p w14:paraId="56A3C7EE">
      <w:pPr>
        <w:snapToGrid w:val="0"/>
        <w:spacing w:before="50" w:after="120" w:afterLines="50" w:line="360" w:lineRule="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投标人直接控股股东信息表</w:t>
      </w:r>
    </w:p>
    <w:tbl>
      <w:tblPr>
        <w:tblStyle w:val="51"/>
        <w:tblW w:w="9476" w:type="dxa"/>
        <w:jc w:val="center"/>
        <w:tblLayout w:type="fixed"/>
        <w:tblCellMar>
          <w:top w:w="0" w:type="dxa"/>
          <w:left w:w="0" w:type="dxa"/>
          <w:bottom w:w="0" w:type="dxa"/>
          <w:right w:w="0" w:type="dxa"/>
        </w:tblCellMar>
      </w:tblPr>
      <w:tblGrid>
        <w:gridCol w:w="828"/>
        <w:gridCol w:w="2269"/>
        <w:gridCol w:w="1239"/>
        <w:gridCol w:w="3722"/>
        <w:gridCol w:w="1418"/>
      </w:tblGrid>
      <w:tr w14:paraId="63469F44">
        <w:tblPrEx>
          <w:tblCellMar>
            <w:top w:w="0" w:type="dxa"/>
            <w:left w:w="0" w:type="dxa"/>
            <w:bottom w:w="0" w:type="dxa"/>
            <w:right w:w="0" w:type="dxa"/>
          </w:tblCellMar>
        </w:tblPrEx>
        <w:trPr>
          <w:tblHeader/>
          <w:jc w:val="center"/>
        </w:trPr>
        <w:tc>
          <w:tcPr>
            <w:tcW w:w="82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899851B">
            <w:pPr>
              <w:spacing w:line="360" w:lineRule="auto"/>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61C7C2D">
            <w:pPr>
              <w:spacing w:line="360" w:lineRule="auto"/>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C2FA39A">
            <w:pPr>
              <w:spacing w:line="360" w:lineRule="auto"/>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4AA6AB0">
            <w:pPr>
              <w:spacing w:line="360" w:lineRule="auto"/>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3702591">
            <w:pPr>
              <w:spacing w:line="360" w:lineRule="auto"/>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备注</w:t>
            </w:r>
          </w:p>
        </w:tc>
      </w:tr>
      <w:tr w14:paraId="0643FB5D">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2038F6F">
            <w:pPr>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1225FC9">
            <w:pPr>
              <w:spacing w:line="360" w:lineRule="auto"/>
              <w:jc w:val="center"/>
              <w:rPr>
                <w:rFonts w:hint="eastAsia" w:ascii="仿宋" w:hAnsi="仿宋" w:eastAsia="仿宋" w:cs="仿宋"/>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A28CB3C">
            <w:pPr>
              <w:spacing w:line="360" w:lineRule="auto"/>
              <w:jc w:val="center"/>
              <w:rPr>
                <w:rFonts w:hint="eastAsia" w:ascii="仿宋" w:hAnsi="仿宋" w:eastAsia="仿宋" w:cs="仿宋"/>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530848E">
            <w:pPr>
              <w:spacing w:line="360" w:lineRule="auto"/>
              <w:jc w:val="center"/>
              <w:rPr>
                <w:rFonts w:hint="eastAsia" w:ascii="仿宋" w:hAnsi="仿宋" w:eastAsia="仿宋" w:cs="仿宋"/>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DAAABA9">
            <w:pPr>
              <w:spacing w:line="360" w:lineRule="auto"/>
              <w:jc w:val="center"/>
              <w:rPr>
                <w:rFonts w:hint="eastAsia" w:ascii="仿宋" w:hAnsi="仿宋" w:eastAsia="仿宋" w:cs="仿宋"/>
                <w:color w:val="auto"/>
                <w:kern w:val="0"/>
                <w:sz w:val="24"/>
                <w:highlight w:val="none"/>
              </w:rPr>
            </w:pPr>
          </w:p>
        </w:tc>
      </w:tr>
      <w:tr w14:paraId="488CC159">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CE18971">
            <w:pPr>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50FA50D">
            <w:pPr>
              <w:spacing w:line="360" w:lineRule="auto"/>
              <w:jc w:val="center"/>
              <w:rPr>
                <w:rFonts w:hint="eastAsia" w:ascii="仿宋" w:hAnsi="仿宋" w:eastAsia="仿宋" w:cs="仿宋"/>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3339BE6">
            <w:pPr>
              <w:spacing w:line="360" w:lineRule="auto"/>
              <w:jc w:val="center"/>
              <w:rPr>
                <w:rFonts w:hint="eastAsia" w:ascii="仿宋" w:hAnsi="仿宋" w:eastAsia="仿宋" w:cs="仿宋"/>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BF0AB03">
            <w:pPr>
              <w:spacing w:line="360" w:lineRule="auto"/>
              <w:jc w:val="center"/>
              <w:rPr>
                <w:rFonts w:hint="eastAsia" w:ascii="仿宋" w:hAnsi="仿宋" w:eastAsia="仿宋" w:cs="仿宋"/>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FF08D89">
            <w:pPr>
              <w:spacing w:line="360" w:lineRule="auto"/>
              <w:jc w:val="center"/>
              <w:rPr>
                <w:rFonts w:hint="eastAsia" w:ascii="仿宋" w:hAnsi="仿宋" w:eastAsia="仿宋" w:cs="仿宋"/>
                <w:color w:val="auto"/>
                <w:kern w:val="0"/>
                <w:sz w:val="24"/>
                <w:highlight w:val="none"/>
              </w:rPr>
            </w:pPr>
          </w:p>
        </w:tc>
      </w:tr>
      <w:tr w14:paraId="0F3BDB15">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886C4CD">
            <w:pPr>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570DC30">
            <w:pPr>
              <w:spacing w:line="360" w:lineRule="auto"/>
              <w:jc w:val="center"/>
              <w:rPr>
                <w:rFonts w:hint="eastAsia" w:ascii="仿宋" w:hAnsi="仿宋" w:eastAsia="仿宋" w:cs="仿宋"/>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AC0677F">
            <w:pPr>
              <w:spacing w:line="360" w:lineRule="auto"/>
              <w:jc w:val="center"/>
              <w:rPr>
                <w:rFonts w:hint="eastAsia" w:ascii="仿宋" w:hAnsi="仿宋" w:eastAsia="仿宋" w:cs="仿宋"/>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767AB25">
            <w:pPr>
              <w:spacing w:line="360" w:lineRule="auto"/>
              <w:jc w:val="center"/>
              <w:rPr>
                <w:rFonts w:hint="eastAsia" w:ascii="仿宋" w:hAnsi="仿宋" w:eastAsia="仿宋" w:cs="仿宋"/>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BA16067">
            <w:pPr>
              <w:spacing w:line="360" w:lineRule="auto"/>
              <w:jc w:val="center"/>
              <w:rPr>
                <w:rFonts w:hint="eastAsia" w:ascii="仿宋" w:hAnsi="仿宋" w:eastAsia="仿宋" w:cs="仿宋"/>
                <w:color w:val="auto"/>
                <w:kern w:val="0"/>
                <w:sz w:val="24"/>
                <w:highlight w:val="none"/>
              </w:rPr>
            </w:pPr>
          </w:p>
        </w:tc>
      </w:tr>
      <w:tr w14:paraId="4BD33250">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2E5DCBA">
            <w:pPr>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119611E">
            <w:pPr>
              <w:spacing w:line="360" w:lineRule="auto"/>
              <w:jc w:val="center"/>
              <w:rPr>
                <w:rFonts w:hint="eastAsia" w:ascii="仿宋" w:hAnsi="仿宋" w:eastAsia="仿宋" w:cs="仿宋"/>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C246211">
            <w:pPr>
              <w:spacing w:line="360" w:lineRule="auto"/>
              <w:jc w:val="center"/>
              <w:rPr>
                <w:rFonts w:hint="eastAsia" w:ascii="仿宋" w:hAnsi="仿宋" w:eastAsia="仿宋" w:cs="仿宋"/>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6F5D25C">
            <w:pPr>
              <w:spacing w:line="360" w:lineRule="auto"/>
              <w:jc w:val="center"/>
              <w:rPr>
                <w:rFonts w:hint="eastAsia" w:ascii="仿宋" w:hAnsi="仿宋" w:eastAsia="仿宋" w:cs="仿宋"/>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66140D3">
            <w:pPr>
              <w:spacing w:line="360" w:lineRule="auto"/>
              <w:jc w:val="center"/>
              <w:rPr>
                <w:rFonts w:hint="eastAsia" w:ascii="仿宋" w:hAnsi="仿宋" w:eastAsia="仿宋" w:cs="仿宋"/>
                <w:color w:val="auto"/>
                <w:kern w:val="0"/>
                <w:sz w:val="24"/>
                <w:highlight w:val="none"/>
              </w:rPr>
            </w:pPr>
          </w:p>
        </w:tc>
      </w:tr>
    </w:tbl>
    <w:p w14:paraId="5B75A4B6">
      <w:pPr>
        <w:snapToGrid w:val="0"/>
        <w:spacing w:before="120" w:beforeLines="50"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注：</w:t>
      </w:r>
    </w:p>
    <w:p w14:paraId="1DAA6D52">
      <w:pPr>
        <w:snapToGrid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322C5F76">
      <w:pPr>
        <w:snapToGrid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2.本表所指的控股关系仅限于直接控股关系，不包括间接的控股关系。公司实际控制人与公司之间的关系不属于本表所指的直接控股关系。</w:t>
      </w:r>
    </w:p>
    <w:p w14:paraId="4378FDD7">
      <w:pPr>
        <w:snapToGrid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3.供应商不存在直接控股股东的，则填“无”。</w:t>
      </w:r>
    </w:p>
    <w:p w14:paraId="5C87EB70">
      <w:pPr>
        <w:snapToGrid w:val="0"/>
        <w:spacing w:line="360" w:lineRule="auto"/>
        <w:jc w:val="left"/>
        <w:rPr>
          <w:rFonts w:hint="eastAsia" w:ascii="仿宋" w:hAnsi="仿宋" w:eastAsia="仿宋" w:cs="仿宋"/>
          <w:color w:val="auto"/>
          <w:sz w:val="24"/>
          <w:highlight w:val="none"/>
        </w:rPr>
      </w:pPr>
    </w:p>
    <w:p w14:paraId="708E1AE6">
      <w:pPr>
        <w:snapToGrid w:val="0"/>
        <w:spacing w:line="360" w:lineRule="auto"/>
        <w:jc w:val="left"/>
        <w:rPr>
          <w:rFonts w:hint="eastAsia" w:ascii="仿宋" w:hAnsi="仿宋" w:eastAsia="仿宋" w:cs="仿宋"/>
          <w:color w:val="auto"/>
          <w:sz w:val="24"/>
          <w:highlight w:val="none"/>
        </w:rPr>
      </w:pPr>
    </w:p>
    <w:p w14:paraId="71BED2E5">
      <w:pPr>
        <w:snapToGrid w:val="0"/>
        <w:spacing w:line="360" w:lineRule="auto"/>
        <w:jc w:val="left"/>
        <w:rPr>
          <w:rFonts w:hint="eastAsia" w:ascii="仿宋" w:hAnsi="仿宋" w:eastAsia="仿宋" w:cs="仿宋"/>
          <w:color w:val="auto"/>
          <w:sz w:val="24"/>
          <w:highlight w:val="none"/>
        </w:rPr>
      </w:pPr>
    </w:p>
    <w:p w14:paraId="486F92B0">
      <w:pPr>
        <w:snapToGrid w:val="0"/>
        <w:spacing w:line="360" w:lineRule="auto"/>
        <w:jc w:val="left"/>
        <w:rPr>
          <w:rFonts w:hint="eastAsia" w:ascii="仿宋" w:hAnsi="仿宋" w:eastAsia="仿宋" w:cs="仿宋"/>
          <w:color w:val="auto"/>
          <w:sz w:val="24"/>
          <w:highlight w:val="none"/>
        </w:rPr>
      </w:pPr>
    </w:p>
    <w:p w14:paraId="45196A6E">
      <w:pPr>
        <w:snapToGrid w:val="0"/>
        <w:spacing w:before="120" w:beforeLines="50" w:line="360" w:lineRule="auto"/>
        <w:ind w:right="480" w:firstLine="3967" w:firstLineChars="1653"/>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法定代表人或者委托代理人（签字或CA签章）：</w:t>
      </w:r>
    </w:p>
    <w:p w14:paraId="4BA0206B">
      <w:pPr>
        <w:snapToGrid w:val="0"/>
        <w:spacing w:before="120" w:beforeLines="50" w:after="50" w:line="360" w:lineRule="auto"/>
        <w:ind w:right="480" w:firstLine="5520" w:firstLineChars="23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投标人（盖公章或CA签章）：</w:t>
      </w:r>
    </w:p>
    <w:p w14:paraId="586B1B2F">
      <w:pPr>
        <w:snapToGrid w:val="0"/>
        <w:spacing w:before="120" w:beforeLines="50" w:after="50" w:line="360" w:lineRule="auto"/>
        <w:ind w:right="480" w:firstLine="5520" w:firstLineChars="2300"/>
        <w:rPr>
          <w:rFonts w:hint="eastAsia" w:ascii="仿宋" w:hAnsi="仿宋" w:eastAsia="仿宋" w:cs="仿宋"/>
          <w:color w:val="auto"/>
          <w:szCs w:val="21"/>
          <w:highlight w:val="none"/>
        </w:rPr>
      </w:pPr>
      <w:r>
        <w:rPr>
          <w:rFonts w:hint="eastAsia" w:ascii="仿宋" w:hAnsi="仿宋" w:eastAsia="仿宋" w:cs="仿宋"/>
          <w:color w:val="auto"/>
          <w:sz w:val="24"/>
          <w:highlight w:val="none"/>
        </w:rPr>
        <w:t>年    月    日</w:t>
      </w:r>
    </w:p>
    <w:p w14:paraId="6B454E4A">
      <w:pPr>
        <w:snapToGrid w:val="0"/>
        <w:spacing w:line="360" w:lineRule="auto"/>
        <w:jc w:val="center"/>
        <w:rPr>
          <w:rFonts w:hint="eastAsia" w:ascii="仿宋" w:hAnsi="仿宋" w:eastAsia="仿宋" w:cs="仿宋"/>
          <w:color w:val="auto"/>
          <w:sz w:val="32"/>
          <w:szCs w:val="32"/>
          <w:highlight w:val="none"/>
        </w:rPr>
      </w:pPr>
      <w:r>
        <w:rPr>
          <w:rFonts w:hint="eastAsia" w:ascii="仿宋" w:hAnsi="仿宋" w:eastAsia="仿宋" w:cs="仿宋"/>
          <w:b/>
          <w:color w:val="auto"/>
          <w:sz w:val="32"/>
          <w:szCs w:val="32"/>
          <w:highlight w:val="none"/>
        </w:rPr>
        <w:t>投标人直接管理关系信息表</w:t>
      </w:r>
    </w:p>
    <w:tbl>
      <w:tblPr>
        <w:tblStyle w:val="51"/>
        <w:tblW w:w="9652" w:type="dxa"/>
        <w:jc w:val="center"/>
        <w:tblLayout w:type="fixed"/>
        <w:tblCellMar>
          <w:top w:w="0" w:type="dxa"/>
          <w:left w:w="0" w:type="dxa"/>
          <w:bottom w:w="0" w:type="dxa"/>
          <w:right w:w="0" w:type="dxa"/>
        </w:tblCellMar>
      </w:tblPr>
      <w:tblGrid>
        <w:gridCol w:w="1005"/>
        <w:gridCol w:w="2659"/>
        <w:gridCol w:w="3924"/>
        <w:gridCol w:w="2064"/>
      </w:tblGrid>
      <w:tr w14:paraId="4167564D">
        <w:tblPrEx>
          <w:tblCellMar>
            <w:top w:w="0" w:type="dxa"/>
            <w:left w:w="0" w:type="dxa"/>
            <w:bottom w:w="0" w:type="dxa"/>
            <w:right w:w="0" w:type="dxa"/>
          </w:tblCellMar>
        </w:tblPrEx>
        <w:trPr>
          <w:tblHeader/>
          <w:jc w:val="center"/>
        </w:trPr>
        <w:tc>
          <w:tcPr>
            <w:tcW w:w="10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E19FD1F">
            <w:pPr>
              <w:spacing w:line="360" w:lineRule="auto"/>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序号</w:t>
            </w:r>
          </w:p>
        </w:tc>
        <w:tc>
          <w:tcPr>
            <w:tcW w:w="265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E68F865">
            <w:pPr>
              <w:spacing w:line="360" w:lineRule="auto"/>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784AFB3">
            <w:pPr>
              <w:spacing w:line="360" w:lineRule="auto"/>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2B4E94A">
            <w:pPr>
              <w:spacing w:line="360" w:lineRule="auto"/>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备注</w:t>
            </w:r>
          </w:p>
        </w:tc>
      </w:tr>
      <w:tr w14:paraId="144D4F7D">
        <w:tblPrEx>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539B014">
            <w:pPr>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w:t>
            </w:r>
          </w:p>
        </w:tc>
        <w:tc>
          <w:tcPr>
            <w:tcW w:w="265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FC5DC3F">
            <w:pPr>
              <w:spacing w:line="360" w:lineRule="auto"/>
              <w:jc w:val="center"/>
              <w:rPr>
                <w:rFonts w:hint="eastAsia" w:ascii="仿宋" w:hAnsi="仿宋" w:eastAsia="仿宋" w:cs="仿宋"/>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CB73D55">
            <w:pPr>
              <w:spacing w:line="360" w:lineRule="auto"/>
              <w:jc w:val="center"/>
              <w:rPr>
                <w:rFonts w:hint="eastAsia" w:ascii="仿宋" w:hAnsi="仿宋" w:eastAsia="仿宋" w:cs="仿宋"/>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C5B2658">
            <w:pPr>
              <w:spacing w:line="360" w:lineRule="auto"/>
              <w:jc w:val="center"/>
              <w:rPr>
                <w:rFonts w:hint="eastAsia" w:ascii="仿宋" w:hAnsi="仿宋" w:eastAsia="仿宋" w:cs="仿宋"/>
                <w:color w:val="auto"/>
                <w:kern w:val="0"/>
                <w:sz w:val="24"/>
                <w:highlight w:val="none"/>
              </w:rPr>
            </w:pPr>
          </w:p>
        </w:tc>
      </w:tr>
      <w:tr w14:paraId="4421EF3F">
        <w:tblPrEx>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9800698">
            <w:pPr>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w:t>
            </w:r>
          </w:p>
        </w:tc>
        <w:tc>
          <w:tcPr>
            <w:tcW w:w="265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2300A60">
            <w:pPr>
              <w:spacing w:line="360" w:lineRule="auto"/>
              <w:jc w:val="center"/>
              <w:rPr>
                <w:rFonts w:hint="eastAsia" w:ascii="仿宋" w:hAnsi="仿宋" w:eastAsia="仿宋" w:cs="仿宋"/>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75EE39B">
            <w:pPr>
              <w:spacing w:line="360" w:lineRule="auto"/>
              <w:jc w:val="center"/>
              <w:rPr>
                <w:rFonts w:hint="eastAsia" w:ascii="仿宋" w:hAnsi="仿宋" w:eastAsia="仿宋" w:cs="仿宋"/>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CAC247C">
            <w:pPr>
              <w:spacing w:line="360" w:lineRule="auto"/>
              <w:jc w:val="center"/>
              <w:rPr>
                <w:rFonts w:hint="eastAsia" w:ascii="仿宋" w:hAnsi="仿宋" w:eastAsia="仿宋" w:cs="仿宋"/>
                <w:color w:val="auto"/>
                <w:kern w:val="0"/>
                <w:sz w:val="24"/>
                <w:highlight w:val="none"/>
              </w:rPr>
            </w:pPr>
          </w:p>
        </w:tc>
      </w:tr>
      <w:tr w14:paraId="5D5038E2">
        <w:tblPrEx>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0124AF6">
            <w:pPr>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w:t>
            </w:r>
          </w:p>
        </w:tc>
        <w:tc>
          <w:tcPr>
            <w:tcW w:w="265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1787C6C">
            <w:pPr>
              <w:spacing w:line="360" w:lineRule="auto"/>
              <w:jc w:val="center"/>
              <w:rPr>
                <w:rFonts w:hint="eastAsia" w:ascii="仿宋" w:hAnsi="仿宋" w:eastAsia="仿宋" w:cs="仿宋"/>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011B2F1">
            <w:pPr>
              <w:spacing w:line="360" w:lineRule="auto"/>
              <w:jc w:val="center"/>
              <w:rPr>
                <w:rFonts w:hint="eastAsia" w:ascii="仿宋" w:hAnsi="仿宋" w:eastAsia="仿宋" w:cs="仿宋"/>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225CDC0">
            <w:pPr>
              <w:spacing w:line="360" w:lineRule="auto"/>
              <w:jc w:val="center"/>
              <w:rPr>
                <w:rFonts w:hint="eastAsia" w:ascii="仿宋" w:hAnsi="仿宋" w:eastAsia="仿宋" w:cs="仿宋"/>
                <w:color w:val="auto"/>
                <w:kern w:val="0"/>
                <w:sz w:val="24"/>
                <w:highlight w:val="none"/>
              </w:rPr>
            </w:pPr>
          </w:p>
        </w:tc>
      </w:tr>
      <w:tr w14:paraId="24B204DF">
        <w:tblPrEx>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8697045">
            <w:pPr>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p>
        </w:tc>
        <w:tc>
          <w:tcPr>
            <w:tcW w:w="265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A03338A">
            <w:pPr>
              <w:spacing w:line="360" w:lineRule="auto"/>
              <w:jc w:val="center"/>
              <w:rPr>
                <w:rFonts w:hint="eastAsia" w:ascii="仿宋" w:hAnsi="仿宋" w:eastAsia="仿宋" w:cs="仿宋"/>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80DC3E0">
            <w:pPr>
              <w:spacing w:line="360" w:lineRule="auto"/>
              <w:jc w:val="center"/>
              <w:rPr>
                <w:rFonts w:hint="eastAsia" w:ascii="仿宋" w:hAnsi="仿宋" w:eastAsia="仿宋" w:cs="仿宋"/>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09A6C8F">
            <w:pPr>
              <w:spacing w:line="360" w:lineRule="auto"/>
              <w:jc w:val="center"/>
              <w:rPr>
                <w:rFonts w:hint="eastAsia" w:ascii="仿宋" w:hAnsi="仿宋" w:eastAsia="仿宋" w:cs="仿宋"/>
                <w:color w:val="auto"/>
                <w:kern w:val="0"/>
                <w:sz w:val="24"/>
                <w:highlight w:val="none"/>
              </w:rPr>
            </w:pPr>
          </w:p>
        </w:tc>
      </w:tr>
    </w:tbl>
    <w:p w14:paraId="42D1BC85">
      <w:pPr>
        <w:snapToGrid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注：</w:t>
      </w:r>
    </w:p>
    <w:p w14:paraId="6AF131FD">
      <w:pPr>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1.管理关系：是指不具有出资持股关系的其他单位之间存在的管理与被管理关系，如一些上下级关系的事业单位和团体组织。</w:t>
      </w:r>
    </w:p>
    <w:p w14:paraId="57172390">
      <w:pPr>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pacing w:val="-6"/>
          <w:sz w:val="24"/>
          <w:highlight w:val="none"/>
        </w:rPr>
        <w:t>本表所指的管理关系仅限于直接管理关系，不包括间接的管理关系。</w:t>
      </w:r>
    </w:p>
    <w:p w14:paraId="12A5C118">
      <w:pPr>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3.供应商不存在直接管理关系的，则填“无”。</w:t>
      </w:r>
    </w:p>
    <w:p w14:paraId="345D2C7E">
      <w:pPr>
        <w:snapToGrid w:val="0"/>
        <w:spacing w:line="360" w:lineRule="auto"/>
        <w:jc w:val="left"/>
        <w:rPr>
          <w:rFonts w:hint="eastAsia" w:ascii="仿宋" w:hAnsi="仿宋" w:eastAsia="仿宋" w:cs="仿宋"/>
          <w:color w:val="auto"/>
          <w:sz w:val="24"/>
          <w:highlight w:val="none"/>
        </w:rPr>
      </w:pPr>
    </w:p>
    <w:p w14:paraId="5828E644">
      <w:pPr>
        <w:snapToGrid w:val="0"/>
        <w:spacing w:line="360" w:lineRule="auto"/>
        <w:jc w:val="left"/>
        <w:rPr>
          <w:rFonts w:hint="eastAsia" w:ascii="仿宋" w:hAnsi="仿宋" w:eastAsia="仿宋" w:cs="仿宋"/>
          <w:color w:val="auto"/>
          <w:sz w:val="24"/>
          <w:highlight w:val="none"/>
        </w:rPr>
      </w:pPr>
    </w:p>
    <w:p w14:paraId="62C7819D">
      <w:pPr>
        <w:snapToGrid w:val="0"/>
        <w:spacing w:line="360" w:lineRule="auto"/>
        <w:jc w:val="left"/>
        <w:rPr>
          <w:rFonts w:hint="eastAsia" w:ascii="仿宋" w:hAnsi="仿宋" w:eastAsia="仿宋" w:cs="仿宋"/>
          <w:color w:val="auto"/>
          <w:sz w:val="24"/>
          <w:highlight w:val="none"/>
        </w:rPr>
      </w:pPr>
    </w:p>
    <w:p w14:paraId="5BCC7186">
      <w:pPr>
        <w:snapToGrid w:val="0"/>
        <w:spacing w:line="360" w:lineRule="auto"/>
        <w:jc w:val="left"/>
        <w:rPr>
          <w:rFonts w:hint="eastAsia" w:ascii="仿宋" w:hAnsi="仿宋" w:eastAsia="仿宋" w:cs="仿宋"/>
          <w:color w:val="auto"/>
          <w:sz w:val="24"/>
          <w:highlight w:val="none"/>
        </w:rPr>
      </w:pPr>
    </w:p>
    <w:p w14:paraId="6EF81343">
      <w:pPr>
        <w:snapToGrid w:val="0"/>
        <w:spacing w:line="360" w:lineRule="auto"/>
        <w:jc w:val="left"/>
        <w:rPr>
          <w:rFonts w:hint="eastAsia" w:ascii="仿宋" w:hAnsi="仿宋" w:eastAsia="仿宋" w:cs="仿宋"/>
          <w:color w:val="auto"/>
          <w:sz w:val="24"/>
          <w:highlight w:val="none"/>
        </w:rPr>
      </w:pPr>
    </w:p>
    <w:p w14:paraId="238FAF60">
      <w:pPr>
        <w:snapToGrid w:val="0"/>
        <w:spacing w:line="360" w:lineRule="auto"/>
        <w:jc w:val="left"/>
        <w:rPr>
          <w:rFonts w:hint="eastAsia" w:ascii="仿宋" w:hAnsi="仿宋" w:eastAsia="仿宋" w:cs="仿宋"/>
          <w:color w:val="auto"/>
          <w:sz w:val="24"/>
          <w:highlight w:val="none"/>
        </w:rPr>
      </w:pPr>
    </w:p>
    <w:p w14:paraId="2E46EC3A">
      <w:pPr>
        <w:snapToGrid w:val="0"/>
        <w:spacing w:line="360" w:lineRule="auto"/>
        <w:jc w:val="left"/>
        <w:rPr>
          <w:rFonts w:hint="eastAsia" w:ascii="仿宋" w:hAnsi="仿宋" w:eastAsia="仿宋" w:cs="仿宋"/>
          <w:color w:val="auto"/>
          <w:sz w:val="24"/>
          <w:highlight w:val="none"/>
        </w:rPr>
      </w:pPr>
    </w:p>
    <w:p w14:paraId="2463E58B">
      <w:pPr>
        <w:snapToGrid w:val="0"/>
        <w:spacing w:before="120" w:beforeLines="50" w:line="360" w:lineRule="auto"/>
        <w:ind w:right="480" w:firstLine="3967" w:firstLineChars="1653"/>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法定代表人或者委托代理人（签字或CA签章）：</w:t>
      </w:r>
    </w:p>
    <w:p w14:paraId="183A3873">
      <w:pPr>
        <w:snapToGrid w:val="0"/>
        <w:spacing w:before="120" w:beforeLines="50" w:after="50" w:line="360" w:lineRule="auto"/>
        <w:ind w:right="480" w:firstLine="5520" w:firstLineChars="23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投标人（盖公章或CA签章）：</w:t>
      </w:r>
    </w:p>
    <w:p w14:paraId="2901EA28">
      <w:pPr>
        <w:snapToGrid w:val="0"/>
        <w:spacing w:before="120" w:beforeLines="50" w:after="50" w:line="360" w:lineRule="auto"/>
        <w:ind w:right="480" w:firstLine="240" w:firstLineChars="100"/>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年    月    日</w:t>
      </w:r>
    </w:p>
    <w:p w14:paraId="016193E4">
      <w:pPr>
        <w:snapToGrid w:val="0"/>
        <w:spacing w:before="50" w:after="120" w:afterLines="50"/>
        <w:jc w:val="left"/>
        <w:rPr>
          <w:rFonts w:hint="eastAsia" w:ascii="仿宋" w:hAnsi="仿宋" w:eastAsia="仿宋" w:cs="仿宋"/>
          <w:color w:val="auto"/>
          <w:szCs w:val="21"/>
          <w:highlight w:val="none"/>
        </w:rPr>
      </w:pPr>
    </w:p>
    <w:p w14:paraId="25552E1D">
      <w:pPr>
        <w:numPr>
          <w:ilvl w:val="2"/>
          <w:numId w:val="9"/>
        </w:numPr>
        <w:snapToGrid w:val="0"/>
        <w:spacing w:before="120" w:beforeLines="50" w:after="50"/>
        <w:ind w:left="0" w:firstLine="0"/>
        <w:jc w:val="left"/>
        <w:rPr>
          <w:rFonts w:hint="eastAsia" w:ascii="仿宋" w:hAnsi="仿宋" w:eastAsia="仿宋" w:cs="仿宋"/>
          <w:b/>
          <w:color w:val="auto"/>
          <w:sz w:val="24"/>
          <w:szCs w:val="20"/>
          <w:highlight w:val="none"/>
        </w:rPr>
      </w:pPr>
      <w:r>
        <w:rPr>
          <w:rFonts w:hint="eastAsia" w:ascii="仿宋" w:hAnsi="仿宋" w:eastAsia="仿宋" w:cs="仿宋"/>
          <w:b/>
          <w:color w:val="auto"/>
          <w:sz w:val="24"/>
          <w:highlight w:val="none"/>
        </w:rPr>
        <w:br w:type="page"/>
      </w:r>
      <w:r>
        <w:rPr>
          <w:rFonts w:hint="eastAsia" w:ascii="仿宋" w:hAnsi="仿宋" w:eastAsia="仿宋" w:cs="仿宋"/>
          <w:b/>
          <w:color w:val="auto"/>
          <w:sz w:val="24"/>
          <w:highlight w:val="none"/>
        </w:rPr>
        <w:t>投标声明格式</w:t>
      </w:r>
    </w:p>
    <w:p w14:paraId="0845A657">
      <w:pPr>
        <w:snapToGrid w:val="0"/>
        <w:spacing w:before="50" w:after="120" w:afterLines="50"/>
        <w:jc w:val="left"/>
        <w:rPr>
          <w:rFonts w:hint="eastAsia" w:ascii="仿宋" w:hAnsi="仿宋" w:eastAsia="仿宋" w:cs="仿宋"/>
          <w:color w:val="auto"/>
          <w:highlight w:val="none"/>
        </w:rPr>
      </w:pPr>
    </w:p>
    <w:p w14:paraId="5DC2A70D">
      <w:pPr>
        <w:snapToGrid w:val="0"/>
        <w:spacing w:before="50" w:after="120" w:afterLines="50"/>
        <w:jc w:val="center"/>
        <w:rPr>
          <w:rFonts w:hint="eastAsia" w:ascii="仿宋" w:hAnsi="仿宋" w:eastAsia="仿宋" w:cs="仿宋"/>
          <w:bCs/>
          <w:color w:val="auto"/>
          <w:sz w:val="44"/>
          <w:szCs w:val="44"/>
          <w:highlight w:val="none"/>
        </w:rPr>
      </w:pPr>
      <w:r>
        <w:rPr>
          <w:rFonts w:hint="eastAsia" w:ascii="仿宋" w:hAnsi="仿宋" w:eastAsia="仿宋" w:cs="仿宋"/>
          <w:bCs/>
          <w:color w:val="auto"/>
          <w:sz w:val="44"/>
          <w:szCs w:val="44"/>
          <w:highlight w:val="none"/>
        </w:rPr>
        <w:t>投标声明</w:t>
      </w:r>
    </w:p>
    <w:p w14:paraId="6FB31CBD">
      <w:pPr>
        <w:snapToGrid w:val="0"/>
        <w:spacing w:before="50" w:after="120" w:afterLines="50"/>
        <w:jc w:val="center"/>
        <w:rPr>
          <w:rFonts w:hint="eastAsia" w:ascii="仿宋" w:hAnsi="仿宋" w:eastAsia="仿宋" w:cs="仿宋"/>
          <w:bCs/>
          <w:color w:val="auto"/>
          <w:sz w:val="44"/>
          <w:szCs w:val="44"/>
          <w:highlight w:val="none"/>
        </w:rPr>
      </w:pPr>
    </w:p>
    <w:p w14:paraId="21CBFDCF">
      <w:pPr>
        <w:spacing w:line="400" w:lineRule="exact"/>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（采购人名称）：</w:t>
      </w:r>
    </w:p>
    <w:p w14:paraId="3C0EF40A">
      <w:pPr>
        <w:spacing w:line="400" w:lineRule="exact"/>
        <w:ind w:firstLine="523" w:firstLineChars="218"/>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我方参加贵单位组织项目（项目编号：）的政府采购活动。我方在此郑重声明：</w:t>
      </w:r>
    </w:p>
    <w:p w14:paraId="51AF431F">
      <w:pPr>
        <w:spacing w:line="400" w:lineRule="exact"/>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158452BA">
      <w:pPr>
        <w:spacing w:line="400" w:lineRule="exact"/>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2.我方不是为本次采购项目提供整体设计、规范编制或者项目管理、监理、检测等服务的供应商。</w:t>
      </w:r>
    </w:p>
    <w:p w14:paraId="00D8A7AB">
      <w:pPr>
        <w:spacing w:line="400" w:lineRule="exact"/>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 我方承诺符合《中华人民共和国政府采购法》第二十二条规定：</w:t>
      </w:r>
    </w:p>
    <w:p w14:paraId="26D3D575">
      <w:pPr>
        <w:spacing w:line="400" w:lineRule="exact"/>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（一）具有独立承担民事责任的能力；</w:t>
      </w:r>
    </w:p>
    <w:p w14:paraId="7ACD1D22">
      <w:pPr>
        <w:spacing w:line="400" w:lineRule="exact"/>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（二）具有良好的商业信誉和健全的财务会计制度；</w:t>
      </w:r>
    </w:p>
    <w:p w14:paraId="036CE91F">
      <w:pPr>
        <w:spacing w:line="400" w:lineRule="exact"/>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（三）具有履行合同所必需的设备和专业技术能力；</w:t>
      </w:r>
    </w:p>
    <w:p w14:paraId="0B9BD465">
      <w:pPr>
        <w:spacing w:line="400" w:lineRule="exact"/>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（四）有依法缴纳税收和社会保障资金的良好记录；</w:t>
      </w:r>
    </w:p>
    <w:p w14:paraId="3012B821">
      <w:pPr>
        <w:spacing w:line="400" w:lineRule="exact"/>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（五）参加政府采购活动前三年内，在经营活动中没有重大违法记录；</w:t>
      </w:r>
    </w:p>
    <w:p w14:paraId="179FE624">
      <w:pPr>
        <w:spacing w:line="400" w:lineRule="exact"/>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（六）法律、行政法规规定的其他条件。</w:t>
      </w:r>
    </w:p>
    <w:p w14:paraId="433AC40A">
      <w:pPr>
        <w:spacing w:line="400" w:lineRule="exact"/>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4.以上事项如有虚假或者隐瞒，我方愿意承担一切后果，并不再寻求任何旨在减轻或者免除法律责任的辩解。</w:t>
      </w:r>
    </w:p>
    <w:p w14:paraId="4E372B98">
      <w:pPr>
        <w:spacing w:line="400" w:lineRule="exact"/>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特此承诺。</w:t>
      </w:r>
    </w:p>
    <w:p w14:paraId="0D6350C9">
      <w:pPr>
        <w:spacing w:line="400" w:lineRule="exact"/>
        <w:contextualSpacing/>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 xml:space="preserve">    注：如为联合体投标，盖章处须加盖联合体各方公章并由联合体各方法定代表人分别签字，否则投标无效。</w:t>
      </w:r>
    </w:p>
    <w:p w14:paraId="789E49A1">
      <w:pPr>
        <w:spacing w:line="480" w:lineRule="auto"/>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法定代表人（签字或</w:t>
      </w:r>
      <w:r>
        <w:rPr>
          <w:rFonts w:hint="eastAsia" w:ascii="仿宋" w:hAnsi="仿宋" w:eastAsia="仿宋" w:cs="仿宋"/>
          <w:color w:val="auto"/>
          <w:sz w:val="24"/>
          <w:highlight w:val="none"/>
          <w:lang w:val="en-US" w:eastAsia="zh-CN"/>
        </w:rPr>
        <w:t>CA签章</w:t>
      </w:r>
      <w:r>
        <w:rPr>
          <w:rFonts w:hint="eastAsia" w:ascii="仿宋" w:hAnsi="仿宋" w:eastAsia="仿宋" w:cs="仿宋"/>
          <w:color w:val="auto"/>
          <w:sz w:val="24"/>
          <w:highlight w:val="none"/>
        </w:rPr>
        <w:t>）：</w:t>
      </w:r>
    </w:p>
    <w:p w14:paraId="3A3671B9">
      <w:pPr>
        <w:spacing w:line="480" w:lineRule="auto"/>
        <w:contextualSpacing/>
        <w:jc w:val="left"/>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 xml:space="preserve">                                          投标人（盖公章或</w:t>
      </w:r>
      <w:r>
        <w:rPr>
          <w:rFonts w:hint="eastAsia" w:ascii="仿宋" w:hAnsi="仿宋" w:eastAsia="仿宋" w:cs="仿宋"/>
          <w:color w:val="auto"/>
          <w:sz w:val="24"/>
          <w:highlight w:val="none"/>
          <w:lang w:val="en-US" w:eastAsia="zh-CN"/>
        </w:rPr>
        <w:t>CA签章</w:t>
      </w:r>
      <w:r>
        <w:rPr>
          <w:rFonts w:hint="eastAsia" w:ascii="仿宋" w:hAnsi="仿宋" w:eastAsia="仿宋" w:cs="仿宋"/>
          <w:color w:val="auto"/>
          <w:sz w:val="24"/>
          <w:highlight w:val="none"/>
        </w:rPr>
        <w:t>）：</w:t>
      </w:r>
    </w:p>
    <w:p w14:paraId="0FDF458E">
      <w:pPr>
        <w:spacing w:line="480" w:lineRule="auto"/>
        <w:contextualSpacing/>
        <w:jc w:val="left"/>
        <w:rPr>
          <w:rFonts w:hint="eastAsia" w:ascii="仿宋" w:hAnsi="仿宋" w:eastAsia="仿宋" w:cs="仿宋"/>
          <w:color w:val="auto"/>
          <w:highlight w:val="none"/>
        </w:rPr>
      </w:pPr>
      <w:r>
        <w:rPr>
          <w:rFonts w:hint="eastAsia" w:ascii="仿宋" w:hAnsi="仿宋" w:eastAsia="仿宋" w:cs="仿宋"/>
          <w:color w:val="auto"/>
          <w:sz w:val="24"/>
          <w:highlight w:val="none"/>
        </w:rPr>
        <w:t xml:space="preserve">                                                  年    月    日</w:t>
      </w:r>
    </w:p>
    <w:p w14:paraId="52D385B9">
      <w:pPr>
        <w:numPr>
          <w:ilvl w:val="0"/>
          <w:numId w:val="10"/>
        </w:numPr>
        <w:tabs>
          <w:tab w:val="left" w:pos="1890"/>
        </w:tabs>
        <w:spacing w:line="480" w:lineRule="auto"/>
        <w:ind w:left="420"/>
        <w:contextualSpacing/>
        <w:jc w:val="left"/>
        <w:rPr>
          <w:rFonts w:hint="eastAsia" w:ascii="仿宋" w:hAnsi="仿宋" w:eastAsia="仿宋" w:cs="仿宋"/>
          <w:b/>
          <w:color w:val="auto"/>
          <w:sz w:val="28"/>
          <w:szCs w:val="28"/>
          <w:highlight w:val="none"/>
        </w:rPr>
      </w:pPr>
      <w:bookmarkStart w:id="168" w:name="_Toc19686838"/>
      <w:r>
        <w:rPr>
          <w:rFonts w:hint="eastAsia" w:ascii="仿宋" w:hAnsi="仿宋" w:eastAsia="仿宋" w:cs="仿宋"/>
          <w:b/>
          <w:color w:val="auto"/>
          <w:sz w:val="28"/>
          <w:szCs w:val="28"/>
          <w:highlight w:val="none"/>
        </w:rPr>
        <w:br w:type="page"/>
      </w:r>
      <w:r>
        <w:rPr>
          <w:rFonts w:hint="eastAsia" w:ascii="仿宋" w:hAnsi="仿宋" w:eastAsia="仿宋" w:cs="仿宋"/>
          <w:b/>
          <w:color w:val="auto"/>
          <w:sz w:val="28"/>
          <w:szCs w:val="28"/>
          <w:highlight w:val="none"/>
        </w:rPr>
        <w:t>投标人参加本项目无回避事项的承诺函格式</w:t>
      </w:r>
    </w:p>
    <w:p w14:paraId="329C32D0">
      <w:pPr>
        <w:pStyle w:val="61"/>
        <w:tabs>
          <w:tab w:val="left" w:pos="1890"/>
        </w:tabs>
        <w:ind w:firstLine="0"/>
        <w:jc w:val="center"/>
        <w:rPr>
          <w:rFonts w:hint="eastAsia" w:ascii="仿宋" w:hAnsi="仿宋" w:eastAsia="仿宋" w:cs="仿宋"/>
          <w:b/>
          <w:color w:val="auto"/>
          <w:sz w:val="28"/>
          <w:szCs w:val="28"/>
          <w:highlight w:val="none"/>
        </w:rPr>
      </w:pPr>
    </w:p>
    <w:p w14:paraId="36ABA9D6">
      <w:pPr>
        <w:pStyle w:val="61"/>
        <w:tabs>
          <w:tab w:val="left" w:pos="1890"/>
        </w:tabs>
        <w:ind w:firstLine="0"/>
        <w:jc w:val="center"/>
        <w:rPr>
          <w:rFonts w:hint="eastAsia" w:ascii="仿宋" w:hAnsi="仿宋" w:eastAsia="仿宋" w:cs="仿宋"/>
          <w:color w:val="auto"/>
          <w:highlight w:val="none"/>
        </w:rPr>
      </w:pPr>
      <w:r>
        <w:rPr>
          <w:rFonts w:hint="eastAsia" w:ascii="仿宋" w:hAnsi="仿宋" w:eastAsia="仿宋" w:cs="仿宋"/>
          <w:b/>
          <w:color w:val="auto"/>
          <w:sz w:val="28"/>
          <w:szCs w:val="28"/>
          <w:highlight w:val="none"/>
        </w:rPr>
        <w:t>投标人参加本项目无回避事项的承诺函</w:t>
      </w:r>
    </w:p>
    <w:p w14:paraId="022D1F42">
      <w:pPr>
        <w:tabs>
          <w:tab w:val="left" w:pos="1890"/>
        </w:tabs>
        <w:spacing w:line="400" w:lineRule="exact"/>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（采购人名称）：</w:t>
      </w:r>
    </w:p>
    <w:p w14:paraId="43080FE9">
      <w:pPr>
        <w:spacing w:line="400" w:lineRule="exact"/>
        <w:ind w:firstLine="523" w:firstLineChars="218"/>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我方参加贵单位组织项目</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（项目编号：</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）的政府采购活动。我方在此郑重承诺：</w:t>
      </w:r>
    </w:p>
    <w:p w14:paraId="5A45D918">
      <w:pPr>
        <w:spacing w:line="400" w:lineRule="exact"/>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1.我方承诺参加本项目的政府采购活动中与采购人员及相关人员不存在《中华人民共和国政府采购法实施条例》第九条情形；如有，自行提出回避申请：</w:t>
      </w:r>
    </w:p>
    <w:p w14:paraId="44E9FAA5">
      <w:pPr>
        <w:pStyle w:val="7"/>
        <w:keepNext w:val="0"/>
        <w:keepLines w:val="0"/>
        <w:spacing w:before="0" w:after="0" w:line="360" w:lineRule="auto"/>
        <w:ind w:firstLine="420" w:firstLineChars="175"/>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在政府采购活动中，采购人员及相关人员与供应商有下列利害关系之一的，应当回避：</w:t>
      </w:r>
    </w:p>
    <w:p w14:paraId="4EAA92B0">
      <w:pPr>
        <w:pStyle w:val="27"/>
        <w:snapToGrid w:val="0"/>
        <w:spacing w:line="360" w:lineRule="auto"/>
        <w:ind w:left="2" w:leftChars="1"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（1）参加采购活动前3年内与供应商存在劳动关系；</w:t>
      </w:r>
    </w:p>
    <w:p w14:paraId="338A30B0">
      <w:pPr>
        <w:pStyle w:val="27"/>
        <w:snapToGrid w:val="0"/>
        <w:spacing w:line="360" w:lineRule="auto"/>
        <w:ind w:left="2" w:leftChars="1"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（2）参加采购活动前3年内担任供应商的董事、监事；</w:t>
      </w:r>
    </w:p>
    <w:p w14:paraId="3F993DBE">
      <w:pPr>
        <w:pStyle w:val="27"/>
        <w:snapToGrid w:val="0"/>
        <w:spacing w:line="360" w:lineRule="auto"/>
        <w:ind w:left="2" w:leftChars="1"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（3）参加采购活动前3年内是供应商的控股股东或者实际控制人；</w:t>
      </w:r>
    </w:p>
    <w:p w14:paraId="16D0CD90">
      <w:pPr>
        <w:pStyle w:val="27"/>
        <w:snapToGrid w:val="0"/>
        <w:spacing w:line="360" w:lineRule="auto"/>
        <w:ind w:left="2" w:leftChars="1"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（4）与供应商的法定代表人或者负责人有夫妻、直系血亲、三代以内旁系血亲或者近姻亲关系；</w:t>
      </w:r>
    </w:p>
    <w:p w14:paraId="50C99B7A">
      <w:pPr>
        <w:pStyle w:val="27"/>
        <w:snapToGrid w:val="0"/>
        <w:spacing w:line="360" w:lineRule="auto"/>
        <w:ind w:left="2" w:leftChars="1"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（5）与供应商有其他可能影响政府采购活动公平、公正进行的关系。</w:t>
      </w:r>
    </w:p>
    <w:p w14:paraId="55781DE2">
      <w:pPr>
        <w:pStyle w:val="27"/>
        <w:snapToGrid w:val="0"/>
        <w:spacing w:line="360" w:lineRule="auto"/>
        <w:ind w:left="2" w:leftChars="1"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1C1DA0E8">
      <w:pPr>
        <w:spacing w:line="400" w:lineRule="exact"/>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特此承诺。</w:t>
      </w:r>
    </w:p>
    <w:p w14:paraId="2E8436B7">
      <w:pPr>
        <w:spacing w:line="440" w:lineRule="exact"/>
        <w:ind w:firstLine="482" w:firstLineChars="200"/>
        <w:contextualSpacing/>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以上情形一经核查属实，我方愿意承担一切后果，并不再寻求任何旨在减轻或者免除法律责任的辩解。</w:t>
      </w:r>
    </w:p>
    <w:p w14:paraId="3A0CE0A4">
      <w:pPr>
        <w:spacing w:line="360" w:lineRule="auto"/>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法定代表人（签字或</w:t>
      </w:r>
      <w:r>
        <w:rPr>
          <w:rFonts w:hint="eastAsia" w:ascii="仿宋" w:hAnsi="仿宋" w:eastAsia="仿宋" w:cs="仿宋"/>
          <w:color w:val="auto"/>
          <w:sz w:val="24"/>
          <w:highlight w:val="none"/>
          <w:lang w:val="en-US" w:eastAsia="zh-CN"/>
        </w:rPr>
        <w:t>CA签章</w:t>
      </w:r>
      <w:r>
        <w:rPr>
          <w:rFonts w:hint="eastAsia" w:ascii="仿宋" w:hAnsi="仿宋" w:eastAsia="仿宋" w:cs="仿宋"/>
          <w:color w:val="auto"/>
          <w:sz w:val="24"/>
          <w:highlight w:val="none"/>
        </w:rPr>
        <w:t>）：</w:t>
      </w:r>
    </w:p>
    <w:p w14:paraId="5F57D856">
      <w:pPr>
        <w:spacing w:line="360" w:lineRule="auto"/>
        <w:contextualSpacing/>
        <w:jc w:val="left"/>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 xml:space="preserve">                                          投标人（盖公章</w:t>
      </w:r>
      <w:r>
        <w:rPr>
          <w:rFonts w:hint="eastAsia" w:ascii="仿宋" w:hAnsi="仿宋" w:eastAsia="仿宋" w:cs="仿宋"/>
          <w:color w:val="auto"/>
          <w:sz w:val="24"/>
          <w:highlight w:val="none"/>
          <w:lang w:val="en-US" w:eastAsia="zh-CN"/>
        </w:rPr>
        <w:t>或CA签章</w:t>
      </w:r>
      <w:r>
        <w:rPr>
          <w:rFonts w:hint="eastAsia" w:ascii="仿宋" w:hAnsi="仿宋" w:eastAsia="仿宋" w:cs="仿宋"/>
          <w:color w:val="auto"/>
          <w:sz w:val="24"/>
          <w:highlight w:val="none"/>
        </w:rPr>
        <w:t>）：</w:t>
      </w:r>
    </w:p>
    <w:p w14:paraId="108AB2F7">
      <w:pPr>
        <w:spacing w:line="360" w:lineRule="auto"/>
        <w:contextualSpacing/>
        <w:jc w:val="left"/>
        <w:rPr>
          <w:rFonts w:hint="eastAsia" w:ascii="仿宋" w:hAnsi="仿宋" w:eastAsia="仿宋" w:cs="仿宋"/>
          <w:color w:val="auto"/>
          <w:highlight w:val="none"/>
        </w:rPr>
      </w:pPr>
      <w:r>
        <w:rPr>
          <w:rFonts w:hint="eastAsia" w:ascii="仿宋" w:hAnsi="仿宋" w:eastAsia="仿宋" w:cs="仿宋"/>
          <w:color w:val="auto"/>
          <w:sz w:val="24"/>
          <w:highlight w:val="none"/>
        </w:rPr>
        <w:t xml:space="preserve">                                                  年    月    日</w:t>
      </w:r>
    </w:p>
    <w:p w14:paraId="73597E3E">
      <w:pPr>
        <w:spacing w:line="360" w:lineRule="auto"/>
        <w:rPr>
          <w:rFonts w:hint="eastAsia" w:ascii="仿宋" w:hAnsi="仿宋" w:eastAsia="仿宋" w:cs="仿宋"/>
          <w:color w:val="auto"/>
          <w:highlight w:val="none"/>
        </w:rPr>
      </w:pPr>
    </w:p>
    <w:p w14:paraId="4517B8BF">
      <w:pP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br w:type="page"/>
      </w:r>
    </w:p>
    <w:p w14:paraId="0B563E72">
      <w:pPr>
        <w:snapToGrid w:val="0"/>
        <w:spacing w:line="480" w:lineRule="auto"/>
        <w:jc w:val="center"/>
        <w:rPr>
          <w:rFonts w:ascii="仿宋" w:hAnsi="仿宋" w:eastAsia="仿宋" w:cs="仿宋"/>
          <w:b/>
          <w:color w:val="auto"/>
          <w:highlight w:val="none"/>
        </w:rPr>
      </w:pPr>
      <w:r>
        <w:rPr>
          <w:rFonts w:hint="eastAsia" w:ascii="仿宋" w:hAnsi="仿宋" w:eastAsia="仿宋" w:cs="仿宋"/>
          <w:b/>
          <w:color w:val="auto"/>
          <w:sz w:val="28"/>
          <w:szCs w:val="28"/>
          <w:highlight w:val="none"/>
          <w:lang w:val="en-US" w:eastAsia="zh-CN"/>
        </w:rPr>
        <w:t>5、</w:t>
      </w:r>
      <w:r>
        <w:rPr>
          <w:rFonts w:hint="eastAsia" w:ascii="仿宋" w:hAnsi="仿宋" w:eastAsia="仿宋" w:cs="Times New Roman"/>
          <w:b/>
          <w:color w:val="auto"/>
          <w:sz w:val="28"/>
          <w:szCs w:val="28"/>
          <w:highlight w:val="none"/>
          <w:lang w:val="en-US" w:eastAsia="zh-CN"/>
        </w:rPr>
        <w:t>投标</w:t>
      </w:r>
      <w:r>
        <w:rPr>
          <w:rFonts w:hint="eastAsia" w:ascii="仿宋" w:hAnsi="仿宋" w:eastAsia="仿宋" w:cs="Times New Roman"/>
          <w:b/>
          <w:color w:val="auto"/>
          <w:sz w:val="28"/>
          <w:szCs w:val="28"/>
          <w:highlight w:val="none"/>
        </w:rPr>
        <w:t>人为“非在校</w:t>
      </w:r>
      <w:r>
        <w:rPr>
          <w:rFonts w:hint="eastAsia" w:ascii="仿宋" w:hAnsi="仿宋" w:eastAsia="仿宋"/>
          <w:b/>
          <w:color w:val="auto"/>
          <w:sz w:val="28"/>
          <w:szCs w:val="28"/>
          <w:highlight w:val="none"/>
        </w:rPr>
        <w:t>任职的教职工人员”承诺函（必须提供）</w:t>
      </w:r>
    </w:p>
    <w:p w14:paraId="2938094E">
      <w:pPr>
        <w:tabs>
          <w:tab w:val="left" w:pos="1890"/>
        </w:tabs>
        <w:spacing w:after="160" w:line="276" w:lineRule="auto"/>
        <w:jc w:val="center"/>
        <w:rPr>
          <w:rFonts w:eastAsia="仿宋"/>
          <w:color w:val="auto"/>
          <w:szCs w:val="21"/>
          <w:highlight w:val="none"/>
        </w:rPr>
      </w:pPr>
      <w:r>
        <w:rPr>
          <w:rFonts w:hint="eastAsia" w:ascii="仿宋" w:hAnsi="仿宋" w:eastAsia="仿宋" w:cs="仿宋"/>
          <w:b/>
          <w:color w:val="auto"/>
          <w:sz w:val="28"/>
          <w:szCs w:val="28"/>
          <w:highlight w:val="none"/>
          <w:lang w:bidi="ar"/>
        </w:rPr>
        <w:t>承 诺 函（格式）</w:t>
      </w:r>
    </w:p>
    <w:p w14:paraId="6603A8D8">
      <w:pPr>
        <w:pStyle w:val="45"/>
        <w:tabs>
          <w:tab w:val="left" w:pos="1890"/>
        </w:tabs>
        <w:spacing w:after="160" w:line="400" w:lineRule="exact"/>
        <w:contextualSpacing/>
        <w:rPr>
          <w:rFonts w:ascii="仿宋" w:hAnsi="仿宋" w:eastAsia="仿宋" w:cs="仿宋"/>
          <w:color w:val="auto"/>
          <w:highlight w:val="none"/>
        </w:rPr>
      </w:pPr>
      <w:r>
        <w:rPr>
          <w:rFonts w:hint="eastAsia" w:ascii="仿宋" w:hAnsi="仿宋" w:eastAsia="仿宋" w:cs="仿宋"/>
          <w:color w:val="auto"/>
          <w:highlight w:val="none"/>
        </w:rPr>
        <w:t>桂林电子科技大学：</w:t>
      </w:r>
    </w:p>
    <w:p w14:paraId="0045CF55">
      <w:pPr>
        <w:pStyle w:val="45"/>
        <w:spacing w:after="160" w:line="400" w:lineRule="exact"/>
        <w:ind w:firstLine="523" w:firstLineChars="218"/>
        <w:contextualSpacing/>
        <w:rPr>
          <w:rFonts w:ascii="仿宋" w:hAnsi="仿宋" w:eastAsia="仿宋" w:cs="仿宋"/>
          <w:color w:val="auto"/>
          <w:highlight w:val="none"/>
        </w:rPr>
      </w:pPr>
      <w:r>
        <w:rPr>
          <w:rFonts w:hint="eastAsia" w:ascii="仿宋" w:hAnsi="仿宋" w:eastAsia="仿宋" w:cs="仿宋"/>
          <w:color w:val="auto"/>
          <w:highlight w:val="none"/>
        </w:rPr>
        <w:t>我方参加贵单位组织项目</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（项目编号：</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）的采购活动。我方在此郑重承诺：</w:t>
      </w:r>
    </w:p>
    <w:p w14:paraId="0B32EA7F">
      <w:pPr>
        <w:pStyle w:val="45"/>
        <w:spacing w:after="160" w:line="400" w:lineRule="exact"/>
        <w:ind w:firstLine="523" w:firstLineChars="218"/>
        <w:contextualSpacing/>
        <w:rPr>
          <w:rFonts w:ascii="仿宋" w:hAnsi="仿宋" w:eastAsia="仿宋" w:cs="仿宋"/>
          <w:color w:val="auto"/>
          <w:highlight w:val="none"/>
        </w:rPr>
      </w:pPr>
    </w:p>
    <w:p w14:paraId="09CA8A3B">
      <w:pPr>
        <w:pStyle w:val="45"/>
        <w:spacing w:after="160" w:line="400" w:lineRule="exact"/>
        <w:ind w:firstLine="523" w:firstLineChars="218"/>
        <w:contextualSpacing/>
        <w:rPr>
          <w:rFonts w:ascii="仿宋" w:hAnsi="仿宋" w:eastAsia="仿宋" w:cs="仿宋"/>
          <w:color w:val="auto"/>
          <w:highlight w:val="none"/>
        </w:rPr>
      </w:pPr>
      <w:r>
        <w:rPr>
          <w:rFonts w:hint="eastAsia" w:ascii="仿宋" w:hAnsi="仿宋" w:eastAsia="仿宋" w:cs="仿宋"/>
          <w:color w:val="auto"/>
          <w:highlight w:val="none"/>
        </w:rPr>
        <w:t xml:space="preserve">我方法定代表人（负责人）非桂林电子科技大学任职的教职工人员。    </w:t>
      </w:r>
    </w:p>
    <w:p w14:paraId="4CB230EC">
      <w:pPr>
        <w:pStyle w:val="45"/>
        <w:spacing w:after="160" w:line="400" w:lineRule="exact"/>
        <w:ind w:firstLine="523" w:firstLineChars="218"/>
        <w:contextualSpacing/>
        <w:rPr>
          <w:rFonts w:ascii="仿宋" w:hAnsi="仿宋" w:eastAsia="仿宋" w:cs="仿宋"/>
          <w:color w:val="auto"/>
          <w:highlight w:val="none"/>
        </w:rPr>
      </w:pPr>
    </w:p>
    <w:p w14:paraId="6309DC80">
      <w:pPr>
        <w:pStyle w:val="45"/>
        <w:spacing w:after="160" w:line="400" w:lineRule="exact"/>
        <w:ind w:firstLine="523" w:firstLineChars="218"/>
        <w:contextualSpacing/>
        <w:rPr>
          <w:rFonts w:ascii="仿宋" w:hAnsi="仿宋" w:eastAsia="仿宋" w:cs="仿宋"/>
          <w:color w:val="auto"/>
          <w:highlight w:val="none"/>
        </w:rPr>
      </w:pPr>
      <w:r>
        <w:rPr>
          <w:rFonts w:hint="eastAsia" w:ascii="仿宋" w:hAnsi="仿宋" w:eastAsia="仿宋" w:cs="仿宋"/>
          <w:color w:val="auto"/>
          <w:highlight w:val="none"/>
        </w:rPr>
        <w:t>特此承诺。</w:t>
      </w:r>
    </w:p>
    <w:p w14:paraId="3B932D1F">
      <w:pPr>
        <w:pStyle w:val="45"/>
        <w:spacing w:after="160" w:line="400" w:lineRule="exact"/>
        <w:ind w:firstLine="523" w:firstLineChars="218"/>
        <w:contextualSpacing/>
        <w:rPr>
          <w:rFonts w:ascii="仿宋" w:hAnsi="仿宋" w:eastAsia="仿宋" w:cs="仿宋"/>
          <w:color w:val="auto"/>
          <w:highlight w:val="none"/>
        </w:rPr>
      </w:pPr>
    </w:p>
    <w:p w14:paraId="1D6AE806">
      <w:pPr>
        <w:pStyle w:val="45"/>
        <w:spacing w:after="160" w:line="440" w:lineRule="exact"/>
        <w:ind w:firstLine="482" w:firstLineChars="200"/>
        <w:contextualSpacing/>
        <w:rPr>
          <w:rFonts w:hint="eastAsia" w:ascii="仿宋" w:hAnsi="仿宋" w:eastAsia="仿宋" w:cs="仿宋"/>
          <w:b/>
          <w:color w:val="auto"/>
          <w:highlight w:val="none"/>
        </w:rPr>
      </w:pPr>
      <w:r>
        <w:rPr>
          <w:rFonts w:hint="eastAsia" w:ascii="仿宋" w:hAnsi="仿宋" w:eastAsia="仿宋" w:cs="仿宋"/>
          <w:b/>
          <w:color w:val="auto"/>
          <w:highlight w:val="none"/>
        </w:rPr>
        <w:t>以上情形一经核查属实，我方愿意承担一切后果，并不再寻求任何旨在减轻或者免除法律责任的辩解。</w:t>
      </w:r>
    </w:p>
    <w:p w14:paraId="190BA73F">
      <w:pPr>
        <w:pStyle w:val="45"/>
        <w:spacing w:after="160" w:line="440" w:lineRule="exact"/>
        <w:ind w:firstLine="482" w:firstLineChars="200"/>
        <w:contextualSpacing/>
        <w:rPr>
          <w:rFonts w:hint="eastAsia" w:ascii="仿宋" w:hAnsi="仿宋" w:eastAsia="仿宋" w:cs="仿宋"/>
          <w:b/>
          <w:color w:val="auto"/>
          <w:highlight w:val="none"/>
        </w:rPr>
      </w:pPr>
    </w:p>
    <w:p w14:paraId="0DC4CF4E">
      <w:pPr>
        <w:pStyle w:val="45"/>
        <w:spacing w:after="160" w:line="440" w:lineRule="exact"/>
        <w:ind w:firstLine="482" w:firstLineChars="200"/>
        <w:contextualSpacing/>
        <w:rPr>
          <w:rFonts w:hint="eastAsia" w:ascii="仿宋" w:hAnsi="仿宋" w:eastAsia="仿宋" w:cs="仿宋"/>
          <w:b/>
          <w:color w:val="auto"/>
          <w:highlight w:val="none"/>
        </w:rPr>
      </w:pPr>
    </w:p>
    <w:p w14:paraId="17349486">
      <w:pPr>
        <w:pStyle w:val="45"/>
        <w:spacing w:after="160" w:line="440" w:lineRule="exact"/>
        <w:ind w:firstLine="482" w:firstLineChars="200"/>
        <w:contextualSpacing/>
        <w:rPr>
          <w:rFonts w:hint="eastAsia" w:ascii="仿宋" w:hAnsi="仿宋" w:eastAsia="仿宋" w:cs="仿宋"/>
          <w:b/>
          <w:color w:val="auto"/>
          <w:highlight w:val="none"/>
        </w:rPr>
      </w:pPr>
    </w:p>
    <w:p w14:paraId="20CFE120">
      <w:pPr>
        <w:pStyle w:val="45"/>
        <w:spacing w:after="160" w:line="400" w:lineRule="exact"/>
        <w:contextualSpacing/>
        <w:rPr>
          <w:rFonts w:ascii="仿宋" w:hAnsi="仿宋" w:eastAsia="仿宋" w:cs="仿宋"/>
          <w:color w:val="auto"/>
          <w:highlight w:val="none"/>
        </w:rPr>
      </w:pPr>
      <w:r>
        <w:rPr>
          <w:rFonts w:hint="eastAsia" w:ascii="仿宋" w:hAnsi="仿宋" w:eastAsia="仿宋" w:cs="仿宋"/>
          <w:color w:val="auto"/>
          <w:highlight w:val="none"/>
        </w:rPr>
        <w:t xml:space="preserve">                                          法定代表人（签字</w:t>
      </w:r>
      <w:r>
        <w:rPr>
          <w:rFonts w:hint="eastAsia" w:ascii="仿宋" w:hAnsi="仿宋" w:eastAsia="仿宋" w:cs="仿宋"/>
          <w:color w:val="auto"/>
          <w:highlight w:val="none"/>
          <w:lang w:val="en-US" w:eastAsia="zh-CN"/>
        </w:rPr>
        <w:t>或加盖个人CA章</w:t>
      </w:r>
      <w:r>
        <w:rPr>
          <w:rFonts w:hint="eastAsia" w:ascii="仿宋" w:hAnsi="仿宋" w:eastAsia="仿宋" w:cs="仿宋"/>
          <w:color w:val="auto"/>
          <w:highlight w:val="none"/>
        </w:rPr>
        <w:t>）：</w:t>
      </w:r>
    </w:p>
    <w:p w14:paraId="6B3E4667">
      <w:pPr>
        <w:pStyle w:val="45"/>
        <w:spacing w:after="160" w:line="400" w:lineRule="exact"/>
        <w:contextualSpacing/>
        <w:rPr>
          <w:rFonts w:ascii="仿宋" w:hAnsi="仿宋" w:eastAsia="仿宋" w:cs="仿宋"/>
          <w:color w:val="auto"/>
          <w:highlight w:val="none"/>
          <w:u w:val="single"/>
        </w:rPr>
      </w:pPr>
      <w:r>
        <w:rPr>
          <w:rFonts w:hint="eastAsia" w:ascii="仿宋" w:hAnsi="仿宋" w:eastAsia="仿宋" w:cs="仿宋"/>
          <w:color w:val="auto"/>
          <w:highlight w:val="none"/>
        </w:rPr>
        <w:t xml:space="preserve">                                          供应商（</w:t>
      </w:r>
      <w:r>
        <w:rPr>
          <w:rFonts w:hint="eastAsia" w:ascii="仿宋" w:hAnsi="仿宋" w:eastAsia="仿宋" w:cs="仿宋"/>
          <w:color w:val="auto"/>
          <w:highlight w:val="none"/>
          <w:lang w:val="en-US" w:eastAsia="zh-CN"/>
        </w:rPr>
        <w:t>CA</w:t>
      </w:r>
      <w:r>
        <w:rPr>
          <w:rFonts w:hint="eastAsia" w:ascii="仿宋" w:hAnsi="仿宋" w:eastAsia="仿宋" w:cs="仿宋"/>
          <w:color w:val="auto"/>
          <w:highlight w:val="none"/>
        </w:rPr>
        <w:t>公章）：</w:t>
      </w:r>
    </w:p>
    <w:p w14:paraId="6AD29823">
      <w:pPr>
        <w:pStyle w:val="45"/>
        <w:spacing w:after="160" w:line="400" w:lineRule="exact"/>
        <w:contextualSpacing/>
        <w:rPr>
          <w:rFonts w:ascii="仿宋" w:hAnsi="仿宋" w:eastAsia="仿宋" w:cs="仿宋"/>
          <w:color w:val="auto"/>
          <w:highlight w:val="none"/>
        </w:rPr>
      </w:pPr>
      <w:r>
        <w:rPr>
          <w:rFonts w:hint="eastAsia" w:ascii="仿宋" w:hAnsi="仿宋" w:eastAsia="仿宋" w:cs="仿宋"/>
          <w:color w:val="auto"/>
          <w:highlight w:val="none"/>
        </w:rPr>
        <w:t xml:space="preserve">                                                  年    月    日</w:t>
      </w:r>
    </w:p>
    <w:p w14:paraId="7EE3F82A">
      <w:pPr>
        <w:jc w:val="left"/>
        <w:rPr>
          <w:rFonts w:hint="eastAsia" w:ascii="仿宋" w:hAnsi="仿宋" w:eastAsia="仿宋" w:cs="仿宋"/>
          <w:b/>
          <w:color w:val="auto"/>
          <w:sz w:val="28"/>
          <w:szCs w:val="28"/>
          <w:highlight w:val="none"/>
          <w:lang w:val="en-US" w:eastAsia="zh-CN"/>
        </w:rPr>
      </w:pPr>
    </w:p>
    <w:p w14:paraId="427A92DC">
      <w:pPr>
        <w:rPr>
          <w:rFonts w:hint="eastAsia"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lang w:val="en-US" w:eastAsia="zh-CN"/>
        </w:rPr>
        <w:br w:type="page"/>
      </w:r>
    </w:p>
    <w:p w14:paraId="2FF05F8E">
      <w:pP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三、商务文件格式</w:t>
      </w:r>
      <w:bookmarkEnd w:id="168"/>
    </w:p>
    <w:p w14:paraId="4459BD1D">
      <w:pPr>
        <w:snapToGrid w:val="0"/>
        <w:spacing w:before="120" w:beforeLines="50" w:after="50" w:line="360" w:lineRule="auto"/>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 xml:space="preserve">1.商务文件封面格式： </w:t>
      </w:r>
    </w:p>
    <w:p w14:paraId="259445BD">
      <w:pPr>
        <w:snapToGrid w:val="0"/>
        <w:spacing w:before="120" w:beforeLines="50" w:after="50"/>
        <w:rPr>
          <w:rFonts w:hint="eastAsia" w:ascii="仿宋" w:hAnsi="仿宋" w:eastAsia="仿宋" w:cs="仿宋"/>
          <w:bCs/>
          <w:color w:val="auto"/>
          <w:sz w:val="32"/>
          <w:szCs w:val="20"/>
          <w:highlight w:val="none"/>
        </w:rPr>
      </w:pPr>
    </w:p>
    <w:p w14:paraId="6B31C9E5">
      <w:pPr>
        <w:snapToGrid w:val="0"/>
        <w:spacing w:before="120" w:beforeLines="50" w:after="50"/>
        <w:rPr>
          <w:rFonts w:hint="eastAsia" w:ascii="仿宋" w:hAnsi="仿宋" w:eastAsia="仿宋" w:cs="仿宋"/>
          <w:color w:val="auto"/>
          <w:sz w:val="24"/>
          <w:szCs w:val="20"/>
          <w:highlight w:val="none"/>
        </w:rPr>
      </w:pPr>
    </w:p>
    <w:p w14:paraId="70B52A9D">
      <w:pPr>
        <w:snapToGrid w:val="0"/>
        <w:spacing w:before="120" w:beforeLines="50" w:after="50"/>
        <w:rPr>
          <w:rFonts w:hint="eastAsia" w:ascii="仿宋" w:hAnsi="仿宋" w:eastAsia="仿宋" w:cs="仿宋"/>
          <w:color w:val="auto"/>
          <w:sz w:val="24"/>
          <w:szCs w:val="20"/>
          <w:highlight w:val="none"/>
        </w:rPr>
      </w:pPr>
    </w:p>
    <w:p w14:paraId="7439F619">
      <w:pPr>
        <w:snapToGrid w:val="0"/>
        <w:spacing w:before="120" w:beforeLines="50" w:after="50"/>
        <w:rPr>
          <w:rFonts w:hint="eastAsia" w:ascii="仿宋" w:hAnsi="仿宋" w:eastAsia="仿宋" w:cs="仿宋"/>
          <w:color w:val="auto"/>
          <w:sz w:val="24"/>
          <w:szCs w:val="20"/>
          <w:highlight w:val="none"/>
        </w:rPr>
      </w:pPr>
    </w:p>
    <w:p w14:paraId="6AE36D4B">
      <w:pPr>
        <w:snapToGrid w:val="0"/>
        <w:spacing w:before="120" w:beforeLines="50" w:after="50"/>
        <w:jc w:val="center"/>
        <w:rPr>
          <w:rFonts w:hint="eastAsia" w:ascii="仿宋" w:hAnsi="仿宋" w:eastAsia="仿宋" w:cs="仿宋"/>
          <w:color w:val="auto"/>
          <w:sz w:val="84"/>
          <w:szCs w:val="84"/>
          <w:highlight w:val="none"/>
        </w:rPr>
      </w:pPr>
      <w:r>
        <w:rPr>
          <w:rFonts w:hint="eastAsia" w:ascii="仿宋" w:hAnsi="仿宋" w:eastAsia="仿宋" w:cs="仿宋"/>
          <w:color w:val="auto"/>
          <w:sz w:val="84"/>
          <w:szCs w:val="84"/>
          <w:highlight w:val="none"/>
        </w:rPr>
        <w:t>投  标  文  件</w:t>
      </w:r>
    </w:p>
    <w:p w14:paraId="2CAF2BFA">
      <w:pPr>
        <w:snapToGrid w:val="0"/>
        <w:spacing w:before="120" w:beforeLines="50" w:after="50"/>
        <w:rPr>
          <w:rFonts w:hint="eastAsia" w:ascii="仿宋" w:hAnsi="仿宋" w:eastAsia="仿宋" w:cs="仿宋"/>
          <w:color w:val="auto"/>
          <w:sz w:val="24"/>
          <w:szCs w:val="20"/>
          <w:highlight w:val="none"/>
        </w:rPr>
      </w:pPr>
    </w:p>
    <w:p w14:paraId="3989DE7B">
      <w:pPr>
        <w:snapToGrid w:val="0"/>
        <w:spacing w:before="120" w:beforeLines="50" w:after="50"/>
        <w:rPr>
          <w:rFonts w:hint="eastAsia" w:ascii="仿宋" w:hAnsi="仿宋" w:eastAsia="仿宋" w:cs="仿宋"/>
          <w:color w:val="auto"/>
          <w:sz w:val="24"/>
          <w:szCs w:val="20"/>
          <w:highlight w:val="none"/>
        </w:rPr>
      </w:pPr>
    </w:p>
    <w:p w14:paraId="1D4154F2">
      <w:pPr>
        <w:snapToGrid w:val="0"/>
        <w:spacing w:before="120" w:beforeLines="50" w:after="50"/>
        <w:jc w:val="center"/>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商  务  文  件</w:t>
      </w:r>
    </w:p>
    <w:p w14:paraId="6AB51967">
      <w:pPr>
        <w:snapToGrid w:val="0"/>
        <w:spacing w:before="120" w:beforeLines="50" w:after="50"/>
        <w:rPr>
          <w:rFonts w:hint="eastAsia" w:ascii="仿宋" w:hAnsi="仿宋" w:eastAsia="仿宋" w:cs="仿宋"/>
          <w:bCs/>
          <w:color w:val="auto"/>
          <w:sz w:val="24"/>
          <w:szCs w:val="20"/>
          <w:highlight w:val="none"/>
        </w:rPr>
      </w:pPr>
    </w:p>
    <w:p w14:paraId="024C449A">
      <w:pPr>
        <w:snapToGrid w:val="0"/>
        <w:spacing w:before="120" w:beforeLines="50" w:after="50"/>
        <w:ind w:firstLine="540" w:firstLineChars="225"/>
        <w:rPr>
          <w:rFonts w:hint="eastAsia" w:ascii="仿宋" w:hAnsi="仿宋" w:eastAsia="仿宋" w:cs="仿宋"/>
          <w:bCs/>
          <w:color w:val="auto"/>
          <w:sz w:val="24"/>
          <w:highlight w:val="none"/>
        </w:rPr>
      </w:pPr>
    </w:p>
    <w:p w14:paraId="51144A9F">
      <w:pPr>
        <w:snapToGrid w:val="0"/>
        <w:spacing w:before="120" w:beforeLines="50" w:after="50"/>
        <w:ind w:firstLine="540" w:firstLineChars="225"/>
        <w:rPr>
          <w:rFonts w:hint="eastAsia" w:ascii="仿宋" w:hAnsi="仿宋" w:eastAsia="仿宋" w:cs="仿宋"/>
          <w:bCs/>
          <w:color w:val="auto"/>
          <w:sz w:val="24"/>
          <w:highlight w:val="none"/>
        </w:rPr>
      </w:pPr>
    </w:p>
    <w:p w14:paraId="5DBA9019">
      <w:pPr>
        <w:snapToGrid w:val="0"/>
        <w:spacing w:before="120" w:beforeLines="50" w:after="50"/>
        <w:ind w:firstLine="540" w:firstLineChars="225"/>
        <w:rPr>
          <w:rFonts w:hint="eastAsia" w:ascii="仿宋" w:hAnsi="仿宋" w:eastAsia="仿宋" w:cs="仿宋"/>
          <w:bCs/>
          <w:color w:val="auto"/>
          <w:sz w:val="24"/>
          <w:highlight w:val="none"/>
        </w:rPr>
      </w:pPr>
    </w:p>
    <w:p w14:paraId="13E3036C">
      <w:pPr>
        <w:snapToGrid w:val="0"/>
        <w:spacing w:before="120" w:beforeLines="50" w:after="50"/>
        <w:ind w:firstLine="540" w:firstLineChars="225"/>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项目名称：</w:t>
      </w:r>
    </w:p>
    <w:p w14:paraId="105B928C">
      <w:pPr>
        <w:snapToGrid w:val="0"/>
        <w:spacing w:before="120" w:beforeLines="50" w:after="50"/>
        <w:ind w:firstLine="540" w:firstLineChars="225"/>
        <w:rPr>
          <w:rFonts w:hint="eastAsia" w:ascii="仿宋" w:hAnsi="仿宋" w:eastAsia="仿宋" w:cs="仿宋"/>
          <w:bCs/>
          <w:color w:val="auto"/>
          <w:sz w:val="24"/>
          <w:szCs w:val="20"/>
          <w:highlight w:val="none"/>
        </w:rPr>
      </w:pPr>
    </w:p>
    <w:p w14:paraId="0DEEEC19">
      <w:pPr>
        <w:snapToGrid w:val="0"/>
        <w:spacing w:before="120" w:beforeLines="50" w:after="50"/>
        <w:ind w:firstLine="540" w:firstLineChars="225"/>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项目编号：</w:t>
      </w:r>
    </w:p>
    <w:p w14:paraId="20FCE83A">
      <w:pPr>
        <w:snapToGrid w:val="0"/>
        <w:spacing w:before="120" w:beforeLines="50" w:after="50"/>
        <w:ind w:firstLine="540" w:firstLineChars="225"/>
        <w:rPr>
          <w:rFonts w:hint="eastAsia" w:ascii="仿宋" w:hAnsi="仿宋" w:eastAsia="仿宋" w:cs="仿宋"/>
          <w:bCs/>
          <w:color w:val="auto"/>
          <w:sz w:val="24"/>
          <w:szCs w:val="20"/>
          <w:highlight w:val="none"/>
        </w:rPr>
      </w:pPr>
    </w:p>
    <w:p w14:paraId="54A71DC7">
      <w:pPr>
        <w:pStyle w:val="8"/>
        <w:snapToGrid w:val="0"/>
        <w:spacing w:before="50" w:after="50"/>
        <w:ind w:firstLine="540" w:firstLineChars="225"/>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投标人名称：</w:t>
      </w:r>
    </w:p>
    <w:p w14:paraId="7E0BBEA8">
      <w:pPr>
        <w:pStyle w:val="8"/>
        <w:snapToGrid w:val="0"/>
        <w:spacing w:before="50" w:after="50"/>
        <w:ind w:firstLine="540" w:firstLineChars="225"/>
        <w:rPr>
          <w:rFonts w:hint="eastAsia" w:ascii="仿宋" w:hAnsi="仿宋" w:eastAsia="仿宋" w:cs="仿宋"/>
          <w:bCs/>
          <w:color w:val="auto"/>
          <w:sz w:val="24"/>
          <w:szCs w:val="24"/>
          <w:highlight w:val="none"/>
        </w:rPr>
      </w:pPr>
    </w:p>
    <w:p w14:paraId="711EE86A">
      <w:pPr>
        <w:pStyle w:val="8"/>
        <w:snapToGrid w:val="0"/>
        <w:spacing w:before="50" w:after="50"/>
        <w:ind w:firstLine="960" w:firstLineChars="400"/>
        <w:rPr>
          <w:rFonts w:hint="eastAsia" w:ascii="仿宋" w:hAnsi="仿宋" w:eastAsia="仿宋" w:cs="仿宋"/>
          <w:bCs/>
          <w:color w:val="auto"/>
          <w:sz w:val="24"/>
          <w:szCs w:val="24"/>
          <w:highlight w:val="none"/>
        </w:rPr>
      </w:pPr>
    </w:p>
    <w:p w14:paraId="739D6FF5">
      <w:pPr>
        <w:snapToGrid w:val="0"/>
        <w:spacing w:before="120" w:beforeLines="50" w:after="50"/>
        <w:ind w:firstLine="64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年  月  日</w:t>
      </w:r>
    </w:p>
    <w:p w14:paraId="1BC44E01">
      <w:pPr>
        <w:snapToGrid w:val="0"/>
        <w:spacing w:before="120" w:beforeLines="50" w:after="50"/>
        <w:rPr>
          <w:rFonts w:hint="eastAsia" w:ascii="仿宋" w:hAnsi="仿宋" w:eastAsia="仿宋" w:cs="仿宋"/>
          <w:color w:val="auto"/>
          <w:sz w:val="24"/>
          <w:szCs w:val="20"/>
          <w:highlight w:val="none"/>
        </w:rPr>
      </w:pPr>
    </w:p>
    <w:p w14:paraId="303DF428">
      <w:pPr>
        <w:snapToGrid w:val="0"/>
        <w:spacing w:line="360" w:lineRule="auto"/>
        <w:jc w:val="left"/>
        <w:rPr>
          <w:rFonts w:hint="eastAsia" w:ascii="仿宋" w:hAnsi="仿宋" w:eastAsia="仿宋" w:cs="仿宋"/>
          <w:b/>
          <w:bCs/>
          <w:color w:val="auto"/>
          <w:sz w:val="28"/>
          <w:szCs w:val="28"/>
          <w:highlight w:val="none"/>
        </w:rPr>
      </w:pPr>
      <w:r>
        <w:rPr>
          <w:rFonts w:hint="eastAsia" w:ascii="仿宋" w:hAnsi="仿宋" w:eastAsia="仿宋" w:cs="仿宋"/>
          <w:color w:val="auto"/>
          <w:sz w:val="24"/>
          <w:szCs w:val="20"/>
          <w:highlight w:val="none"/>
        </w:rPr>
        <w:br w:type="page"/>
      </w:r>
      <w:r>
        <w:rPr>
          <w:rFonts w:hint="eastAsia" w:ascii="仿宋" w:hAnsi="仿宋" w:eastAsia="仿宋" w:cs="仿宋"/>
          <w:b/>
          <w:bCs/>
          <w:color w:val="auto"/>
          <w:sz w:val="24"/>
          <w:highlight w:val="none"/>
        </w:rPr>
        <w:t>2.商务文件目录</w:t>
      </w:r>
    </w:p>
    <w:p w14:paraId="74673E20">
      <w:pPr>
        <w:snapToGrid w:val="0"/>
        <w:spacing w:before="50" w:after="120" w:afterLines="50" w:line="360" w:lineRule="auto"/>
        <w:ind w:firstLine="480" w:firstLineChars="200"/>
        <w:jc w:val="left"/>
        <w:rPr>
          <w:rFonts w:hint="eastAsia" w:ascii="仿宋" w:hAnsi="仿宋" w:eastAsia="仿宋" w:cs="仿宋"/>
          <w:b/>
          <w:bCs/>
          <w:color w:val="auto"/>
          <w:sz w:val="32"/>
          <w:szCs w:val="32"/>
          <w:highlight w:val="none"/>
        </w:rPr>
      </w:pPr>
      <w:r>
        <w:rPr>
          <w:rFonts w:hint="eastAsia" w:ascii="仿宋" w:hAnsi="仿宋" w:eastAsia="仿宋" w:cs="仿宋"/>
          <w:color w:val="auto"/>
          <w:sz w:val="24"/>
          <w:highlight w:val="none"/>
        </w:rPr>
        <w:t>根据招标文件规定及投标人提供的材料自行编写目录。</w:t>
      </w:r>
    </w:p>
    <w:p w14:paraId="02D3DF82">
      <w:pPr>
        <w:snapToGrid w:val="0"/>
        <w:spacing w:before="50" w:after="120" w:afterLines="50"/>
        <w:jc w:val="left"/>
        <w:rPr>
          <w:rFonts w:hint="eastAsia" w:ascii="仿宋" w:hAnsi="仿宋" w:eastAsia="仿宋" w:cs="仿宋"/>
          <w:color w:val="auto"/>
          <w:highlight w:val="none"/>
        </w:rPr>
      </w:pPr>
    </w:p>
    <w:p w14:paraId="38C2BF61">
      <w:pPr>
        <w:snapToGrid w:val="0"/>
        <w:spacing w:before="120" w:beforeLines="50" w:after="50"/>
        <w:jc w:val="left"/>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rPr>
        <w:br w:type="page"/>
      </w:r>
      <w:r>
        <w:rPr>
          <w:rFonts w:hint="eastAsia" w:ascii="仿宋" w:hAnsi="仿宋" w:eastAsia="仿宋" w:cs="仿宋"/>
          <w:b/>
          <w:color w:val="auto"/>
          <w:sz w:val="24"/>
          <w:highlight w:val="none"/>
        </w:rPr>
        <w:t>3.投标人参加本项目无围标串标行为的承诺</w:t>
      </w:r>
      <w:r>
        <w:rPr>
          <w:rFonts w:hint="eastAsia" w:ascii="仿宋" w:hAnsi="仿宋" w:eastAsia="仿宋" w:cs="仿宋"/>
          <w:b/>
          <w:color w:val="auto"/>
          <w:sz w:val="24"/>
          <w:highlight w:val="none"/>
          <w:lang w:val="en-US" w:eastAsia="zh-CN"/>
        </w:rPr>
        <w:t>格式</w:t>
      </w:r>
    </w:p>
    <w:p w14:paraId="6660EAA2">
      <w:pPr>
        <w:snapToGrid w:val="0"/>
        <w:spacing w:before="120" w:beforeLines="50" w:after="50"/>
        <w:jc w:val="left"/>
        <w:rPr>
          <w:rFonts w:hint="eastAsia" w:ascii="仿宋" w:hAnsi="仿宋" w:eastAsia="仿宋" w:cs="仿宋"/>
          <w:b/>
          <w:color w:val="auto"/>
          <w:sz w:val="24"/>
          <w:highlight w:val="none"/>
        </w:rPr>
      </w:pPr>
    </w:p>
    <w:p w14:paraId="5A59E5D0">
      <w:pPr>
        <w:spacing w:line="360" w:lineRule="auto"/>
        <w:ind w:left="420"/>
        <w:contextualSpacing/>
        <w:jc w:val="center"/>
        <w:rPr>
          <w:rFonts w:hint="eastAsia" w:ascii="仿宋" w:hAnsi="仿宋" w:eastAsia="仿宋" w:cs="仿宋"/>
          <w:b/>
          <w:color w:val="auto"/>
          <w:sz w:val="24"/>
          <w:highlight w:val="none"/>
        </w:rPr>
      </w:pPr>
      <w:r>
        <w:rPr>
          <w:rFonts w:hint="eastAsia" w:ascii="仿宋" w:hAnsi="仿宋" w:eastAsia="仿宋" w:cs="仿宋"/>
          <w:bCs/>
          <w:color w:val="auto"/>
          <w:spacing w:val="-11"/>
          <w:sz w:val="44"/>
          <w:szCs w:val="44"/>
          <w:highlight w:val="none"/>
        </w:rPr>
        <w:t>投标人参加本项目无围标串标行为的承诺函</w:t>
      </w:r>
    </w:p>
    <w:p w14:paraId="09F41B04">
      <w:pPr>
        <w:spacing w:line="440" w:lineRule="exact"/>
        <w:contextualSpacing/>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一、我方承诺无下列相互串通投标的情形：</w:t>
      </w:r>
    </w:p>
    <w:p w14:paraId="4573A0D8">
      <w:pPr>
        <w:spacing w:line="440" w:lineRule="exact"/>
        <w:ind w:firstLine="470" w:firstLineChars="196"/>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1.不同投标人的投标文件由同一单位或者个人编制；</w:t>
      </w:r>
    </w:p>
    <w:p w14:paraId="1CB18B57">
      <w:pPr>
        <w:spacing w:line="440" w:lineRule="exact"/>
        <w:ind w:firstLine="470" w:firstLineChars="196"/>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2.不同投标人委托同一单位或者个人办理投标事宜；</w:t>
      </w:r>
    </w:p>
    <w:p w14:paraId="56B713A1">
      <w:pPr>
        <w:spacing w:line="440" w:lineRule="exact"/>
        <w:ind w:firstLine="470" w:firstLineChars="196"/>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3.不同的投标人的投标文件载明的项目管理员为同一个人；</w:t>
      </w:r>
    </w:p>
    <w:p w14:paraId="16F5C4AB">
      <w:pPr>
        <w:spacing w:line="440" w:lineRule="exact"/>
        <w:ind w:firstLine="470" w:firstLineChars="196"/>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4.不同投标人的投标文件异常一致或者投标报价呈规律性差异；</w:t>
      </w:r>
    </w:p>
    <w:p w14:paraId="0FC860B1">
      <w:pPr>
        <w:spacing w:line="440" w:lineRule="exact"/>
        <w:ind w:firstLine="470" w:firstLineChars="196"/>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5.不同投标人的投标文件相互混装；</w:t>
      </w:r>
    </w:p>
    <w:p w14:paraId="6560144A">
      <w:pPr>
        <w:spacing w:line="440" w:lineRule="exact"/>
        <w:ind w:firstLine="470" w:firstLineChars="196"/>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6.不同投标人的投标保证金从同一单位或者个人账户转出。</w:t>
      </w:r>
    </w:p>
    <w:p w14:paraId="4B0783C5">
      <w:pPr>
        <w:spacing w:line="440" w:lineRule="exact"/>
        <w:contextualSpacing/>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二、我方承诺无下列恶意串通的情形：</w:t>
      </w:r>
    </w:p>
    <w:p w14:paraId="19D15F51">
      <w:pPr>
        <w:spacing w:line="440" w:lineRule="exact"/>
        <w:ind w:firstLine="470" w:firstLineChars="196"/>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1.投标人直接或者间接从采购人或者采购代理机构处获得其他投标人的相关信息并修改其投标文件或者响应文件；</w:t>
      </w:r>
    </w:p>
    <w:p w14:paraId="0D85BEFE">
      <w:pPr>
        <w:spacing w:line="440" w:lineRule="exact"/>
        <w:ind w:firstLine="470" w:firstLineChars="196"/>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2.投标人按照采购人或者采购代理机构的授意撤换、修改投标文件或者响应文件；</w:t>
      </w:r>
    </w:p>
    <w:p w14:paraId="0A229B06">
      <w:pPr>
        <w:spacing w:line="440" w:lineRule="exact"/>
        <w:ind w:firstLine="470" w:firstLineChars="196"/>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3.投标人之间协商报价、技术方案等投标文件或者响应文件的实质性内容；</w:t>
      </w:r>
    </w:p>
    <w:p w14:paraId="09EE7BD2">
      <w:pPr>
        <w:spacing w:line="440" w:lineRule="exact"/>
        <w:ind w:firstLine="470" w:firstLineChars="196"/>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4.属于同一集团、协会、商会等组织成员的投标人按照该组织要求协同参加政府采购活动；</w:t>
      </w:r>
    </w:p>
    <w:p w14:paraId="57CCC70F">
      <w:pPr>
        <w:spacing w:line="440" w:lineRule="exact"/>
        <w:ind w:firstLine="470" w:firstLineChars="196"/>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5.投标人之间事先约定一致抬高或者压低投标报价，或者在招标项目中事先约定轮流以高价位或者低价位中标，或者事先约定由某一特定投标人中标，然后再参加投标；</w:t>
      </w:r>
    </w:p>
    <w:p w14:paraId="1F6383D5">
      <w:pPr>
        <w:spacing w:line="440" w:lineRule="exact"/>
        <w:ind w:firstLine="470" w:firstLineChars="196"/>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6.投标人之间商定部分投标人放弃参加政府采购活动或者放弃中标；</w:t>
      </w:r>
    </w:p>
    <w:p w14:paraId="51A5095F">
      <w:pPr>
        <w:spacing w:line="440" w:lineRule="exact"/>
        <w:ind w:firstLine="470" w:firstLineChars="196"/>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7.投标人与采购人或者采购代理机构之间、投标人相互之间，为谋求特定投标人中标或者排斥其他投标人的其他串通行为。</w:t>
      </w:r>
    </w:p>
    <w:p w14:paraId="55812504">
      <w:pPr>
        <w:spacing w:line="440" w:lineRule="exact"/>
        <w:ind w:firstLine="472" w:firstLineChars="196"/>
        <w:contextualSpacing/>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以上情形一经核查属实，我方愿意承担一切后果，并不再寻求任何旨在减轻或者免除法律责任的辩解。</w:t>
      </w:r>
    </w:p>
    <w:p w14:paraId="468F3CBE">
      <w:pPr>
        <w:pStyle w:val="27"/>
        <w:spacing w:line="440" w:lineRule="exact"/>
        <w:ind w:firstLine="6840" w:firstLineChars="2850"/>
        <w:contextualSpacing/>
        <w:rPr>
          <w:rFonts w:hint="eastAsia" w:ascii="仿宋" w:hAnsi="仿宋" w:eastAsia="仿宋" w:cs="仿宋"/>
          <w:color w:val="auto"/>
          <w:sz w:val="24"/>
          <w:szCs w:val="24"/>
          <w:highlight w:val="none"/>
        </w:rPr>
      </w:pPr>
    </w:p>
    <w:p w14:paraId="15FFAC42">
      <w:pPr>
        <w:pStyle w:val="27"/>
        <w:spacing w:line="440" w:lineRule="exact"/>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投标人名称（公章</w:t>
      </w:r>
      <w:r>
        <w:rPr>
          <w:rFonts w:hint="eastAsia" w:ascii="仿宋" w:hAnsi="仿宋" w:eastAsia="仿宋" w:cs="仿宋"/>
          <w:color w:val="auto"/>
          <w:sz w:val="24"/>
          <w:szCs w:val="24"/>
          <w:highlight w:val="none"/>
          <w:lang w:val="en-US" w:eastAsia="zh-CN"/>
        </w:rPr>
        <w:t>或</w:t>
      </w:r>
      <w:r>
        <w:rPr>
          <w:rFonts w:hint="eastAsia" w:ascii="仿宋" w:hAnsi="仿宋" w:eastAsia="仿宋" w:cs="仿宋"/>
          <w:color w:val="auto"/>
          <w:sz w:val="24"/>
          <w:highlight w:val="none"/>
          <w:lang w:val="en-US" w:eastAsia="zh-CN"/>
        </w:rPr>
        <w:t>CA签章</w:t>
      </w:r>
      <w:r>
        <w:rPr>
          <w:rFonts w:hint="eastAsia" w:ascii="仿宋" w:hAnsi="仿宋" w:eastAsia="仿宋" w:cs="仿宋"/>
          <w:color w:val="auto"/>
          <w:sz w:val="24"/>
          <w:szCs w:val="24"/>
          <w:highlight w:val="none"/>
        </w:rPr>
        <w:t>）：</w:t>
      </w:r>
    </w:p>
    <w:p w14:paraId="78CAE776">
      <w:pPr>
        <w:pStyle w:val="27"/>
        <w:spacing w:line="440" w:lineRule="exact"/>
        <w:ind w:firstLine="4320" w:firstLineChars="18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年   月   日</w:t>
      </w:r>
    </w:p>
    <w:p w14:paraId="08BD7CC6">
      <w:pPr>
        <w:snapToGrid w:val="0"/>
        <w:spacing w:before="120" w:beforeLines="50" w:after="50"/>
        <w:jc w:val="left"/>
        <w:rPr>
          <w:rFonts w:hint="eastAsia" w:ascii="仿宋" w:hAnsi="仿宋" w:eastAsia="仿宋" w:cs="仿宋"/>
          <w:b/>
          <w:color w:val="auto"/>
          <w:sz w:val="24"/>
          <w:highlight w:val="none"/>
        </w:rPr>
      </w:pPr>
    </w:p>
    <w:p w14:paraId="52D6104D">
      <w:pPr>
        <w:snapToGrid w:val="0"/>
        <w:spacing w:before="120" w:beforeLines="50" w:after="50"/>
        <w:jc w:val="left"/>
        <w:rPr>
          <w:rFonts w:hint="eastAsia" w:ascii="仿宋" w:hAnsi="仿宋" w:eastAsia="仿宋" w:cs="仿宋"/>
          <w:b/>
          <w:color w:val="auto"/>
          <w:sz w:val="24"/>
          <w:highlight w:val="none"/>
        </w:rPr>
      </w:pPr>
    </w:p>
    <w:p w14:paraId="48432CC9">
      <w:pPr>
        <w:snapToGrid w:val="0"/>
        <w:spacing w:before="120" w:beforeLines="50" w:after="50"/>
        <w:jc w:val="left"/>
        <w:rPr>
          <w:rFonts w:hint="eastAsia" w:ascii="仿宋" w:hAnsi="仿宋" w:eastAsia="仿宋" w:cs="仿宋"/>
          <w:b/>
          <w:color w:val="auto"/>
          <w:sz w:val="24"/>
          <w:highlight w:val="none"/>
        </w:rPr>
      </w:pPr>
    </w:p>
    <w:p w14:paraId="6D9AAFE6">
      <w:pPr>
        <w:snapToGrid w:val="0"/>
        <w:spacing w:before="120" w:beforeLines="50" w:after="50"/>
        <w:jc w:val="left"/>
        <w:rPr>
          <w:rFonts w:hint="eastAsia" w:ascii="仿宋" w:hAnsi="仿宋" w:eastAsia="仿宋" w:cs="仿宋"/>
          <w:b/>
          <w:color w:val="auto"/>
          <w:sz w:val="24"/>
          <w:highlight w:val="none"/>
        </w:rPr>
      </w:pPr>
    </w:p>
    <w:p w14:paraId="0BB6DC53">
      <w:pPr>
        <w:snapToGrid w:val="0"/>
        <w:spacing w:before="120" w:beforeLines="50" w:after="50"/>
        <w:jc w:val="left"/>
        <w:rPr>
          <w:rFonts w:hint="eastAsia" w:ascii="仿宋" w:hAnsi="仿宋" w:eastAsia="仿宋" w:cs="仿宋"/>
          <w:b/>
          <w:color w:val="auto"/>
          <w:sz w:val="24"/>
          <w:highlight w:val="none"/>
        </w:rPr>
      </w:pPr>
    </w:p>
    <w:p w14:paraId="33459CD8">
      <w:pPr>
        <w:snapToGrid w:val="0"/>
        <w:spacing w:before="120" w:beforeLines="50" w:after="50"/>
        <w:jc w:val="left"/>
        <w:rPr>
          <w:rFonts w:hint="eastAsia" w:ascii="仿宋" w:hAnsi="仿宋" w:eastAsia="仿宋" w:cs="仿宋"/>
          <w:b/>
          <w:color w:val="auto"/>
          <w:sz w:val="24"/>
          <w:szCs w:val="20"/>
          <w:highlight w:val="none"/>
          <w:lang w:val="en-US" w:eastAsia="zh-CN"/>
        </w:rPr>
      </w:pPr>
      <w:r>
        <w:rPr>
          <w:rFonts w:hint="eastAsia" w:ascii="仿宋" w:hAnsi="仿宋" w:eastAsia="仿宋" w:cs="仿宋"/>
          <w:b/>
          <w:color w:val="auto"/>
          <w:sz w:val="24"/>
          <w:highlight w:val="none"/>
        </w:rPr>
        <w:t>4.法定代表人身份证明</w:t>
      </w:r>
      <w:r>
        <w:rPr>
          <w:rFonts w:hint="eastAsia" w:ascii="仿宋" w:hAnsi="仿宋" w:eastAsia="仿宋" w:cs="仿宋"/>
          <w:b/>
          <w:color w:val="auto"/>
          <w:sz w:val="24"/>
          <w:highlight w:val="none"/>
          <w:lang w:val="en-US" w:eastAsia="zh-CN"/>
        </w:rPr>
        <w:t>格式</w:t>
      </w:r>
    </w:p>
    <w:p w14:paraId="49B5E31D">
      <w:pPr>
        <w:spacing w:before="240" w:beforeLines="100" w:after="120" w:afterLines="50"/>
        <w:ind w:left="540"/>
        <w:jc w:val="center"/>
        <w:rPr>
          <w:rFonts w:hint="eastAsia" w:ascii="仿宋" w:hAnsi="仿宋" w:eastAsia="仿宋" w:cs="仿宋"/>
          <w:bCs/>
          <w:color w:val="auto"/>
          <w:sz w:val="44"/>
          <w:szCs w:val="44"/>
          <w:highlight w:val="none"/>
        </w:rPr>
      </w:pPr>
      <w:r>
        <w:rPr>
          <w:rFonts w:hint="eastAsia" w:ascii="仿宋" w:hAnsi="仿宋" w:eastAsia="仿宋" w:cs="仿宋"/>
          <w:bCs/>
          <w:color w:val="auto"/>
          <w:sz w:val="44"/>
          <w:szCs w:val="44"/>
          <w:highlight w:val="none"/>
        </w:rPr>
        <w:t>法定代表人身份证明</w:t>
      </w:r>
    </w:p>
    <w:p w14:paraId="5E12EC6D">
      <w:pPr>
        <w:spacing w:line="500" w:lineRule="exact"/>
        <w:ind w:left="540"/>
        <w:rPr>
          <w:rFonts w:hint="eastAsia" w:ascii="仿宋" w:hAnsi="仿宋" w:eastAsia="仿宋" w:cs="仿宋"/>
          <w:color w:val="auto"/>
          <w:sz w:val="24"/>
          <w:highlight w:val="none"/>
        </w:rPr>
      </w:pPr>
      <w:r>
        <w:rPr>
          <w:rFonts w:hint="eastAsia" w:ascii="仿宋" w:hAnsi="仿宋" w:eastAsia="仿宋" w:cs="仿宋"/>
          <w:color w:val="auto"/>
          <w:sz w:val="24"/>
          <w:highlight w:val="none"/>
        </w:rPr>
        <w:t>投 标 人：</w:t>
      </w:r>
    </w:p>
    <w:p w14:paraId="587C26F9">
      <w:pPr>
        <w:spacing w:line="500" w:lineRule="exact"/>
        <w:ind w:left="540"/>
        <w:rPr>
          <w:rFonts w:hint="eastAsia" w:ascii="仿宋" w:hAnsi="仿宋" w:eastAsia="仿宋" w:cs="仿宋"/>
          <w:color w:val="auto"/>
          <w:sz w:val="24"/>
          <w:highlight w:val="none"/>
        </w:rPr>
      </w:pPr>
      <w:r>
        <w:rPr>
          <w:rFonts w:hint="eastAsia" w:ascii="仿宋" w:hAnsi="仿宋" w:eastAsia="仿宋" w:cs="仿宋"/>
          <w:color w:val="auto"/>
          <w:sz w:val="24"/>
          <w:highlight w:val="none"/>
        </w:rPr>
        <w:t>地    址：</w:t>
      </w:r>
    </w:p>
    <w:p w14:paraId="10E8D32C">
      <w:pPr>
        <w:spacing w:line="500" w:lineRule="exact"/>
        <w:ind w:left="540"/>
        <w:rPr>
          <w:rFonts w:hint="eastAsia" w:ascii="仿宋" w:hAnsi="仿宋" w:eastAsia="仿宋" w:cs="仿宋"/>
          <w:color w:val="auto"/>
          <w:sz w:val="24"/>
          <w:highlight w:val="none"/>
        </w:rPr>
      </w:pPr>
      <w:r>
        <w:rPr>
          <w:rFonts w:hint="eastAsia" w:ascii="仿宋" w:hAnsi="仿宋" w:eastAsia="仿宋" w:cs="仿宋"/>
          <w:color w:val="auto"/>
          <w:sz w:val="24"/>
          <w:highlight w:val="none"/>
        </w:rPr>
        <w:t>姓    名：</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性      别：</w:t>
      </w:r>
    </w:p>
    <w:p w14:paraId="3E060667">
      <w:pPr>
        <w:spacing w:line="500" w:lineRule="exact"/>
        <w:ind w:left="54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年    龄：                     职      务：</w:t>
      </w:r>
    </w:p>
    <w:p w14:paraId="2D0C0886">
      <w:pPr>
        <w:spacing w:line="500" w:lineRule="exact"/>
        <w:ind w:left="540"/>
        <w:rPr>
          <w:rFonts w:hint="eastAsia" w:ascii="仿宋" w:hAnsi="仿宋" w:eastAsia="仿宋" w:cs="仿宋"/>
          <w:color w:val="auto"/>
          <w:sz w:val="24"/>
          <w:highlight w:val="none"/>
        </w:rPr>
      </w:pPr>
      <w:r>
        <w:rPr>
          <w:rFonts w:hint="eastAsia" w:ascii="仿宋" w:hAnsi="仿宋" w:eastAsia="仿宋" w:cs="仿宋"/>
          <w:color w:val="auto"/>
          <w:sz w:val="24"/>
          <w:highlight w:val="none"/>
        </w:rPr>
        <w:t>身份证号码：</w:t>
      </w:r>
    </w:p>
    <w:p w14:paraId="70C7B290">
      <w:pPr>
        <w:spacing w:line="50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 xml:space="preserve">            （投标人名称）              </w:t>
      </w:r>
      <w:r>
        <w:rPr>
          <w:rFonts w:hint="eastAsia" w:ascii="仿宋" w:hAnsi="仿宋" w:eastAsia="仿宋" w:cs="仿宋"/>
          <w:color w:val="auto"/>
          <w:sz w:val="24"/>
          <w:highlight w:val="none"/>
        </w:rPr>
        <w:t>的法定代表人。</w:t>
      </w:r>
    </w:p>
    <w:p w14:paraId="08229B6A">
      <w:pPr>
        <w:spacing w:line="500" w:lineRule="exact"/>
        <w:ind w:left="540"/>
        <w:rPr>
          <w:rFonts w:hint="eastAsia" w:ascii="仿宋" w:hAnsi="仿宋" w:eastAsia="仿宋" w:cs="仿宋"/>
          <w:color w:val="auto"/>
          <w:sz w:val="24"/>
          <w:highlight w:val="none"/>
        </w:rPr>
      </w:pPr>
      <w:r>
        <w:rPr>
          <w:rFonts w:hint="eastAsia" w:ascii="仿宋" w:hAnsi="仿宋" w:eastAsia="仿宋" w:cs="仿宋"/>
          <w:color w:val="auto"/>
          <w:sz w:val="24"/>
          <w:highlight w:val="none"/>
        </w:rPr>
        <w:t>特此证明。</w:t>
      </w:r>
    </w:p>
    <w:p w14:paraId="678F74F8">
      <w:pPr>
        <w:spacing w:line="500" w:lineRule="exact"/>
        <w:ind w:left="540"/>
        <w:rPr>
          <w:rFonts w:hint="eastAsia" w:ascii="仿宋" w:hAnsi="仿宋" w:eastAsia="仿宋" w:cs="仿宋"/>
          <w:color w:val="auto"/>
          <w:sz w:val="24"/>
          <w:highlight w:val="none"/>
        </w:rPr>
      </w:pPr>
    </w:p>
    <w:p w14:paraId="28CD09F3">
      <w:pPr>
        <w:spacing w:line="500" w:lineRule="exact"/>
        <w:ind w:left="540"/>
        <w:rPr>
          <w:rFonts w:hint="eastAsia" w:ascii="仿宋" w:hAnsi="仿宋" w:eastAsia="仿宋" w:cs="仿宋"/>
          <w:color w:val="auto"/>
          <w:sz w:val="24"/>
          <w:highlight w:val="none"/>
        </w:rPr>
      </w:pPr>
    </w:p>
    <w:p w14:paraId="19AA8BAE">
      <w:pPr>
        <w:spacing w:line="500" w:lineRule="exact"/>
        <w:ind w:left="540"/>
        <w:rPr>
          <w:rFonts w:hint="eastAsia" w:ascii="仿宋" w:hAnsi="仿宋" w:eastAsia="仿宋" w:cs="仿宋"/>
          <w:color w:val="auto"/>
          <w:sz w:val="24"/>
          <w:highlight w:val="none"/>
        </w:rPr>
      </w:pPr>
      <w:r>
        <w:rPr>
          <w:rFonts w:hint="eastAsia" w:ascii="仿宋" w:hAnsi="仿宋" w:eastAsia="仿宋" w:cs="仿宋"/>
          <w:color w:val="auto"/>
          <w:sz w:val="24"/>
          <w:highlight w:val="none"/>
        </w:rPr>
        <w:t>附件：法定代表人有效身份证正反面复印件</w:t>
      </w:r>
    </w:p>
    <w:p w14:paraId="471AA158">
      <w:pPr>
        <w:spacing w:line="500" w:lineRule="exact"/>
        <w:ind w:left="540"/>
        <w:rPr>
          <w:rFonts w:hint="eastAsia" w:ascii="仿宋" w:hAnsi="仿宋" w:eastAsia="仿宋" w:cs="仿宋"/>
          <w:color w:val="auto"/>
          <w:sz w:val="24"/>
          <w:highlight w:val="none"/>
        </w:rPr>
      </w:pPr>
    </w:p>
    <w:p w14:paraId="6CD4CF7B">
      <w:pPr>
        <w:spacing w:line="500" w:lineRule="exact"/>
        <w:ind w:left="540"/>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投标人名称（公章</w:t>
      </w:r>
      <w:r>
        <w:rPr>
          <w:rFonts w:hint="eastAsia" w:ascii="仿宋" w:hAnsi="仿宋" w:eastAsia="仿宋" w:cs="仿宋"/>
          <w:color w:val="auto"/>
          <w:sz w:val="24"/>
          <w:highlight w:val="none"/>
          <w:lang w:val="en-US" w:eastAsia="zh-CN"/>
        </w:rPr>
        <w:t>或CA签章</w:t>
      </w:r>
      <w:r>
        <w:rPr>
          <w:rFonts w:hint="eastAsia" w:ascii="仿宋" w:hAnsi="仿宋" w:eastAsia="仿宋" w:cs="仿宋"/>
          <w:color w:val="auto"/>
          <w:sz w:val="24"/>
          <w:highlight w:val="none"/>
        </w:rPr>
        <w:t>）</w:t>
      </w:r>
    </w:p>
    <w:p w14:paraId="43224FAD">
      <w:pPr>
        <w:wordWrap w:val="0"/>
        <w:snapToGrid w:val="0"/>
        <w:spacing w:before="120" w:beforeLines="50" w:after="50"/>
        <w:ind w:left="540"/>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年  月   日</w:t>
      </w:r>
    </w:p>
    <w:p w14:paraId="2D9C5906">
      <w:pPr>
        <w:snapToGrid w:val="0"/>
        <w:spacing w:before="120" w:beforeLines="50" w:after="50"/>
        <w:jc w:val="center"/>
        <w:rPr>
          <w:rFonts w:hint="eastAsia" w:ascii="仿宋" w:hAnsi="仿宋" w:eastAsia="仿宋" w:cs="仿宋"/>
          <w:b/>
          <w:color w:val="auto"/>
          <w:sz w:val="24"/>
          <w:highlight w:val="none"/>
        </w:rPr>
      </w:pPr>
    </w:p>
    <w:p w14:paraId="468A43F5">
      <w:pPr>
        <w:snapToGrid w:val="0"/>
        <w:spacing w:before="120" w:beforeLines="50" w:after="50"/>
        <w:jc w:val="left"/>
        <w:rPr>
          <w:rFonts w:hint="eastAsia" w:ascii="仿宋" w:hAnsi="仿宋" w:eastAsia="仿宋" w:cs="仿宋"/>
          <w:b/>
          <w:color w:val="auto"/>
          <w:sz w:val="24"/>
          <w:szCs w:val="20"/>
          <w:highlight w:val="none"/>
        </w:rPr>
      </w:pPr>
      <w:r>
        <w:rPr>
          <w:rFonts w:hint="eastAsia" w:ascii="仿宋" w:hAnsi="仿宋" w:eastAsia="仿宋" w:cs="仿宋"/>
          <w:color w:val="auto"/>
          <w:sz w:val="24"/>
          <w:highlight w:val="none"/>
        </w:rPr>
        <w:t>注：自然人投标的无需提供</w:t>
      </w:r>
    </w:p>
    <w:p w14:paraId="6596F617">
      <w:pPr>
        <w:snapToGrid w:val="0"/>
        <w:spacing w:before="120" w:beforeLines="50" w:after="50"/>
        <w:jc w:val="left"/>
        <w:rPr>
          <w:rFonts w:hint="eastAsia" w:ascii="仿宋" w:hAnsi="仿宋" w:eastAsia="仿宋" w:cs="仿宋"/>
          <w:b/>
          <w:color w:val="auto"/>
          <w:sz w:val="24"/>
          <w:szCs w:val="20"/>
          <w:highlight w:val="none"/>
        </w:rPr>
      </w:pPr>
      <w:r>
        <w:rPr>
          <w:rFonts w:hint="eastAsia" w:ascii="仿宋" w:hAnsi="仿宋" w:eastAsia="仿宋" w:cs="仿宋"/>
          <w:b/>
          <w:color w:val="auto"/>
          <w:sz w:val="24"/>
          <w:highlight w:val="none"/>
        </w:rPr>
        <w:br w:type="page"/>
      </w:r>
      <w:r>
        <w:rPr>
          <w:rFonts w:hint="eastAsia" w:ascii="仿宋" w:hAnsi="仿宋" w:eastAsia="仿宋" w:cs="仿宋"/>
          <w:b/>
          <w:color w:val="auto"/>
          <w:sz w:val="24"/>
          <w:highlight w:val="none"/>
        </w:rPr>
        <w:t>5.授权委托书格式</w:t>
      </w:r>
    </w:p>
    <w:p w14:paraId="5DDC3297">
      <w:pPr>
        <w:snapToGrid w:val="0"/>
        <w:spacing w:before="120" w:beforeLines="50" w:after="50"/>
        <w:jc w:val="center"/>
        <w:rPr>
          <w:rFonts w:hint="eastAsia" w:ascii="仿宋" w:hAnsi="仿宋" w:eastAsia="仿宋" w:cs="仿宋"/>
          <w:b/>
          <w:color w:val="auto"/>
          <w:sz w:val="44"/>
          <w:szCs w:val="44"/>
          <w:highlight w:val="none"/>
        </w:rPr>
      </w:pPr>
    </w:p>
    <w:p w14:paraId="6198DAFB">
      <w:pPr>
        <w:spacing w:line="360" w:lineRule="auto"/>
        <w:contextualSpacing/>
        <w:jc w:val="center"/>
        <w:rPr>
          <w:rFonts w:hint="eastAsia" w:ascii="仿宋" w:hAnsi="仿宋" w:eastAsia="仿宋" w:cs="仿宋"/>
          <w:bCs/>
          <w:color w:val="auto"/>
          <w:sz w:val="44"/>
          <w:szCs w:val="44"/>
          <w:highlight w:val="none"/>
        </w:rPr>
      </w:pPr>
      <w:r>
        <w:rPr>
          <w:rFonts w:hint="eastAsia" w:ascii="仿宋" w:hAnsi="仿宋" w:eastAsia="仿宋" w:cs="仿宋"/>
          <w:bCs/>
          <w:color w:val="auto"/>
          <w:sz w:val="44"/>
          <w:szCs w:val="44"/>
          <w:highlight w:val="none"/>
        </w:rPr>
        <w:t>授权委托书</w:t>
      </w:r>
    </w:p>
    <w:p w14:paraId="1EF9A9DB">
      <w:pPr>
        <w:spacing w:line="360" w:lineRule="auto"/>
        <w:contextualSpacing/>
        <w:jc w:val="center"/>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（非联合体投标格式）</w:t>
      </w:r>
    </w:p>
    <w:p w14:paraId="5ECD8103">
      <w:pPr>
        <w:spacing w:line="360" w:lineRule="auto"/>
        <w:contextualSpacing/>
        <w:jc w:val="center"/>
        <w:rPr>
          <w:rFonts w:hint="eastAsia" w:ascii="仿宋" w:hAnsi="仿宋" w:eastAsia="仿宋" w:cs="仿宋"/>
          <w:bCs/>
          <w:color w:val="auto"/>
          <w:sz w:val="24"/>
          <w:highlight w:val="none"/>
        </w:rPr>
      </w:pPr>
      <w:r>
        <w:rPr>
          <w:rFonts w:hint="eastAsia" w:ascii="仿宋" w:hAnsi="仿宋" w:eastAsia="仿宋" w:cs="仿宋"/>
          <w:bCs/>
          <w:color w:val="auto"/>
          <w:sz w:val="32"/>
          <w:szCs w:val="32"/>
          <w:highlight w:val="none"/>
        </w:rPr>
        <w:t>（如有委托时）</w:t>
      </w:r>
    </w:p>
    <w:p w14:paraId="4AF12D5D">
      <w:pPr>
        <w:spacing w:line="440" w:lineRule="exact"/>
        <w:contextualSpacing/>
        <w:jc w:val="center"/>
        <w:rPr>
          <w:rFonts w:hint="eastAsia" w:ascii="仿宋" w:hAnsi="仿宋" w:eastAsia="仿宋" w:cs="仿宋"/>
          <w:b/>
          <w:color w:val="auto"/>
          <w:sz w:val="24"/>
          <w:highlight w:val="none"/>
        </w:rPr>
      </w:pPr>
    </w:p>
    <w:p w14:paraId="4CD4BAD4">
      <w:pPr>
        <w:spacing w:line="440" w:lineRule="exact"/>
        <w:contextualSpacing/>
        <w:rPr>
          <w:rFonts w:hint="eastAsia" w:ascii="仿宋" w:hAnsi="仿宋" w:eastAsia="仿宋" w:cs="仿宋"/>
          <w:b/>
          <w:bCs/>
          <w:color w:val="auto"/>
          <w:sz w:val="24"/>
          <w:highlight w:val="none"/>
        </w:rPr>
      </w:pPr>
      <w:r>
        <w:rPr>
          <w:rFonts w:hint="eastAsia" w:ascii="仿宋" w:hAnsi="仿宋" w:eastAsia="仿宋" w:cs="仿宋"/>
          <w:bCs/>
          <w:color w:val="auto"/>
          <w:sz w:val="24"/>
          <w:highlight w:val="none"/>
        </w:rPr>
        <w:t>致：</w:t>
      </w:r>
      <w:r>
        <w:rPr>
          <w:rFonts w:hint="eastAsia" w:ascii="仿宋" w:hAnsi="仿宋" w:eastAsia="仿宋" w:cs="仿宋"/>
          <w:color w:val="auto"/>
          <w:sz w:val="24"/>
          <w:highlight w:val="none"/>
          <w:u w:val="single"/>
        </w:rPr>
        <w:t>采购人名称</w:t>
      </w:r>
    </w:p>
    <w:p w14:paraId="4C3202DE">
      <w:pPr>
        <w:spacing w:line="440" w:lineRule="exact"/>
        <w:ind w:firstLine="566" w:firstLineChars="236"/>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我</w:t>
      </w:r>
      <w:r>
        <w:rPr>
          <w:rFonts w:hint="eastAsia" w:ascii="仿宋" w:hAnsi="仿宋" w:eastAsia="仿宋" w:cs="仿宋"/>
          <w:color w:val="auto"/>
          <w:sz w:val="24"/>
          <w:highlight w:val="none"/>
          <w:u w:val="single"/>
        </w:rPr>
        <w:t>（姓名）</w:t>
      </w: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（投标人名称）</w:t>
      </w:r>
      <w:r>
        <w:rPr>
          <w:rFonts w:hint="eastAsia" w:ascii="仿宋" w:hAnsi="仿宋" w:eastAsia="仿宋" w:cs="仿宋"/>
          <w:color w:val="auto"/>
          <w:sz w:val="24"/>
          <w:highlight w:val="none"/>
        </w:rPr>
        <w:t>的法定代表人，现授权委托</w:t>
      </w:r>
      <w:r>
        <w:rPr>
          <w:rFonts w:hint="eastAsia" w:ascii="仿宋" w:hAnsi="仿宋" w:eastAsia="仿宋" w:cs="仿宋"/>
          <w:color w:val="auto"/>
          <w:sz w:val="24"/>
          <w:highlight w:val="none"/>
          <w:u w:val="single"/>
        </w:rPr>
        <w:t xml:space="preserve">              （姓名）</w:t>
      </w:r>
      <w:r>
        <w:rPr>
          <w:rFonts w:hint="eastAsia" w:ascii="仿宋" w:hAnsi="仿宋" w:eastAsia="仿宋" w:cs="仿宋"/>
          <w:color w:val="auto"/>
          <w:sz w:val="24"/>
          <w:highlight w:val="none"/>
        </w:rPr>
        <w:t>以我方的名义参加项目（项目编号：）的投标活动，并代表我方全权办理针对上述项目的所有采购程序和环节的具体事务和签署相关文件。</w:t>
      </w:r>
    </w:p>
    <w:p w14:paraId="743FBAF1">
      <w:pPr>
        <w:spacing w:line="440" w:lineRule="exact"/>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我方对委托代理人的签字事项负全部责任。</w:t>
      </w:r>
    </w:p>
    <w:p w14:paraId="685A9936">
      <w:pPr>
        <w:spacing w:line="440" w:lineRule="exact"/>
        <w:ind w:firstLine="48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t>本授权书自签署之日起生效，在撤销授权的书面通知以前，本授权书一直有效。委托代理人在授权书有效期内签署的所有文件不因授权的撤销而失效。</w:t>
      </w:r>
    </w:p>
    <w:p w14:paraId="4FD4B5C0">
      <w:pPr>
        <w:spacing w:line="440" w:lineRule="exact"/>
        <w:ind w:firstLine="48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委托代理人无转委托权，特此委托。</w:t>
      </w:r>
    </w:p>
    <w:p w14:paraId="361753A2">
      <w:pPr>
        <w:spacing w:line="440" w:lineRule="exact"/>
        <w:ind w:firstLine="48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附：法定代表人身份证明及委托代理人有效身份证正反面复印件</w:t>
      </w:r>
    </w:p>
    <w:p w14:paraId="727720B7">
      <w:pPr>
        <w:spacing w:line="440" w:lineRule="exact"/>
        <w:contextualSpacing/>
        <w:rPr>
          <w:rFonts w:hint="eastAsia" w:ascii="仿宋" w:hAnsi="仿宋" w:eastAsia="仿宋" w:cs="仿宋"/>
          <w:color w:val="auto"/>
          <w:sz w:val="24"/>
          <w:highlight w:val="none"/>
        </w:rPr>
      </w:pPr>
    </w:p>
    <w:p w14:paraId="654365E9">
      <w:pPr>
        <w:spacing w:line="440" w:lineRule="exact"/>
        <w:contextualSpacing/>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委托代理人（签字）：        法定代表人（签字或者盖章）：</w:t>
      </w:r>
    </w:p>
    <w:p w14:paraId="4ABC1E94">
      <w:pPr>
        <w:spacing w:line="440" w:lineRule="exact"/>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委托代理人身份证号码：</w:t>
      </w:r>
    </w:p>
    <w:p w14:paraId="5579B1E0">
      <w:pPr>
        <w:spacing w:line="440" w:lineRule="exact"/>
        <w:contextualSpacing/>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投标人（盖公章</w:t>
      </w:r>
      <w:r>
        <w:rPr>
          <w:rFonts w:hint="eastAsia" w:ascii="仿宋" w:hAnsi="仿宋" w:eastAsia="仿宋" w:cs="仿宋"/>
          <w:color w:val="auto"/>
          <w:sz w:val="24"/>
          <w:highlight w:val="none"/>
          <w:lang w:val="en-US" w:eastAsia="zh-CN"/>
        </w:rPr>
        <w:t>或CA签章</w:t>
      </w:r>
      <w:r>
        <w:rPr>
          <w:rFonts w:hint="eastAsia" w:ascii="仿宋" w:hAnsi="仿宋" w:eastAsia="仿宋" w:cs="仿宋"/>
          <w:color w:val="auto"/>
          <w:sz w:val="24"/>
          <w:highlight w:val="none"/>
        </w:rPr>
        <w:t>）：</w:t>
      </w:r>
    </w:p>
    <w:p w14:paraId="7C722E64">
      <w:pPr>
        <w:spacing w:line="440" w:lineRule="exact"/>
        <w:contextualSpacing/>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年    月    日</w:t>
      </w:r>
    </w:p>
    <w:p w14:paraId="61C906EA">
      <w:pPr>
        <w:spacing w:line="440" w:lineRule="exact"/>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注：1.</w:t>
      </w:r>
      <w:bookmarkStart w:id="169" w:name="_Hlk65851555"/>
      <w:bookmarkStart w:id="170" w:name="_Hlk65851620"/>
      <w:r>
        <w:rPr>
          <w:rFonts w:hint="eastAsia" w:ascii="仿宋" w:hAnsi="仿宋" w:eastAsia="仿宋" w:cs="仿宋"/>
          <w:color w:val="auto"/>
          <w:sz w:val="24"/>
          <w:highlight w:val="none"/>
        </w:rPr>
        <w:t>法定代表人必须在授权委托书上亲笔签字或者盖章，</w:t>
      </w:r>
      <w:bookmarkEnd w:id="169"/>
      <w:r>
        <w:rPr>
          <w:rFonts w:hint="eastAsia" w:ascii="仿宋" w:hAnsi="仿宋" w:eastAsia="仿宋" w:cs="仿宋"/>
          <w:color w:val="auto"/>
          <w:sz w:val="24"/>
          <w:highlight w:val="none"/>
        </w:rPr>
        <w:t>委托代理人必须在授权委托书上亲笔签字，</w:t>
      </w:r>
      <w:r>
        <w:rPr>
          <w:rFonts w:hint="eastAsia" w:ascii="仿宋" w:hAnsi="仿宋" w:eastAsia="仿宋" w:cs="仿宋"/>
          <w:b/>
          <w:bCs/>
          <w:color w:val="auto"/>
          <w:sz w:val="24"/>
          <w:highlight w:val="none"/>
        </w:rPr>
        <w:t>否则按无效投标处理</w:t>
      </w:r>
      <w:r>
        <w:rPr>
          <w:rFonts w:hint="eastAsia" w:ascii="仿宋" w:hAnsi="仿宋" w:eastAsia="仿宋" w:cs="仿宋"/>
          <w:color w:val="auto"/>
          <w:sz w:val="24"/>
          <w:highlight w:val="none"/>
        </w:rPr>
        <w:t>；</w:t>
      </w:r>
      <w:bookmarkEnd w:id="170"/>
    </w:p>
    <w:p w14:paraId="605DD60C">
      <w:pPr>
        <w:spacing w:line="440" w:lineRule="exact"/>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2.法人、其他组织投标时“我方”是指“我单位”，自然人投标时“我方”是指“本人”。</w:t>
      </w:r>
    </w:p>
    <w:p w14:paraId="4A175CC5">
      <w:pPr>
        <w:snapToGrid w:val="0"/>
        <w:spacing w:before="120" w:beforeLines="50" w:after="50"/>
        <w:ind w:firstLine="566" w:firstLineChars="236"/>
        <w:jc w:val="center"/>
        <w:rPr>
          <w:rFonts w:hint="eastAsia" w:ascii="仿宋" w:hAnsi="仿宋" w:eastAsia="仿宋" w:cs="仿宋"/>
          <w:color w:val="auto"/>
          <w:sz w:val="44"/>
          <w:szCs w:val="44"/>
          <w:highlight w:val="none"/>
        </w:rPr>
      </w:pPr>
      <w:r>
        <w:rPr>
          <w:rFonts w:hint="eastAsia" w:ascii="仿宋" w:hAnsi="仿宋" w:eastAsia="仿宋" w:cs="仿宋"/>
          <w:color w:val="auto"/>
          <w:sz w:val="24"/>
          <w:highlight w:val="none"/>
        </w:rPr>
        <w:br w:type="page"/>
      </w:r>
      <w:r>
        <w:rPr>
          <w:rFonts w:hint="eastAsia" w:ascii="仿宋" w:hAnsi="仿宋" w:eastAsia="仿宋" w:cs="仿宋"/>
          <w:color w:val="auto"/>
          <w:sz w:val="44"/>
          <w:szCs w:val="44"/>
          <w:highlight w:val="none"/>
        </w:rPr>
        <w:t>授权委托书</w:t>
      </w:r>
    </w:p>
    <w:p w14:paraId="3C9123AA">
      <w:pPr>
        <w:snapToGrid w:val="0"/>
        <w:spacing w:before="120" w:beforeLines="50" w:after="50"/>
        <w:ind w:firstLine="755" w:firstLineChars="236"/>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（联合体投标格式）</w:t>
      </w:r>
    </w:p>
    <w:p w14:paraId="462FEE75">
      <w:pPr>
        <w:snapToGrid w:val="0"/>
        <w:spacing w:before="120" w:beforeLines="50" w:after="50"/>
        <w:ind w:firstLine="755" w:firstLineChars="236"/>
        <w:jc w:val="center"/>
        <w:rPr>
          <w:rFonts w:hint="eastAsia" w:ascii="仿宋" w:hAnsi="仿宋" w:eastAsia="仿宋" w:cs="仿宋"/>
          <w:color w:val="auto"/>
          <w:sz w:val="24"/>
          <w:highlight w:val="none"/>
        </w:rPr>
      </w:pPr>
      <w:r>
        <w:rPr>
          <w:rFonts w:hint="eastAsia" w:ascii="仿宋" w:hAnsi="仿宋" w:eastAsia="仿宋" w:cs="仿宋"/>
          <w:color w:val="auto"/>
          <w:sz w:val="32"/>
          <w:szCs w:val="32"/>
          <w:highlight w:val="none"/>
        </w:rPr>
        <w:t>（如有委托时）</w:t>
      </w:r>
    </w:p>
    <w:p w14:paraId="16F343A1">
      <w:pPr>
        <w:spacing w:line="440" w:lineRule="exact"/>
        <w:contextualSpacing/>
        <w:jc w:val="left"/>
        <w:rPr>
          <w:rFonts w:hint="eastAsia" w:ascii="仿宋" w:hAnsi="仿宋" w:eastAsia="仿宋" w:cs="仿宋"/>
          <w:color w:val="auto"/>
          <w:sz w:val="24"/>
          <w:highlight w:val="none"/>
        </w:rPr>
      </w:pPr>
      <w:r>
        <w:rPr>
          <w:rFonts w:hint="eastAsia" w:ascii="仿宋" w:hAnsi="仿宋" w:eastAsia="仿宋" w:cs="仿宋"/>
          <w:bCs/>
          <w:color w:val="auto"/>
          <w:sz w:val="24"/>
          <w:highlight w:val="none"/>
        </w:rPr>
        <w:t>致：</w:t>
      </w:r>
      <w:r>
        <w:rPr>
          <w:rFonts w:hint="eastAsia" w:ascii="仿宋" w:hAnsi="仿宋" w:eastAsia="仿宋" w:cs="仿宋"/>
          <w:color w:val="auto"/>
          <w:sz w:val="24"/>
          <w:highlight w:val="none"/>
          <w:u w:val="single"/>
        </w:rPr>
        <w:t>采购人名称</w:t>
      </w:r>
      <w:r>
        <w:rPr>
          <w:rFonts w:hint="eastAsia" w:ascii="仿宋" w:hAnsi="仿宋" w:eastAsia="仿宋" w:cs="仿宋"/>
          <w:color w:val="auto"/>
          <w:sz w:val="24"/>
          <w:highlight w:val="none"/>
        </w:rPr>
        <w:t>：</w:t>
      </w:r>
    </w:p>
    <w:p w14:paraId="502F436C">
      <w:pPr>
        <w:spacing w:line="440" w:lineRule="exact"/>
        <w:ind w:firstLine="566" w:firstLineChars="236"/>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根据 </w:t>
      </w:r>
      <w:r>
        <w:rPr>
          <w:rFonts w:hint="eastAsia" w:ascii="仿宋" w:hAnsi="仿宋" w:eastAsia="仿宋" w:cs="仿宋"/>
          <w:color w:val="auto"/>
          <w:sz w:val="24"/>
          <w:highlight w:val="none"/>
          <w:u w:val="single"/>
        </w:rPr>
        <w:t xml:space="preserve"> （牵头人名称）</w:t>
      </w:r>
      <w:r>
        <w:rPr>
          <w:rFonts w:hint="eastAsia" w:ascii="仿宋" w:hAnsi="仿宋" w:eastAsia="仿宋" w:cs="仿宋"/>
          <w:color w:val="auto"/>
          <w:sz w:val="24"/>
          <w:highlight w:val="none"/>
        </w:rPr>
        <w:t>与</w:t>
      </w:r>
      <w:r>
        <w:rPr>
          <w:rFonts w:hint="eastAsia" w:ascii="仿宋" w:hAnsi="仿宋" w:eastAsia="仿宋" w:cs="仿宋"/>
          <w:color w:val="auto"/>
          <w:sz w:val="24"/>
          <w:highlight w:val="none"/>
          <w:u w:val="single"/>
        </w:rPr>
        <w:t>（联合体其他成员名称）</w:t>
      </w:r>
      <w:r>
        <w:rPr>
          <w:rFonts w:hint="eastAsia" w:ascii="仿宋" w:hAnsi="仿宋" w:eastAsia="仿宋" w:cs="仿宋"/>
          <w:color w:val="auto"/>
          <w:sz w:val="24"/>
          <w:highlight w:val="none"/>
        </w:rPr>
        <w:t>签订的《联合体投标协议书》的内容，</w:t>
      </w:r>
      <w:r>
        <w:rPr>
          <w:rFonts w:hint="eastAsia" w:ascii="仿宋" w:hAnsi="仿宋" w:eastAsia="仿宋" w:cs="仿宋"/>
          <w:color w:val="auto"/>
          <w:sz w:val="24"/>
          <w:highlight w:val="none"/>
          <w:u w:val="single"/>
        </w:rPr>
        <w:t>（牵头人名称）</w:t>
      </w:r>
      <w:r>
        <w:rPr>
          <w:rFonts w:hint="eastAsia" w:ascii="仿宋" w:hAnsi="仿宋" w:eastAsia="仿宋" w:cs="仿宋"/>
          <w:color w:val="auto"/>
          <w:sz w:val="24"/>
          <w:highlight w:val="none"/>
        </w:rPr>
        <w:t>的法定代表人</w:t>
      </w:r>
      <w:r>
        <w:rPr>
          <w:rFonts w:hint="eastAsia" w:ascii="仿宋" w:hAnsi="仿宋" w:eastAsia="仿宋" w:cs="仿宋"/>
          <w:color w:val="auto"/>
          <w:sz w:val="24"/>
          <w:highlight w:val="none"/>
          <w:u w:val="single"/>
        </w:rPr>
        <w:t>（姓名）</w:t>
      </w:r>
      <w:r>
        <w:rPr>
          <w:rFonts w:hint="eastAsia" w:ascii="仿宋" w:hAnsi="仿宋" w:eastAsia="仿宋" w:cs="仿宋"/>
          <w:color w:val="auto"/>
          <w:sz w:val="24"/>
          <w:highlight w:val="none"/>
        </w:rPr>
        <w:t>现授权委托</w:t>
      </w:r>
      <w:r>
        <w:rPr>
          <w:rFonts w:hint="eastAsia" w:ascii="仿宋" w:hAnsi="仿宋" w:eastAsia="仿宋" w:cs="仿宋"/>
          <w:color w:val="auto"/>
          <w:sz w:val="24"/>
          <w:highlight w:val="none"/>
          <w:u w:val="single"/>
        </w:rPr>
        <w:t xml:space="preserve">         （姓名）</w:t>
      </w:r>
      <w:r>
        <w:rPr>
          <w:rFonts w:hint="eastAsia" w:ascii="仿宋" w:hAnsi="仿宋" w:eastAsia="仿宋" w:cs="仿宋"/>
          <w:color w:val="auto"/>
          <w:sz w:val="24"/>
          <w:highlight w:val="none"/>
        </w:rPr>
        <w:t>以我方的名义参加项目（项目编号：）的投标活动，并代表我方全权办理针对上述项目的所有采购程序和环节的具体事务和签署相关文件。</w:t>
      </w:r>
    </w:p>
    <w:p w14:paraId="0AFE7B60">
      <w:pPr>
        <w:spacing w:line="440" w:lineRule="exact"/>
        <w:ind w:firstLine="566" w:firstLineChars="236"/>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我方对委托代理人的签字事项负全部责任。</w:t>
      </w:r>
    </w:p>
    <w:p w14:paraId="5CF12401">
      <w:pPr>
        <w:spacing w:line="440" w:lineRule="exact"/>
        <w:ind w:firstLine="566" w:firstLineChars="236"/>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本授权书自签署之日起生效，在撤销授权的书面通知以前，本授权书一直有效。委托代理人在授权书有效期内签署的所有文件不因授权的撤销而失效。</w:t>
      </w:r>
    </w:p>
    <w:p w14:paraId="3539104F">
      <w:pPr>
        <w:spacing w:line="440" w:lineRule="exact"/>
        <w:ind w:firstLine="566" w:firstLineChars="236"/>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委托代理人无转委托权，特此委托。</w:t>
      </w:r>
    </w:p>
    <w:p w14:paraId="65CE5EB3">
      <w:pPr>
        <w:spacing w:line="440" w:lineRule="exact"/>
        <w:ind w:firstLine="566" w:firstLineChars="236"/>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附：牵头人法定代表人身份证明及委托代理人有效身份证正反面复印件</w:t>
      </w:r>
    </w:p>
    <w:p w14:paraId="25C415DE">
      <w:pPr>
        <w:spacing w:line="440" w:lineRule="exact"/>
        <w:ind w:firstLine="566" w:firstLineChars="236"/>
        <w:contextualSpacing/>
        <w:rPr>
          <w:rFonts w:hint="eastAsia" w:ascii="仿宋" w:hAnsi="仿宋" w:eastAsia="仿宋" w:cs="仿宋"/>
          <w:color w:val="auto"/>
          <w:sz w:val="24"/>
          <w:highlight w:val="none"/>
        </w:rPr>
      </w:pPr>
    </w:p>
    <w:p w14:paraId="69304B12">
      <w:pPr>
        <w:spacing w:line="440" w:lineRule="exact"/>
        <w:ind w:firstLine="566" w:firstLineChars="236"/>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牵头人法定代表人（签字或者盖章）：</w:t>
      </w:r>
    </w:p>
    <w:p w14:paraId="258FC080">
      <w:pPr>
        <w:spacing w:line="440" w:lineRule="exact"/>
        <w:ind w:firstLine="566" w:firstLineChars="236"/>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牵头人（盖公章</w:t>
      </w:r>
      <w:r>
        <w:rPr>
          <w:rFonts w:hint="eastAsia" w:ascii="仿宋" w:hAnsi="仿宋" w:eastAsia="仿宋" w:cs="仿宋"/>
          <w:color w:val="auto"/>
          <w:sz w:val="24"/>
          <w:highlight w:val="none"/>
          <w:lang w:val="en-US" w:eastAsia="zh-CN"/>
        </w:rPr>
        <w:t>或CA签章</w:t>
      </w:r>
      <w:r>
        <w:rPr>
          <w:rFonts w:hint="eastAsia" w:ascii="仿宋" w:hAnsi="仿宋" w:eastAsia="仿宋" w:cs="仿宋"/>
          <w:color w:val="auto"/>
          <w:sz w:val="24"/>
          <w:highlight w:val="none"/>
        </w:rPr>
        <w:t>）：</w:t>
      </w:r>
    </w:p>
    <w:p w14:paraId="5AE512E3">
      <w:pPr>
        <w:spacing w:line="440" w:lineRule="exact"/>
        <w:ind w:firstLine="566" w:firstLineChars="236"/>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日期：    年   月   日</w:t>
      </w:r>
    </w:p>
    <w:p w14:paraId="350E8990">
      <w:pPr>
        <w:spacing w:line="440" w:lineRule="exact"/>
        <w:ind w:firstLine="566" w:firstLineChars="236"/>
        <w:contextualSpacing/>
        <w:rPr>
          <w:rFonts w:hint="eastAsia" w:ascii="仿宋" w:hAnsi="仿宋" w:eastAsia="仿宋" w:cs="仿宋"/>
          <w:color w:val="auto"/>
          <w:sz w:val="24"/>
          <w:highlight w:val="none"/>
        </w:rPr>
      </w:pPr>
    </w:p>
    <w:p w14:paraId="55C0D973">
      <w:pPr>
        <w:spacing w:line="440" w:lineRule="exact"/>
        <w:ind w:firstLine="566" w:firstLineChars="236"/>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被授权人（签字）：</w:t>
      </w:r>
    </w:p>
    <w:p w14:paraId="2B3B8A9A">
      <w:pPr>
        <w:spacing w:line="440" w:lineRule="exact"/>
        <w:ind w:firstLine="566" w:firstLineChars="236"/>
        <w:contextualSpacing/>
        <w:rPr>
          <w:rFonts w:hint="eastAsia" w:ascii="仿宋" w:hAnsi="仿宋" w:eastAsia="仿宋" w:cs="仿宋"/>
          <w:color w:val="auto"/>
          <w:sz w:val="32"/>
          <w:szCs w:val="32"/>
          <w:highlight w:val="none"/>
        </w:rPr>
      </w:pPr>
      <w:r>
        <w:rPr>
          <w:rFonts w:hint="eastAsia" w:ascii="仿宋" w:hAnsi="仿宋" w:eastAsia="仿宋" w:cs="仿宋"/>
          <w:color w:val="auto"/>
          <w:sz w:val="24"/>
          <w:highlight w:val="none"/>
        </w:rPr>
        <w:t>日期：    年   月   日</w:t>
      </w:r>
    </w:p>
    <w:p w14:paraId="1D43B22B">
      <w:pPr>
        <w:spacing w:line="440" w:lineRule="exact"/>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注：1. 法定代表人必须在授权委托书上亲笔签字或者盖章，委托代理人必须在授权委托书上亲笔签字，</w:t>
      </w:r>
      <w:r>
        <w:rPr>
          <w:rFonts w:hint="eastAsia" w:ascii="仿宋" w:hAnsi="仿宋" w:eastAsia="仿宋" w:cs="仿宋"/>
          <w:b/>
          <w:bCs/>
          <w:color w:val="auto"/>
          <w:sz w:val="24"/>
          <w:highlight w:val="none"/>
        </w:rPr>
        <w:t>否则按无效投标处理</w:t>
      </w:r>
      <w:r>
        <w:rPr>
          <w:rFonts w:hint="eastAsia" w:ascii="仿宋" w:hAnsi="仿宋" w:eastAsia="仿宋" w:cs="仿宋"/>
          <w:color w:val="auto"/>
          <w:sz w:val="24"/>
          <w:highlight w:val="none"/>
        </w:rPr>
        <w:t>；</w:t>
      </w:r>
    </w:p>
    <w:p w14:paraId="5CC0129B">
      <w:pPr>
        <w:spacing w:line="440" w:lineRule="exact"/>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2.本授权委托书应由联合体牵头人的法定代表人按上述规定签字。</w:t>
      </w:r>
    </w:p>
    <w:p w14:paraId="0A3BA63D">
      <w:pPr>
        <w:spacing w:line="440" w:lineRule="exact"/>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3.法人、其他组织投标时“我方”是指“我单位”，自然人投标时“我方”是指“本人”。</w:t>
      </w:r>
    </w:p>
    <w:p w14:paraId="2846ECAE">
      <w:pPr>
        <w:snapToGrid w:val="0"/>
        <w:spacing w:before="50" w:after="120" w:afterLines="50"/>
        <w:ind w:firstLine="480" w:firstLineChars="200"/>
        <w:jc w:val="left"/>
        <w:rPr>
          <w:rFonts w:hint="eastAsia" w:ascii="仿宋" w:hAnsi="仿宋" w:eastAsia="仿宋" w:cs="仿宋"/>
          <w:color w:val="auto"/>
          <w:sz w:val="24"/>
          <w:highlight w:val="none"/>
        </w:rPr>
        <w:sectPr>
          <w:footerReference r:id="rId8" w:type="first"/>
          <w:headerReference r:id="rId5" w:type="default"/>
          <w:footerReference r:id="rId6" w:type="default"/>
          <w:footerReference r:id="rId7" w:type="even"/>
          <w:pgSz w:w="11906" w:h="16838"/>
          <w:pgMar w:top="907" w:right="851" w:bottom="907" w:left="851" w:header="680" w:footer="567" w:gutter="0"/>
          <w:pgNumType w:fmt="numberInDash" w:start="0"/>
          <w:cols w:space="720" w:num="1"/>
          <w:titlePg/>
          <w:docGrid w:linePitch="312" w:charSpace="0"/>
        </w:sectPr>
      </w:pPr>
    </w:p>
    <w:p w14:paraId="676F4DC3">
      <w:pPr>
        <w:rPr>
          <w:rFonts w:hint="eastAsia" w:ascii="仿宋" w:hAnsi="仿宋" w:eastAsia="仿宋" w:cs="仿宋"/>
          <w:b/>
          <w:color w:val="auto"/>
          <w:sz w:val="24"/>
          <w:szCs w:val="20"/>
          <w:highlight w:val="none"/>
        </w:rPr>
      </w:pPr>
      <w:r>
        <w:rPr>
          <w:rFonts w:hint="eastAsia" w:ascii="仿宋" w:hAnsi="仿宋" w:eastAsia="仿宋" w:cs="仿宋"/>
          <w:b/>
          <w:color w:val="auto"/>
          <w:sz w:val="24"/>
          <w:highlight w:val="none"/>
        </w:rPr>
        <w:t>6.</w:t>
      </w:r>
      <w:r>
        <w:rPr>
          <w:rFonts w:hint="eastAsia" w:ascii="仿宋" w:hAnsi="仿宋" w:eastAsia="仿宋" w:cs="仿宋"/>
          <w:b/>
          <w:color w:val="auto"/>
          <w:sz w:val="24"/>
          <w:highlight w:val="none"/>
          <w:lang w:eastAsia="zh-CN"/>
        </w:rPr>
        <w:t>商务</w:t>
      </w:r>
      <w:r>
        <w:rPr>
          <w:rFonts w:hint="eastAsia" w:ascii="仿宋" w:hAnsi="仿宋" w:eastAsia="仿宋" w:cs="仿宋"/>
          <w:b/>
          <w:color w:val="auto"/>
          <w:sz w:val="24"/>
          <w:highlight w:val="none"/>
        </w:rPr>
        <w:t>响应表格式（注：按第二章“采购需求”内容填写）</w:t>
      </w:r>
    </w:p>
    <w:p w14:paraId="021111A4">
      <w:pPr>
        <w:snapToGrid w:val="0"/>
        <w:spacing w:before="50"/>
        <w:jc w:val="center"/>
        <w:rPr>
          <w:rFonts w:hint="eastAsia" w:ascii="仿宋" w:hAnsi="仿宋" w:eastAsia="仿宋" w:cs="仿宋"/>
          <w:color w:val="auto"/>
          <w:sz w:val="24"/>
          <w:szCs w:val="24"/>
          <w:highlight w:val="none"/>
          <w:u w:val="single"/>
        </w:rPr>
      </w:pPr>
      <w:r>
        <w:rPr>
          <w:rFonts w:hint="eastAsia" w:ascii="仿宋" w:hAnsi="仿宋" w:eastAsia="仿宋" w:cs="仿宋"/>
          <w:b/>
          <w:color w:val="auto"/>
          <w:sz w:val="32"/>
          <w:szCs w:val="32"/>
          <w:highlight w:val="none"/>
          <w:lang w:val="en-US" w:eastAsia="zh-CN"/>
        </w:rPr>
        <w:t>商务</w:t>
      </w:r>
      <w:r>
        <w:rPr>
          <w:rFonts w:hint="eastAsia" w:ascii="仿宋" w:hAnsi="仿宋" w:eastAsia="仿宋" w:cs="仿宋"/>
          <w:b/>
          <w:color w:val="auto"/>
          <w:sz w:val="32"/>
          <w:szCs w:val="32"/>
          <w:highlight w:val="none"/>
          <w:lang w:eastAsia="zh-CN"/>
        </w:rPr>
        <w:t>响应表</w:t>
      </w:r>
      <w:r>
        <w:rPr>
          <w:rFonts w:hint="eastAsia" w:ascii="仿宋" w:hAnsi="仿宋" w:eastAsia="仿宋" w:cs="仿宋"/>
          <w:b/>
          <w:bCs/>
          <w:color w:val="auto"/>
          <w:sz w:val="32"/>
          <w:highlight w:val="none"/>
        </w:rPr>
        <w:t>（格式）</w:t>
      </w:r>
    </w:p>
    <w:tbl>
      <w:tblPr>
        <w:tblStyle w:val="51"/>
        <w:tblW w:w="0" w:type="auto"/>
        <w:tblInd w:w="-11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02"/>
        <w:gridCol w:w="3571"/>
        <w:gridCol w:w="1987"/>
        <w:gridCol w:w="2298"/>
      </w:tblGrid>
      <w:tr w14:paraId="728150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1902" w:type="dxa"/>
            <w:tcBorders>
              <w:top w:val="single" w:color="auto" w:sz="4" w:space="0"/>
              <w:left w:val="single" w:color="auto" w:sz="4" w:space="0"/>
              <w:bottom w:val="single" w:color="auto" w:sz="4" w:space="0"/>
              <w:right w:val="single" w:color="auto" w:sz="4" w:space="0"/>
            </w:tcBorders>
            <w:noWrap w:val="0"/>
            <w:vAlign w:val="top"/>
          </w:tcPr>
          <w:p w14:paraId="10DC98E7">
            <w:pPr>
              <w:snapToGrid w:val="0"/>
              <w:spacing w:before="120" w:beforeLines="50"/>
              <w:jc w:val="center"/>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val="en-US" w:eastAsia="zh-CN"/>
              </w:rPr>
              <w:t>条款</w:t>
            </w:r>
          </w:p>
        </w:tc>
        <w:tc>
          <w:tcPr>
            <w:tcW w:w="3571" w:type="dxa"/>
            <w:tcBorders>
              <w:top w:val="single" w:color="auto" w:sz="4" w:space="0"/>
              <w:left w:val="single" w:color="auto" w:sz="4" w:space="0"/>
              <w:bottom w:val="single" w:color="auto" w:sz="4" w:space="0"/>
              <w:right w:val="single" w:color="auto" w:sz="4" w:space="0"/>
            </w:tcBorders>
            <w:noWrap w:val="0"/>
            <w:vAlign w:val="top"/>
          </w:tcPr>
          <w:p w14:paraId="122BC35D">
            <w:pPr>
              <w:snapToGrid w:val="0"/>
              <w:spacing w:before="120" w:beforeLines="5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招标文件商务条款要求</w:t>
            </w:r>
          </w:p>
        </w:tc>
        <w:tc>
          <w:tcPr>
            <w:tcW w:w="1987" w:type="dxa"/>
            <w:tcBorders>
              <w:top w:val="single" w:color="auto" w:sz="4" w:space="0"/>
              <w:left w:val="single" w:color="auto" w:sz="4" w:space="0"/>
              <w:bottom w:val="single" w:color="auto" w:sz="4" w:space="0"/>
              <w:right w:val="single" w:color="auto" w:sz="4" w:space="0"/>
            </w:tcBorders>
            <w:noWrap w:val="0"/>
            <w:vAlign w:val="top"/>
          </w:tcPr>
          <w:p w14:paraId="30771202">
            <w:pPr>
              <w:snapToGrid w:val="0"/>
              <w:spacing w:before="120" w:beforeLines="5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投标人的承诺</w:t>
            </w:r>
          </w:p>
        </w:tc>
        <w:tc>
          <w:tcPr>
            <w:tcW w:w="2298" w:type="dxa"/>
            <w:tcBorders>
              <w:top w:val="single" w:color="auto" w:sz="4" w:space="0"/>
              <w:left w:val="single" w:color="auto" w:sz="4" w:space="0"/>
              <w:bottom w:val="single" w:color="auto" w:sz="4" w:space="0"/>
              <w:right w:val="single" w:color="auto" w:sz="4" w:space="0"/>
            </w:tcBorders>
            <w:noWrap w:val="0"/>
            <w:vAlign w:val="top"/>
          </w:tcPr>
          <w:p w14:paraId="342C6426">
            <w:pPr>
              <w:snapToGrid w:val="0"/>
              <w:spacing w:before="120" w:beforeLines="5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偏离说明</w:t>
            </w:r>
          </w:p>
        </w:tc>
      </w:tr>
      <w:tr w14:paraId="0868D4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1902" w:type="dxa"/>
            <w:tcBorders>
              <w:top w:val="single" w:color="auto" w:sz="4" w:space="0"/>
              <w:left w:val="single" w:color="auto" w:sz="4" w:space="0"/>
              <w:bottom w:val="single" w:color="auto" w:sz="4" w:space="0"/>
              <w:right w:val="single" w:color="auto" w:sz="4" w:space="0"/>
            </w:tcBorders>
            <w:noWrap w:val="0"/>
            <w:vAlign w:val="center"/>
          </w:tcPr>
          <w:p w14:paraId="7ABBB888">
            <w:pPr>
              <w:jc w:val="center"/>
              <w:rPr>
                <w:rFonts w:hint="eastAsia" w:ascii="仿宋" w:hAnsi="仿宋" w:eastAsia="仿宋" w:cs="仿宋"/>
                <w:color w:val="auto"/>
                <w:sz w:val="24"/>
                <w:szCs w:val="24"/>
                <w:highlight w:val="none"/>
              </w:rPr>
            </w:pPr>
          </w:p>
        </w:tc>
        <w:tc>
          <w:tcPr>
            <w:tcW w:w="3571" w:type="dxa"/>
            <w:tcBorders>
              <w:top w:val="single" w:color="auto" w:sz="4" w:space="0"/>
              <w:left w:val="single" w:color="auto" w:sz="4" w:space="0"/>
              <w:bottom w:val="single" w:color="auto" w:sz="4" w:space="0"/>
              <w:right w:val="single" w:color="auto" w:sz="4" w:space="0"/>
            </w:tcBorders>
            <w:noWrap w:val="0"/>
            <w:vAlign w:val="top"/>
          </w:tcPr>
          <w:p w14:paraId="400C1A5C">
            <w:pPr>
              <w:snapToGrid w:val="0"/>
              <w:spacing w:before="120" w:beforeLines="50"/>
              <w:jc w:val="center"/>
              <w:rPr>
                <w:rFonts w:hint="eastAsia" w:ascii="仿宋" w:hAnsi="仿宋" w:eastAsia="仿宋" w:cs="仿宋"/>
                <w:color w:val="auto"/>
                <w:sz w:val="24"/>
                <w:szCs w:val="24"/>
                <w:highlight w:val="none"/>
              </w:rPr>
            </w:pPr>
          </w:p>
        </w:tc>
        <w:tc>
          <w:tcPr>
            <w:tcW w:w="1987" w:type="dxa"/>
            <w:tcBorders>
              <w:top w:val="single" w:color="auto" w:sz="4" w:space="0"/>
              <w:left w:val="single" w:color="auto" w:sz="4" w:space="0"/>
              <w:bottom w:val="single" w:color="auto" w:sz="4" w:space="0"/>
              <w:right w:val="single" w:color="auto" w:sz="4" w:space="0"/>
            </w:tcBorders>
            <w:noWrap w:val="0"/>
            <w:vAlign w:val="top"/>
          </w:tcPr>
          <w:p w14:paraId="012EB05F">
            <w:pPr>
              <w:snapToGrid w:val="0"/>
              <w:spacing w:before="120" w:beforeLines="50"/>
              <w:jc w:val="center"/>
              <w:rPr>
                <w:rFonts w:hint="eastAsia" w:ascii="仿宋" w:hAnsi="仿宋" w:eastAsia="仿宋" w:cs="仿宋"/>
                <w:color w:val="auto"/>
                <w:sz w:val="24"/>
                <w:szCs w:val="24"/>
                <w:highlight w:val="none"/>
              </w:rPr>
            </w:pPr>
          </w:p>
        </w:tc>
        <w:tc>
          <w:tcPr>
            <w:tcW w:w="2298" w:type="dxa"/>
            <w:tcBorders>
              <w:top w:val="single" w:color="auto" w:sz="4" w:space="0"/>
              <w:left w:val="single" w:color="auto" w:sz="4" w:space="0"/>
              <w:bottom w:val="single" w:color="auto" w:sz="4" w:space="0"/>
              <w:right w:val="single" w:color="auto" w:sz="4" w:space="0"/>
            </w:tcBorders>
            <w:noWrap w:val="0"/>
            <w:vAlign w:val="top"/>
          </w:tcPr>
          <w:p w14:paraId="225CB4B2">
            <w:pPr>
              <w:snapToGrid w:val="0"/>
              <w:spacing w:before="120" w:beforeLines="50"/>
              <w:jc w:val="center"/>
              <w:rPr>
                <w:rFonts w:hint="eastAsia" w:ascii="仿宋" w:hAnsi="仿宋" w:eastAsia="仿宋" w:cs="仿宋"/>
                <w:color w:val="auto"/>
                <w:sz w:val="24"/>
                <w:szCs w:val="24"/>
                <w:highlight w:val="none"/>
              </w:rPr>
            </w:pPr>
          </w:p>
        </w:tc>
      </w:tr>
      <w:tr w14:paraId="284283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1902" w:type="dxa"/>
            <w:tcBorders>
              <w:top w:val="single" w:color="auto" w:sz="4" w:space="0"/>
              <w:left w:val="single" w:color="auto" w:sz="4" w:space="0"/>
              <w:bottom w:val="single" w:color="auto" w:sz="4" w:space="0"/>
              <w:right w:val="single" w:color="auto" w:sz="4" w:space="0"/>
            </w:tcBorders>
            <w:noWrap w:val="0"/>
            <w:vAlign w:val="center"/>
          </w:tcPr>
          <w:p w14:paraId="5EAE80DC">
            <w:pPr>
              <w:jc w:val="center"/>
              <w:rPr>
                <w:rFonts w:hint="eastAsia" w:ascii="仿宋" w:hAnsi="仿宋" w:eastAsia="仿宋" w:cs="仿宋"/>
                <w:color w:val="auto"/>
                <w:sz w:val="24"/>
                <w:szCs w:val="24"/>
                <w:highlight w:val="none"/>
              </w:rPr>
            </w:pPr>
          </w:p>
        </w:tc>
        <w:tc>
          <w:tcPr>
            <w:tcW w:w="3571" w:type="dxa"/>
            <w:tcBorders>
              <w:top w:val="single" w:color="auto" w:sz="4" w:space="0"/>
              <w:left w:val="single" w:color="auto" w:sz="4" w:space="0"/>
              <w:bottom w:val="single" w:color="auto" w:sz="4" w:space="0"/>
              <w:right w:val="single" w:color="auto" w:sz="4" w:space="0"/>
            </w:tcBorders>
            <w:noWrap w:val="0"/>
            <w:vAlign w:val="top"/>
          </w:tcPr>
          <w:p w14:paraId="73BB7EB9">
            <w:pPr>
              <w:snapToGrid w:val="0"/>
              <w:spacing w:before="120" w:beforeLines="50"/>
              <w:rPr>
                <w:rFonts w:hint="eastAsia" w:ascii="仿宋" w:hAnsi="仿宋" w:eastAsia="仿宋" w:cs="仿宋"/>
                <w:color w:val="auto"/>
                <w:sz w:val="24"/>
                <w:szCs w:val="24"/>
                <w:highlight w:val="none"/>
                <w:u w:val="single"/>
              </w:rPr>
            </w:pPr>
          </w:p>
        </w:tc>
        <w:tc>
          <w:tcPr>
            <w:tcW w:w="1987" w:type="dxa"/>
            <w:tcBorders>
              <w:top w:val="single" w:color="auto" w:sz="4" w:space="0"/>
              <w:left w:val="single" w:color="auto" w:sz="4" w:space="0"/>
              <w:bottom w:val="single" w:color="auto" w:sz="4" w:space="0"/>
              <w:right w:val="single" w:color="auto" w:sz="4" w:space="0"/>
            </w:tcBorders>
            <w:noWrap w:val="0"/>
            <w:vAlign w:val="top"/>
          </w:tcPr>
          <w:p w14:paraId="52CA93A0">
            <w:pPr>
              <w:snapToGrid w:val="0"/>
              <w:spacing w:before="120" w:beforeLines="50"/>
              <w:ind w:left="43"/>
              <w:jc w:val="center"/>
              <w:rPr>
                <w:rFonts w:hint="eastAsia" w:ascii="仿宋" w:hAnsi="仿宋" w:eastAsia="仿宋" w:cs="仿宋"/>
                <w:color w:val="auto"/>
                <w:sz w:val="24"/>
                <w:szCs w:val="24"/>
                <w:highlight w:val="none"/>
              </w:rPr>
            </w:pPr>
          </w:p>
        </w:tc>
        <w:tc>
          <w:tcPr>
            <w:tcW w:w="2298" w:type="dxa"/>
            <w:tcBorders>
              <w:top w:val="single" w:color="auto" w:sz="4" w:space="0"/>
              <w:left w:val="single" w:color="auto" w:sz="4" w:space="0"/>
              <w:bottom w:val="single" w:color="auto" w:sz="4" w:space="0"/>
              <w:right w:val="single" w:color="auto" w:sz="4" w:space="0"/>
            </w:tcBorders>
            <w:noWrap w:val="0"/>
            <w:vAlign w:val="top"/>
          </w:tcPr>
          <w:p w14:paraId="7B484A47">
            <w:pPr>
              <w:snapToGrid w:val="0"/>
              <w:spacing w:before="120" w:beforeLines="50"/>
              <w:ind w:left="43"/>
              <w:jc w:val="center"/>
              <w:rPr>
                <w:rFonts w:hint="eastAsia" w:ascii="仿宋" w:hAnsi="仿宋" w:eastAsia="仿宋" w:cs="仿宋"/>
                <w:color w:val="auto"/>
                <w:sz w:val="24"/>
                <w:szCs w:val="24"/>
                <w:highlight w:val="none"/>
              </w:rPr>
            </w:pPr>
          </w:p>
        </w:tc>
      </w:tr>
      <w:tr w14:paraId="7C4100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1902" w:type="dxa"/>
            <w:tcBorders>
              <w:top w:val="single" w:color="auto" w:sz="4" w:space="0"/>
              <w:left w:val="single" w:color="auto" w:sz="4" w:space="0"/>
              <w:bottom w:val="single" w:color="auto" w:sz="4" w:space="0"/>
              <w:right w:val="single" w:color="auto" w:sz="4" w:space="0"/>
            </w:tcBorders>
            <w:noWrap w:val="0"/>
            <w:vAlign w:val="center"/>
          </w:tcPr>
          <w:p w14:paraId="2103AE74">
            <w:pPr>
              <w:jc w:val="center"/>
              <w:rPr>
                <w:rFonts w:hint="eastAsia" w:ascii="仿宋" w:hAnsi="仿宋" w:eastAsia="仿宋" w:cs="仿宋"/>
                <w:color w:val="auto"/>
                <w:sz w:val="24"/>
                <w:szCs w:val="24"/>
                <w:highlight w:val="none"/>
              </w:rPr>
            </w:pPr>
          </w:p>
        </w:tc>
        <w:tc>
          <w:tcPr>
            <w:tcW w:w="3571" w:type="dxa"/>
            <w:tcBorders>
              <w:top w:val="single" w:color="auto" w:sz="4" w:space="0"/>
              <w:left w:val="single" w:color="auto" w:sz="4" w:space="0"/>
              <w:bottom w:val="single" w:color="auto" w:sz="4" w:space="0"/>
              <w:right w:val="single" w:color="auto" w:sz="4" w:space="0"/>
            </w:tcBorders>
            <w:noWrap w:val="0"/>
            <w:vAlign w:val="top"/>
          </w:tcPr>
          <w:p w14:paraId="6DE34194">
            <w:pPr>
              <w:snapToGrid w:val="0"/>
              <w:spacing w:before="120" w:beforeLines="50"/>
              <w:rPr>
                <w:rFonts w:hint="eastAsia" w:ascii="仿宋" w:hAnsi="仿宋" w:eastAsia="仿宋" w:cs="仿宋"/>
                <w:color w:val="auto"/>
                <w:sz w:val="24"/>
                <w:szCs w:val="24"/>
                <w:highlight w:val="none"/>
              </w:rPr>
            </w:pPr>
          </w:p>
        </w:tc>
        <w:tc>
          <w:tcPr>
            <w:tcW w:w="1987" w:type="dxa"/>
            <w:tcBorders>
              <w:top w:val="single" w:color="auto" w:sz="4" w:space="0"/>
              <w:left w:val="single" w:color="auto" w:sz="4" w:space="0"/>
              <w:bottom w:val="single" w:color="auto" w:sz="4" w:space="0"/>
              <w:right w:val="single" w:color="auto" w:sz="4" w:space="0"/>
            </w:tcBorders>
            <w:noWrap w:val="0"/>
            <w:vAlign w:val="top"/>
          </w:tcPr>
          <w:p w14:paraId="1AFB1FB0">
            <w:pPr>
              <w:snapToGrid w:val="0"/>
              <w:spacing w:before="120" w:beforeLines="50"/>
              <w:jc w:val="center"/>
              <w:rPr>
                <w:rFonts w:hint="eastAsia" w:ascii="仿宋" w:hAnsi="仿宋" w:eastAsia="仿宋" w:cs="仿宋"/>
                <w:color w:val="auto"/>
                <w:sz w:val="24"/>
                <w:szCs w:val="24"/>
                <w:highlight w:val="none"/>
              </w:rPr>
            </w:pPr>
          </w:p>
        </w:tc>
        <w:tc>
          <w:tcPr>
            <w:tcW w:w="2298" w:type="dxa"/>
            <w:tcBorders>
              <w:top w:val="single" w:color="auto" w:sz="4" w:space="0"/>
              <w:left w:val="single" w:color="auto" w:sz="4" w:space="0"/>
              <w:bottom w:val="single" w:color="auto" w:sz="4" w:space="0"/>
              <w:right w:val="single" w:color="auto" w:sz="4" w:space="0"/>
            </w:tcBorders>
            <w:noWrap w:val="0"/>
            <w:vAlign w:val="top"/>
          </w:tcPr>
          <w:p w14:paraId="333FE724">
            <w:pPr>
              <w:snapToGrid w:val="0"/>
              <w:spacing w:before="120" w:beforeLines="50"/>
              <w:jc w:val="center"/>
              <w:rPr>
                <w:rFonts w:hint="eastAsia" w:ascii="仿宋" w:hAnsi="仿宋" w:eastAsia="仿宋" w:cs="仿宋"/>
                <w:color w:val="auto"/>
                <w:sz w:val="24"/>
                <w:szCs w:val="24"/>
                <w:highlight w:val="none"/>
              </w:rPr>
            </w:pPr>
          </w:p>
        </w:tc>
      </w:tr>
      <w:tr w14:paraId="5DAE42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3" w:hRule="atLeast"/>
        </w:trPr>
        <w:tc>
          <w:tcPr>
            <w:tcW w:w="1902" w:type="dxa"/>
            <w:tcBorders>
              <w:top w:val="single" w:color="auto" w:sz="4" w:space="0"/>
              <w:left w:val="single" w:color="auto" w:sz="4" w:space="0"/>
              <w:bottom w:val="single" w:color="auto" w:sz="4" w:space="0"/>
              <w:right w:val="single" w:color="auto" w:sz="4" w:space="0"/>
            </w:tcBorders>
            <w:noWrap w:val="0"/>
            <w:vAlign w:val="top"/>
          </w:tcPr>
          <w:p w14:paraId="24ADDF30">
            <w:pPr>
              <w:snapToGrid w:val="0"/>
              <w:spacing w:before="120" w:beforeLines="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tc>
        <w:tc>
          <w:tcPr>
            <w:tcW w:w="3571" w:type="dxa"/>
            <w:tcBorders>
              <w:top w:val="single" w:color="auto" w:sz="4" w:space="0"/>
              <w:left w:val="single" w:color="auto" w:sz="4" w:space="0"/>
              <w:bottom w:val="single" w:color="auto" w:sz="4" w:space="0"/>
              <w:right w:val="single" w:color="auto" w:sz="4" w:space="0"/>
            </w:tcBorders>
            <w:noWrap w:val="0"/>
            <w:vAlign w:val="top"/>
          </w:tcPr>
          <w:p w14:paraId="39D5AAE4">
            <w:pPr>
              <w:snapToGrid w:val="0"/>
              <w:spacing w:before="120" w:beforeLines="50"/>
              <w:jc w:val="center"/>
              <w:rPr>
                <w:rFonts w:hint="eastAsia" w:ascii="仿宋" w:hAnsi="仿宋" w:eastAsia="仿宋" w:cs="仿宋"/>
                <w:color w:val="auto"/>
                <w:sz w:val="24"/>
                <w:szCs w:val="24"/>
                <w:highlight w:val="none"/>
              </w:rPr>
            </w:pPr>
          </w:p>
        </w:tc>
        <w:tc>
          <w:tcPr>
            <w:tcW w:w="1987" w:type="dxa"/>
            <w:tcBorders>
              <w:top w:val="single" w:color="auto" w:sz="4" w:space="0"/>
              <w:left w:val="single" w:color="auto" w:sz="4" w:space="0"/>
              <w:bottom w:val="single" w:color="auto" w:sz="4" w:space="0"/>
              <w:right w:val="single" w:color="auto" w:sz="4" w:space="0"/>
            </w:tcBorders>
            <w:noWrap w:val="0"/>
            <w:vAlign w:val="top"/>
          </w:tcPr>
          <w:p w14:paraId="78350091">
            <w:pPr>
              <w:snapToGrid w:val="0"/>
              <w:spacing w:before="120" w:beforeLines="50"/>
              <w:jc w:val="center"/>
              <w:rPr>
                <w:rFonts w:hint="eastAsia" w:ascii="仿宋" w:hAnsi="仿宋" w:eastAsia="仿宋" w:cs="仿宋"/>
                <w:color w:val="auto"/>
                <w:sz w:val="24"/>
                <w:szCs w:val="24"/>
                <w:highlight w:val="none"/>
              </w:rPr>
            </w:pPr>
          </w:p>
        </w:tc>
        <w:tc>
          <w:tcPr>
            <w:tcW w:w="2298" w:type="dxa"/>
            <w:tcBorders>
              <w:top w:val="single" w:color="auto" w:sz="4" w:space="0"/>
              <w:left w:val="single" w:color="auto" w:sz="4" w:space="0"/>
              <w:bottom w:val="single" w:color="auto" w:sz="4" w:space="0"/>
              <w:right w:val="single" w:color="auto" w:sz="4" w:space="0"/>
            </w:tcBorders>
            <w:noWrap w:val="0"/>
            <w:vAlign w:val="top"/>
          </w:tcPr>
          <w:p w14:paraId="46814E6D">
            <w:pPr>
              <w:snapToGrid w:val="0"/>
              <w:spacing w:before="120" w:beforeLines="50"/>
              <w:jc w:val="center"/>
              <w:rPr>
                <w:rFonts w:hint="eastAsia" w:ascii="仿宋" w:hAnsi="仿宋" w:eastAsia="仿宋" w:cs="仿宋"/>
                <w:color w:val="auto"/>
                <w:sz w:val="24"/>
                <w:szCs w:val="24"/>
                <w:highlight w:val="none"/>
              </w:rPr>
            </w:pPr>
          </w:p>
        </w:tc>
      </w:tr>
    </w:tbl>
    <w:p w14:paraId="526D7A0F">
      <w:pPr>
        <w:pStyle w:val="19"/>
        <w:spacing w:beforeLines="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w:t>
      </w:r>
    </w:p>
    <w:p w14:paraId="7B5D1955">
      <w:pPr>
        <w:pStyle w:val="20"/>
        <w:spacing w:beforeLines="0"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 说明：应对照招标文件“第二章 采购需求”中的商务条款逐条实质性响应，并作出偏离说明。</w:t>
      </w:r>
    </w:p>
    <w:p w14:paraId="78E6D9A4">
      <w:pPr>
        <w:pStyle w:val="19"/>
        <w:spacing w:beforeLines="0"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2.投标人应根据自身的承诺，对照招标文件要求在“偏离说明”中注明“</w:t>
      </w:r>
      <w:r>
        <w:rPr>
          <w:rFonts w:hint="eastAsia" w:ascii="仿宋" w:hAnsi="仿宋" w:eastAsia="仿宋" w:cs="仿宋"/>
          <w:color w:val="auto"/>
          <w:sz w:val="24"/>
          <w:szCs w:val="24"/>
          <w:highlight w:val="none"/>
        </w:rPr>
        <w:t>正偏离</w:t>
      </w:r>
      <w:r>
        <w:rPr>
          <w:rFonts w:hint="eastAsia" w:ascii="仿宋" w:hAnsi="仿宋" w:eastAsia="仿宋" w:cs="仿宋"/>
          <w:b w:val="0"/>
          <w:bCs w:val="0"/>
          <w:color w:val="auto"/>
          <w:sz w:val="24"/>
          <w:szCs w:val="24"/>
          <w:highlight w:val="none"/>
        </w:rPr>
        <w:t>”、“</w:t>
      </w:r>
      <w:r>
        <w:rPr>
          <w:rFonts w:hint="eastAsia" w:ascii="仿宋" w:hAnsi="仿宋" w:eastAsia="仿宋" w:cs="仿宋"/>
          <w:color w:val="auto"/>
          <w:sz w:val="24"/>
          <w:szCs w:val="24"/>
          <w:highlight w:val="none"/>
        </w:rPr>
        <w:t>负偏离</w:t>
      </w:r>
      <w:r>
        <w:rPr>
          <w:rFonts w:hint="eastAsia" w:ascii="仿宋" w:hAnsi="仿宋" w:eastAsia="仿宋" w:cs="仿宋"/>
          <w:b w:val="0"/>
          <w:bCs w:val="0"/>
          <w:color w:val="auto"/>
          <w:sz w:val="24"/>
          <w:szCs w:val="24"/>
          <w:highlight w:val="none"/>
        </w:rPr>
        <w:t>”或者“</w:t>
      </w:r>
      <w:r>
        <w:rPr>
          <w:rFonts w:hint="eastAsia" w:ascii="仿宋" w:hAnsi="仿宋" w:eastAsia="仿宋" w:cs="仿宋"/>
          <w:color w:val="auto"/>
          <w:sz w:val="24"/>
          <w:szCs w:val="24"/>
          <w:highlight w:val="none"/>
        </w:rPr>
        <w:t>无偏离</w:t>
      </w:r>
      <w:r>
        <w:rPr>
          <w:rFonts w:hint="eastAsia" w:ascii="仿宋" w:hAnsi="仿宋" w:eastAsia="仿宋" w:cs="仿宋"/>
          <w:b w:val="0"/>
          <w:bCs w:val="0"/>
          <w:color w:val="auto"/>
          <w:sz w:val="24"/>
          <w:szCs w:val="24"/>
          <w:highlight w:val="none"/>
        </w:rPr>
        <w:t>”。既不属于“</w:t>
      </w:r>
      <w:r>
        <w:rPr>
          <w:rFonts w:hint="eastAsia" w:ascii="仿宋" w:hAnsi="仿宋" w:eastAsia="仿宋" w:cs="仿宋"/>
          <w:color w:val="auto"/>
          <w:sz w:val="24"/>
          <w:szCs w:val="24"/>
          <w:highlight w:val="none"/>
        </w:rPr>
        <w:t>正偏离</w:t>
      </w:r>
      <w:r>
        <w:rPr>
          <w:rFonts w:hint="eastAsia" w:ascii="仿宋" w:hAnsi="仿宋" w:eastAsia="仿宋" w:cs="仿宋"/>
          <w:b w:val="0"/>
          <w:bCs w:val="0"/>
          <w:color w:val="auto"/>
          <w:sz w:val="24"/>
          <w:szCs w:val="24"/>
          <w:highlight w:val="none"/>
        </w:rPr>
        <w:t>”也不属于“</w:t>
      </w:r>
      <w:r>
        <w:rPr>
          <w:rFonts w:hint="eastAsia" w:ascii="仿宋" w:hAnsi="仿宋" w:eastAsia="仿宋" w:cs="仿宋"/>
          <w:color w:val="auto"/>
          <w:sz w:val="24"/>
          <w:szCs w:val="24"/>
          <w:highlight w:val="none"/>
        </w:rPr>
        <w:t>负偏离</w:t>
      </w:r>
      <w:r>
        <w:rPr>
          <w:rFonts w:hint="eastAsia" w:ascii="仿宋" w:hAnsi="仿宋" w:eastAsia="仿宋" w:cs="仿宋"/>
          <w:b w:val="0"/>
          <w:bCs w:val="0"/>
          <w:color w:val="auto"/>
          <w:sz w:val="24"/>
          <w:szCs w:val="24"/>
          <w:highlight w:val="none"/>
        </w:rPr>
        <w:t>”即为“</w:t>
      </w:r>
      <w:r>
        <w:rPr>
          <w:rFonts w:hint="eastAsia" w:ascii="仿宋" w:hAnsi="仿宋" w:eastAsia="仿宋" w:cs="仿宋"/>
          <w:color w:val="auto"/>
          <w:sz w:val="24"/>
          <w:szCs w:val="24"/>
          <w:highlight w:val="none"/>
        </w:rPr>
        <w:t>无偏离</w:t>
      </w:r>
      <w:r>
        <w:rPr>
          <w:rFonts w:hint="eastAsia" w:ascii="仿宋" w:hAnsi="仿宋" w:eastAsia="仿宋" w:cs="仿宋"/>
          <w:b w:val="0"/>
          <w:bCs w:val="0"/>
          <w:color w:val="auto"/>
          <w:sz w:val="24"/>
          <w:szCs w:val="24"/>
          <w:highlight w:val="none"/>
        </w:rPr>
        <w:t>”。</w:t>
      </w:r>
    </w:p>
    <w:p w14:paraId="36552487">
      <w:pPr>
        <w:pStyle w:val="27"/>
        <w:spacing w:line="400" w:lineRule="exact"/>
        <w:rPr>
          <w:rFonts w:hint="eastAsia" w:ascii="仿宋" w:hAnsi="仿宋" w:eastAsia="仿宋" w:cs="仿宋"/>
          <w:b/>
          <w:color w:val="auto"/>
          <w:sz w:val="24"/>
          <w:szCs w:val="24"/>
          <w:highlight w:val="none"/>
        </w:rPr>
      </w:pPr>
    </w:p>
    <w:p w14:paraId="3A443964">
      <w:pPr>
        <w:pStyle w:val="19"/>
        <w:rPr>
          <w:rFonts w:hint="eastAsia" w:ascii="仿宋" w:hAnsi="仿宋" w:eastAsia="仿宋" w:cs="仿宋"/>
          <w:b w:val="0"/>
          <w:bCs w:val="0"/>
          <w:color w:val="auto"/>
          <w:sz w:val="24"/>
          <w:szCs w:val="24"/>
          <w:highlight w:val="none"/>
        </w:rPr>
      </w:pPr>
    </w:p>
    <w:p w14:paraId="3C61B132">
      <w:pPr>
        <w:pStyle w:val="27"/>
        <w:spacing w:beforeLines="0" w:line="360" w:lineRule="auto"/>
        <w:rPr>
          <w:rFonts w:hint="eastAsia" w:ascii="仿宋" w:hAnsi="仿宋" w:eastAsia="仿宋" w:cs="仿宋"/>
          <w:color w:val="auto"/>
          <w:spacing w:val="20"/>
          <w:sz w:val="24"/>
          <w:szCs w:val="24"/>
          <w:highlight w:val="none"/>
          <w:u w:val="single"/>
        </w:rPr>
      </w:pPr>
      <w:r>
        <w:rPr>
          <w:rFonts w:hint="eastAsia" w:ascii="仿宋" w:hAnsi="仿宋" w:eastAsia="仿宋" w:cs="仿宋"/>
          <w:color w:val="auto"/>
          <w:sz w:val="24"/>
          <w:szCs w:val="24"/>
          <w:highlight w:val="none"/>
        </w:rPr>
        <w:t>法定代表人或者委托代理人</w:t>
      </w:r>
      <w:r>
        <w:rPr>
          <w:rFonts w:hint="eastAsia" w:ascii="仿宋" w:hAnsi="仿宋" w:eastAsia="仿宋" w:cs="仿宋"/>
          <w:color w:val="auto"/>
          <w:spacing w:val="20"/>
          <w:sz w:val="24"/>
          <w:szCs w:val="24"/>
          <w:highlight w:val="none"/>
        </w:rPr>
        <w:t>签字</w:t>
      </w:r>
      <w:r>
        <w:rPr>
          <w:rFonts w:hint="eastAsia" w:ascii="仿宋" w:hAnsi="仿宋" w:eastAsia="仿宋" w:cs="仿宋"/>
          <w:color w:val="auto"/>
          <w:sz w:val="24"/>
          <w:szCs w:val="24"/>
          <w:highlight w:val="none"/>
        </w:rPr>
        <w:t>[或盖章(CA签章)]（属自然人的应在签名处加盖大拇指指印或个人CA签章）</w:t>
      </w:r>
      <w:r>
        <w:rPr>
          <w:rFonts w:hint="eastAsia" w:ascii="仿宋" w:hAnsi="仿宋" w:eastAsia="仿宋" w:cs="仿宋"/>
          <w:color w:val="auto"/>
          <w:spacing w:val="20"/>
          <w:sz w:val="24"/>
          <w:szCs w:val="24"/>
          <w:highlight w:val="none"/>
        </w:rPr>
        <w:t>：</w:t>
      </w:r>
      <w:r>
        <w:rPr>
          <w:rFonts w:hint="eastAsia" w:ascii="仿宋" w:hAnsi="仿宋" w:eastAsia="仿宋" w:cs="仿宋"/>
          <w:color w:val="auto"/>
          <w:spacing w:val="20"/>
          <w:sz w:val="24"/>
          <w:szCs w:val="24"/>
          <w:highlight w:val="none"/>
          <w:u w:val="single"/>
        </w:rPr>
        <w:t xml:space="preserve">        </w:t>
      </w:r>
    </w:p>
    <w:p w14:paraId="4D3DD492">
      <w:pPr>
        <w:snapToGrid w:val="0"/>
        <w:spacing w:before="0" w:beforeLines="0" w:line="360" w:lineRule="auto"/>
        <w:rPr>
          <w:rFonts w:hint="eastAsia" w:ascii="仿宋" w:hAnsi="仿宋" w:eastAsia="仿宋" w:cs="仿宋"/>
          <w:color w:val="auto"/>
          <w:spacing w:val="20"/>
          <w:sz w:val="24"/>
          <w:szCs w:val="24"/>
          <w:highlight w:val="none"/>
        </w:rPr>
      </w:pPr>
      <w:r>
        <w:rPr>
          <w:rFonts w:hint="eastAsia" w:ascii="仿宋" w:hAnsi="仿宋" w:eastAsia="仿宋" w:cs="仿宋"/>
          <w:color w:val="auto"/>
          <w:spacing w:val="20"/>
          <w:sz w:val="24"/>
          <w:szCs w:val="24"/>
          <w:highlight w:val="none"/>
        </w:rPr>
        <w:t>投标人</w:t>
      </w:r>
      <w:r>
        <w:rPr>
          <w:rFonts w:hint="eastAsia" w:ascii="仿宋" w:hAnsi="仿宋" w:eastAsia="仿宋" w:cs="仿宋"/>
          <w:bCs/>
          <w:color w:val="auto"/>
          <w:sz w:val="24"/>
          <w:szCs w:val="24"/>
          <w:highlight w:val="none"/>
        </w:rPr>
        <w:t>[公章</w:t>
      </w:r>
      <w:r>
        <w:rPr>
          <w:rFonts w:hint="eastAsia" w:ascii="仿宋" w:hAnsi="仿宋" w:eastAsia="仿宋" w:cs="仿宋"/>
          <w:bCs/>
          <w:color w:val="auto"/>
          <w:sz w:val="24"/>
          <w:szCs w:val="24"/>
          <w:highlight w:val="none"/>
          <w:lang w:val="en-US" w:eastAsia="zh-CN"/>
        </w:rPr>
        <w:t>或</w:t>
      </w:r>
      <w:r>
        <w:rPr>
          <w:rFonts w:hint="eastAsia" w:ascii="仿宋" w:hAnsi="仿宋" w:eastAsia="仿宋" w:cs="仿宋"/>
          <w:bCs/>
          <w:color w:val="auto"/>
          <w:sz w:val="24"/>
          <w:szCs w:val="24"/>
          <w:highlight w:val="none"/>
        </w:rPr>
        <w:t>(CA签章)、自然人除外]</w:t>
      </w:r>
      <w:r>
        <w:rPr>
          <w:rFonts w:hint="eastAsia" w:ascii="仿宋" w:hAnsi="仿宋" w:eastAsia="仿宋" w:cs="仿宋"/>
          <w:color w:val="auto"/>
          <w:spacing w:val="20"/>
          <w:sz w:val="24"/>
          <w:szCs w:val="24"/>
          <w:highlight w:val="none"/>
        </w:rPr>
        <w:t>：</w:t>
      </w:r>
      <w:r>
        <w:rPr>
          <w:rFonts w:hint="eastAsia" w:ascii="仿宋" w:hAnsi="仿宋" w:eastAsia="仿宋" w:cs="仿宋"/>
          <w:color w:val="auto"/>
          <w:spacing w:val="20"/>
          <w:sz w:val="24"/>
          <w:szCs w:val="24"/>
          <w:highlight w:val="none"/>
          <w:u w:val="single"/>
        </w:rPr>
        <w:t xml:space="preserve">            </w:t>
      </w:r>
      <w:r>
        <w:rPr>
          <w:rFonts w:hint="eastAsia" w:ascii="仿宋" w:hAnsi="仿宋" w:eastAsia="仿宋" w:cs="仿宋"/>
          <w:color w:val="auto"/>
          <w:spacing w:val="20"/>
          <w:sz w:val="24"/>
          <w:szCs w:val="24"/>
          <w:highlight w:val="none"/>
        </w:rPr>
        <w:t xml:space="preserve">   </w:t>
      </w:r>
    </w:p>
    <w:p w14:paraId="058D04BA">
      <w:pPr>
        <w:snapToGrid w:val="0"/>
        <w:spacing w:before="0" w:beforeLines="0" w:line="360" w:lineRule="auto"/>
        <w:rPr>
          <w:rFonts w:hint="eastAsia" w:ascii="仿宋" w:hAnsi="仿宋" w:eastAsia="仿宋" w:cs="仿宋"/>
          <w:color w:val="auto"/>
          <w:sz w:val="24"/>
          <w:szCs w:val="24"/>
          <w:highlight w:val="none"/>
        </w:rPr>
      </w:pPr>
      <w:r>
        <w:rPr>
          <w:rFonts w:hint="eastAsia" w:ascii="仿宋" w:hAnsi="仿宋" w:eastAsia="仿宋" w:cs="仿宋"/>
          <w:color w:val="auto"/>
          <w:spacing w:val="20"/>
          <w:sz w:val="24"/>
          <w:szCs w:val="24"/>
          <w:highlight w:val="none"/>
        </w:rPr>
        <w:t>日  期：</w:t>
      </w:r>
      <w:r>
        <w:rPr>
          <w:rFonts w:hint="eastAsia" w:ascii="仿宋" w:hAnsi="仿宋" w:eastAsia="仿宋" w:cs="仿宋"/>
          <w:color w:val="auto"/>
          <w:spacing w:val="20"/>
          <w:sz w:val="24"/>
          <w:szCs w:val="24"/>
          <w:highlight w:val="none"/>
          <w:u w:val="single"/>
        </w:rPr>
        <w:t xml:space="preserve">         </w:t>
      </w:r>
    </w:p>
    <w:p w14:paraId="7B33ABC6">
      <w:pPr>
        <w:snapToGrid w:val="0"/>
        <w:spacing w:before="120" w:beforeLines="50"/>
        <w:rPr>
          <w:rFonts w:hint="eastAsia" w:ascii="仿宋" w:hAnsi="仿宋" w:eastAsia="仿宋" w:cs="仿宋"/>
          <w:color w:val="auto"/>
          <w:sz w:val="24"/>
          <w:szCs w:val="20"/>
          <w:highlight w:val="none"/>
        </w:rPr>
      </w:pPr>
    </w:p>
    <w:p w14:paraId="6DA00383">
      <w:pPr>
        <w:pStyle w:val="27"/>
        <w:jc w:val="center"/>
        <w:rPr>
          <w:rFonts w:hint="eastAsia" w:ascii="仿宋" w:hAnsi="仿宋" w:eastAsia="仿宋" w:cs="仿宋"/>
          <w:b/>
          <w:bCs/>
          <w:color w:val="auto"/>
          <w:sz w:val="32"/>
          <w:highlight w:val="none"/>
        </w:rPr>
      </w:pPr>
    </w:p>
    <w:p w14:paraId="2166CD39">
      <w:pPr>
        <w:pStyle w:val="27"/>
        <w:jc w:val="center"/>
        <w:rPr>
          <w:rFonts w:hint="eastAsia" w:ascii="仿宋" w:hAnsi="仿宋" w:eastAsia="仿宋" w:cs="仿宋"/>
          <w:b/>
          <w:bCs/>
          <w:color w:val="auto"/>
          <w:sz w:val="32"/>
          <w:highlight w:val="none"/>
        </w:rPr>
      </w:pPr>
    </w:p>
    <w:p w14:paraId="2105137C">
      <w:pPr>
        <w:pStyle w:val="27"/>
        <w:jc w:val="center"/>
        <w:rPr>
          <w:rFonts w:hint="eastAsia" w:ascii="仿宋" w:hAnsi="仿宋" w:eastAsia="仿宋" w:cs="仿宋"/>
          <w:b/>
          <w:bCs/>
          <w:color w:val="auto"/>
          <w:sz w:val="32"/>
          <w:highlight w:val="none"/>
        </w:rPr>
      </w:pPr>
    </w:p>
    <w:p w14:paraId="14AE6DB4">
      <w:pPr>
        <w:pStyle w:val="27"/>
        <w:jc w:val="center"/>
        <w:rPr>
          <w:rFonts w:hint="eastAsia" w:ascii="仿宋" w:hAnsi="仿宋" w:eastAsia="仿宋" w:cs="仿宋"/>
          <w:b/>
          <w:bCs/>
          <w:color w:val="auto"/>
          <w:sz w:val="32"/>
          <w:highlight w:val="none"/>
        </w:rPr>
      </w:pPr>
    </w:p>
    <w:p w14:paraId="65660024">
      <w:pPr>
        <w:pStyle w:val="27"/>
        <w:jc w:val="center"/>
        <w:rPr>
          <w:rFonts w:hint="eastAsia" w:ascii="仿宋" w:hAnsi="仿宋" w:eastAsia="仿宋" w:cs="仿宋"/>
          <w:b/>
          <w:bCs/>
          <w:color w:val="auto"/>
          <w:sz w:val="32"/>
          <w:highlight w:val="none"/>
        </w:rPr>
      </w:pPr>
    </w:p>
    <w:p w14:paraId="079FDA0D">
      <w:pPr>
        <w:jc w:val="left"/>
        <w:rPr>
          <w:rFonts w:hint="eastAsia"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lang w:val="en-US" w:eastAsia="zh-CN"/>
        </w:rPr>
        <w:t>7、关于符合本国产品标准的声明函格式</w:t>
      </w:r>
    </w:p>
    <w:p w14:paraId="3FCE074B">
      <w:pPr>
        <w:pStyle w:val="146"/>
        <w:ind w:firstLine="420"/>
        <w:jc w:val="center"/>
        <w:rPr>
          <w:rFonts w:hint="eastAsia" w:ascii="仿宋" w:hAnsi="仿宋" w:eastAsia="仿宋" w:cs="仿宋"/>
          <w:color w:val="auto"/>
          <w:highlight w:val="none"/>
        </w:rPr>
      </w:pPr>
      <w:r>
        <w:rPr>
          <w:rFonts w:hint="eastAsia" w:ascii="仿宋" w:hAnsi="仿宋" w:eastAsia="仿宋" w:cs="仿宋"/>
          <w:b/>
          <w:color w:val="auto"/>
          <w:sz w:val="28"/>
          <w:szCs w:val="28"/>
          <w:highlight w:val="none"/>
          <w:lang w:val="en-US" w:eastAsia="zh-CN"/>
        </w:rPr>
        <w:t>关于符合本国产品标准的声明函</w:t>
      </w:r>
    </w:p>
    <w:p w14:paraId="7F84FD4B">
      <w:pPr>
        <w:pStyle w:val="2"/>
        <w:spacing w:line="500" w:lineRule="exact"/>
        <w:ind w:right="142"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本公司（单位</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联合体）郑重声明，根据《国务院办公厅关于在政府采购中实施本国产品标准及相关政策的通知》（国办发〔2025〕34号）的规定，本公司（单位）提供的以下产品属于本国产品。具体情况如下：</w:t>
      </w:r>
    </w:p>
    <w:p w14:paraId="6FA07562">
      <w:pPr>
        <w:pStyle w:val="45"/>
        <w:shd w:val="clear" w:color="auto" w:fill="FFFFFF"/>
        <w:spacing w:line="360" w:lineRule="auto"/>
        <w:ind w:firstLine="48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Style w:val="57"/>
          <w:rFonts w:hint="eastAsia" w:ascii="仿宋" w:hAnsi="仿宋" w:eastAsia="仿宋" w:cs="仿宋"/>
          <w:color w:val="auto"/>
          <w:sz w:val="24"/>
          <w:szCs w:val="24"/>
          <w:highlight w:val="none"/>
          <w:u w:val="single"/>
        </w:rPr>
        <w:t>（产品名称1）</w:t>
      </w:r>
      <w:r>
        <w:rPr>
          <w:rStyle w:val="57"/>
          <w:rFonts w:hint="eastAsia" w:ascii="仿宋" w:hAnsi="仿宋" w:eastAsia="仿宋" w:cs="仿宋"/>
          <w:color w:val="auto"/>
          <w:sz w:val="24"/>
          <w:szCs w:val="24"/>
          <w:highlight w:val="none"/>
          <w:u w:val="single"/>
          <w:vertAlign w:val="superscript"/>
        </w:rPr>
        <w:t>1</w:t>
      </w:r>
      <w:r>
        <w:rPr>
          <w:rFonts w:hint="eastAsia" w:ascii="仿宋" w:hAnsi="仿宋" w:eastAsia="仿宋" w:cs="仿宋"/>
          <w:color w:val="auto"/>
          <w:sz w:val="24"/>
          <w:szCs w:val="24"/>
          <w:highlight w:val="none"/>
        </w:rPr>
        <w:t>，生产厂为</w:t>
      </w:r>
      <w:r>
        <w:rPr>
          <w:rStyle w:val="57"/>
          <w:rFonts w:hint="eastAsia" w:ascii="仿宋" w:hAnsi="仿宋" w:eastAsia="仿宋" w:cs="仿宋"/>
          <w:color w:val="auto"/>
          <w:sz w:val="24"/>
          <w:szCs w:val="24"/>
          <w:highlight w:val="none"/>
          <w:u w:val="single"/>
        </w:rPr>
        <w:t>（厂名）</w:t>
      </w:r>
      <w:r>
        <w:rPr>
          <w:rStyle w:val="57"/>
          <w:rFonts w:hint="eastAsia" w:ascii="仿宋" w:hAnsi="仿宋" w:eastAsia="仿宋" w:cs="仿宋"/>
          <w:color w:val="auto"/>
          <w:sz w:val="24"/>
          <w:szCs w:val="24"/>
          <w:highlight w:val="none"/>
          <w:u w:val="single"/>
          <w:vertAlign w:val="superscript"/>
        </w:rPr>
        <w:t>2</w:t>
      </w:r>
      <w:r>
        <w:rPr>
          <w:rFonts w:hint="eastAsia" w:ascii="仿宋" w:hAnsi="仿宋" w:eastAsia="仿宋" w:cs="仿宋"/>
          <w:color w:val="auto"/>
          <w:sz w:val="24"/>
          <w:szCs w:val="24"/>
          <w:highlight w:val="none"/>
        </w:rPr>
        <w:t>，厂址为</w:t>
      </w:r>
      <w:r>
        <w:rPr>
          <w:rStyle w:val="57"/>
          <w:rFonts w:hint="eastAsia" w:ascii="仿宋" w:hAnsi="仿宋" w:eastAsia="仿宋" w:cs="仿宋"/>
          <w:color w:val="auto"/>
          <w:sz w:val="24"/>
          <w:szCs w:val="24"/>
          <w:highlight w:val="none"/>
          <w:u w:val="single"/>
        </w:rPr>
        <w:t>（生产厂址）</w:t>
      </w:r>
      <w:r>
        <w:rPr>
          <w:rFonts w:hint="eastAsia" w:ascii="仿宋" w:hAnsi="仿宋" w:eastAsia="仿宋" w:cs="仿宋"/>
          <w:color w:val="auto"/>
          <w:sz w:val="24"/>
          <w:szCs w:val="24"/>
          <w:highlight w:val="none"/>
        </w:rPr>
        <w:t>。</w:t>
      </w:r>
      <w:r>
        <w:rPr>
          <w:rStyle w:val="57"/>
          <w:rFonts w:hint="eastAsia" w:ascii="仿宋" w:hAnsi="仿宋" w:eastAsia="仿宋" w:cs="仿宋"/>
          <w:color w:val="auto"/>
          <w:sz w:val="24"/>
          <w:szCs w:val="24"/>
          <w:highlight w:val="none"/>
          <w:u w:val="single"/>
        </w:rPr>
        <w:t>（产品名称1）</w:t>
      </w:r>
      <w:r>
        <w:rPr>
          <w:rFonts w:hint="eastAsia" w:ascii="仿宋" w:hAnsi="仿宋" w:eastAsia="仿宋" w:cs="仿宋"/>
          <w:color w:val="auto"/>
          <w:sz w:val="24"/>
          <w:szCs w:val="24"/>
          <w:highlight w:val="none"/>
        </w:rPr>
        <w:t>的中国境内生产的组件成本占比≥</w:t>
      </w:r>
      <w:r>
        <w:rPr>
          <w:rStyle w:val="57"/>
          <w:rFonts w:hint="eastAsia" w:ascii="仿宋" w:hAnsi="仿宋" w:eastAsia="仿宋" w:cs="仿宋"/>
          <w:color w:val="auto"/>
          <w:sz w:val="24"/>
          <w:szCs w:val="24"/>
          <w:highlight w:val="none"/>
          <w:u w:val="single"/>
        </w:rPr>
        <w:t>（规定比例）</w:t>
      </w:r>
      <w:r>
        <w:rPr>
          <w:rStyle w:val="57"/>
          <w:rFonts w:hint="eastAsia" w:ascii="仿宋" w:hAnsi="仿宋" w:eastAsia="仿宋" w:cs="仿宋"/>
          <w:color w:val="auto"/>
          <w:sz w:val="24"/>
          <w:szCs w:val="24"/>
          <w:highlight w:val="none"/>
          <w:u w:val="single"/>
          <w:vertAlign w:val="superscript"/>
        </w:rPr>
        <w:t>3</w:t>
      </w:r>
      <w:r>
        <w:rPr>
          <w:rFonts w:hint="eastAsia" w:ascii="仿宋" w:hAnsi="仿宋" w:eastAsia="仿宋" w:cs="仿宋"/>
          <w:color w:val="auto"/>
          <w:sz w:val="24"/>
          <w:szCs w:val="24"/>
          <w:highlight w:val="none"/>
        </w:rPr>
        <w:t>。</w:t>
      </w:r>
      <w:r>
        <w:rPr>
          <w:rStyle w:val="57"/>
          <w:rFonts w:hint="eastAsia" w:ascii="仿宋" w:hAnsi="仿宋" w:eastAsia="仿宋" w:cs="仿宋"/>
          <w:color w:val="auto"/>
          <w:sz w:val="24"/>
          <w:szCs w:val="24"/>
          <w:highlight w:val="none"/>
          <w:u w:val="single"/>
        </w:rPr>
        <w:t>（产品名称1）</w:t>
      </w:r>
      <w:r>
        <w:rPr>
          <w:rFonts w:hint="eastAsia" w:ascii="仿宋" w:hAnsi="仿宋" w:eastAsia="仿宋" w:cs="仿宋"/>
          <w:color w:val="auto"/>
          <w:sz w:val="24"/>
          <w:szCs w:val="24"/>
          <w:highlight w:val="none"/>
        </w:rPr>
        <w:t>的</w:t>
      </w:r>
      <w:r>
        <w:rPr>
          <w:rStyle w:val="57"/>
          <w:rFonts w:hint="eastAsia" w:ascii="仿宋" w:hAnsi="仿宋" w:eastAsia="仿宋" w:cs="仿宋"/>
          <w:color w:val="auto"/>
          <w:sz w:val="24"/>
          <w:szCs w:val="24"/>
          <w:highlight w:val="none"/>
          <w:u w:val="single"/>
        </w:rPr>
        <w:t>（关键组件）</w:t>
      </w:r>
      <w:r>
        <w:rPr>
          <w:rStyle w:val="57"/>
          <w:rFonts w:hint="eastAsia" w:ascii="仿宋" w:hAnsi="仿宋" w:eastAsia="仿宋" w:cs="仿宋"/>
          <w:color w:val="auto"/>
          <w:sz w:val="24"/>
          <w:szCs w:val="24"/>
          <w:highlight w:val="none"/>
          <w:u w:val="single"/>
          <w:vertAlign w:val="superscript"/>
        </w:rPr>
        <w:t>4</w:t>
      </w:r>
      <w:r>
        <w:rPr>
          <w:rFonts w:hint="eastAsia" w:ascii="仿宋" w:hAnsi="仿宋" w:eastAsia="仿宋" w:cs="仿宋"/>
          <w:color w:val="auto"/>
          <w:sz w:val="24"/>
          <w:szCs w:val="24"/>
          <w:highlight w:val="none"/>
        </w:rPr>
        <w:t>在中国境内生产。</w:t>
      </w:r>
      <w:r>
        <w:rPr>
          <w:rStyle w:val="57"/>
          <w:rFonts w:hint="eastAsia" w:ascii="仿宋" w:hAnsi="仿宋" w:eastAsia="仿宋" w:cs="仿宋"/>
          <w:color w:val="auto"/>
          <w:sz w:val="24"/>
          <w:szCs w:val="24"/>
          <w:highlight w:val="none"/>
          <w:u w:val="single"/>
        </w:rPr>
        <w:t>（产品名称1）</w:t>
      </w:r>
      <w:r>
        <w:rPr>
          <w:rFonts w:hint="eastAsia" w:ascii="仿宋" w:hAnsi="仿宋" w:eastAsia="仿宋" w:cs="仿宋"/>
          <w:color w:val="auto"/>
          <w:sz w:val="24"/>
          <w:szCs w:val="24"/>
          <w:highlight w:val="none"/>
        </w:rPr>
        <w:t>的</w:t>
      </w:r>
      <w:r>
        <w:rPr>
          <w:rStyle w:val="57"/>
          <w:rFonts w:hint="eastAsia" w:ascii="仿宋" w:hAnsi="仿宋" w:eastAsia="仿宋" w:cs="仿宋"/>
          <w:color w:val="auto"/>
          <w:sz w:val="24"/>
          <w:szCs w:val="24"/>
          <w:highlight w:val="none"/>
          <w:u w:val="single"/>
        </w:rPr>
        <w:t>（关键工序）</w:t>
      </w:r>
      <w:r>
        <w:rPr>
          <w:rStyle w:val="57"/>
          <w:rFonts w:hint="eastAsia" w:ascii="仿宋" w:hAnsi="仿宋" w:eastAsia="仿宋" w:cs="仿宋"/>
          <w:color w:val="auto"/>
          <w:sz w:val="24"/>
          <w:szCs w:val="24"/>
          <w:highlight w:val="none"/>
          <w:u w:val="single"/>
          <w:vertAlign w:val="superscript"/>
        </w:rPr>
        <w:t>5</w:t>
      </w:r>
      <w:r>
        <w:rPr>
          <w:rFonts w:hint="eastAsia" w:ascii="仿宋" w:hAnsi="仿宋" w:eastAsia="仿宋" w:cs="仿宋"/>
          <w:color w:val="auto"/>
          <w:sz w:val="24"/>
          <w:szCs w:val="24"/>
          <w:highlight w:val="none"/>
        </w:rPr>
        <w:t>在中国境内完成。</w:t>
      </w:r>
    </w:p>
    <w:p w14:paraId="350B6277">
      <w:pPr>
        <w:pStyle w:val="45"/>
        <w:shd w:val="clear" w:color="auto" w:fill="FFFFFF"/>
        <w:spacing w:line="360" w:lineRule="auto"/>
        <w:ind w:firstLine="48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Style w:val="57"/>
          <w:rFonts w:hint="eastAsia" w:ascii="仿宋" w:hAnsi="仿宋" w:eastAsia="仿宋" w:cs="仿宋"/>
          <w:color w:val="auto"/>
          <w:sz w:val="24"/>
          <w:szCs w:val="24"/>
          <w:highlight w:val="none"/>
          <w:u w:val="single"/>
        </w:rPr>
        <w:t>（产品名称2）</w:t>
      </w:r>
      <w:r>
        <w:rPr>
          <w:rFonts w:hint="eastAsia" w:ascii="仿宋" w:hAnsi="仿宋" w:eastAsia="仿宋" w:cs="仿宋"/>
          <w:color w:val="auto"/>
          <w:sz w:val="24"/>
          <w:szCs w:val="24"/>
          <w:highlight w:val="none"/>
        </w:rPr>
        <w:t>，生产厂为</w:t>
      </w:r>
      <w:r>
        <w:rPr>
          <w:rStyle w:val="57"/>
          <w:rFonts w:hint="eastAsia" w:ascii="仿宋" w:hAnsi="仿宋" w:eastAsia="仿宋" w:cs="仿宋"/>
          <w:color w:val="auto"/>
          <w:sz w:val="24"/>
          <w:szCs w:val="24"/>
          <w:highlight w:val="none"/>
          <w:u w:val="single"/>
        </w:rPr>
        <w:t>（厂名）</w:t>
      </w:r>
      <w:r>
        <w:rPr>
          <w:rFonts w:hint="eastAsia" w:ascii="仿宋" w:hAnsi="仿宋" w:eastAsia="仿宋" w:cs="仿宋"/>
          <w:color w:val="auto"/>
          <w:sz w:val="24"/>
          <w:szCs w:val="24"/>
          <w:highlight w:val="none"/>
        </w:rPr>
        <w:t>，厂址为</w:t>
      </w:r>
      <w:r>
        <w:rPr>
          <w:rStyle w:val="57"/>
          <w:rFonts w:hint="eastAsia" w:ascii="仿宋" w:hAnsi="仿宋" w:eastAsia="仿宋" w:cs="仿宋"/>
          <w:color w:val="auto"/>
          <w:sz w:val="24"/>
          <w:szCs w:val="24"/>
          <w:highlight w:val="none"/>
          <w:u w:val="single"/>
        </w:rPr>
        <w:t>（生产厂址）</w:t>
      </w:r>
      <w:r>
        <w:rPr>
          <w:rFonts w:hint="eastAsia" w:ascii="仿宋" w:hAnsi="仿宋" w:eastAsia="仿宋" w:cs="仿宋"/>
          <w:color w:val="auto"/>
          <w:sz w:val="24"/>
          <w:szCs w:val="24"/>
          <w:highlight w:val="none"/>
        </w:rPr>
        <w:t>。</w:t>
      </w:r>
      <w:r>
        <w:rPr>
          <w:rStyle w:val="57"/>
          <w:rFonts w:hint="eastAsia" w:ascii="仿宋" w:hAnsi="仿宋" w:eastAsia="仿宋" w:cs="仿宋"/>
          <w:color w:val="auto"/>
          <w:sz w:val="24"/>
          <w:szCs w:val="24"/>
          <w:highlight w:val="none"/>
          <w:u w:val="single"/>
        </w:rPr>
        <w:t>（产品名称2）</w:t>
      </w:r>
      <w:r>
        <w:rPr>
          <w:rFonts w:hint="eastAsia" w:ascii="仿宋" w:hAnsi="仿宋" w:eastAsia="仿宋" w:cs="仿宋"/>
          <w:color w:val="auto"/>
          <w:sz w:val="24"/>
          <w:szCs w:val="24"/>
          <w:highlight w:val="none"/>
        </w:rPr>
        <w:t>的中国境内生产的组件成本占比≥</w:t>
      </w:r>
      <w:r>
        <w:rPr>
          <w:rStyle w:val="57"/>
          <w:rFonts w:hint="eastAsia" w:ascii="仿宋" w:hAnsi="仿宋" w:eastAsia="仿宋" w:cs="仿宋"/>
          <w:color w:val="auto"/>
          <w:sz w:val="24"/>
          <w:szCs w:val="24"/>
          <w:highlight w:val="none"/>
          <w:u w:val="single"/>
        </w:rPr>
        <w:t>（规定比例）</w:t>
      </w:r>
      <w:r>
        <w:rPr>
          <w:rFonts w:hint="eastAsia" w:ascii="仿宋" w:hAnsi="仿宋" w:eastAsia="仿宋" w:cs="仿宋"/>
          <w:color w:val="auto"/>
          <w:sz w:val="24"/>
          <w:szCs w:val="24"/>
          <w:highlight w:val="none"/>
        </w:rPr>
        <w:t>。</w:t>
      </w:r>
      <w:r>
        <w:rPr>
          <w:rStyle w:val="57"/>
          <w:rFonts w:hint="eastAsia" w:ascii="仿宋" w:hAnsi="仿宋" w:eastAsia="仿宋" w:cs="仿宋"/>
          <w:color w:val="auto"/>
          <w:sz w:val="24"/>
          <w:szCs w:val="24"/>
          <w:highlight w:val="none"/>
          <w:u w:val="single"/>
        </w:rPr>
        <w:t>（产品名称2）</w:t>
      </w:r>
      <w:r>
        <w:rPr>
          <w:rFonts w:hint="eastAsia" w:ascii="仿宋" w:hAnsi="仿宋" w:eastAsia="仿宋" w:cs="仿宋"/>
          <w:color w:val="auto"/>
          <w:sz w:val="24"/>
          <w:szCs w:val="24"/>
          <w:highlight w:val="none"/>
        </w:rPr>
        <w:t>的</w:t>
      </w:r>
      <w:r>
        <w:rPr>
          <w:rStyle w:val="57"/>
          <w:rFonts w:hint="eastAsia" w:ascii="仿宋" w:hAnsi="仿宋" w:eastAsia="仿宋" w:cs="仿宋"/>
          <w:color w:val="auto"/>
          <w:sz w:val="24"/>
          <w:szCs w:val="24"/>
          <w:highlight w:val="none"/>
          <w:u w:val="single"/>
        </w:rPr>
        <w:t>（关键组件）</w:t>
      </w:r>
      <w:r>
        <w:rPr>
          <w:rFonts w:hint="eastAsia" w:ascii="仿宋" w:hAnsi="仿宋" w:eastAsia="仿宋" w:cs="仿宋"/>
          <w:color w:val="auto"/>
          <w:sz w:val="24"/>
          <w:szCs w:val="24"/>
          <w:highlight w:val="none"/>
        </w:rPr>
        <w:t>在中国境内生产。</w:t>
      </w:r>
      <w:r>
        <w:rPr>
          <w:rStyle w:val="57"/>
          <w:rFonts w:hint="eastAsia" w:ascii="仿宋" w:hAnsi="仿宋" w:eastAsia="仿宋" w:cs="仿宋"/>
          <w:color w:val="auto"/>
          <w:sz w:val="24"/>
          <w:szCs w:val="24"/>
          <w:highlight w:val="none"/>
          <w:u w:val="single"/>
        </w:rPr>
        <w:t>（产品名称2）</w:t>
      </w:r>
      <w:r>
        <w:rPr>
          <w:rFonts w:hint="eastAsia" w:ascii="仿宋" w:hAnsi="仿宋" w:eastAsia="仿宋" w:cs="仿宋"/>
          <w:color w:val="auto"/>
          <w:sz w:val="24"/>
          <w:szCs w:val="24"/>
          <w:highlight w:val="none"/>
        </w:rPr>
        <w:t>的</w:t>
      </w:r>
      <w:r>
        <w:rPr>
          <w:rStyle w:val="57"/>
          <w:rFonts w:hint="eastAsia" w:ascii="仿宋" w:hAnsi="仿宋" w:eastAsia="仿宋" w:cs="仿宋"/>
          <w:color w:val="auto"/>
          <w:sz w:val="24"/>
          <w:szCs w:val="24"/>
          <w:highlight w:val="none"/>
          <w:u w:val="single"/>
        </w:rPr>
        <w:t>（关键工序）</w:t>
      </w:r>
      <w:r>
        <w:rPr>
          <w:rFonts w:hint="eastAsia" w:ascii="仿宋" w:hAnsi="仿宋" w:eastAsia="仿宋" w:cs="仿宋"/>
          <w:color w:val="auto"/>
          <w:sz w:val="24"/>
          <w:szCs w:val="24"/>
          <w:highlight w:val="none"/>
        </w:rPr>
        <w:t>在中国境内完成。</w:t>
      </w:r>
    </w:p>
    <w:p w14:paraId="2F0297A7">
      <w:pPr>
        <w:pStyle w:val="2"/>
        <w:spacing w:line="500" w:lineRule="exact"/>
        <w:ind w:right="142" w:firstLine="705" w:firstLineChars="294"/>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p w14:paraId="120ED428">
      <w:pPr>
        <w:pStyle w:val="2"/>
        <w:spacing w:line="500" w:lineRule="exact"/>
        <w:ind w:right="142" w:firstLine="705" w:firstLineChars="294"/>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本公司（单位）对上述声明内容的真实性负责。如有虚假，愿承担相应法律责任。</w:t>
      </w:r>
    </w:p>
    <w:p w14:paraId="435FF018">
      <w:pPr>
        <w:pStyle w:val="50"/>
        <w:rPr>
          <w:rFonts w:hint="eastAsia" w:ascii="仿宋" w:hAnsi="仿宋" w:eastAsia="仿宋" w:cs="仿宋"/>
          <w:color w:val="auto"/>
          <w:sz w:val="24"/>
          <w:szCs w:val="24"/>
          <w:highlight w:val="none"/>
        </w:rPr>
      </w:pPr>
    </w:p>
    <w:p w14:paraId="248C6524">
      <w:pPr>
        <w:pStyle w:val="45"/>
        <w:shd w:val="clear" w:color="auto" w:fill="FFFFFF"/>
        <w:spacing w:before="24" w:after="24" w:line="360" w:lineRule="auto"/>
        <w:ind w:right="480" w:firstLine="4440" w:firstLineChars="18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供应商（盖公章</w:t>
      </w:r>
      <w:r>
        <w:rPr>
          <w:rFonts w:hint="eastAsia" w:ascii="仿宋" w:hAnsi="仿宋" w:eastAsia="仿宋" w:cs="仿宋"/>
          <w:color w:val="auto"/>
          <w:sz w:val="24"/>
          <w:szCs w:val="24"/>
          <w:highlight w:val="none"/>
          <w:lang w:val="en-US" w:eastAsia="zh-CN"/>
        </w:rPr>
        <w:t>或</w:t>
      </w:r>
      <w:r>
        <w:rPr>
          <w:rFonts w:hint="eastAsia" w:ascii="仿宋" w:hAnsi="仿宋" w:eastAsia="仿宋" w:cs="仿宋"/>
          <w:color w:val="auto"/>
          <w:sz w:val="24"/>
          <w:highlight w:val="none"/>
          <w:lang w:val="en-US" w:eastAsia="zh-CN"/>
        </w:rPr>
        <w:t>CA签章</w:t>
      </w:r>
      <w:r>
        <w:rPr>
          <w:rFonts w:hint="eastAsia" w:ascii="仿宋" w:hAnsi="仿宋" w:eastAsia="仿宋" w:cs="仿宋"/>
          <w:color w:val="auto"/>
          <w:sz w:val="24"/>
          <w:szCs w:val="24"/>
          <w:highlight w:val="none"/>
        </w:rPr>
        <w:t>）：      </w:t>
      </w:r>
    </w:p>
    <w:p w14:paraId="731506C6">
      <w:pPr>
        <w:pStyle w:val="45"/>
        <w:shd w:val="clear" w:color="auto" w:fill="FFFFFF"/>
        <w:spacing w:before="24" w:after="24" w:line="360" w:lineRule="auto"/>
        <w:ind w:right="480" w:firstLine="4440" w:firstLineChars="18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　　　年　 月 　日    </w:t>
      </w:r>
    </w:p>
    <w:p w14:paraId="7D49DADE">
      <w:pPr>
        <w:pStyle w:val="45"/>
        <w:shd w:val="clear" w:color="auto" w:fill="FFFFFF"/>
        <w:spacing w:before="24" w:after="24"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_______________________________________________________________________________</w:t>
      </w:r>
    </w:p>
    <w:p w14:paraId="332B649E">
      <w:pPr>
        <w:pStyle w:val="2"/>
        <w:spacing w:line="440" w:lineRule="exact"/>
        <w:ind w:right="142" w:firstLine="705" w:firstLineChars="294"/>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1.产品如有型号，请在“产品名称”栏一并填写。</w:t>
      </w:r>
    </w:p>
    <w:p w14:paraId="10A1B3AA">
      <w:pPr>
        <w:pStyle w:val="2"/>
        <w:spacing w:line="440" w:lineRule="exact"/>
        <w:ind w:right="142" w:firstLine="705" w:firstLineChars="294"/>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2.生产厂名与厂址应与生产厂营业执照载明的相关信息保持一致。</w:t>
      </w:r>
    </w:p>
    <w:p w14:paraId="0B5D7F9F">
      <w:pPr>
        <w:pStyle w:val="2"/>
        <w:spacing w:line="440" w:lineRule="exact"/>
        <w:ind w:right="142" w:firstLine="705" w:firstLineChars="294"/>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3.该产品的中国境内生产的组件成本占比相关要求实施前，“规定比例”栏可不填，下同。</w:t>
      </w:r>
    </w:p>
    <w:p w14:paraId="0550522D">
      <w:pPr>
        <w:pStyle w:val="2"/>
        <w:spacing w:line="440" w:lineRule="exact"/>
        <w:ind w:right="142" w:firstLine="705" w:firstLineChars="294"/>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4.该产品的关键组件要求实施前，“关键组件”栏可不填，下同。</w:t>
      </w:r>
    </w:p>
    <w:p w14:paraId="3E6368FF">
      <w:pPr>
        <w:pStyle w:val="2"/>
        <w:spacing w:line="440" w:lineRule="exact"/>
        <w:ind w:right="142" w:firstLine="705" w:firstLineChars="294"/>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5.该产品的关键工序要求实施前，“关键工序”栏可不填，下同。</w:t>
      </w:r>
    </w:p>
    <w:p w14:paraId="7D71BE30">
      <w:pPr>
        <w:pStyle w:val="2"/>
        <w:spacing w:line="440" w:lineRule="exact"/>
        <w:ind w:right="142" w:firstLine="705" w:firstLineChars="294"/>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《声明函》不符合</w:t>
      </w: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HYPERLINK "https://www.gov.cn/zhengce/content/202509/content_7042999.htm" \t "_blank" </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z w:val="24"/>
          <w:szCs w:val="24"/>
          <w:highlight w:val="none"/>
        </w:rPr>
        <w:t>《关于在政府采购中实施本国产品标准及相关政策的通知》</w:t>
      </w:r>
      <w:r>
        <w:rPr>
          <w:rFonts w:hint="eastAsia" w:ascii="仿宋" w:hAnsi="仿宋" w:eastAsia="仿宋" w:cs="仿宋"/>
          <w:color w:val="auto"/>
          <w:sz w:val="24"/>
          <w:szCs w:val="24"/>
          <w:highlight w:val="none"/>
        </w:rPr>
        <w:fldChar w:fldCharType="end"/>
      </w:r>
      <w:r>
        <w:rPr>
          <w:rFonts w:hint="eastAsia" w:ascii="仿宋" w:hAnsi="仿宋" w:eastAsia="仿宋" w:cs="仿宋"/>
          <w:color w:val="auto"/>
          <w:sz w:val="24"/>
          <w:szCs w:val="24"/>
          <w:highlight w:val="none"/>
        </w:rPr>
        <w:t>（财库〔2017〕141号）规定要求的，供应商提供的相关产品视为不符合本国产品标准。</w:t>
      </w:r>
    </w:p>
    <w:p w14:paraId="3071DC2F">
      <w:pPr>
        <w:snapToGrid w:val="0"/>
        <w:spacing w:before="120" w:beforeLines="50" w:after="5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lang w:val="en-US" w:eastAsia="zh-CN"/>
        </w:rPr>
        <w:t>8</w:t>
      </w:r>
      <w:r>
        <w:rPr>
          <w:rFonts w:hint="eastAsia" w:ascii="仿宋" w:hAnsi="仿宋" w:eastAsia="仿宋" w:cs="仿宋"/>
          <w:b/>
          <w:color w:val="auto"/>
          <w:sz w:val="24"/>
          <w:highlight w:val="none"/>
        </w:rPr>
        <w:t>.投标人业绩证明材料</w:t>
      </w:r>
    </w:p>
    <w:p w14:paraId="5F88A7B2">
      <w:pPr>
        <w:pStyle w:val="37"/>
        <w:snapToGrid w:val="0"/>
        <w:ind w:left="480" w:hanging="48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投标人业绩情况一览表格式： </w:t>
      </w:r>
    </w:p>
    <w:p w14:paraId="0D1AE1E2">
      <w:pPr>
        <w:snapToGrid w:val="0"/>
        <w:spacing w:before="50"/>
        <w:ind w:right="240"/>
        <w:jc w:val="center"/>
        <w:rPr>
          <w:rFonts w:hint="eastAsia" w:ascii="仿宋" w:hAnsi="仿宋" w:eastAsia="仿宋" w:cs="仿宋"/>
          <w:color w:val="auto"/>
          <w:sz w:val="24"/>
          <w:highlight w:val="none"/>
        </w:rPr>
      </w:pPr>
      <w:r>
        <w:rPr>
          <w:rFonts w:hint="eastAsia" w:ascii="仿宋" w:hAnsi="仿宋" w:eastAsia="仿宋" w:cs="仿宋"/>
          <w:b/>
          <w:color w:val="auto"/>
          <w:sz w:val="28"/>
          <w:highlight w:val="none"/>
        </w:rPr>
        <w:t>业绩情况一览表</w:t>
      </w:r>
    </w:p>
    <w:p w14:paraId="4EF35B6F">
      <w:pPr>
        <w:snapToGrid w:val="0"/>
        <w:spacing w:before="50"/>
        <w:ind w:right="240" w:firstLine="3840" w:firstLineChars="1600"/>
        <w:jc w:val="center"/>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 xml:space="preserve">                            </w:t>
      </w:r>
    </w:p>
    <w:tbl>
      <w:tblPr>
        <w:tblStyle w:val="51"/>
        <w:tblW w:w="99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477"/>
        <w:gridCol w:w="2054"/>
        <w:gridCol w:w="2055"/>
        <w:gridCol w:w="3314"/>
      </w:tblGrid>
      <w:tr w14:paraId="2AF757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92" w:hRule="atLeast"/>
          <w:jc w:val="center"/>
        </w:trPr>
        <w:tc>
          <w:tcPr>
            <w:tcW w:w="2477" w:type="dxa"/>
            <w:vMerge w:val="restart"/>
            <w:tcBorders>
              <w:top w:val="single" w:color="auto" w:sz="4" w:space="0"/>
              <w:left w:val="single" w:color="auto" w:sz="4" w:space="0"/>
              <w:bottom w:val="single" w:color="auto" w:sz="4" w:space="0"/>
              <w:right w:val="single" w:color="auto" w:sz="4" w:space="0"/>
            </w:tcBorders>
            <w:vAlign w:val="center"/>
          </w:tcPr>
          <w:p w14:paraId="1FC52B93">
            <w:pPr>
              <w:snapToGrid w:val="0"/>
              <w:spacing w:line="240" w:lineRule="exact"/>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采购人名称</w:t>
            </w:r>
          </w:p>
        </w:tc>
        <w:tc>
          <w:tcPr>
            <w:tcW w:w="2054" w:type="dxa"/>
            <w:vMerge w:val="restart"/>
            <w:tcBorders>
              <w:top w:val="single" w:color="auto" w:sz="4" w:space="0"/>
              <w:left w:val="single" w:color="auto" w:sz="4" w:space="0"/>
              <w:bottom w:val="single" w:color="auto" w:sz="4" w:space="0"/>
              <w:right w:val="single" w:color="auto" w:sz="4" w:space="0"/>
            </w:tcBorders>
            <w:vAlign w:val="center"/>
          </w:tcPr>
          <w:p w14:paraId="46C5FA57">
            <w:pPr>
              <w:snapToGrid w:val="0"/>
              <w:spacing w:line="240" w:lineRule="exact"/>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项目名称</w:t>
            </w:r>
          </w:p>
        </w:tc>
        <w:tc>
          <w:tcPr>
            <w:tcW w:w="2055" w:type="dxa"/>
            <w:vMerge w:val="restart"/>
            <w:tcBorders>
              <w:top w:val="single" w:color="auto" w:sz="4" w:space="0"/>
              <w:left w:val="single" w:color="auto" w:sz="4" w:space="0"/>
              <w:bottom w:val="single" w:color="auto" w:sz="4" w:space="0"/>
              <w:right w:val="single" w:color="auto" w:sz="4" w:space="0"/>
            </w:tcBorders>
            <w:vAlign w:val="center"/>
          </w:tcPr>
          <w:p w14:paraId="2DEEFABB">
            <w:pPr>
              <w:snapToGrid w:val="0"/>
              <w:spacing w:line="240" w:lineRule="exact"/>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合同金额</w:t>
            </w:r>
          </w:p>
          <w:p w14:paraId="6577A728">
            <w:pPr>
              <w:snapToGrid w:val="0"/>
              <w:spacing w:line="240" w:lineRule="exact"/>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（万元）</w:t>
            </w:r>
          </w:p>
        </w:tc>
        <w:tc>
          <w:tcPr>
            <w:tcW w:w="3314" w:type="dxa"/>
            <w:vMerge w:val="restart"/>
            <w:tcBorders>
              <w:top w:val="single" w:color="auto" w:sz="4" w:space="0"/>
              <w:left w:val="single" w:color="auto" w:sz="4" w:space="0"/>
              <w:bottom w:val="single" w:color="auto" w:sz="4" w:space="0"/>
              <w:right w:val="single" w:color="auto" w:sz="4" w:space="0"/>
            </w:tcBorders>
            <w:vAlign w:val="center"/>
          </w:tcPr>
          <w:p w14:paraId="7AEFC32A">
            <w:pPr>
              <w:snapToGrid w:val="0"/>
              <w:spacing w:line="240" w:lineRule="exact"/>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采购人联系人及</w:t>
            </w:r>
          </w:p>
          <w:p w14:paraId="743A636D">
            <w:pPr>
              <w:snapToGrid w:val="0"/>
              <w:spacing w:line="240" w:lineRule="exact"/>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联系电话</w:t>
            </w:r>
          </w:p>
        </w:tc>
      </w:tr>
      <w:tr w14:paraId="32D7A7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8" w:hRule="atLeast"/>
          <w:jc w:val="center"/>
        </w:trPr>
        <w:tc>
          <w:tcPr>
            <w:tcW w:w="2477" w:type="dxa"/>
            <w:vMerge w:val="continue"/>
            <w:tcBorders>
              <w:top w:val="single" w:color="auto" w:sz="4" w:space="0"/>
              <w:left w:val="single" w:color="auto" w:sz="4" w:space="0"/>
              <w:bottom w:val="single" w:color="auto" w:sz="4" w:space="0"/>
              <w:right w:val="single" w:color="auto" w:sz="4" w:space="0"/>
            </w:tcBorders>
            <w:vAlign w:val="center"/>
          </w:tcPr>
          <w:p w14:paraId="4E78FEF9">
            <w:pPr>
              <w:jc w:val="left"/>
              <w:rPr>
                <w:rFonts w:hint="eastAsia" w:ascii="仿宋" w:hAnsi="仿宋" w:eastAsia="仿宋" w:cs="仿宋"/>
                <w:color w:val="auto"/>
                <w:sz w:val="24"/>
                <w:highlight w:val="none"/>
              </w:rPr>
            </w:pPr>
          </w:p>
        </w:tc>
        <w:tc>
          <w:tcPr>
            <w:tcW w:w="2054" w:type="dxa"/>
            <w:vMerge w:val="continue"/>
            <w:tcBorders>
              <w:top w:val="single" w:color="auto" w:sz="4" w:space="0"/>
              <w:left w:val="single" w:color="auto" w:sz="4" w:space="0"/>
              <w:bottom w:val="single" w:color="auto" w:sz="4" w:space="0"/>
              <w:right w:val="single" w:color="auto" w:sz="4" w:space="0"/>
            </w:tcBorders>
            <w:vAlign w:val="center"/>
          </w:tcPr>
          <w:p w14:paraId="6C4AA0AB">
            <w:pPr>
              <w:jc w:val="left"/>
              <w:rPr>
                <w:rFonts w:hint="eastAsia" w:ascii="仿宋" w:hAnsi="仿宋" w:eastAsia="仿宋" w:cs="仿宋"/>
                <w:color w:val="auto"/>
                <w:sz w:val="24"/>
                <w:highlight w:val="none"/>
              </w:rPr>
            </w:pPr>
          </w:p>
        </w:tc>
        <w:tc>
          <w:tcPr>
            <w:tcW w:w="2055" w:type="dxa"/>
            <w:vMerge w:val="continue"/>
            <w:tcBorders>
              <w:top w:val="single" w:color="auto" w:sz="4" w:space="0"/>
              <w:left w:val="single" w:color="auto" w:sz="4" w:space="0"/>
              <w:bottom w:val="single" w:color="auto" w:sz="4" w:space="0"/>
              <w:right w:val="single" w:color="auto" w:sz="4" w:space="0"/>
            </w:tcBorders>
            <w:vAlign w:val="center"/>
          </w:tcPr>
          <w:p w14:paraId="0253703D">
            <w:pPr>
              <w:jc w:val="left"/>
              <w:rPr>
                <w:rFonts w:hint="eastAsia" w:ascii="仿宋" w:hAnsi="仿宋" w:eastAsia="仿宋" w:cs="仿宋"/>
                <w:color w:val="auto"/>
                <w:sz w:val="24"/>
                <w:highlight w:val="none"/>
              </w:rPr>
            </w:pPr>
          </w:p>
        </w:tc>
        <w:tc>
          <w:tcPr>
            <w:tcW w:w="3314" w:type="dxa"/>
            <w:vMerge w:val="continue"/>
            <w:tcBorders>
              <w:top w:val="single" w:color="auto" w:sz="4" w:space="0"/>
              <w:left w:val="single" w:color="auto" w:sz="4" w:space="0"/>
              <w:bottom w:val="single" w:color="auto" w:sz="4" w:space="0"/>
              <w:right w:val="single" w:color="auto" w:sz="4" w:space="0"/>
            </w:tcBorders>
            <w:vAlign w:val="center"/>
          </w:tcPr>
          <w:p w14:paraId="7D191D14">
            <w:pPr>
              <w:jc w:val="left"/>
              <w:rPr>
                <w:rFonts w:hint="eastAsia" w:ascii="仿宋" w:hAnsi="仿宋" w:eastAsia="仿宋" w:cs="仿宋"/>
                <w:color w:val="auto"/>
                <w:sz w:val="24"/>
                <w:highlight w:val="none"/>
              </w:rPr>
            </w:pPr>
          </w:p>
        </w:tc>
      </w:tr>
      <w:tr w14:paraId="35BEA1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3" w:hRule="atLeast"/>
          <w:jc w:val="center"/>
        </w:trPr>
        <w:tc>
          <w:tcPr>
            <w:tcW w:w="2477" w:type="dxa"/>
            <w:tcBorders>
              <w:top w:val="single" w:color="auto" w:sz="4" w:space="0"/>
              <w:left w:val="single" w:color="auto" w:sz="4" w:space="0"/>
              <w:bottom w:val="single" w:color="auto" w:sz="4" w:space="0"/>
              <w:right w:val="single" w:color="auto" w:sz="4" w:space="0"/>
            </w:tcBorders>
          </w:tcPr>
          <w:p w14:paraId="425B24E2">
            <w:pPr>
              <w:snapToGrid w:val="0"/>
              <w:spacing w:line="240" w:lineRule="exact"/>
              <w:jc w:val="left"/>
              <w:rPr>
                <w:rFonts w:hint="eastAsia" w:ascii="仿宋" w:hAnsi="仿宋" w:eastAsia="仿宋" w:cs="仿宋"/>
                <w:color w:val="auto"/>
                <w:sz w:val="24"/>
                <w:highlight w:val="none"/>
              </w:rPr>
            </w:pPr>
          </w:p>
        </w:tc>
        <w:tc>
          <w:tcPr>
            <w:tcW w:w="2054" w:type="dxa"/>
            <w:tcBorders>
              <w:top w:val="single" w:color="auto" w:sz="4" w:space="0"/>
              <w:left w:val="single" w:color="auto" w:sz="4" w:space="0"/>
              <w:bottom w:val="single" w:color="auto" w:sz="4" w:space="0"/>
              <w:right w:val="single" w:color="auto" w:sz="4" w:space="0"/>
            </w:tcBorders>
          </w:tcPr>
          <w:p w14:paraId="71DD777F">
            <w:pPr>
              <w:snapToGrid w:val="0"/>
              <w:spacing w:line="240" w:lineRule="exact"/>
              <w:jc w:val="left"/>
              <w:rPr>
                <w:rFonts w:hint="eastAsia" w:ascii="仿宋" w:hAnsi="仿宋" w:eastAsia="仿宋" w:cs="仿宋"/>
                <w:color w:val="auto"/>
                <w:sz w:val="24"/>
                <w:highlight w:val="none"/>
              </w:rPr>
            </w:pPr>
          </w:p>
        </w:tc>
        <w:tc>
          <w:tcPr>
            <w:tcW w:w="2055" w:type="dxa"/>
            <w:tcBorders>
              <w:top w:val="single" w:color="auto" w:sz="4" w:space="0"/>
              <w:left w:val="single" w:color="auto" w:sz="4" w:space="0"/>
              <w:bottom w:val="single" w:color="auto" w:sz="4" w:space="0"/>
              <w:right w:val="single" w:color="auto" w:sz="4" w:space="0"/>
            </w:tcBorders>
          </w:tcPr>
          <w:p w14:paraId="58733C70">
            <w:pPr>
              <w:snapToGrid w:val="0"/>
              <w:spacing w:line="240" w:lineRule="exact"/>
              <w:jc w:val="left"/>
              <w:rPr>
                <w:rFonts w:hint="eastAsia" w:ascii="仿宋" w:hAnsi="仿宋" w:eastAsia="仿宋" w:cs="仿宋"/>
                <w:color w:val="auto"/>
                <w:sz w:val="24"/>
                <w:highlight w:val="none"/>
              </w:rPr>
            </w:pPr>
          </w:p>
        </w:tc>
        <w:tc>
          <w:tcPr>
            <w:tcW w:w="3314" w:type="dxa"/>
            <w:tcBorders>
              <w:top w:val="single" w:color="auto" w:sz="4" w:space="0"/>
              <w:left w:val="single" w:color="auto" w:sz="4" w:space="0"/>
              <w:bottom w:val="single" w:color="auto" w:sz="4" w:space="0"/>
              <w:right w:val="single" w:color="auto" w:sz="4" w:space="0"/>
            </w:tcBorders>
          </w:tcPr>
          <w:p w14:paraId="3156DA62">
            <w:pPr>
              <w:snapToGrid w:val="0"/>
              <w:spacing w:line="240" w:lineRule="exact"/>
              <w:jc w:val="left"/>
              <w:rPr>
                <w:rFonts w:hint="eastAsia" w:ascii="仿宋" w:hAnsi="仿宋" w:eastAsia="仿宋" w:cs="仿宋"/>
                <w:color w:val="auto"/>
                <w:sz w:val="24"/>
                <w:highlight w:val="none"/>
              </w:rPr>
            </w:pPr>
          </w:p>
        </w:tc>
      </w:tr>
      <w:tr w14:paraId="02DB21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2477" w:type="dxa"/>
            <w:tcBorders>
              <w:top w:val="single" w:color="auto" w:sz="4" w:space="0"/>
              <w:left w:val="single" w:color="auto" w:sz="4" w:space="0"/>
              <w:bottom w:val="single" w:color="auto" w:sz="4" w:space="0"/>
              <w:right w:val="single" w:color="auto" w:sz="4" w:space="0"/>
            </w:tcBorders>
          </w:tcPr>
          <w:p w14:paraId="2654BA6B">
            <w:pPr>
              <w:snapToGrid w:val="0"/>
              <w:spacing w:before="50" w:after="120" w:afterLines="50" w:line="400" w:lineRule="exact"/>
              <w:jc w:val="left"/>
              <w:rPr>
                <w:rFonts w:hint="eastAsia" w:ascii="仿宋" w:hAnsi="仿宋" w:eastAsia="仿宋" w:cs="仿宋"/>
                <w:color w:val="auto"/>
                <w:sz w:val="24"/>
                <w:highlight w:val="none"/>
              </w:rPr>
            </w:pPr>
          </w:p>
        </w:tc>
        <w:tc>
          <w:tcPr>
            <w:tcW w:w="2054" w:type="dxa"/>
            <w:tcBorders>
              <w:top w:val="single" w:color="auto" w:sz="4" w:space="0"/>
              <w:left w:val="single" w:color="auto" w:sz="4" w:space="0"/>
              <w:bottom w:val="single" w:color="auto" w:sz="4" w:space="0"/>
              <w:right w:val="single" w:color="auto" w:sz="4" w:space="0"/>
            </w:tcBorders>
          </w:tcPr>
          <w:p w14:paraId="31F0CB26">
            <w:pPr>
              <w:snapToGrid w:val="0"/>
              <w:spacing w:before="50" w:after="120" w:afterLines="50" w:line="400" w:lineRule="exact"/>
              <w:jc w:val="left"/>
              <w:rPr>
                <w:rFonts w:hint="eastAsia" w:ascii="仿宋" w:hAnsi="仿宋" w:eastAsia="仿宋" w:cs="仿宋"/>
                <w:color w:val="auto"/>
                <w:sz w:val="24"/>
                <w:highlight w:val="none"/>
              </w:rPr>
            </w:pPr>
          </w:p>
        </w:tc>
        <w:tc>
          <w:tcPr>
            <w:tcW w:w="2055" w:type="dxa"/>
            <w:tcBorders>
              <w:top w:val="single" w:color="auto" w:sz="4" w:space="0"/>
              <w:left w:val="single" w:color="auto" w:sz="4" w:space="0"/>
              <w:bottom w:val="single" w:color="auto" w:sz="4" w:space="0"/>
              <w:right w:val="single" w:color="auto" w:sz="4" w:space="0"/>
            </w:tcBorders>
          </w:tcPr>
          <w:p w14:paraId="4B030DBC">
            <w:pPr>
              <w:snapToGrid w:val="0"/>
              <w:spacing w:before="50" w:after="120" w:afterLines="50" w:line="400" w:lineRule="exact"/>
              <w:jc w:val="left"/>
              <w:rPr>
                <w:rFonts w:hint="eastAsia" w:ascii="仿宋" w:hAnsi="仿宋" w:eastAsia="仿宋" w:cs="仿宋"/>
                <w:color w:val="auto"/>
                <w:sz w:val="24"/>
                <w:highlight w:val="none"/>
              </w:rPr>
            </w:pPr>
          </w:p>
        </w:tc>
        <w:tc>
          <w:tcPr>
            <w:tcW w:w="3314" w:type="dxa"/>
            <w:tcBorders>
              <w:top w:val="single" w:color="auto" w:sz="4" w:space="0"/>
              <w:left w:val="single" w:color="auto" w:sz="4" w:space="0"/>
              <w:bottom w:val="single" w:color="auto" w:sz="4" w:space="0"/>
              <w:right w:val="single" w:color="auto" w:sz="4" w:space="0"/>
            </w:tcBorders>
          </w:tcPr>
          <w:p w14:paraId="2CEC12F7">
            <w:pPr>
              <w:snapToGrid w:val="0"/>
              <w:spacing w:before="50" w:after="120" w:afterLines="50" w:line="400" w:lineRule="exact"/>
              <w:jc w:val="left"/>
              <w:rPr>
                <w:rFonts w:hint="eastAsia" w:ascii="仿宋" w:hAnsi="仿宋" w:eastAsia="仿宋" w:cs="仿宋"/>
                <w:color w:val="auto"/>
                <w:sz w:val="24"/>
                <w:highlight w:val="none"/>
              </w:rPr>
            </w:pPr>
          </w:p>
        </w:tc>
      </w:tr>
      <w:tr w14:paraId="68686C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3" w:hRule="atLeast"/>
          <w:jc w:val="center"/>
        </w:trPr>
        <w:tc>
          <w:tcPr>
            <w:tcW w:w="2477" w:type="dxa"/>
            <w:tcBorders>
              <w:top w:val="single" w:color="auto" w:sz="4" w:space="0"/>
              <w:left w:val="single" w:color="auto" w:sz="4" w:space="0"/>
              <w:bottom w:val="single" w:color="auto" w:sz="4" w:space="0"/>
              <w:right w:val="single" w:color="auto" w:sz="4" w:space="0"/>
            </w:tcBorders>
          </w:tcPr>
          <w:p w14:paraId="15372CE9">
            <w:pPr>
              <w:snapToGrid w:val="0"/>
              <w:spacing w:before="50" w:after="120" w:afterLines="50" w:line="400" w:lineRule="exact"/>
              <w:jc w:val="left"/>
              <w:rPr>
                <w:rFonts w:hint="eastAsia" w:ascii="仿宋" w:hAnsi="仿宋" w:eastAsia="仿宋" w:cs="仿宋"/>
                <w:color w:val="auto"/>
                <w:sz w:val="24"/>
                <w:highlight w:val="none"/>
              </w:rPr>
            </w:pPr>
          </w:p>
        </w:tc>
        <w:tc>
          <w:tcPr>
            <w:tcW w:w="2054" w:type="dxa"/>
            <w:tcBorders>
              <w:top w:val="single" w:color="auto" w:sz="4" w:space="0"/>
              <w:left w:val="single" w:color="auto" w:sz="4" w:space="0"/>
              <w:bottom w:val="single" w:color="auto" w:sz="4" w:space="0"/>
              <w:right w:val="single" w:color="auto" w:sz="4" w:space="0"/>
            </w:tcBorders>
          </w:tcPr>
          <w:p w14:paraId="77C448C2">
            <w:pPr>
              <w:snapToGrid w:val="0"/>
              <w:spacing w:before="50" w:after="120" w:afterLines="50" w:line="400" w:lineRule="exact"/>
              <w:jc w:val="left"/>
              <w:rPr>
                <w:rFonts w:hint="eastAsia" w:ascii="仿宋" w:hAnsi="仿宋" w:eastAsia="仿宋" w:cs="仿宋"/>
                <w:color w:val="auto"/>
                <w:sz w:val="24"/>
                <w:highlight w:val="none"/>
              </w:rPr>
            </w:pPr>
          </w:p>
        </w:tc>
        <w:tc>
          <w:tcPr>
            <w:tcW w:w="2055" w:type="dxa"/>
            <w:tcBorders>
              <w:top w:val="single" w:color="auto" w:sz="4" w:space="0"/>
              <w:left w:val="single" w:color="auto" w:sz="4" w:space="0"/>
              <w:bottom w:val="single" w:color="auto" w:sz="4" w:space="0"/>
              <w:right w:val="single" w:color="auto" w:sz="4" w:space="0"/>
            </w:tcBorders>
          </w:tcPr>
          <w:p w14:paraId="6BE3453B">
            <w:pPr>
              <w:snapToGrid w:val="0"/>
              <w:spacing w:before="50" w:after="120" w:afterLines="50" w:line="400" w:lineRule="exact"/>
              <w:jc w:val="left"/>
              <w:rPr>
                <w:rFonts w:hint="eastAsia" w:ascii="仿宋" w:hAnsi="仿宋" w:eastAsia="仿宋" w:cs="仿宋"/>
                <w:color w:val="auto"/>
                <w:sz w:val="24"/>
                <w:highlight w:val="none"/>
              </w:rPr>
            </w:pPr>
          </w:p>
        </w:tc>
        <w:tc>
          <w:tcPr>
            <w:tcW w:w="3314" w:type="dxa"/>
            <w:tcBorders>
              <w:top w:val="single" w:color="auto" w:sz="4" w:space="0"/>
              <w:left w:val="single" w:color="auto" w:sz="4" w:space="0"/>
              <w:bottom w:val="single" w:color="auto" w:sz="4" w:space="0"/>
              <w:right w:val="single" w:color="auto" w:sz="4" w:space="0"/>
            </w:tcBorders>
          </w:tcPr>
          <w:p w14:paraId="67C8EC04">
            <w:pPr>
              <w:snapToGrid w:val="0"/>
              <w:spacing w:before="50" w:after="120" w:afterLines="50" w:line="400" w:lineRule="exact"/>
              <w:jc w:val="left"/>
              <w:rPr>
                <w:rFonts w:hint="eastAsia" w:ascii="仿宋" w:hAnsi="仿宋" w:eastAsia="仿宋" w:cs="仿宋"/>
                <w:color w:val="auto"/>
                <w:sz w:val="24"/>
                <w:highlight w:val="none"/>
              </w:rPr>
            </w:pPr>
          </w:p>
        </w:tc>
      </w:tr>
      <w:tr w14:paraId="15F715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2477" w:type="dxa"/>
            <w:tcBorders>
              <w:top w:val="single" w:color="auto" w:sz="4" w:space="0"/>
              <w:left w:val="single" w:color="auto" w:sz="4" w:space="0"/>
              <w:bottom w:val="single" w:color="auto" w:sz="4" w:space="0"/>
              <w:right w:val="single" w:color="auto" w:sz="4" w:space="0"/>
            </w:tcBorders>
          </w:tcPr>
          <w:p w14:paraId="7E2CA510">
            <w:pPr>
              <w:snapToGrid w:val="0"/>
              <w:spacing w:before="50" w:after="120" w:afterLines="50" w:line="400" w:lineRule="exact"/>
              <w:jc w:val="left"/>
              <w:rPr>
                <w:rFonts w:hint="eastAsia" w:ascii="仿宋" w:hAnsi="仿宋" w:eastAsia="仿宋" w:cs="仿宋"/>
                <w:color w:val="auto"/>
                <w:sz w:val="24"/>
                <w:highlight w:val="none"/>
              </w:rPr>
            </w:pPr>
          </w:p>
        </w:tc>
        <w:tc>
          <w:tcPr>
            <w:tcW w:w="2054" w:type="dxa"/>
            <w:tcBorders>
              <w:top w:val="single" w:color="auto" w:sz="4" w:space="0"/>
              <w:left w:val="single" w:color="auto" w:sz="4" w:space="0"/>
              <w:bottom w:val="single" w:color="auto" w:sz="4" w:space="0"/>
              <w:right w:val="single" w:color="auto" w:sz="4" w:space="0"/>
            </w:tcBorders>
          </w:tcPr>
          <w:p w14:paraId="6C68BC2D">
            <w:pPr>
              <w:snapToGrid w:val="0"/>
              <w:spacing w:before="50" w:after="120" w:afterLines="50" w:line="400" w:lineRule="exact"/>
              <w:jc w:val="left"/>
              <w:rPr>
                <w:rFonts w:hint="eastAsia" w:ascii="仿宋" w:hAnsi="仿宋" w:eastAsia="仿宋" w:cs="仿宋"/>
                <w:color w:val="auto"/>
                <w:sz w:val="24"/>
                <w:highlight w:val="none"/>
              </w:rPr>
            </w:pPr>
          </w:p>
        </w:tc>
        <w:tc>
          <w:tcPr>
            <w:tcW w:w="2055" w:type="dxa"/>
            <w:tcBorders>
              <w:top w:val="single" w:color="auto" w:sz="4" w:space="0"/>
              <w:left w:val="single" w:color="auto" w:sz="4" w:space="0"/>
              <w:bottom w:val="single" w:color="auto" w:sz="4" w:space="0"/>
              <w:right w:val="single" w:color="auto" w:sz="4" w:space="0"/>
            </w:tcBorders>
          </w:tcPr>
          <w:p w14:paraId="57C64B88">
            <w:pPr>
              <w:snapToGrid w:val="0"/>
              <w:spacing w:before="50" w:after="120" w:afterLines="50" w:line="400" w:lineRule="exact"/>
              <w:jc w:val="left"/>
              <w:rPr>
                <w:rFonts w:hint="eastAsia" w:ascii="仿宋" w:hAnsi="仿宋" w:eastAsia="仿宋" w:cs="仿宋"/>
                <w:color w:val="auto"/>
                <w:sz w:val="24"/>
                <w:highlight w:val="none"/>
              </w:rPr>
            </w:pPr>
          </w:p>
        </w:tc>
        <w:tc>
          <w:tcPr>
            <w:tcW w:w="3314" w:type="dxa"/>
            <w:tcBorders>
              <w:top w:val="single" w:color="auto" w:sz="4" w:space="0"/>
              <w:left w:val="single" w:color="auto" w:sz="4" w:space="0"/>
              <w:bottom w:val="single" w:color="auto" w:sz="4" w:space="0"/>
              <w:right w:val="single" w:color="auto" w:sz="4" w:space="0"/>
            </w:tcBorders>
          </w:tcPr>
          <w:p w14:paraId="17BACAC6">
            <w:pPr>
              <w:snapToGrid w:val="0"/>
              <w:spacing w:before="50" w:after="120" w:afterLines="50" w:line="400" w:lineRule="exact"/>
              <w:jc w:val="left"/>
              <w:rPr>
                <w:rFonts w:hint="eastAsia" w:ascii="仿宋" w:hAnsi="仿宋" w:eastAsia="仿宋" w:cs="仿宋"/>
                <w:color w:val="auto"/>
                <w:sz w:val="24"/>
                <w:highlight w:val="none"/>
              </w:rPr>
            </w:pPr>
          </w:p>
        </w:tc>
      </w:tr>
      <w:tr w14:paraId="14B6E2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2477" w:type="dxa"/>
            <w:tcBorders>
              <w:top w:val="single" w:color="auto" w:sz="4" w:space="0"/>
              <w:left w:val="single" w:color="auto" w:sz="4" w:space="0"/>
              <w:bottom w:val="single" w:color="auto" w:sz="4" w:space="0"/>
              <w:right w:val="single" w:color="auto" w:sz="4" w:space="0"/>
            </w:tcBorders>
          </w:tcPr>
          <w:p w14:paraId="02841EE1">
            <w:pPr>
              <w:snapToGrid w:val="0"/>
              <w:spacing w:before="50" w:after="120" w:afterLines="50" w:line="400" w:lineRule="exact"/>
              <w:jc w:val="left"/>
              <w:rPr>
                <w:rFonts w:hint="eastAsia" w:ascii="仿宋" w:hAnsi="仿宋" w:eastAsia="仿宋" w:cs="仿宋"/>
                <w:color w:val="auto"/>
                <w:sz w:val="24"/>
                <w:highlight w:val="none"/>
              </w:rPr>
            </w:pPr>
          </w:p>
        </w:tc>
        <w:tc>
          <w:tcPr>
            <w:tcW w:w="2054" w:type="dxa"/>
            <w:tcBorders>
              <w:top w:val="single" w:color="auto" w:sz="4" w:space="0"/>
              <w:left w:val="single" w:color="auto" w:sz="4" w:space="0"/>
              <w:bottom w:val="single" w:color="auto" w:sz="4" w:space="0"/>
              <w:right w:val="single" w:color="auto" w:sz="4" w:space="0"/>
            </w:tcBorders>
          </w:tcPr>
          <w:p w14:paraId="1D198BCF">
            <w:pPr>
              <w:snapToGrid w:val="0"/>
              <w:spacing w:before="50" w:after="120" w:afterLines="50" w:line="400" w:lineRule="exact"/>
              <w:jc w:val="left"/>
              <w:rPr>
                <w:rFonts w:hint="eastAsia" w:ascii="仿宋" w:hAnsi="仿宋" w:eastAsia="仿宋" w:cs="仿宋"/>
                <w:color w:val="auto"/>
                <w:sz w:val="24"/>
                <w:highlight w:val="none"/>
              </w:rPr>
            </w:pPr>
          </w:p>
        </w:tc>
        <w:tc>
          <w:tcPr>
            <w:tcW w:w="2055" w:type="dxa"/>
            <w:tcBorders>
              <w:top w:val="single" w:color="auto" w:sz="4" w:space="0"/>
              <w:left w:val="single" w:color="auto" w:sz="4" w:space="0"/>
              <w:bottom w:val="single" w:color="auto" w:sz="4" w:space="0"/>
              <w:right w:val="single" w:color="auto" w:sz="4" w:space="0"/>
            </w:tcBorders>
          </w:tcPr>
          <w:p w14:paraId="2DDBF88D">
            <w:pPr>
              <w:snapToGrid w:val="0"/>
              <w:spacing w:before="50" w:after="120" w:afterLines="50" w:line="400" w:lineRule="exact"/>
              <w:jc w:val="left"/>
              <w:rPr>
                <w:rFonts w:hint="eastAsia" w:ascii="仿宋" w:hAnsi="仿宋" w:eastAsia="仿宋" w:cs="仿宋"/>
                <w:color w:val="auto"/>
                <w:sz w:val="24"/>
                <w:highlight w:val="none"/>
              </w:rPr>
            </w:pPr>
          </w:p>
        </w:tc>
        <w:tc>
          <w:tcPr>
            <w:tcW w:w="3314" w:type="dxa"/>
            <w:tcBorders>
              <w:top w:val="single" w:color="auto" w:sz="4" w:space="0"/>
              <w:left w:val="single" w:color="auto" w:sz="4" w:space="0"/>
              <w:bottom w:val="single" w:color="auto" w:sz="4" w:space="0"/>
              <w:right w:val="single" w:color="auto" w:sz="4" w:space="0"/>
            </w:tcBorders>
          </w:tcPr>
          <w:p w14:paraId="06625A51">
            <w:pPr>
              <w:snapToGrid w:val="0"/>
              <w:spacing w:before="50" w:after="120" w:afterLines="50" w:line="400" w:lineRule="exact"/>
              <w:jc w:val="left"/>
              <w:rPr>
                <w:rFonts w:hint="eastAsia" w:ascii="仿宋" w:hAnsi="仿宋" w:eastAsia="仿宋" w:cs="仿宋"/>
                <w:color w:val="auto"/>
                <w:sz w:val="24"/>
                <w:highlight w:val="none"/>
              </w:rPr>
            </w:pPr>
          </w:p>
        </w:tc>
      </w:tr>
    </w:tbl>
    <w:p w14:paraId="0B406644">
      <w:pPr>
        <w:pStyle w:val="16"/>
        <w:spacing w:before="0" w:after="0" w:line="360" w:lineRule="auto"/>
        <w:contextualSpacing/>
        <w:rPr>
          <w:rFonts w:hint="eastAsia" w:ascii="仿宋" w:hAnsi="仿宋" w:eastAsia="仿宋" w:cs="仿宋"/>
          <w:color w:val="auto"/>
          <w:sz w:val="24"/>
          <w:szCs w:val="24"/>
          <w:highlight w:val="none"/>
        </w:rPr>
      </w:pPr>
    </w:p>
    <w:p w14:paraId="5DA1198E">
      <w:pPr>
        <w:pStyle w:val="16"/>
        <w:spacing w:before="0" w:after="0"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w:t>
      </w:r>
      <w:r>
        <w:rPr>
          <w:rFonts w:hint="eastAsia" w:ascii="仿宋" w:hAnsi="仿宋" w:eastAsia="仿宋" w:cs="仿宋"/>
          <w:color w:val="auto"/>
          <w:sz w:val="24"/>
          <w:highlight w:val="none"/>
        </w:rPr>
        <w:t>投标人根据评标标准具体要求附业绩证明材料。</w:t>
      </w:r>
    </w:p>
    <w:p w14:paraId="6B6FF14F">
      <w:pPr>
        <w:pStyle w:val="16"/>
        <w:spacing w:before="0" w:after="0" w:line="360" w:lineRule="auto"/>
        <w:contextualSpacing/>
        <w:jc w:val="left"/>
        <w:rPr>
          <w:rFonts w:hint="eastAsia" w:ascii="仿宋" w:hAnsi="仿宋" w:eastAsia="仿宋" w:cs="仿宋"/>
          <w:color w:val="auto"/>
          <w:sz w:val="24"/>
          <w:szCs w:val="24"/>
          <w:highlight w:val="none"/>
        </w:rPr>
      </w:pPr>
    </w:p>
    <w:p w14:paraId="03DBD8B6">
      <w:pPr>
        <w:pStyle w:val="27"/>
        <w:spacing w:beforeLines="0" w:line="360" w:lineRule="auto"/>
        <w:rPr>
          <w:rFonts w:hint="eastAsia" w:ascii="仿宋" w:hAnsi="仿宋" w:eastAsia="仿宋" w:cs="仿宋"/>
          <w:color w:val="auto"/>
          <w:spacing w:val="20"/>
          <w:sz w:val="24"/>
          <w:szCs w:val="24"/>
          <w:highlight w:val="none"/>
          <w:u w:val="single"/>
        </w:rPr>
      </w:pPr>
      <w:r>
        <w:rPr>
          <w:rFonts w:hint="eastAsia" w:ascii="仿宋" w:hAnsi="仿宋" w:eastAsia="仿宋" w:cs="仿宋"/>
          <w:color w:val="auto"/>
          <w:sz w:val="24"/>
          <w:szCs w:val="24"/>
          <w:highlight w:val="none"/>
        </w:rPr>
        <w:t>法定代表人或者委托代理人</w:t>
      </w:r>
      <w:r>
        <w:rPr>
          <w:rFonts w:hint="eastAsia" w:ascii="仿宋" w:hAnsi="仿宋" w:eastAsia="仿宋" w:cs="仿宋"/>
          <w:color w:val="auto"/>
          <w:spacing w:val="20"/>
          <w:sz w:val="24"/>
          <w:szCs w:val="24"/>
          <w:highlight w:val="none"/>
        </w:rPr>
        <w:t>签字</w:t>
      </w:r>
      <w:r>
        <w:rPr>
          <w:rFonts w:hint="eastAsia" w:ascii="仿宋" w:hAnsi="仿宋" w:eastAsia="仿宋" w:cs="仿宋"/>
          <w:color w:val="auto"/>
          <w:sz w:val="24"/>
          <w:szCs w:val="24"/>
          <w:highlight w:val="none"/>
        </w:rPr>
        <w:t>[或盖章(CA签章)]（属自然人的应在签名处加盖大拇指指印或个人CA签章）</w:t>
      </w:r>
      <w:r>
        <w:rPr>
          <w:rFonts w:hint="eastAsia" w:ascii="仿宋" w:hAnsi="仿宋" w:eastAsia="仿宋" w:cs="仿宋"/>
          <w:color w:val="auto"/>
          <w:spacing w:val="20"/>
          <w:sz w:val="24"/>
          <w:szCs w:val="24"/>
          <w:highlight w:val="none"/>
        </w:rPr>
        <w:t>：</w:t>
      </w:r>
      <w:r>
        <w:rPr>
          <w:rFonts w:hint="eastAsia" w:ascii="仿宋" w:hAnsi="仿宋" w:eastAsia="仿宋" w:cs="仿宋"/>
          <w:color w:val="auto"/>
          <w:spacing w:val="20"/>
          <w:sz w:val="24"/>
          <w:szCs w:val="24"/>
          <w:highlight w:val="none"/>
          <w:u w:val="single"/>
        </w:rPr>
        <w:t xml:space="preserve">        </w:t>
      </w:r>
    </w:p>
    <w:p w14:paraId="65FADBCD">
      <w:pPr>
        <w:snapToGrid w:val="0"/>
        <w:spacing w:before="0" w:beforeLines="0" w:line="360" w:lineRule="auto"/>
        <w:rPr>
          <w:rFonts w:hint="eastAsia" w:ascii="仿宋" w:hAnsi="仿宋" w:eastAsia="仿宋" w:cs="仿宋"/>
          <w:color w:val="auto"/>
          <w:spacing w:val="20"/>
          <w:sz w:val="24"/>
          <w:szCs w:val="24"/>
          <w:highlight w:val="none"/>
        </w:rPr>
      </w:pPr>
      <w:r>
        <w:rPr>
          <w:rFonts w:hint="eastAsia" w:ascii="仿宋" w:hAnsi="仿宋" w:eastAsia="仿宋" w:cs="仿宋"/>
          <w:color w:val="auto"/>
          <w:spacing w:val="20"/>
          <w:sz w:val="24"/>
          <w:szCs w:val="24"/>
          <w:highlight w:val="none"/>
        </w:rPr>
        <w:t>投标人</w:t>
      </w:r>
      <w:r>
        <w:rPr>
          <w:rFonts w:hint="eastAsia" w:ascii="仿宋" w:hAnsi="仿宋" w:eastAsia="仿宋" w:cs="仿宋"/>
          <w:bCs/>
          <w:color w:val="auto"/>
          <w:sz w:val="24"/>
          <w:szCs w:val="24"/>
          <w:highlight w:val="none"/>
        </w:rPr>
        <w:t>[</w:t>
      </w:r>
      <w:r>
        <w:rPr>
          <w:rFonts w:hint="eastAsia" w:ascii="仿宋" w:hAnsi="仿宋" w:eastAsia="仿宋" w:cs="仿宋"/>
          <w:bCs/>
          <w:color w:val="auto"/>
          <w:sz w:val="24"/>
          <w:szCs w:val="24"/>
          <w:highlight w:val="none"/>
          <w:lang w:eastAsia="zh-CN"/>
        </w:rPr>
        <w:t>公章(或CA签章)</w:t>
      </w:r>
      <w:r>
        <w:rPr>
          <w:rFonts w:hint="eastAsia" w:ascii="仿宋" w:hAnsi="仿宋" w:eastAsia="仿宋" w:cs="仿宋"/>
          <w:bCs/>
          <w:color w:val="auto"/>
          <w:sz w:val="24"/>
          <w:szCs w:val="24"/>
          <w:highlight w:val="none"/>
        </w:rPr>
        <w:t>、自然人除外]</w:t>
      </w:r>
      <w:r>
        <w:rPr>
          <w:rFonts w:hint="eastAsia" w:ascii="仿宋" w:hAnsi="仿宋" w:eastAsia="仿宋" w:cs="仿宋"/>
          <w:color w:val="auto"/>
          <w:spacing w:val="20"/>
          <w:sz w:val="24"/>
          <w:szCs w:val="24"/>
          <w:highlight w:val="none"/>
        </w:rPr>
        <w:t>：</w:t>
      </w:r>
      <w:r>
        <w:rPr>
          <w:rFonts w:hint="eastAsia" w:ascii="仿宋" w:hAnsi="仿宋" w:eastAsia="仿宋" w:cs="仿宋"/>
          <w:color w:val="auto"/>
          <w:spacing w:val="20"/>
          <w:sz w:val="24"/>
          <w:szCs w:val="24"/>
          <w:highlight w:val="none"/>
          <w:u w:val="single"/>
        </w:rPr>
        <w:t xml:space="preserve">            </w:t>
      </w:r>
      <w:r>
        <w:rPr>
          <w:rFonts w:hint="eastAsia" w:ascii="仿宋" w:hAnsi="仿宋" w:eastAsia="仿宋" w:cs="仿宋"/>
          <w:color w:val="auto"/>
          <w:spacing w:val="20"/>
          <w:sz w:val="24"/>
          <w:szCs w:val="24"/>
          <w:highlight w:val="none"/>
        </w:rPr>
        <w:t xml:space="preserve">   </w:t>
      </w:r>
    </w:p>
    <w:p w14:paraId="75084472">
      <w:pPr>
        <w:snapToGrid w:val="0"/>
        <w:spacing w:before="0" w:beforeLines="0" w:line="360" w:lineRule="auto"/>
        <w:rPr>
          <w:rFonts w:hint="eastAsia" w:ascii="仿宋" w:hAnsi="仿宋" w:eastAsia="仿宋" w:cs="仿宋"/>
          <w:color w:val="auto"/>
          <w:sz w:val="24"/>
          <w:szCs w:val="24"/>
          <w:highlight w:val="none"/>
        </w:rPr>
      </w:pPr>
      <w:r>
        <w:rPr>
          <w:rFonts w:hint="eastAsia" w:ascii="仿宋" w:hAnsi="仿宋" w:eastAsia="仿宋" w:cs="仿宋"/>
          <w:color w:val="auto"/>
          <w:spacing w:val="20"/>
          <w:sz w:val="24"/>
          <w:szCs w:val="24"/>
          <w:highlight w:val="none"/>
        </w:rPr>
        <w:t>日  期：</w:t>
      </w:r>
      <w:r>
        <w:rPr>
          <w:rFonts w:hint="eastAsia" w:ascii="仿宋" w:hAnsi="仿宋" w:eastAsia="仿宋" w:cs="仿宋"/>
          <w:color w:val="auto"/>
          <w:spacing w:val="20"/>
          <w:sz w:val="24"/>
          <w:szCs w:val="24"/>
          <w:highlight w:val="none"/>
          <w:u w:val="single"/>
        </w:rPr>
        <w:t xml:space="preserve">         </w:t>
      </w:r>
    </w:p>
    <w:p w14:paraId="443A3E74">
      <w:pPr>
        <w:snapToGrid w:val="0"/>
        <w:spacing w:before="50"/>
        <w:ind w:firstLine="480" w:firstLineChars="200"/>
        <w:jc w:val="left"/>
        <w:rPr>
          <w:rFonts w:hint="eastAsia" w:ascii="仿宋" w:hAnsi="仿宋" w:eastAsia="仿宋" w:cs="仿宋"/>
          <w:color w:val="auto"/>
          <w:sz w:val="24"/>
          <w:szCs w:val="20"/>
          <w:highlight w:val="none"/>
        </w:rPr>
      </w:pPr>
    </w:p>
    <w:p w14:paraId="70054842">
      <w:pPr>
        <w:snapToGrid w:val="0"/>
        <w:spacing w:before="50"/>
        <w:jc w:val="left"/>
        <w:rPr>
          <w:rFonts w:hint="eastAsia" w:ascii="仿宋" w:hAnsi="仿宋" w:eastAsia="仿宋" w:cs="仿宋"/>
          <w:color w:val="auto"/>
          <w:sz w:val="24"/>
          <w:highlight w:val="none"/>
        </w:rPr>
      </w:pPr>
    </w:p>
    <w:p w14:paraId="6D4FD4D0">
      <w:pPr>
        <w:snapToGrid w:val="0"/>
        <w:spacing w:before="120" w:beforeLines="50"/>
        <w:rPr>
          <w:rFonts w:hint="eastAsia" w:ascii="仿宋" w:hAnsi="仿宋" w:eastAsia="仿宋" w:cs="仿宋"/>
          <w:color w:val="auto"/>
          <w:sz w:val="24"/>
          <w:szCs w:val="20"/>
          <w:highlight w:val="none"/>
        </w:rPr>
        <w:sectPr>
          <w:pgSz w:w="11906" w:h="16838"/>
          <w:pgMar w:top="907" w:right="851" w:bottom="907" w:left="851" w:header="851" w:footer="567" w:gutter="0"/>
          <w:pgNumType w:fmt="numberInDash"/>
          <w:cols w:space="720" w:num="1"/>
          <w:docGrid w:linePitch="312" w:charSpace="0"/>
        </w:sectPr>
      </w:pPr>
    </w:p>
    <w:p w14:paraId="195951A8">
      <w:pP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四、技术文件格式</w:t>
      </w:r>
    </w:p>
    <w:p w14:paraId="27047F77">
      <w:pPr>
        <w:snapToGrid w:val="0"/>
        <w:spacing w:before="120" w:beforeLines="50" w:after="50"/>
        <w:ind w:left="142"/>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 xml:space="preserve">1. 技术文件封面格式： </w:t>
      </w:r>
    </w:p>
    <w:p w14:paraId="0930BF98">
      <w:pPr>
        <w:snapToGrid w:val="0"/>
        <w:spacing w:before="120" w:beforeLines="50" w:after="50"/>
        <w:rPr>
          <w:rFonts w:hint="eastAsia" w:ascii="仿宋" w:hAnsi="仿宋" w:eastAsia="仿宋" w:cs="仿宋"/>
          <w:b/>
          <w:bCs/>
          <w:color w:val="auto"/>
          <w:sz w:val="32"/>
          <w:szCs w:val="20"/>
          <w:highlight w:val="none"/>
        </w:rPr>
      </w:pPr>
    </w:p>
    <w:p w14:paraId="51A08FC7">
      <w:pPr>
        <w:snapToGrid w:val="0"/>
        <w:spacing w:before="120" w:beforeLines="50" w:after="50"/>
        <w:rPr>
          <w:rFonts w:hint="eastAsia" w:ascii="仿宋" w:hAnsi="仿宋" w:eastAsia="仿宋" w:cs="仿宋"/>
          <w:color w:val="auto"/>
          <w:sz w:val="24"/>
          <w:szCs w:val="20"/>
          <w:highlight w:val="none"/>
        </w:rPr>
      </w:pPr>
    </w:p>
    <w:p w14:paraId="160A6230">
      <w:pPr>
        <w:snapToGrid w:val="0"/>
        <w:spacing w:before="120" w:beforeLines="50" w:after="50"/>
        <w:rPr>
          <w:rFonts w:hint="eastAsia" w:ascii="仿宋" w:hAnsi="仿宋" w:eastAsia="仿宋" w:cs="仿宋"/>
          <w:color w:val="auto"/>
          <w:sz w:val="24"/>
          <w:szCs w:val="20"/>
          <w:highlight w:val="none"/>
        </w:rPr>
      </w:pPr>
    </w:p>
    <w:p w14:paraId="3B165A03">
      <w:pPr>
        <w:snapToGrid w:val="0"/>
        <w:spacing w:before="120" w:beforeLines="50" w:after="50"/>
        <w:jc w:val="center"/>
        <w:rPr>
          <w:rFonts w:hint="eastAsia" w:ascii="仿宋" w:hAnsi="仿宋" w:eastAsia="仿宋" w:cs="仿宋"/>
          <w:color w:val="auto"/>
          <w:sz w:val="84"/>
          <w:szCs w:val="84"/>
          <w:highlight w:val="none"/>
        </w:rPr>
      </w:pPr>
      <w:r>
        <w:rPr>
          <w:rFonts w:hint="eastAsia" w:ascii="仿宋" w:hAnsi="仿宋" w:eastAsia="仿宋" w:cs="仿宋"/>
          <w:color w:val="auto"/>
          <w:sz w:val="84"/>
          <w:szCs w:val="84"/>
          <w:highlight w:val="none"/>
        </w:rPr>
        <w:t>投  标  文  件</w:t>
      </w:r>
    </w:p>
    <w:p w14:paraId="141417EE">
      <w:pPr>
        <w:snapToGrid w:val="0"/>
        <w:spacing w:before="120" w:beforeLines="50" w:after="50"/>
        <w:rPr>
          <w:rFonts w:hint="eastAsia" w:ascii="仿宋" w:hAnsi="仿宋" w:eastAsia="仿宋" w:cs="仿宋"/>
          <w:color w:val="auto"/>
          <w:sz w:val="24"/>
          <w:szCs w:val="20"/>
          <w:highlight w:val="none"/>
        </w:rPr>
      </w:pPr>
    </w:p>
    <w:p w14:paraId="29854E46">
      <w:pPr>
        <w:snapToGrid w:val="0"/>
        <w:spacing w:before="120" w:beforeLines="50" w:after="50"/>
        <w:rPr>
          <w:rFonts w:hint="eastAsia" w:ascii="仿宋" w:hAnsi="仿宋" w:eastAsia="仿宋" w:cs="仿宋"/>
          <w:color w:val="auto"/>
          <w:sz w:val="24"/>
          <w:szCs w:val="20"/>
          <w:highlight w:val="none"/>
        </w:rPr>
      </w:pPr>
    </w:p>
    <w:p w14:paraId="0921325D">
      <w:pPr>
        <w:snapToGrid w:val="0"/>
        <w:spacing w:before="120" w:beforeLines="50" w:after="50"/>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技  术  文  件</w:t>
      </w:r>
    </w:p>
    <w:p w14:paraId="2BD36C80">
      <w:pPr>
        <w:snapToGrid w:val="0"/>
        <w:spacing w:before="120" w:beforeLines="50" w:after="50"/>
        <w:rPr>
          <w:rFonts w:hint="eastAsia" w:ascii="仿宋" w:hAnsi="仿宋" w:eastAsia="仿宋" w:cs="仿宋"/>
          <w:bCs/>
          <w:color w:val="auto"/>
          <w:sz w:val="24"/>
          <w:szCs w:val="20"/>
          <w:highlight w:val="none"/>
        </w:rPr>
      </w:pPr>
    </w:p>
    <w:p w14:paraId="0451F09B">
      <w:pPr>
        <w:snapToGrid w:val="0"/>
        <w:spacing w:before="120" w:beforeLines="50" w:after="50"/>
        <w:rPr>
          <w:rFonts w:hint="eastAsia" w:ascii="仿宋" w:hAnsi="仿宋" w:eastAsia="仿宋" w:cs="仿宋"/>
          <w:bCs/>
          <w:color w:val="auto"/>
          <w:sz w:val="24"/>
          <w:szCs w:val="20"/>
          <w:highlight w:val="none"/>
        </w:rPr>
      </w:pPr>
    </w:p>
    <w:p w14:paraId="665D9835">
      <w:pPr>
        <w:snapToGrid w:val="0"/>
        <w:spacing w:before="120" w:beforeLines="50" w:after="50" w:line="400" w:lineRule="exact"/>
        <w:ind w:firstLine="360" w:firstLineChars="15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项目名称： </w:t>
      </w:r>
    </w:p>
    <w:p w14:paraId="1BB12244">
      <w:pPr>
        <w:snapToGrid w:val="0"/>
        <w:spacing w:before="120" w:beforeLines="50" w:after="50" w:line="400" w:lineRule="exact"/>
        <w:ind w:firstLine="360" w:firstLineChars="150"/>
        <w:rPr>
          <w:rFonts w:hint="eastAsia" w:ascii="仿宋" w:hAnsi="仿宋" w:eastAsia="仿宋" w:cs="仿宋"/>
          <w:bCs/>
          <w:color w:val="auto"/>
          <w:sz w:val="24"/>
          <w:szCs w:val="20"/>
          <w:highlight w:val="none"/>
        </w:rPr>
      </w:pPr>
    </w:p>
    <w:p w14:paraId="61E1EE9F">
      <w:pPr>
        <w:snapToGrid w:val="0"/>
        <w:spacing w:before="120" w:beforeLines="50" w:after="50" w:line="400" w:lineRule="exact"/>
        <w:ind w:firstLine="360" w:firstLineChars="15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项目编号： </w:t>
      </w:r>
    </w:p>
    <w:p w14:paraId="534FD9ED">
      <w:pPr>
        <w:snapToGrid w:val="0"/>
        <w:spacing w:before="120" w:beforeLines="50" w:after="50" w:line="400" w:lineRule="exact"/>
        <w:ind w:firstLine="360" w:firstLineChars="150"/>
        <w:rPr>
          <w:rFonts w:hint="eastAsia" w:ascii="仿宋" w:hAnsi="仿宋" w:eastAsia="仿宋" w:cs="仿宋"/>
          <w:bCs/>
          <w:color w:val="auto"/>
          <w:sz w:val="24"/>
          <w:highlight w:val="none"/>
        </w:rPr>
      </w:pPr>
    </w:p>
    <w:p w14:paraId="4CDDA521">
      <w:pPr>
        <w:snapToGrid w:val="0"/>
        <w:spacing w:before="120" w:beforeLines="50" w:after="50" w:line="400" w:lineRule="exact"/>
        <w:ind w:firstLine="360" w:firstLineChars="15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投标人名称：</w:t>
      </w:r>
    </w:p>
    <w:p w14:paraId="0DB618C7">
      <w:pPr>
        <w:snapToGrid w:val="0"/>
        <w:spacing w:before="120" w:beforeLines="50" w:after="50" w:line="400" w:lineRule="exact"/>
        <w:ind w:firstLine="360" w:firstLineChars="150"/>
        <w:rPr>
          <w:rFonts w:hint="eastAsia" w:ascii="仿宋" w:hAnsi="仿宋" w:eastAsia="仿宋" w:cs="仿宋"/>
          <w:bCs/>
          <w:color w:val="auto"/>
          <w:sz w:val="24"/>
          <w:highlight w:val="none"/>
        </w:rPr>
      </w:pPr>
    </w:p>
    <w:p w14:paraId="28D0C0A8">
      <w:pPr>
        <w:snapToGrid w:val="0"/>
        <w:spacing w:before="120" w:beforeLines="50" w:after="50" w:line="400" w:lineRule="exact"/>
        <w:rPr>
          <w:rFonts w:hint="eastAsia" w:ascii="仿宋" w:hAnsi="仿宋" w:eastAsia="仿宋" w:cs="仿宋"/>
          <w:bCs/>
          <w:color w:val="auto"/>
          <w:sz w:val="24"/>
          <w:highlight w:val="none"/>
        </w:rPr>
      </w:pPr>
    </w:p>
    <w:p w14:paraId="53D74356">
      <w:pPr>
        <w:snapToGrid w:val="0"/>
        <w:spacing w:before="120" w:beforeLines="50" w:after="50"/>
        <w:ind w:firstLine="645"/>
        <w:jc w:val="center"/>
        <w:rPr>
          <w:rFonts w:hint="eastAsia" w:ascii="仿宋" w:hAnsi="仿宋" w:eastAsia="仿宋" w:cs="仿宋"/>
          <w:color w:val="auto"/>
          <w:sz w:val="24"/>
          <w:highlight w:val="none"/>
        </w:rPr>
      </w:pPr>
    </w:p>
    <w:p w14:paraId="79E0AF68">
      <w:pPr>
        <w:snapToGrid w:val="0"/>
        <w:spacing w:before="120" w:beforeLines="50" w:after="50"/>
        <w:ind w:firstLine="645"/>
        <w:jc w:val="center"/>
        <w:rPr>
          <w:rFonts w:hint="eastAsia" w:ascii="仿宋" w:hAnsi="仿宋" w:eastAsia="仿宋" w:cs="仿宋"/>
          <w:color w:val="auto"/>
          <w:sz w:val="24"/>
          <w:highlight w:val="none"/>
        </w:rPr>
      </w:pPr>
    </w:p>
    <w:p w14:paraId="3879251B">
      <w:pPr>
        <w:snapToGrid w:val="0"/>
        <w:spacing w:before="120" w:beforeLines="50" w:after="50"/>
        <w:ind w:firstLine="645"/>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年    月    日</w:t>
      </w:r>
    </w:p>
    <w:p w14:paraId="667CAA15">
      <w:pPr>
        <w:snapToGrid w:val="0"/>
        <w:spacing w:before="120" w:beforeLines="50" w:after="50"/>
        <w:ind w:firstLine="645"/>
        <w:jc w:val="center"/>
        <w:rPr>
          <w:rFonts w:hint="eastAsia" w:ascii="仿宋" w:hAnsi="仿宋" w:eastAsia="仿宋" w:cs="仿宋"/>
          <w:color w:val="auto"/>
          <w:sz w:val="24"/>
          <w:szCs w:val="20"/>
          <w:highlight w:val="none"/>
        </w:rPr>
      </w:pPr>
    </w:p>
    <w:p w14:paraId="322E00BE">
      <w:pPr>
        <w:snapToGrid w:val="0"/>
        <w:spacing w:before="120" w:beforeLines="50" w:after="50"/>
        <w:jc w:val="lef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br w:type="page"/>
      </w:r>
      <w:r>
        <w:rPr>
          <w:rFonts w:hint="eastAsia" w:ascii="仿宋" w:hAnsi="仿宋" w:eastAsia="仿宋" w:cs="仿宋"/>
          <w:b/>
          <w:bCs/>
          <w:color w:val="auto"/>
          <w:sz w:val="24"/>
          <w:highlight w:val="none"/>
        </w:rPr>
        <w:t>2.技术文件目录</w:t>
      </w:r>
    </w:p>
    <w:p w14:paraId="385A3403">
      <w:pPr>
        <w:snapToGrid w:val="0"/>
        <w:spacing w:before="50" w:after="120" w:afterLines="50"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根据招标文件规定及投标人提供的材料自行编写目录。</w:t>
      </w:r>
    </w:p>
    <w:p w14:paraId="77D411C4">
      <w:pPr>
        <w:snapToGrid w:val="0"/>
        <w:spacing w:before="120" w:beforeLines="50" w:after="50"/>
        <w:ind w:left="142"/>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br w:type="page"/>
      </w:r>
    </w:p>
    <w:p w14:paraId="5AFF5EAD">
      <w:pPr>
        <w:snapToGrid w:val="0"/>
        <w:spacing w:before="120" w:beforeLines="50" w:after="50"/>
        <w:ind w:left="142"/>
        <w:jc w:val="left"/>
        <w:rPr>
          <w:rFonts w:hint="eastAsia" w:ascii="仿宋" w:hAnsi="仿宋" w:eastAsia="仿宋" w:cs="仿宋"/>
          <w:b/>
          <w:bCs w:val="0"/>
          <w:color w:val="auto"/>
          <w:sz w:val="24"/>
          <w:highlight w:val="none"/>
          <w:lang w:val="en-US" w:eastAsia="zh-CN"/>
        </w:rPr>
      </w:pPr>
      <w:r>
        <w:rPr>
          <w:rFonts w:hint="eastAsia" w:ascii="仿宋" w:hAnsi="仿宋" w:eastAsia="仿宋" w:cs="仿宋"/>
          <w:b/>
          <w:color w:val="auto"/>
          <w:sz w:val="24"/>
          <w:highlight w:val="none"/>
        </w:rPr>
        <w:t>3. 技术偏离表</w:t>
      </w:r>
      <w:r>
        <w:rPr>
          <w:rFonts w:hint="eastAsia" w:ascii="仿宋" w:hAnsi="仿宋" w:eastAsia="仿宋" w:cs="仿宋"/>
          <w:b/>
          <w:color w:val="auto"/>
          <w:sz w:val="24"/>
          <w:highlight w:val="none"/>
          <w:lang w:val="en-US" w:eastAsia="zh-CN"/>
        </w:rPr>
        <w:t>格式</w:t>
      </w:r>
    </w:p>
    <w:p w14:paraId="3C1CA646">
      <w:pPr>
        <w:snapToGrid/>
        <w:spacing w:before="0" w:beforeLines="0" w:after="0"/>
        <w:ind w:left="0"/>
        <w:jc w:val="center"/>
        <w:outlineLvl w:val="9"/>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技术偏离表</w:t>
      </w:r>
    </w:p>
    <w:p w14:paraId="0A169358">
      <w:pPr>
        <w:snapToGrid/>
        <w:spacing w:before="0" w:beforeLines="0" w:after="0"/>
        <w:ind w:left="0"/>
        <w:jc w:val="center"/>
        <w:outlineLvl w:val="9"/>
        <w:rPr>
          <w:rFonts w:hint="eastAsia" w:ascii="仿宋" w:hAnsi="仿宋" w:eastAsia="仿宋" w:cs="仿宋"/>
          <w:b/>
          <w:bCs w:val="0"/>
          <w:color w:val="auto"/>
          <w:sz w:val="24"/>
          <w:szCs w:val="24"/>
          <w:highlight w:val="none"/>
        </w:rPr>
      </w:pP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143"/>
        <w:gridCol w:w="1834"/>
        <w:gridCol w:w="2181"/>
        <w:gridCol w:w="1934"/>
      </w:tblGrid>
      <w:tr w14:paraId="50031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52" w:type="dxa"/>
            <w:noWrap w:val="0"/>
            <w:vAlign w:val="center"/>
          </w:tcPr>
          <w:p w14:paraId="0193CE80">
            <w:pPr>
              <w:pStyle w:val="27"/>
              <w:spacing w:beforeLines="0" w:line="360" w:lineRule="auto"/>
              <w:jc w:val="center"/>
              <w:rPr>
                <w:rFonts w:hint="eastAsia" w:ascii="仿宋" w:hAnsi="仿宋" w:eastAsia="仿宋" w:cs="仿宋"/>
                <w:b/>
                <w:bCs w:val="0"/>
                <w:color w:val="auto"/>
                <w:kern w:val="2"/>
                <w:sz w:val="24"/>
                <w:szCs w:val="24"/>
                <w:highlight w:val="none"/>
              </w:rPr>
            </w:pPr>
            <w:r>
              <w:rPr>
                <w:rFonts w:hint="eastAsia" w:ascii="仿宋" w:hAnsi="仿宋" w:eastAsia="仿宋" w:cs="仿宋"/>
                <w:b/>
                <w:bCs w:val="0"/>
                <w:color w:val="auto"/>
                <w:kern w:val="2"/>
                <w:sz w:val="24"/>
                <w:szCs w:val="24"/>
                <w:highlight w:val="none"/>
              </w:rPr>
              <w:t>项号</w:t>
            </w:r>
          </w:p>
        </w:tc>
        <w:tc>
          <w:tcPr>
            <w:tcW w:w="2143" w:type="dxa"/>
            <w:noWrap w:val="0"/>
            <w:vAlign w:val="center"/>
          </w:tcPr>
          <w:p w14:paraId="0E0C392B">
            <w:pPr>
              <w:pStyle w:val="27"/>
              <w:spacing w:beforeLines="0" w:line="360" w:lineRule="auto"/>
              <w:jc w:val="center"/>
              <w:rPr>
                <w:rFonts w:hint="eastAsia" w:ascii="仿宋" w:hAnsi="仿宋" w:eastAsia="仿宋" w:cs="仿宋"/>
                <w:b/>
                <w:bCs w:val="0"/>
                <w:color w:val="auto"/>
                <w:kern w:val="2"/>
                <w:sz w:val="24"/>
                <w:szCs w:val="24"/>
                <w:highlight w:val="none"/>
              </w:rPr>
            </w:pPr>
            <w:r>
              <w:rPr>
                <w:rFonts w:hint="eastAsia" w:ascii="仿宋" w:hAnsi="仿宋" w:eastAsia="仿宋" w:cs="仿宋"/>
                <w:b/>
                <w:bCs w:val="0"/>
                <w:color w:val="auto"/>
                <w:kern w:val="2"/>
                <w:sz w:val="24"/>
                <w:szCs w:val="24"/>
                <w:highlight w:val="none"/>
              </w:rPr>
              <w:t>标的的名称</w:t>
            </w:r>
          </w:p>
        </w:tc>
        <w:tc>
          <w:tcPr>
            <w:tcW w:w="1834" w:type="dxa"/>
            <w:noWrap w:val="0"/>
            <w:vAlign w:val="center"/>
          </w:tcPr>
          <w:p w14:paraId="085C6693">
            <w:pPr>
              <w:pStyle w:val="27"/>
              <w:spacing w:beforeLines="0" w:line="360" w:lineRule="auto"/>
              <w:jc w:val="center"/>
              <w:rPr>
                <w:rFonts w:hint="eastAsia" w:ascii="仿宋" w:hAnsi="仿宋" w:eastAsia="仿宋" w:cs="仿宋"/>
                <w:b/>
                <w:bCs w:val="0"/>
                <w:color w:val="auto"/>
                <w:kern w:val="2"/>
                <w:sz w:val="24"/>
                <w:szCs w:val="24"/>
                <w:highlight w:val="none"/>
              </w:rPr>
            </w:pPr>
            <w:r>
              <w:rPr>
                <w:rFonts w:hint="eastAsia" w:ascii="仿宋" w:hAnsi="仿宋" w:eastAsia="仿宋" w:cs="仿宋"/>
                <w:b/>
                <w:bCs w:val="0"/>
                <w:color w:val="auto"/>
                <w:kern w:val="2"/>
                <w:sz w:val="24"/>
                <w:szCs w:val="24"/>
                <w:highlight w:val="none"/>
              </w:rPr>
              <w:t>招标要求</w:t>
            </w:r>
          </w:p>
        </w:tc>
        <w:tc>
          <w:tcPr>
            <w:tcW w:w="2181" w:type="dxa"/>
            <w:noWrap w:val="0"/>
            <w:vAlign w:val="center"/>
          </w:tcPr>
          <w:p w14:paraId="4A51DC33">
            <w:pPr>
              <w:pStyle w:val="27"/>
              <w:spacing w:beforeLines="0" w:line="360" w:lineRule="auto"/>
              <w:jc w:val="center"/>
              <w:rPr>
                <w:rFonts w:hint="eastAsia" w:ascii="仿宋" w:hAnsi="仿宋" w:eastAsia="仿宋" w:cs="仿宋"/>
                <w:b/>
                <w:bCs w:val="0"/>
                <w:color w:val="auto"/>
                <w:kern w:val="2"/>
                <w:sz w:val="24"/>
                <w:szCs w:val="24"/>
                <w:highlight w:val="none"/>
              </w:rPr>
            </w:pPr>
            <w:r>
              <w:rPr>
                <w:rFonts w:hint="eastAsia" w:ascii="仿宋" w:hAnsi="仿宋" w:eastAsia="仿宋" w:cs="仿宋"/>
                <w:b/>
                <w:bCs w:val="0"/>
                <w:color w:val="auto"/>
                <w:kern w:val="2"/>
                <w:sz w:val="24"/>
                <w:szCs w:val="24"/>
                <w:highlight w:val="none"/>
              </w:rPr>
              <w:t>投标响应</w:t>
            </w:r>
          </w:p>
        </w:tc>
        <w:tc>
          <w:tcPr>
            <w:tcW w:w="1934" w:type="dxa"/>
            <w:noWrap w:val="0"/>
            <w:vAlign w:val="center"/>
          </w:tcPr>
          <w:p w14:paraId="5B03D940">
            <w:pPr>
              <w:pStyle w:val="27"/>
              <w:spacing w:beforeLines="0" w:line="360" w:lineRule="auto"/>
              <w:jc w:val="center"/>
              <w:rPr>
                <w:rFonts w:hint="eastAsia" w:ascii="仿宋" w:hAnsi="仿宋" w:eastAsia="仿宋" w:cs="仿宋"/>
                <w:b/>
                <w:bCs w:val="0"/>
                <w:color w:val="auto"/>
                <w:kern w:val="2"/>
                <w:sz w:val="24"/>
                <w:szCs w:val="24"/>
                <w:highlight w:val="none"/>
              </w:rPr>
            </w:pPr>
            <w:r>
              <w:rPr>
                <w:rFonts w:hint="eastAsia" w:ascii="仿宋" w:hAnsi="仿宋" w:eastAsia="仿宋" w:cs="仿宋"/>
                <w:b/>
                <w:bCs w:val="0"/>
                <w:color w:val="auto"/>
                <w:kern w:val="2"/>
                <w:sz w:val="24"/>
                <w:szCs w:val="24"/>
                <w:highlight w:val="none"/>
              </w:rPr>
              <w:t>偏离说明</w:t>
            </w:r>
          </w:p>
        </w:tc>
      </w:tr>
      <w:tr w14:paraId="24940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vAlign w:val="top"/>
          </w:tcPr>
          <w:p w14:paraId="3F6CBA88">
            <w:pPr>
              <w:pStyle w:val="27"/>
              <w:spacing w:beforeLines="0" w:line="360" w:lineRule="auto"/>
              <w:jc w:val="center"/>
              <w:rPr>
                <w:rFonts w:hint="eastAsia" w:ascii="仿宋" w:hAnsi="仿宋" w:eastAsia="仿宋" w:cs="仿宋"/>
                <w:color w:val="auto"/>
                <w:kern w:val="2"/>
                <w:sz w:val="24"/>
                <w:szCs w:val="24"/>
                <w:highlight w:val="none"/>
              </w:rPr>
            </w:pPr>
          </w:p>
        </w:tc>
        <w:tc>
          <w:tcPr>
            <w:tcW w:w="2143" w:type="dxa"/>
            <w:noWrap w:val="0"/>
            <w:vAlign w:val="center"/>
          </w:tcPr>
          <w:p w14:paraId="78565F15">
            <w:pPr>
              <w:pStyle w:val="27"/>
              <w:spacing w:beforeLines="0" w:line="360" w:lineRule="auto"/>
              <w:jc w:val="center"/>
              <w:rPr>
                <w:rFonts w:hint="eastAsia" w:ascii="仿宋" w:hAnsi="仿宋" w:eastAsia="仿宋" w:cs="仿宋"/>
                <w:color w:val="auto"/>
                <w:kern w:val="2"/>
                <w:sz w:val="24"/>
                <w:szCs w:val="24"/>
                <w:highlight w:val="none"/>
              </w:rPr>
            </w:pPr>
          </w:p>
        </w:tc>
        <w:tc>
          <w:tcPr>
            <w:tcW w:w="1834" w:type="dxa"/>
            <w:noWrap w:val="0"/>
            <w:vAlign w:val="center"/>
          </w:tcPr>
          <w:p w14:paraId="0F6A0781">
            <w:pPr>
              <w:pStyle w:val="27"/>
              <w:spacing w:beforeLines="0" w:line="360" w:lineRule="auto"/>
              <w:jc w:val="center"/>
              <w:rPr>
                <w:rFonts w:hint="eastAsia" w:ascii="仿宋" w:hAnsi="仿宋" w:eastAsia="仿宋" w:cs="仿宋"/>
                <w:color w:val="auto"/>
                <w:kern w:val="2"/>
                <w:sz w:val="24"/>
                <w:szCs w:val="24"/>
                <w:highlight w:val="none"/>
              </w:rPr>
            </w:pPr>
          </w:p>
        </w:tc>
        <w:tc>
          <w:tcPr>
            <w:tcW w:w="2181" w:type="dxa"/>
            <w:noWrap w:val="0"/>
            <w:vAlign w:val="center"/>
          </w:tcPr>
          <w:p w14:paraId="48765461">
            <w:pPr>
              <w:pStyle w:val="27"/>
              <w:spacing w:beforeLines="0" w:line="360" w:lineRule="auto"/>
              <w:jc w:val="center"/>
              <w:rPr>
                <w:rFonts w:hint="eastAsia" w:ascii="仿宋" w:hAnsi="仿宋" w:eastAsia="仿宋" w:cs="仿宋"/>
                <w:color w:val="auto"/>
                <w:kern w:val="2"/>
                <w:sz w:val="24"/>
                <w:szCs w:val="24"/>
                <w:highlight w:val="none"/>
              </w:rPr>
            </w:pPr>
          </w:p>
        </w:tc>
        <w:tc>
          <w:tcPr>
            <w:tcW w:w="1934" w:type="dxa"/>
            <w:noWrap w:val="0"/>
            <w:vAlign w:val="center"/>
          </w:tcPr>
          <w:p w14:paraId="6ADA0DDD">
            <w:pPr>
              <w:pStyle w:val="27"/>
              <w:spacing w:beforeLines="0" w:line="360" w:lineRule="auto"/>
              <w:jc w:val="center"/>
              <w:rPr>
                <w:rFonts w:hint="eastAsia" w:ascii="仿宋" w:hAnsi="仿宋" w:eastAsia="仿宋" w:cs="仿宋"/>
                <w:color w:val="auto"/>
                <w:kern w:val="2"/>
                <w:sz w:val="24"/>
                <w:szCs w:val="24"/>
                <w:highlight w:val="none"/>
              </w:rPr>
            </w:pPr>
          </w:p>
        </w:tc>
      </w:tr>
      <w:tr w14:paraId="4D54E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vAlign w:val="top"/>
          </w:tcPr>
          <w:p w14:paraId="15AAFD44">
            <w:pPr>
              <w:pStyle w:val="27"/>
              <w:spacing w:beforeLines="0" w:line="360" w:lineRule="auto"/>
              <w:rPr>
                <w:rFonts w:hint="eastAsia" w:ascii="仿宋" w:hAnsi="仿宋" w:eastAsia="仿宋" w:cs="仿宋"/>
                <w:color w:val="auto"/>
                <w:kern w:val="2"/>
                <w:sz w:val="24"/>
                <w:szCs w:val="24"/>
                <w:highlight w:val="none"/>
              </w:rPr>
            </w:pPr>
          </w:p>
        </w:tc>
        <w:tc>
          <w:tcPr>
            <w:tcW w:w="2143" w:type="dxa"/>
            <w:noWrap w:val="0"/>
            <w:vAlign w:val="top"/>
          </w:tcPr>
          <w:p w14:paraId="01491954">
            <w:pPr>
              <w:pStyle w:val="27"/>
              <w:spacing w:beforeLines="0" w:line="360" w:lineRule="auto"/>
              <w:rPr>
                <w:rFonts w:hint="eastAsia" w:ascii="仿宋" w:hAnsi="仿宋" w:eastAsia="仿宋" w:cs="仿宋"/>
                <w:color w:val="auto"/>
                <w:kern w:val="2"/>
                <w:sz w:val="24"/>
                <w:szCs w:val="24"/>
                <w:highlight w:val="none"/>
              </w:rPr>
            </w:pPr>
          </w:p>
        </w:tc>
        <w:tc>
          <w:tcPr>
            <w:tcW w:w="1834" w:type="dxa"/>
            <w:noWrap w:val="0"/>
            <w:vAlign w:val="top"/>
          </w:tcPr>
          <w:p w14:paraId="3E0ECBA0">
            <w:pPr>
              <w:pStyle w:val="27"/>
              <w:spacing w:beforeLines="0" w:line="360" w:lineRule="auto"/>
              <w:rPr>
                <w:rFonts w:hint="eastAsia" w:ascii="仿宋" w:hAnsi="仿宋" w:eastAsia="仿宋" w:cs="仿宋"/>
                <w:color w:val="auto"/>
                <w:kern w:val="2"/>
                <w:sz w:val="24"/>
                <w:szCs w:val="24"/>
                <w:highlight w:val="none"/>
              </w:rPr>
            </w:pPr>
          </w:p>
        </w:tc>
        <w:tc>
          <w:tcPr>
            <w:tcW w:w="2181" w:type="dxa"/>
            <w:noWrap w:val="0"/>
            <w:vAlign w:val="top"/>
          </w:tcPr>
          <w:p w14:paraId="6BAB4C1B">
            <w:pPr>
              <w:pStyle w:val="27"/>
              <w:spacing w:beforeLines="0" w:line="360" w:lineRule="auto"/>
              <w:rPr>
                <w:rFonts w:hint="eastAsia" w:ascii="仿宋" w:hAnsi="仿宋" w:eastAsia="仿宋" w:cs="仿宋"/>
                <w:color w:val="auto"/>
                <w:kern w:val="2"/>
                <w:sz w:val="24"/>
                <w:szCs w:val="24"/>
                <w:highlight w:val="none"/>
              </w:rPr>
            </w:pPr>
          </w:p>
        </w:tc>
        <w:tc>
          <w:tcPr>
            <w:tcW w:w="1934" w:type="dxa"/>
            <w:noWrap w:val="0"/>
            <w:vAlign w:val="top"/>
          </w:tcPr>
          <w:p w14:paraId="057EE1C3">
            <w:pPr>
              <w:pStyle w:val="27"/>
              <w:spacing w:beforeLines="0" w:line="360" w:lineRule="auto"/>
              <w:rPr>
                <w:rFonts w:hint="eastAsia" w:ascii="仿宋" w:hAnsi="仿宋" w:eastAsia="仿宋" w:cs="仿宋"/>
                <w:color w:val="auto"/>
                <w:kern w:val="2"/>
                <w:sz w:val="24"/>
                <w:szCs w:val="24"/>
                <w:highlight w:val="none"/>
              </w:rPr>
            </w:pPr>
          </w:p>
        </w:tc>
      </w:tr>
      <w:tr w14:paraId="45A78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vAlign w:val="top"/>
          </w:tcPr>
          <w:p w14:paraId="44515BB9">
            <w:pPr>
              <w:pStyle w:val="27"/>
              <w:spacing w:beforeLines="0" w:line="360" w:lineRule="auto"/>
              <w:rPr>
                <w:rFonts w:hint="eastAsia" w:ascii="仿宋" w:hAnsi="仿宋" w:eastAsia="仿宋" w:cs="仿宋"/>
                <w:color w:val="auto"/>
                <w:kern w:val="2"/>
                <w:sz w:val="24"/>
                <w:szCs w:val="24"/>
                <w:highlight w:val="none"/>
              </w:rPr>
            </w:pPr>
          </w:p>
        </w:tc>
        <w:tc>
          <w:tcPr>
            <w:tcW w:w="2143" w:type="dxa"/>
            <w:noWrap w:val="0"/>
            <w:vAlign w:val="top"/>
          </w:tcPr>
          <w:p w14:paraId="76B8DF1C">
            <w:pPr>
              <w:pStyle w:val="27"/>
              <w:spacing w:beforeLines="0" w:line="360" w:lineRule="auto"/>
              <w:rPr>
                <w:rFonts w:hint="eastAsia" w:ascii="仿宋" w:hAnsi="仿宋" w:eastAsia="仿宋" w:cs="仿宋"/>
                <w:color w:val="auto"/>
                <w:kern w:val="2"/>
                <w:sz w:val="24"/>
                <w:szCs w:val="24"/>
                <w:highlight w:val="none"/>
              </w:rPr>
            </w:pPr>
          </w:p>
        </w:tc>
        <w:tc>
          <w:tcPr>
            <w:tcW w:w="1834" w:type="dxa"/>
            <w:noWrap w:val="0"/>
            <w:vAlign w:val="top"/>
          </w:tcPr>
          <w:p w14:paraId="26306368">
            <w:pPr>
              <w:pStyle w:val="27"/>
              <w:spacing w:beforeLines="0" w:line="360" w:lineRule="auto"/>
              <w:rPr>
                <w:rFonts w:hint="eastAsia" w:ascii="仿宋" w:hAnsi="仿宋" w:eastAsia="仿宋" w:cs="仿宋"/>
                <w:color w:val="auto"/>
                <w:kern w:val="2"/>
                <w:sz w:val="24"/>
                <w:szCs w:val="24"/>
                <w:highlight w:val="none"/>
              </w:rPr>
            </w:pPr>
          </w:p>
        </w:tc>
        <w:tc>
          <w:tcPr>
            <w:tcW w:w="2181" w:type="dxa"/>
            <w:noWrap w:val="0"/>
            <w:vAlign w:val="top"/>
          </w:tcPr>
          <w:p w14:paraId="13DF5362">
            <w:pPr>
              <w:pStyle w:val="27"/>
              <w:spacing w:beforeLines="0" w:line="360" w:lineRule="auto"/>
              <w:rPr>
                <w:rFonts w:hint="eastAsia" w:ascii="仿宋" w:hAnsi="仿宋" w:eastAsia="仿宋" w:cs="仿宋"/>
                <w:color w:val="auto"/>
                <w:kern w:val="2"/>
                <w:sz w:val="24"/>
                <w:szCs w:val="24"/>
                <w:highlight w:val="none"/>
              </w:rPr>
            </w:pPr>
          </w:p>
        </w:tc>
        <w:tc>
          <w:tcPr>
            <w:tcW w:w="1934" w:type="dxa"/>
            <w:noWrap w:val="0"/>
            <w:vAlign w:val="top"/>
          </w:tcPr>
          <w:p w14:paraId="3F72D0E9">
            <w:pPr>
              <w:pStyle w:val="27"/>
              <w:spacing w:beforeLines="0" w:line="360" w:lineRule="auto"/>
              <w:rPr>
                <w:rFonts w:hint="eastAsia" w:ascii="仿宋" w:hAnsi="仿宋" w:eastAsia="仿宋" w:cs="仿宋"/>
                <w:color w:val="auto"/>
                <w:kern w:val="2"/>
                <w:sz w:val="24"/>
                <w:szCs w:val="24"/>
                <w:highlight w:val="none"/>
              </w:rPr>
            </w:pPr>
          </w:p>
        </w:tc>
      </w:tr>
      <w:tr w14:paraId="71385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vAlign w:val="top"/>
          </w:tcPr>
          <w:p w14:paraId="3B9E2D82">
            <w:pPr>
              <w:pStyle w:val="27"/>
              <w:spacing w:beforeLines="0" w:line="360" w:lineRule="auto"/>
              <w:rPr>
                <w:rFonts w:hint="eastAsia" w:ascii="仿宋" w:hAnsi="仿宋" w:eastAsia="仿宋" w:cs="仿宋"/>
                <w:color w:val="auto"/>
                <w:kern w:val="2"/>
                <w:sz w:val="24"/>
                <w:szCs w:val="24"/>
                <w:highlight w:val="none"/>
              </w:rPr>
            </w:pPr>
          </w:p>
        </w:tc>
        <w:tc>
          <w:tcPr>
            <w:tcW w:w="2143" w:type="dxa"/>
            <w:noWrap w:val="0"/>
            <w:vAlign w:val="top"/>
          </w:tcPr>
          <w:p w14:paraId="617A0602">
            <w:pPr>
              <w:pStyle w:val="27"/>
              <w:spacing w:beforeLines="0" w:line="360" w:lineRule="auto"/>
              <w:rPr>
                <w:rFonts w:hint="eastAsia" w:ascii="仿宋" w:hAnsi="仿宋" w:eastAsia="仿宋" w:cs="仿宋"/>
                <w:color w:val="auto"/>
                <w:kern w:val="2"/>
                <w:sz w:val="24"/>
                <w:szCs w:val="24"/>
                <w:highlight w:val="none"/>
              </w:rPr>
            </w:pPr>
          </w:p>
        </w:tc>
        <w:tc>
          <w:tcPr>
            <w:tcW w:w="1834" w:type="dxa"/>
            <w:noWrap w:val="0"/>
            <w:vAlign w:val="top"/>
          </w:tcPr>
          <w:p w14:paraId="6568D974">
            <w:pPr>
              <w:pStyle w:val="27"/>
              <w:spacing w:beforeLines="0" w:line="360" w:lineRule="auto"/>
              <w:rPr>
                <w:rFonts w:hint="eastAsia" w:ascii="仿宋" w:hAnsi="仿宋" w:eastAsia="仿宋" w:cs="仿宋"/>
                <w:color w:val="auto"/>
                <w:kern w:val="2"/>
                <w:sz w:val="24"/>
                <w:szCs w:val="24"/>
                <w:highlight w:val="none"/>
              </w:rPr>
            </w:pPr>
          </w:p>
        </w:tc>
        <w:tc>
          <w:tcPr>
            <w:tcW w:w="2181" w:type="dxa"/>
            <w:noWrap w:val="0"/>
            <w:vAlign w:val="top"/>
          </w:tcPr>
          <w:p w14:paraId="02FC936D">
            <w:pPr>
              <w:pStyle w:val="27"/>
              <w:spacing w:beforeLines="0" w:line="360" w:lineRule="auto"/>
              <w:rPr>
                <w:rFonts w:hint="eastAsia" w:ascii="仿宋" w:hAnsi="仿宋" w:eastAsia="仿宋" w:cs="仿宋"/>
                <w:color w:val="auto"/>
                <w:kern w:val="2"/>
                <w:sz w:val="24"/>
                <w:szCs w:val="24"/>
                <w:highlight w:val="none"/>
              </w:rPr>
            </w:pPr>
          </w:p>
        </w:tc>
        <w:tc>
          <w:tcPr>
            <w:tcW w:w="1934" w:type="dxa"/>
            <w:noWrap w:val="0"/>
            <w:vAlign w:val="top"/>
          </w:tcPr>
          <w:p w14:paraId="3780A12F">
            <w:pPr>
              <w:pStyle w:val="27"/>
              <w:spacing w:beforeLines="0" w:line="360" w:lineRule="auto"/>
              <w:rPr>
                <w:rFonts w:hint="eastAsia" w:ascii="仿宋" w:hAnsi="仿宋" w:eastAsia="仿宋" w:cs="仿宋"/>
                <w:color w:val="auto"/>
                <w:kern w:val="2"/>
                <w:sz w:val="24"/>
                <w:szCs w:val="24"/>
                <w:highlight w:val="none"/>
              </w:rPr>
            </w:pPr>
          </w:p>
        </w:tc>
      </w:tr>
    </w:tbl>
    <w:p w14:paraId="6DE7595C">
      <w:pPr>
        <w:pStyle w:val="19"/>
        <w:spacing w:beforeLines="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w:t>
      </w:r>
    </w:p>
    <w:p w14:paraId="2238AFED">
      <w:pPr>
        <w:pStyle w:val="20"/>
        <w:spacing w:beforeLines="0"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 说明：应对照招标文件“第二章 采购需求”中的技术需求逐条实质性响应，并作出偏离说明。</w:t>
      </w:r>
    </w:p>
    <w:p w14:paraId="6D0CAC29">
      <w:pPr>
        <w:pStyle w:val="19"/>
        <w:spacing w:beforeLines="0" w:line="360" w:lineRule="auto"/>
        <w:rPr>
          <w:rFonts w:hint="eastAsia" w:ascii="仿宋" w:hAnsi="仿宋" w:eastAsia="仿宋" w:cs="仿宋"/>
          <w:color w:val="auto"/>
          <w:sz w:val="24"/>
          <w:szCs w:val="24"/>
          <w:highlight w:val="none"/>
        </w:rPr>
      </w:pPr>
      <w:r>
        <w:rPr>
          <w:rFonts w:hint="eastAsia" w:ascii="仿宋" w:hAnsi="仿宋" w:eastAsia="仿宋" w:cs="仿宋"/>
          <w:b w:val="0"/>
          <w:bCs w:val="0"/>
          <w:color w:val="auto"/>
          <w:sz w:val="24"/>
          <w:szCs w:val="24"/>
          <w:highlight w:val="none"/>
        </w:rPr>
        <w:t>2.投标人应根据投标设备的性能指标，对照招标文件要求，在“偏离说明”中注明“</w:t>
      </w:r>
      <w:r>
        <w:rPr>
          <w:rFonts w:hint="eastAsia" w:ascii="仿宋" w:hAnsi="仿宋" w:eastAsia="仿宋" w:cs="仿宋"/>
          <w:color w:val="auto"/>
          <w:sz w:val="24"/>
          <w:szCs w:val="24"/>
          <w:highlight w:val="none"/>
        </w:rPr>
        <w:t>正偏离</w:t>
      </w:r>
      <w:r>
        <w:rPr>
          <w:rFonts w:hint="eastAsia" w:ascii="仿宋" w:hAnsi="仿宋" w:eastAsia="仿宋" w:cs="仿宋"/>
          <w:b w:val="0"/>
          <w:bCs w:val="0"/>
          <w:color w:val="auto"/>
          <w:sz w:val="24"/>
          <w:szCs w:val="24"/>
          <w:highlight w:val="none"/>
        </w:rPr>
        <w:t>”、“</w:t>
      </w:r>
      <w:r>
        <w:rPr>
          <w:rFonts w:hint="eastAsia" w:ascii="仿宋" w:hAnsi="仿宋" w:eastAsia="仿宋" w:cs="仿宋"/>
          <w:color w:val="auto"/>
          <w:sz w:val="24"/>
          <w:szCs w:val="24"/>
          <w:highlight w:val="none"/>
        </w:rPr>
        <w:t>负偏离</w:t>
      </w:r>
      <w:r>
        <w:rPr>
          <w:rFonts w:hint="eastAsia" w:ascii="仿宋" w:hAnsi="仿宋" w:eastAsia="仿宋" w:cs="仿宋"/>
          <w:b w:val="0"/>
          <w:bCs w:val="0"/>
          <w:color w:val="auto"/>
          <w:sz w:val="24"/>
          <w:szCs w:val="24"/>
          <w:highlight w:val="none"/>
        </w:rPr>
        <w:t>”或者“</w:t>
      </w:r>
      <w:r>
        <w:rPr>
          <w:rFonts w:hint="eastAsia" w:ascii="仿宋" w:hAnsi="仿宋" w:eastAsia="仿宋" w:cs="仿宋"/>
          <w:color w:val="auto"/>
          <w:sz w:val="24"/>
          <w:szCs w:val="24"/>
          <w:highlight w:val="none"/>
        </w:rPr>
        <w:t>无偏离</w:t>
      </w:r>
      <w:r>
        <w:rPr>
          <w:rFonts w:hint="eastAsia" w:ascii="仿宋" w:hAnsi="仿宋" w:eastAsia="仿宋" w:cs="仿宋"/>
          <w:b w:val="0"/>
          <w:bCs w:val="0"/>
          <w:color w:val="auto"/>
          <w:sz w:val="24"/>
          <w:szCs w:val="24"/>
          <w:highlight w:val="none"/>
        </w:rPr>
        <w:t>”。既不属于“</w:t>
      </w:r>
      <w:r>
        <w:rPr>
          <w:rFonts w:hint="eastAsia" w:ascii="仿宋" w:hAnsi="仿宋" w:eastAsia="仿宋" w:cs="仿宋"/>
          <w:color w:val="auto"/>
          <w:sz w:val="24"/>
          <w:szCs w:val="24"/>
          <w:highlight w:val="none"/>
        </w:rPr>
        <w:t>正偏离</w:t>
      </w:r>
      <w:r>
        <w:rPr>
          <w:rFonts w:hint="eastAsia" w:ascii="仿宋" w:hAnsi="仿宋" w:eastAsia="仿宋" w:cs="仿宋"/>
          <w:b w:val="0"/>
          <w:bCs w:val="0"/>
          <w:color w:val="auto"/>
          <w:sz w:val="24"/>
          <w:szCs w:val="24"/>
          <w:highlight w:val="none"/>
        </w:rPr>
        <w:t>”也不属于“</w:t>
      </w:r>
      <w:r>
        <w:rPr>
          <w:rFonts w:hint="eastAsia" w:ascii="仿宋" w:hAnsi="仿宋" w:eastAsia="仿宋" w:cs="仿宋"/>
          <w:color w:val="auto"/>
          <w:sz w:val="24"/>
          <w:szCs w:val="24"/>
          <w:highlight w:val="none"/>
        </w:rPr>
        <w:t>负偏离</w:t>
      </w:r>
      <w:r>
        <w:rPr>
          <w:rFonts w:hint="eastAsia" w:ascii="仿宋" w:hAnsi="仿宋" w:eastAsia="仿宋" w:cs="仿宋"/>
          <w:b w:val="0"/>
          <w:bCs w:val="0"/>
          <w:color w:val="auto"/>
          <w:sz w:val="24"/>
          <w:szCs w:val="24"/>
          <w:highlight w:val="none"/>
        </w:rPr>
        <w:t>”即为“</w:t>
      </w:r>
      <w:r>
        <w:rPr>
          <w:rFonts w:hint="eastAsia" w:ascii="仿宋" w:hAnsi="仿宋" w:eastAsia="仿宋" w:cs="仿宋"/>
          <w:color w:val="auto"/>
          <w:sz w:val="24"/>
          <w:szCs w:val="24"/>
          <w:highlight w:val="none"/>
        </w:rPr>
        <w:t>无偏离</w:t>
      </w:r>
      <w:r>
        <w:rPr>
          <w:rFonts w:hint="eastAsia" w:ascii="仿宋" w:hAnsi="仿宋" w:eastAsia="仿宋" w:cs="仿宋"/>
          <w:b w:val="0"/>
          <w:bCs w:val="0"/>
          <w:color w:val="auto"/>
          <w:sz w:val="24"/>
          <w:szCs w:val="24"/>
          <w:highlight w:val="none"/>
        </w:rPr>
        <w:t>”。</w:t>
      </w:r>
    </w:p>
    <w:p w14:paraId="715563F4">
      <w:pPr>
        <w:pStyle w:val="19"/>
        <w:spacing w:beforeLines="0" w:line="360" w:lineRule="auto"/>
        <w:rPr>
          <w:rFonts w:hint="eastAsia" w:ascii="仿宋" w:hAnsi="仿宋" w:eastAsia="仿宋" w:cs="仿宋"/>
          <w:color w:val="auto"/>
          <w:spacing w:val="20"/>
          <w:sz w:val="24"/>
          <w:szCs w:val="24"/>
          <w:highlight w:val="none"/>
        </w:rPr>
      </w:pPr>
    </w:p>
    <w:p w14:paraId="409FFD67">
      <w:pPr>
        <w:pStyle w:val="27"/>
        <w:spacing w:beforeLines="0" w:line="360" w:lineRule="auto"/>
        <w:rPr>
          <w:rFonts w:hint="eastAsia" w:ascii="仿宋" w:hAnsi="仿宋" w:eastAsia="仿宋" w:cs="仿宋"/>
          <w:color w:val="auto"/>
          <w:spacing w:val="20"/>
          <w:sz w:val="24"/>
          <w:szCs w:val="24"/>
          <w:highlight w:val="none"/>
          <w:u w:val="single"/>
        </w:rPr>
      </w:pPr>
      <w:r>
        <w:rPr>
          <w:rFonts w:hint="eastAsia" w:ascii="仿宋" w:hAnsi="仿宋" w:eastAsia="仿宋" w:cs="仿宋"/>
          <w:color w:val="auto"/>
          <w:spacing w:val="20"/>
          <w:kern w:val="2"/>
          <w:sz w:val="24"/>
          <w:szCs w:val="24"/>
          <w:highlight w:val="none"/>
        </w:rPr>
        <w:t>法定代表人或者委托代理人签字[或盖章(CA签章)]</w:t>
      </w:r>
      <w:r>
        <w:rPr>
          <w:rFonts w:hint="eastAsia" w:ascii="仿宋" w:hAnsi="仿宋" w:eastAsia="仿宋" w:cs="仿宋"/>
          <w:color w:val="auto"/>
          <w:spacing w:val="20"/>
          <w:sz w:val="24"/>
          <w:szCs w:val="24"/>
          <w:highlight w:val="none"/>
        </w:rPr>
        <w:t>（属自然人的应在签名处加盖大拇指指印或个人CA签章）：</w:t>
      </w:r>
      <w:r>
        <w:rPr>
          <w:rFonts w:hint="eastAsia" w:ascii="仿宋" w:hAnsi="仿宋" w:eastAsia="仿宋" w:cs="仿宋"/>
          <w:color w:val="auto"/>
          <w:spacing w:val="20"/>
          <w:sz w:val="24"/>
          <w:szCs w:val="24"/>
          <w:highlight w:val="none"/>
          <w:u w:val="single"/>
        </w:rPr>
        <w:t xml:space="preserve">        </w:t>
      </w:r>
    </w:p>
    <w:p w14:paraId="2E7465D9">
      <w:pPr>
        <w:snapToGrid w:val="0"/>
        <w:spacing w:before="0" w:beforeLines="0" w:after="0" w:line="360" w:lineRule="auto"/>
        <w:rPr>
          <w:rFonts w:hint="eastAsia" w:ascii="仿宋" w:hAnsi="仿宋" w:eastAsia="仿宋" w:cs="仿宋"/>
          <w:color w:val="auto"/>
          <w:spacing w:val="20"/>
          <w:sz w:val="24"/>
          <w:szCs w:val="24"/>
          <w:highlight w:val="none"/>
        </w:rPr>
      </w:pPr>
      <w:r>
        <w:rPr>
          <w:rFonts w:hint="eastAsia" w:ascii="仿宋" w:hAnsi="仿宋" w:eastAsia="仿宋" w:cs="仿宋"/>
          <w:color w:val="auto"/>
          <w:spacing w:val="20"/>
          <w:sz w:val="24"/>
          <w:szCs w:val="24"/>
          <w:highlight w:val="none"/>
        </w:rPr>
        <w:t>投标人[</w:t>
      </w:r>
      <w:r>
        <w:rPr>
          <w:rFonts w:hint="eastAsia" w:ascii="仿宋" w:hAnsi="仿宋" w:eastAsia="仿宋" w:cs="仿宋"/>
          <w:color w:val="auto"/>
          <w:spacing w:val="20"/>
          <w:sz w:val="24"/>
          <w:szCs w:val="24"/>
          <w:highlight w:val="none"/>
          <w:lang w:eastAsia="zh-CN"/>
        </w:rPr>
        <w:t>公章(或CA签章)</w:t>
      </w:r>
      <w:r>
        <w:rPr>
          <w:rFonts w:hint="eastAsia" w:ascii="仿宋" w:hAnsi="仿宋" w:eastAsia="仿宋" w:cs="仿宋"/>
          <w:color w:val="auto"/>
          <w:spacing w:val="20"/>
          <w:sz w:val="24"/>
          <w:szCs w:val="24"/>
          <w:highlight w:val="none"/>
        </w:rPr>
        <w:t>、自然人除外]：</w:t>
      </w:r>
      <w:r>
        <w:rPr>
          <w:rFonts w:hint="eastAsia" w:ascii="仿宋" w:hAnsi="仿宋" w:eastAsia="仿宋" w:cs="仿宋"/>
          <w:color w:val="auto"/>
          <w:spacing w:val="20"/>
          <w:sz w:val="24"/>
          <w:szCs w:val="24"/>
          <w:highlight w:val="none"/>
          <w:u w:val="single"/>
        </w:rPr>
        <w:t xml:space="preserve">            </w:t>
      </w:r>
      <w:r>
        <w:rPr>
          <w:rFonts w:hint="eastAsia" w:ascii="仿宋" w:hAnsi="仿宋" w:eastAsia="仿宋" w:cs="仿宋"/>
          <w:color w:val="auto"/>
          <w:spacing w:val="20"/>
          <w:sz w:val="24"/>
          <w:szCs w:val="24"/>
          <w:highlight w:val="none"/>
        </w:rPr>
        <w:t xml:space="preserve">              </w:t>
      </w:r>
    </w:p>
    <w:p w14:paraId="4E1A2FCB">
      <w:pPr>
        <w:snapToGrid w:val="0"/>
        <w:spacing w:before="0" w:beforeLines="0" w:after="0" w:line="360" w:lineRule="auto"/>
        <w:rPr>
          <w:rFonts w:hint="eastAsia" w:ascii="仿宋" w:hAnsi="仿宋" w:eastAsia="仿宋" w:cs="仿宋"/>
          <w:color w:val="auto"/>
          <w:spacing w:val="20"/>
          <w:sz w:val="24"/>
          <w:szCs w:val="24"/>
          <w:highlight w:val="none"/>
          <w:u w:val="single"/>
        </w:rPr>
      </w:pPr>
      <w:r>
        <w:rPr>
          <w:rFonts w:hint="eastAsia" w:ascii="仿宋" w:hAnsi="仿宋" w:eastAsia="仿宋" w:cs="仿宋"/>
          <w:color w:val="auto"/>
          <w:spacing w:val="20"/>
          <w:sz w:val="24"/>
          <w:szCs w:val="24"/>
          <w:highlight w:val="none"/>
        </w:rPr>
        <w:t>日 期：</w:t>
      </w:r>
      <w:r>
        <w:rPr>
          <w:rFonts w:hint="eastAsia" w:ascii="仿宋" w:hAnsi="仿宋" w:eastAsia="仿宋" w:cs="仿宋"/>
          <w:color w:val="auto"/>
          <w:spacing w:val="20"/>
          <w:sz w:val="24"/>
          <w:szCs w:val="24"/>
          <w:highlight w:val="none"/>
          <w:u w:val="single"/>
        </w:rPr>
        <w:t xml:space="preserve">        </w:t>
      </w:r>
    </w:p>
    <w:p w14:paraId="404B2D5E">
      <w:pPr>
        <w:snapToGrid w:val="0"/>
        <w:spacing w:before="0" w:beforeLines="0" w:after="0" w:line="360" w:lineRule="auto"/>
        <w:rPr>
          <w:rFonts w:hint="eastAsia" w:ascii="仿宋" w:hAnsi="仿宋" w:eastAsia="仿宋" w:cs="仿宋"/>
          <w:color w:val="auto"/>
          <w:sz w:val="24"/>
          <w:szCs w:val="24"/>
          <w:highlight w:val="none"/>
        </w:rPr>
      </w:pPr>
    </w:p>
    <w:p w14:paraId="71235B3C">
      <w:pPr>
        <w:snapToGrid w:val="0"/>
        <w:spacing w:before="120" w:beforeLines="50" w:after="50"/>
        <w:ind w:left="142"/>
        <w:jc w:val="left"/>
        <w:rPr>
          <w:rFonts w:hint="eastAsia" w:ascii="仿宋" w:hAnsi="仿宋" w:eastAsia="仿宋" w:cs="仿宋"/>
          <w:b/>
          <w:color w:val="auto"/>
          <w:sz w:val="24"/>
          <w:highlight w:val="none"/>
          <w:lang w:val="en-US" w:eastAsia="zh-CN"/>
        </w:rPr>
      </w:pPr>
      <w:r>
        <w:rPr>
          <w:rFonts w:hint="eastAsia" w:ascii="仿宋" w:hAnsi="仿宋" w:eastAsia="仿宋" w:cs="仿宋"/>
          <w:b/>
          <w:color w:val="auto"/>
          <w:sz w:val="21"/>
          <w:szCs w:val="21"/>
          <w:highlight w:val="none"/>
        </w:rPr>
        <w:br w:type="page"/>
      </w:r>
    </w:p>
    <w:p w14:paraId="7E4C20EE">
      <w:pPr>
        <w:snapToGrid w:val="0"/>
        <w:spacing w:before="120" w:beforeLines="50" w:after="50"/>
        <w:ind w:left="142"/>
        <w:jc w:val="left"/>
        <w:outlineLvl w:val="2"/>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4</w:t>
      </w:r>
      <w:r>
        <w:rPr>
          <w:rFonts w:hint="eastAsia" w:ascii="仿宋" w:hAnsi="仿宋" w:eastAsia="仿宋" w:cs="仿宋"/>
          <w:b/>
          <w:color w:val="auto"/>
          <w:sz w:val="24"/>
          <w:szCs w:val="24"/>
          <w:highlight w:val="none"/>
        </w:rPr>
        <w:t>.设备性能配置清单格式</w:t>
      </w:r>
    </w:p>
    <w:p w14:paraId="0FA3F7AB">
      <w:pPr>
        <w:snapToGrid w:val="0"/>
        <w:spacing w:before="120" w:beforeLines="50" w:after="50"/>
        <w:ind w:left="142"/>
        <w:jc w:val="left"/>
        <w:rPr>
          <w:rFonts w:hint="eastAsia" w:ascii="仿宋" w:hAnsi="仿宋" w:eastAsia="仿宋" w:cs="仿宋"/>
          <w:b/>
          <w:color w:val="auto"/>
          <w:sz w:val="24"/>
          <w:szCs w:val="24"/>
          <w:highlight w:val="none"/>
        </w:rPr>
      </w:pPr>
    </w:p>
    <w:p w14:paraId="6844D314">
      <w:pPr>
        <w:snapToGrid w:val="0"/>
        <w:spacing w:before="0" w:beforeLines="0" w:after="0" w:line="360" w:lineRule="auto"/>
        <w:ind w:left="0" w:firstLine="480" w:firstLineChars="200"/>
        <w:jc w:val="center"/>
        <w:outlineLvl w:val="9"/>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设备性能配置清单</w:t>
      </w:r>
    </w:p>
    <w:tbl>
      <w:tblPr>
        <w:tblStyle w:val="5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27"/>
        <w:gridCol w:w="1865"/>
        <w:gridCol w:w="804"/>
        <w:gridCol w:w="1002"/>
        <w:gridCol w:w="1644"/>
        <w:gridCol w:w="1394"/>
        <w:gridCol w:w="825"/>
        <w:gridCol w:w="1675"/>
      </w:tblGrid>
      <w:tr w14:paraId="0BC33E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6" w:hRule="atLeast"/>
          <w:jc w:val="center"/>
        </w:trPr>
        <w:tc>
          <w:tcPr>
            <w:tcW w:w="827" w:type="dxa"/>
            <w:tcBorders>
              <w:top w:val="single" w:color="auto" w:sz="4" w:space="0"/>
              <w:left w:val="single" w:color="auto" w:sz="4" w:space="0"/>
              <w:bottom w:val="single" w:color="auto" w:sz="4" w:space="0"/>
              <w:right w:val="single" w:color="auto" w:sz="4" w:space="0"/>
            </w:tcBorders>
            <w:noWrap w:val="0"/>
            <w:vAlign w:val="center"/>
          </w:tcPr>
          <w:p w14:paraId="7E72A91C">
            <w:pPr>
              <w:snapToGrid w:val="0"/>
              <w:spacing w:before="0"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1865" w:type="dxa"/>
            <w:tcBorders>
              <w:top w:val="single" w:color="auto" w:sz="4" w:space="0"/>
              <w:left w:val="single" w:color="auto" w:sz="4" w:space="0"/>
              <w:bottom w:val="single" w:color="auto" w:sz="4" w:space="0"/>
              <w:right w:val="single" w:color="auto" w:sz="4" w:space="0"/>
            </w:tcBorders>
            <w:noWrap w:val="0"/>
            <w:vAlign w:val="center"/>
          </w:tcPr>
          <w:p w14:paraId="0DC7BC5D">
            <w:pPr>
              <w:snapToGrid w:val="0"/>
              <w:spacing w:before="0"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标的的名称</w:t>
            </w:r>
          </w:p>
        </w:tc>
        <w:tc>
          <w:tcPr>
            <w:tcW w:w="804" w:type="dxa"/>
            <w:tcBorders>
              <w:top w:val="single" w:color="auto" w:sz="4" w:space="0"/>
              <w:left w:val="single" w:color="auto" w:sz="4" w:space="0"/>
              <w:bottom w:val="single" w:color="auto" w:sz="4" w:space="0"/>
              <w:right w:val="single" w:color="auto" w:sz="4" w:space="0"/>
            </w:tcBorders>
            <w:noWrap w:val="0"/>
            <w:vAlign w:val="center"/>
          </w:tcPr>
          <w:p w14:paraId="7AF2DE80">
            <w:pPr>
              <w:snapToGrid w:val="0"/>
              <w:spacing w:before="0"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数量及单位</w:t>
            </w:r>
          </w:p>
        </w:tc>
        <w:tc>
          <w:tcPr>
            <w:tcW w:w="1002" w:type="dxa"/>
            <w:tcBorders>
              <w:top w:val="single" w:color="auto" w:sz="4" w:space="0"/>
              <w:left w:val="single" w:color="auto" w:sz="4" w:space="0"/>
              <w:bottom w:val="single" w:color="auto" w:sz="4" w:space="0"/>
              <w:right w:val="single" w:color="auto" w:sz="4" w:space="0"/>
            </w:tcBorders>
            <w:noWrap w:val="0"/>
            <w:vAlign w:val="center"/>
          </w:tcPr>
          <w:p w14:paraId="07BEC177">
            <w:pPr>
              <w:snapToGrid w:val="0"/>
              <w:spacing w:before="0"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品牌</w:t>
            </w:r>
          </w:p>
        </w:tc>
        <w:tc>
          <w:tcPr>
            <w:tcW w:w="1644" w:type="dxa"/>
            <w:tcBorders>
              <w:top w:val="single" w:color="auto" w:sz="4" w:space="0"/>
              <w:left w:val="single" w:color="auto" w:sz="4" w:space="0"/>
              <w:bottom w:val="single" w:color="auto" w:sz="4" w:space="0"/>
              <w:right w:val="single" w:color="auto" w:sz="4" w:space="0"/>
            </w:tcBorders>
            <w:noWrap w:val="0"/>
            <w:vAlign w:val="top"/>
          </w:tcPr>
          <w:p w14:paraId="5DAEBEE5">
            <w:pPr>
              <w:snapToGrid w:val="0"/>
              <w:spacing w:before="0" w:after="0" w:line="360" w:lineRule="auto"/>
              <w:jc w:val="center"/>
              <w:rPr>
                <w:rFonts w:hint="eastAsia" w:ascii="仿宋" w:hAnsi="仿宋" w:eastAsia="仿宋" w:cs="仿宋"/>
                <w:color w:val="auto"/>
                <w:sz w:val="24"/>
                <w:szCs w:val="24"/>
                <w:highlight w:val="none"/>
              </w:rPr>
            </w:pPr>
          </w:p>
          <w:p w14:paraId="6103CD61">
            <w:pPr>
              <w:snapToGrid w:val="0"/>
              <w:spacing w:before="0"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规格型号</w:t>
            </w:r>
          </w:p>
        </w:tc>
        <w:tc>
          <w:tcPr>
            <w:tcW w:w="1394" w:type="dxa"/>
            <w:tcBorders>
              <w:top w:val="single" w:color="auto" w:sz="4" w:space="0"/>
              <w:left w:val="single" w:color="auto" w:sz="4" w:space="0"/>
              <w:bottom w:val="single" w:color="auto" w:sz="4" w:space="0"/>
              <w:right w:val="single" w:color="auto" w:sz="4" w:space="0"/>
            </w:tcBorders>
            <w:noWrap w:val="0"/>
            <w:vAlign w:val="center"/>
          </w:tcPr>
          <w:p w14:paraId="764448AF">
            <w:pPr>
              <w:snapToGrid w:val="0"/>
              <w:spacing w:before="0"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制造商</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523993B3">
            <w:pPr>
              <w:snapToGrid w:val="0"/>
              <w:spacing w:before="0"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原产地</w:t>
            </w:r>
          </w:p>
        </w:tc>
        <w:tc>
          <w:tcPr>
            <w:tcW w:w="1675" w:type="dxa"/>
            <w:tcBorders>
              <w:top w:val="single" w:color="auto" w:sz="4" w:space="0"/>
              <w:left w:val="single" w:color="auto" w:sz="4" w:space="0"/>
              <w:bottom w:val="single" w:color="auto" w:sz="4" w:space="0"/>
              <w:right w:val="single" w:color="auto" w:sz="4" w:space="0"/>
            </w:tcBorders>
            <w:noWrap w:val="0"/>
            <w:vAlign w:val="center"/>
          </w:tcPr>
          <w:p w14:paraId="264E2935">
            <w:pPr>
              <w:snapToGrid w:val="0"/>
              <w:spacing w:before="0"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参数性能、指标及配置</w:t>
            </w:r>
          </w:p>
        </w:tc>
      </w:tr>
      <w:tr w14:paraId="742902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827" w:type="dxa"/>
            <w:tcBorders>
              <w:top w:val="single" w:color="auto" w:sz="4" w:space="0"/>
              <w:left w:val="single" w:color="auto" w:sz="4" w:space="0"/>
              <w:bottom w:val="single" w:color="auto" w:sz="4" w:space="0"/>
              <w:right w:val="single" w:color="auto" w:sz="4" w:space="0"/>
            </w:tcBorders>
            <w:noWrap w:val="0"/>
            <w:vAlign w:val="center"/>
          </w:tcPr>
          <w:p w14:paraId="0E9547DC">
            <w:pPr>
              <w:snapToGrid w:val="0"/>
              <w:spacing w:before="0" w:after="0" w:line="360" w:lineRule="auto"/>
              <w:jc w:val="center"/>
              <w:rPr>
                <w:rFonts w:hint="eastAsia" w:ascii="仿宋" w:hAnsi="仿宋" w:eastAsia="仿宋" w:cs="仿宋"/>
                <w:color w:val="auto"/>
                <w:sz w:val="24"/>
                <w:szCs w:val="24"/>
                <w:highlight w:val="none"/>
              </w:rPr>
            </w:pPr>
          </w:p>
        </w:tc>
        <w:tc>
          <w:tcPr>
            <w:tcW w:w="1865" w:type="dxa"/>
            <w:tcBorders>
              <w:top w:val="single" w:color="auto" w:sz="4" w:space="0"/>
              <w:left w:val="single" w:color="auto" w:sz="4" w:space="0"/>
              <w:bottom w:val="single" w:color="auto" w:sz="4" w:space="0"/>
              <w:right w:val="single" w:color="auto" w:sz="4" w:space="0"/>
            </w:tcBorders>
            <w:noWrap w:val="0"/>
            <w:vAlign w:val="center"/>
          </w:tcPr>
          <w:p w14:paraId="292E1C02">
            <w:pPr>
              <w:snapToGrid w:val="0"/>
              <w:spacing w:before="0" w:after="0" w:line="360" w:lineRule="auto"/>
              <w:jc w:val="center"/>
              <w:rPr>
                <w:rFonts w:hint="eastAsia" w:ascii="仿宋" w:hAnsi="仿宋" w:eastAsia="仿宋" w:cs="仿宋"/>
                <w:color w:val="auto"/>
                <w:sz w:val="24"/>
                <w:szCs w:val="24"/>
                <w:highlight w:val="none"/>
              </w:rPr>
            </w:pPr>
          </w:p>
        </w:tc>
        <w:tc>
          <w:tcPr>
            <w:tcW w:w="804" w:type="dxa"/>
            <w:tcBorders>
              <w:top w:val="single" w:color="auto" w:sz="4" w:space="0"/>
              <w:left w:val="single" w:color="auto" w:sz="4" w:space="0"/>
              <w:bottom w:val="single" w:color="auto" w:sz="4" w:space="0"/>
              <w:right w:val="single" w:color="auto" w:sz="4" w:space="0"/>
            </w:tcBorders>
            <w:noWrap w:val="0"/>
            <w:vAlign w:val="center"/>
          </w:tcPr>
          <w:p w14:paraId="43C0B092">
            <w:pPr>
              <w:snapToGrid w:val="0"/>
              <w:spacing w:before="0" w:after="0" w:line="360" w:lineRule="auto"/>
              <w:jc w:val="center"/>
              <w:rPr>
                <w:rFonts w:hint="eastAsia" w:ascii="仿宋" w:hAnsi="仿宋" w:eastAsia="仿宋" w:cs="仿宋"/>
                <w:color w:val="auto"/>
                <w:sz w:val="24"/>
                <w:szCs w:val="24"/>
                <w:highlight w:val="none"/>
              </w:rPr>
            </w:pPr>
          </w:p>
        </w:tc>
        <w:tc>
          <w:tcPr>
            <w:tcW w:w="1002" w:type="dxa"/>
            <w:tcBorders>
              <w:top w:val="single" w:color="auto" w:sz="4" w:space="0"/>
              <w:left w:val="single" w:color="auto" w:sz="4" w:space="0"/>
              <w:bottom w:val="single" w:color="auto" w:sz="4" w:space="0"/>
              <w:right w:val="single" w:color="auto" w:sz="4" w:space="0"/>
            </w:tcBorders>
            <w:noWrap w:val="0"/>
            <w:vAlign w:val="center"/>
          </w:tcPr>
          <w:p w14:paraId="5FD8EAD6">
            <w:pPr>
              <w:snapToGrid w:val="0"/>
              <w:spacing w:before="0" w:after="0" w:line="360" w:lineRule="auto"/>
              <w:jc w:val="center"/>
              <w:rPr>
                <w:rFonts w:hint="eastAsia" w:ascii="仿宋" w:hAnsi="仿宋" w:eastAsia="仿宋" w:cs="仿宋"/>
                <w:color w:val="auto"/>
                <w:sz w:val="24"/>
                <w:szCs w:val="24"/>
                <w:highlight w:val="none"/>
              </w:rPr>
            </w:pPr>
          </w:p>
        </w:tc>
        <w:tc>
          <w:tcPr>
            <w:tcW w:w="1644" w:type="dxa"/>
            <w:tcBorders>
              <w:top w:val="single" w:color="auto" w:sz="4" w:space="0"/>
              <w:left w:val="single" w:color="auto" w:sz="4" w:space="0"/>
              <w:bottom w:val="single" w:color="auto" w:sz="4" w:space="0"/>
              <w:right w:val="single" w:color="auto" w:sz="4" w:space="0"/>
            </w:tcBorders>
            <w:noWrap w:val="0"/>
            <w:vAlign w:val="top"/>
          </w:tcPr>
          <w:p w14:paraId="65101433">
            <w:pPr>
              <w:snapToGrid w:val="0"/>
              <w:spacing w:before="0" w:after="0" w:line="360" w:lineRule="auto"/>
              <w:jc w:val="center"/>
              <w:rPr>
                <w:rFonts w:hint="eastAsia" w:ascii="仿宋" w:hAnsi="仿宋" w:eastAsia="仿宋" w:cs="仿宋"/>
                <w:color w:val="auto"/>
                <w:sz w:val="24"/>
                <w:szCs w:val="24"/>
                <w:highlight w:val="none"/>
              </w:rPr>
            </w:pPr>
          </w:p>
        </w:tc>
        <w:tc>
          <w:tcPr>
            <w:tcW w:w="1394" w:type="dxa"/>
            <w:tcBorders>
              <w:top w:val="single" w:color="auto" w:sz="4" w:space="0"/>
              <w:left w:val="single" w:color="auto" w:sz="4" w:space="0"/>
              <w:bottom w:val="single" w:color="auto" w:sz="4" w:space="0"/>
              <w:right w:val="single" w:color="auto" w:sz="4" w:space="0"/>
            </w:tcBorders>
            <w:noWrap w:val="0"/>
            <w:vAlign w:val="center"/>
          </w:tcPr>
          <w:p w14:paraId="724D7D54">
            <w:pPr>
              <w:snapToGrid w:val="0"/>
              <w:spacing w:before="0" w:after="0" w:line="360" w:lineRule="auto"/>
              <w:jc w:val="center"/>
              <w:rPr>
                <w:rFonts w:hint="eastAsia" w:ascii="仿宋" w:hAnsi="仿宋" w:eastAsia="仿宋" w:cs="仿宋"/>
                <w:color w:val="auto"/>
                <w:sz w:val="24"/>
                <w:szCs w:val="24"/>
                <w:highlight w:val="none"/>
              </w:rPr>
            </w:pPr>
          </w:p>
        </w:tc>
        <w:tc>
          <w:tcPr>
            <w:tcW w:w="825" w:type="dxa"/>
            <w:tcBorders>
              <w:top w:val="single" w:color="auto" w:sz="4" w:space="0"/>
              <w:left w:val="single" w:color="auto" w:sz="4" w:space="0"/>
              <w:bottom w:val="single" w:color="auto" w:sz="4" w:space="0"/>
              <w:right w:val="single" w:color="auto" w:sz="4" w:space="0"/>
            </w:tcBorders>
            <w:noWrap w:val="0"/>
            <w:vAlign w:val="center"/>
          </w:tcPr>
          <w:p w14:paraId="4EA54081">
            <w:pPr>
              <w:snapToGrid w:val="0"/>
              <w:spacing w:before="0" w:after="0" w:line="360" w:lineRule="auto"/>
              <w:jc w:val="center"/>
              <w:rPr>
                <w:rFonts w:hint="eastAsia" w:ascii="仿宋" w:hAnsi="仿宋" w:eastAsia="仿宋" w:cs="仿宋"/>
                <w:color w:val="auto"/>
                <w:sz w:val="24"/>
                <w:szCs w:val="24"/>
                <w:highlight w:val="none"/>
              </w:rPr>
            </w:pPr>
          </w:p>
        </w:tc>
        <w:tc>
          <w:tcPr>
            <w:tcW w:w="1675" w:type="dxa"/>
            <w:tcBorders>
              <w:top w:val="single" w:color="auto" w:sz="4" w:space="0"/>
              <w:left w:val="single" w:color="auto" w:sz="4" w:space="0"/>
              <w:bottom w:val="single" w:color="auto" w:sz="4" w:space="0"/>
              <w:right w:val="single" w:color="auto" w:sz="4" w:space="0"/>
            </w:tcBorders>
            <w:noWrap w:val="0"/>
            <w:vAlign w:val="center"/>
          </w:tcPr>
          <w:p w14:paraId="20BAD49C">
            <w:pPr>
              <w:snapToGrid w:val="0"/>
              <w:spacing w:before="0" w:after="0" w:line="360" w:lineRule="auto"/>
              <w:jc w:val="center"/>
              <w:rPr>
                <w:rFonts w:hint="eastAsia" w:ascii="仿宋" w:hAnsi="仿宋" w:eastAsia="仿宋" w:cs="仿宋"/>
                <w:color w:val="auto"/>
                <w:sz w:val="24"/>
                <w:szCs w:val="24"/>
                <w:highlight w:val="none"/>
              </w:rPr>
            </w:pPr>
          </w:p>
        </w:tc>
      </w:tr>
      <w:tr w14:paraId="59AC5D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827" w:type="dxa"/>
            <w:tcBorders>
              <w:top w:val="single" w:color="auto" w:sz="4" w:space="0"/>
              <w:left w:val="single" w:color="auto" w:sz="4" w:space="0"/>
              <w:bottom w:val="single" w:color="auto" w:sz="4" w:space="0"/>
              <w:right w:val="single" w:color="auto" w:sz="4" w:space="0"/>
            </w:tcBorders>
            <w:noWrap w:val="0"/>
            <w:vAlign w:val="center"/>
          </w:tcPr>
          <w:p w14:paraId="39F42D3B">
            <w:pPr>
              <w:snapToGrid w:val="0"/>
              <w:spacing w:before="0" w:after="0" w:line="360" w:lineRule="auto"/>
              <w:jc w:val="center"/>
              <w:rPr>
                <w:rFonts w:hint="eastAsia" w:ascii="仿宋" w:hAnsi="仿宋" w:eastAsia="仿宋" w:cs="仿宋"/>
                <w:color w:val="auto"/>
                <w:sz w:val="24"/>
                <w:szCs w:val="24"/>
                <w:highlight w:val="none"/>
              </w:rPr>
            </w:pPr>
          </w:p>
        </w:tc>
        <w:tc>
          <w:tcPr>
            <w:tcW w:w="1865" w:type="dxa"/>
            <w:tcBorders>
              <w:top w:val="single" w:color="auto" w:sz="4" w:space="0"/>
              <w:left w:val="single" w:color="auto" w:sz="4" w:space="0"/>
              <w:bottom w:val="single" w:color="auto" w:sz="4" w:space="0"/>
              <w:right w:val="single" w:color="auto" w:sz="4" w:space="0"/>
            </w:tcBorders>
            <w:noWrap w:val="0"/>
            <w:vAlign w:val="center"/>
          </w:tcPr>
          <w:p w14:paraId="088F2E4D">
            <w:pPr>
              <w:snapToGrid w:val="0"/>
              <w:spacing w:before="0" w:after="0" w:line="360" w:lineRule="auto"/>
              <w:jc w:val="center"/>
              <w:rPr>
                <w:rFonts w:hint="eastAsia" w:ascii="仿宋" w:hAnsi="仿宋" w:eastAsia="仿宋" w:cs="仿宋"/>
                <w:color w:val="auto"/>
                <w:sz w:val="24"/>
                <w:szCs w:val="24"/>
                <w:highlight w:val="none"/>
              </w:rPr>
            </w:pPr>
          </w:p>
        </w:tc>
        <w:tc>
          <w:tcPr>
            <w:tcW w:w="804" w:type="dxa"/>
            <w:tcBorders>
              <w:top w:val="single" w:color="auto" w:sz="4" w:space="0"/>
              <w:left w:val="single" w:color="auto" w:sz="4" w:space="0"/>
              <w:bottom w:val="single" w:color="auto" w:sz="4" w:space="0"/>
              <w:right w:val="single" w:color="auto" w:sz="4" w:space="0"/>
            </w:tcBorders>
            <w:noWrap w:val="0"/>
            <w:vAlign w:val="center"/>
          </w:tcPr>
          <w:p w14:paraId="162E4569">
            <w:pPr>
              <w:snapToGrid w:val="0"/>
              <w:spacing w:before="0" w:after="0" w:line="360" w:lineRule="auto"/>
              <w:jc w:val="center"/>
              <w:rPr>
                <w:rFonts w:hint="eastAsia" w:ascii="仿宋" w:hAnsi="仿宋" w:eastAsia="仿宋" w:cs="仿宋"/>
                <w:color w:val="auto"/>
                <w:sz w:val="24"/>
                <w:szCs w:val="24"/>
                <w:highlight w:val="none"/>
              </w:rPr>
            </w:pPr>
          </w:p>
        </w:tc>
        <w:tc>
          <w:tcPr>
            <w:tcW w:w="1002" w:type="dxa"/>
            <w:tcBorders>
              <w:top w:val="single" w:color="auto" w:sz="4" w:space="0"/>
              <w:left w:val="single" w:color="auto" w:sz="4" w:space="0"/>
              <w:bottom w:val="single" w:color="auto" w:sz="4" w:space="0"/>
              <w:right w:val="single" w:color="auto" w:sz="4" w:space="0"/>
            </w:tcBorders>
            <w:noWrap w:val="0"/>
            <w:vAlign w:val="center"/>
          </w:tcPr>
          <w:p w14:paraId="078DB207">
            <w:pPr>
              <w:snapToGrid w:val="0"/>
              <w:spacing w:before="0" w:after="0" w:line="360" w:lineRule="auto"/>
              <w:jc w:val="center"/>
              <w:rPr>
                <w:rFonts w:hint="eastAsia" w:ascii="仿宋" w:hAnsi="仿宋" w:eastAsia="仿宋" w:cs="仿宋"/>
                <w:color w:val="auto"/>
                <w:sz w:val="24"/>
                <w:szCs w:val="24"/>
                <w:highlight w:val="none"/>
              </w:rPr>
            </w:pPr>
          </w:p>
        </w:tc>
        <w:tc>
          <w:tcPr>
            <w:tcW w:w="1644" w:type="dxa"/>
            <w:tcBorders>
              <w:top w:val="single" w:color="auto" w:sz="4" w:space="0"/>
              <w:left w:val="single" w:color="auto" w:sz="4" w:space="0"/>
              <w:bottom w:val="single" w:color="auto" w:sz="4" w:space="0"/>
              <w:right w:val="single" w:color="auto" w:sz="4" w:space="0"/>
            </w:tcBorders>
            <w:noWrap w:val="0"/>
            <w:vAlign w:val="top"/>
          </w:tcPr>
          <w:p w14:paraId="1EB94588">
            <w:pPr>
              <w:snapToGrid w:val="0"/>
              <w:spacing w:before="0" w:after="0" w:line="360" w:lineRule="auto"/>
              <w:jc w:val="center"/>
              <w:rPr>
                <w:rFonts w:hint="eastAsia" w:ascii="仿宋" w:hAnsi="仿宋" w:eastAsia="仿宋" w:cs="仿宋"/>
                <w:color w:val="auto"/>
                <w:sz w:val="24"/>
                <w:szCs w:val="24"/>
                <w:highlight w:val="none"/>
              </w:rPr>
            </w:pPr>
          </w:p>
        </w:tc>
        <w:tc>
          <w:tcPr>
            <w:tcW w:w="1394" w:type="dxa"/>
            <w:tcBorders>
              <w:top w:val="single" w:color="auto" w:sz="4" w:space="0"/>
              <w:left w:val="single" w:color="auto" w:sz="4" w:space="0"/>
              <w:bottom w:val="single" w:color="auto" w:sz="4" w:space="0"/>
              <w:right w:val="single" w:color="auto" w:sz="4" w:space="0"/>
            </w:tcBorders>
            <w:noWrap w:val="0"/>
            <w:vAlign w:val="center"/>
          </w:tcPr>
          <w:p w14:paraId="09BB6DB8">
            <w:pPr>
              <w:snapToGrid w:val="0"/>
              <w:spacing w:before="0" w:after="0" w:line="360" w:lineRule="auto"/>
              <w:jc w:val="center"/>
              <w:rPr>
                <w:rFonts w:hint="eastAsia" w:ascii="仿宋" w:hAnsi="仿宋" w:eastAsia="仿宋" w:cs="仿宋"/>
                <w:color w:val="auto"/>
                <w:sz w:val="24"/>
                <w:szCs w:val="24"/>
                <w:highlight w:val="none"/>
              </w:rPr>
            </w:pPr>
          </w:p>
        </w:tc>
        <w:tc>
          <w:tcPr>
            <w:tcW w:w="825" w:type="dxa"/>
            <w:tcBorders>
              <w:top w:val="single" w:color="auto" w:sz="4" w:space="0"/>
              <w:left w:val="single" w:color="auto" w:sz="4" w:space="0"/>
              <w:bottom w:val="single" w:color="auto" w:sz="4" w:space="0"/>
              <w:right w:val="single" w:color="auto" w:sz="4" w:space="0"/>
            </w:tcBorders>
            <w:noWrap w:val="0"/>
            <w:vAlign w:val="center"/>
          </w:tcPr>
          <w:p w14:paraId="25125636">
            <w:pPr>
              <w:snapToGrid w:val="0"/>
              <w:spacing w:before="0" w:after="0" w:line="360" w:lineRule="auto"/>
              <w:jc w:val="center"/>
              <w:rPr>
                <w:rFonts w:hint="eastAsia" w:ascii="仿宋" w:hAnsi="仿宋" w:eastAsia="仿宋" w:cs="仿宋"/>
                <w:color w:val="auto"/>
                <w:sz w:val="24"/>
                <w:szCs w:val="24"/>
                <w:highlight w:val="none"/>
              </w:rPr>
            </w:pPr>
          </w:p>
        </w:tc>
        <w:tc>
          <w:tcPr>
            <w:tcW w:w="1675" w:type="dxa"/>
            <w:tcBorders>
              <w:top w:val="single" w:color="auto" w:sz="4" w:space="0"/>
              <w:left w:val="single" w:color="auto" w:sz="4" w:space="0"/>
              <w:bottom w:val="single" w:color="auto" w:sz="4" w:space="0"/>
              <w:right w:val="single" w:color="auto" w:sz="4" w:space="0"/>
            </w:tcBorders>
            <w:noWrap w:val="0"/>
            <w:vAlign w:val="center"/>
          </w:tcPr>
          <w:p w14:paraId="1C6D4FC7">
            <w:pPr>
              <w:snapToGrid w:val="0"/>
              <w:spacing w:before="0" w:after="0" w:line="360" w:lineRule="auto"/>
              <w:jc w:val="center"/>
              <w:rPr>
                <w:rFonts w:hint="eastAsia" w:ascii="仿宋" w:hAnsi="仿宋" w:eastAsia="仿宋" w:cs="仿宋"/>
                <w:color w:val="auto"/>
                <w:sz w:val="24"/>
                <w:szCs w:val="24"/>
                <w:highlight w:val="none"/>
              </w:rPr>
            </w:pPr>
          </w:p>
        </w:tc>
      </w:tr>
      <w:tr w14:paraId="5F37BE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827" w:type="dxa"/>
            <w:tcBorders>
              <w:top w:val="single" w:color="auto" w:sz="4" w:space="0"/>
              <w:left w:val="single" w:color="auto" w:sz="4" w:space="0"/>
              <w:bottom w:val="single" w:color="auto" w:sz="4" w:space="0"/>
              <w:right w:val="single" w:color="auto" w:sz="4" w:space="0"/>
            </w:tcBorders>
            <w:noWrap w:val="0"/>
            <w:vAlign w:val="center"/>
          </w:tcPr>
          <w:p w14:paraId="0E28F61E">
            <w:pPr>
              <w:snapToGrid w:val="0"/>
              <w:spacing w:before="0" w:after="0" w:line="360" w:lineRule="auto"/>
              <w:jc w:val="center"/>
              <w:rPr>
                <w:rFonts w:hint="eastAsia" w:ascii="仿宋" w:hAnsi="仿宋" w:eastAsia="仿宋" w:cs="仿宋"/>
                <w:color w:val="auto"/>
                <w:sz w:val="24"/>
                <w:szCs w:val="24"/>
                <w:highlight w:val="none"/>
              </w:rPr>
            </w:pPr>
          </w:p>
        </w:tc>
        <w:tc>
          <w:tcPr>
            <w:tcW w:w="1865" w:type="dxa"/>
            <w:tcBorders>
              <w:top w:val="single" w:color="auto" w:sz="4" w:space="0"/>
              <w:left w:val="single" w:color="auto" w:sz="4" w:space="0"/>
              <w:bottom w:val="single" w:color="auto" w:sz="4" w:space="0"/>
              <w:right w:val="single" w:color="auto" w:sz="4" w:space="0"/>
            </w:tcBorders>
            <w:noWrap w:val="0"/>
            <w:vAlign w:val="center"/>
          </w:tcPr>
          <w:p w14:paraId="73E883EE">
            <w:pPr>
              <w:snapToGrid w:val="0"/>
              <w:spacing w:before="0" w:after="0" w:line="360" w:lineRule="auto"/>
              <w:jc w:val="center"/>
              <w:rPr>
                <w:rFonts w:hint="eastAsia" w:ascii="仿宋" w:hAnsi="仿宋" w:eastAsia="仿宋" w:cs="仿宋"/>
                <w:color w:val="auto"/>
                <w:sz w:val="24"/>
                <w:szCs w:val="24"/>
                <w:highlight w:val="none"/>
              </w:rPr>
            </w:pPr>
          </w:p>
        </w:tc>
        <w:tc>
          <w:tcPr>
            <w:tcW w:w="804" w:type="dxa"/>
            <w:tcBorders>
              <w:top w:val="single" w:color="auto" w:sz="4" w:space="0"/>
              <w:left w:val="single" w:color="auto" w:sz="4" w:space="0"/>
              <w:bottom w:val="single" w:color="auto" w:sz="4" w:space="0"/>
              <w:right w:val="single" w:color="auto" w:sz="4" w:space="0"/>
            </w:tcBorders>
            <w:noWrap w:val="0"/>
            <w:vAlign w:val="center"/>
          </w:tcPr>
          <w:p w14:paraId="2DD774C6">
            <w:pPr>
              <w:snapToGrid w:val="0"/>
              <w:spacing w:before="0" w:after="0" w:line="360" w:lineRule="auto"/>
              <w:jc w:val="center"/>
              <w:rPr>
                <w:rFonts w:hint="eastAsia" w:ascii="仿宋" w:hAnsi="仿宋" w:eastAsia="仿宋" w:cs="仿宋"/>
                <w:color w:val="auto"/>
                <w:sz w:val="24"/>
                <w:szCs w:val="24"/>
                <w:highlight w:val="none"/>
              </w:rPr>
            </w:pPr>
          </w:p>
        </w:tc>
        <w:tc>
          <w:tcPr>
            <w:tcW w:w="1002" w:type="dxa"/>
            <w:tcBorders>
              <w:top w:val="single" w:color="auto" w:sz="4" w:space="0"/>
              <w:left w:val="single" w:color="auto" w:sz="4" w:space="0"/>
              <w:bottom w:val="single" w:color="auto" w:sz="4" w:space="0"/>
              <w:right w:val="single" w:color="auto" w:sz="4" w:space="0"/>
            </w:tcBorders>
            <w:noWrap w:val="0"/>
            <w:vAlign w:val="center"/>
          </w:tcPr>
          <w:p w14:paraId="451C3ABC">
            <w:pPr>
              <w:snapToGrid w:val="0"/>
              <w:spacing w:before="0" w:after="0" w:line="360" w:lineRule="auto"/>
              <w:jc w:val="center"/>
              <w:rPr>
                <w:rFonts w:hint="eastAsia" w:ascii="仿宋" w:hAnsi="仿宋" w:eastAsia="仿宋" w:cs="仿宋"/>
                <w:color w:val="auto"/>
                <w:sz w:val="24"/>
                <w:szCs w:val="24"/>
                <w:highlight w:val="none"/>
              </w:rPr>
            </w:pPr>
          </w:p>
        </w:tc>
        <w:tc>
          <w:tcPr>
            <w:tcW w:w="1644" w:type="dxa"/>
            <w:tcBorders>
              <w:top w:val="single" w:color="auto" w:sz="4" w:space="0"/>
              <w:left w:val="single" w:color="auto" w:sz="4" w:space="0"/>
              <w:bottom w:val="single" w:color="auto" w:sz="4" w:space="0"/>
              <w:right w:val="single" w:color="auto" w:sz="4" w:space="0"/>
            </w:tcBorders>
            <w:noWrap w:val="0"/>
            <w:vAlign w:val="top"/>
          </w:tcPr>
          <w:p w14:paraId="4F14E25B">
            <w:pPr>
              <w:snapToGrid w:val="0"/>
              <w:spacing w:before="0" w:after="0" w:line="360" w:lineRule="auto"/>
              <w:jc w:val="center"/>
              <w:rPr>
                <w:rFonts w:hint="eastAsia" w:ascii="仿宋" w:hAnsi="仿宋" w:eastAsia="仿宋" w:cs="仿宋"/>
                <w:color w:val="auto"/>
                <w:sz w:val="24"/>
                <w:szCs w:val="24"/>
                <w:highlight w:val="none"/>
              </w:rPr>
            </w:pPr>
          </w:p>
        </w:tc>
        <w:tc>
          <w:tcPr>
            <w:tcW w:w="1394" w:type="dxa"/>
            <w:tcBorders>
              <w:top w:val="single" w:color="auto" w:sz="4" w:space="0"/>
              <w:left w:val="single" w:color="auto" w:sz="4" w:space="0"/>
              <w:bottom w:val="single" w:color="auto" w:sz="4" w:space="0"/>
              <w:right w:val="single" w:color="auto" w:sz="4" w:space="0"/>
            </w:tcBorders>
            <w:noWrap w:val="0"/>
            <w:vAlign w:val="center"/>
          </w:tcPr>
          <w:p w14:paraId="583C0D3C">
            <w:pPr>
              <w:snapToGrid w:val="0"/>
              <w:spacing w:before="0" w:after="0" w:line="360" w:lineRule="auto"/>
              <w:jc w:val="center"/>
              <w:rPr>
                <w:rFonts w:hint="eastAsia" w:ascii="仿宋" w:hAnsi="仿宋" w:eastAsia="仿宋" w:cs="仿宋"/>
                <w:color w:val="auto"/>
                <w:sz w:val="24"/>
                <w:szCs w:val="24"/>
                <w:highlight w:val="none"/>
              </w:rPr>
            </w:pPr>
          </w:p>
        </w:tc>
        <w:tc>
          <w:tcPr>
            <w:tcW w:w="825" w:type="dxa"/>
            <w:tcBorders>
              <w:top w:val="single" w:color="auto" w:sz="4" w:space="0"/>
              <w:left w:val="single" w:color="auto" w:sz="4" w:space="0"/>
              <w:bottom w:val="single" w:color="auto" w:sz="4" w:space="0"/>
              <w:right w:val="single" w:color="auto" w:sz="4" w:space="0"/>
            </w:tcBorders>
            <w:noWrap w:val="0"/>
            <w:vAlign w:val="center"/>
          </w:tcPr>
          <w:p w14:paraId="2DF0B7C3">
            <w:pPr>
              <w:snapToGrid w:val="0"/>
              <w:spacing w:before="0" w:after="0" w:line="360" w:lineRule="auto"/>
              <w:jc w:val="center"/>
              <w:rPr>
                <w:rFonts w:hint="eastAsia" w:ascii="仿宋" w:hAnsi="仿宋" w:eastAsia="仿宋" w:cs="仿宋"/>
                <w:color w:val="auto"/>
                <w:sz w:val="24"/>
                <w:szCs w:val="24"/>
                <w:highlight w:val="none"/>
              </w:rPr>
            </w:pPr>
          </w:p>
        </w:tc>
        <w:tc>
          <w:tcPr>
            <w:tcW w:w="1675" w:type="dxa"/>
            <w:tcBorders>
              <w:top w:val="single" w:color="auto" w:sz="4" w:space="0"/>
              <w:left w:val="single" w:color="auto" w:sz="4" w:space="0"/>
              <w:bottom w:val="single" w:color="auto" w:sz="4" w:space="0"/>
              <w:right w:val="single" w:color="auto" w:sz="4" w:space="0"/>
            </w:tcBorders>
            <w:noWrap w:val="0"/>
            <w:vAlign w:val="center"/>
          </w:tcPr>
          <w:p w14:paraId="4A3F05F5">
            <w:pPr>
              <w:snapToGrid w:val="0"/>
              <w:spacing w:before="0" w:after="0" w:line="360" w:lineRule="auto"/>
              <w:jc w:val="center"/>
              <w:rPr>
                <w:rFonts w:hint="eastAsia" w:ascii="仿宋" w:hAnsi="仿宋" w:eastAsia="仿宋" w:cs="仿宋"/>
                <w:color w:val="auto"/>
                <w:sz w:val="24"/>
                <w:szCs w:val="24"/>
                <w:highlight w:val="none"/>
              </w:rPr>
            </w:pPr>
          </w:p>
        </w:tc>
      </w:tr>
    </w:tbl>
    <w:p w14:paraId="6233A2A0">
      <w:pPr>
        <w:snapToGrid w:val="0"/>
        <w:spacing w:before="0"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p w14:paraId="326229CB">
      <w:pPr>
        <w:snapToGrid w:val="0"/>
        <w:spacing w:before="0" w:after="0" w:line="360" w:lineRule="auto"/>
        <w:ind w:firstLine="480" w:firstLineChars="200"/>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以上设备性能配置清单中“货物名称、数量及单位、品牌、规格型号、制造商、原产地、参数性能、指标及配置”必须如实填写完整，品牌、规格型号没有则填无，填写有缺漏</w:t>
      </w:r>
      <w:r>
        <w:rPr>
          <w:rFonts w:hint="eastAsia" w:ascii="仿宋" w:hAnsi="仿宋" w:eastAsia="仿宋" w:cs="仿宋"/>
          <w:bCs/>
          <w:color w:val="auto"/>
          <w:sz w:val="24"/>
          <w:szCs w:val="24"/>
          <w:highlight w:val="none"/>
        </w:rPr>
        <w:t>的，</w:t>
      </w:r>
      <w:r>
        <w:rPr>
          <w:rFonts w:hint="eastAsia" w:ascii="仿宋" w:hAnsi="仿宋" w:eastAsia="仿宋" w:cs="仿宋"/>
          <w:b/>
          <w:color w:val="auto"/>
          <w:sz w:val="24"/>
          <w:szCs w:val="24"/>
          <w:highlight w:val="none"/>
        </w:rPr>
        <w:t>作无效投标处理。</w:t>
      </w:r>
    </w:p>
    <w:p w14:paraId="2341D9E1">
      <w:pPr>
        <w:snapToGrid w:val="0"/>
        <w:spacing w:before="0" w:after="0" w:line="360" w:lineRule="auto"/>
        <w:ind w:firstLine="482" w:firstLineChars="200"/>
        <w:rPr>
          <w:rFonts w:hint="eastAsia" w:ascii="仿宋" w:hAnsi="仿宋" w:eastAsia="仿宋" w:cs="仿宋"/>
          <w:b/>
          <w:color w:val="auto"/>
          <w:sz w:val="24"/>
          <w:szCs w:val="24"/>
          <w:highlight w:val="none"/>
        </w:rPr>
      </w:pPr>
    </w:p>
    <w:p w14:paraId="6886CF55">
      <w:pPr>
        <w:snapToGrid w:val="0"/>
        <w:spacing w:before="0" w:after="0" w:line="360" w:lineRule="auto"/>
        <w:ind w:firstLine="482" w:firstLineChars="200"/>
        <w:rPr>
          <w:rFonts w:hint="eastAsia" w:ascii="仿宋" w:hAnsi="仿宋" w:eastAsia="仿宋" w:cs="仿宋"/>
          <w:b/>
          <w:color w:val="auto"/>
          <w:sz w:val="24"/>
          <w:szCs w:val="24"/>
          <w:highlight w:val="none"/>
        </w:rPr>
      </w:pPr>
    </w:p>
    <w:p w14:paraId="14B8AB4A">
      <w:pPr>
        <w:pStyle w:val="27"/>
        <w:spacing w:line="360" w:lineRule="auto"/>
        <w:rPr>
          <w:rFonts w:hint="eastAsia" w:ascii="仿宋" w:hAnsi="仿宋" w:eastAsia="仿宋" w:cs="仿宋"/>
          <w:color w:val="auto"/>
          <w:spacing w:val="20"/>
          <w:sz w:val="24"/>
          <w:szCs w:val="24"/>
          <w:highlight w:val="none"/>
          <w:u w:val="single"/>
        </w:rPr>
      </w:pPr>
      <w:r>
        <w:rPr>
          <w:rFonts w:hint="eastAsia" w:ascii="仿宋" w:hAnsi="仿宋" w:eastAsia="仿宋" w:cs="仿宋"/>
          <w:color w:val="auto"/>
          <w:spacing w:val="20"/>
          <w:kern w:val="2"/>
          <w:sz w:val="24"/>
          <w:szCs w:val="24"/>
          <w:highlight w:val="none"/>
        </w:rPr>
        <w:t>法定代表人或者委托代理人签字[或盖章(CA签章)]（属自然人的应在签名处加盖大拇指指印或个人CA签章）</w:t>
      </w:r>
      <w:r>
        <w:rPr>
          <w:rFonts w:hint="eastAsia" w:ascii="仿宋" w:hAnsi="仿宋" w:eastAsia="仿宋" w:cs="仿宋"/>
          <w:color w:val="auto"/>
          <w:spacing w:val="20"/>
          <w:sz w:val="24"/>
          <w:szCs w:val="24"/>
          <w:highlight w:val="none"/>
        </w:rPr>
        <w:t>：</w:t>
      </w:r>
      <w:r>
        <w:rPr>
          <w:rFonts w:hint="eastAsia" w:ascii="仿宋" w:hAnsi="仿宋" w:eastAsia="仿宋" w:cs="仿宋"/>
          <w:color w:val="auto"/>
          <w:spacing w:val="20"/>
          <w:sz w:val="24"/>
          <w:szCs w:val="24"/>
          <w:highlight w:val="none"/>
          <w:u w:val="single"/>
        </w:rPr>
        <w:t xml:space="preserve">        </w:t>
      </w:r>
    </w:p>
    <w:p w14:paraId="63AD41F0">
      <w:pPr>
        <w:snapToGrid w:val="0"/>
        <w:spacing w:before="0" w:after="0" w:line="360" w:lineRule="auto"/>
        <w:rPr>
          <w:rFonts w:hint="eastAsia" w:ascii="仿宋" w:hAnsi="仿宋" w:eastAsia="仿宋" w:cs="仿宋"/>
          <w:color w:val="auto"/>
          <w:spacing w:val="20"/>
          <w:sz w:val="24"/>
          <w:szCs w:val="24"/>
          <w:highlight w:val="none"/>
        </w:rPr>
      </w:pPr>
      <w:r>
        <w:rPr>
          <w:rFonts w:hint="eastAsia" w:ascii="仿宋" w:hAnsi="仿宋" w:eastAsia="仿宋" w:cs="仿宋"/>
          <w:color w:val="auto"/>
          <w:spacing w:val="20"/>
          <w:sz w:val="24"/>
          <w:szCs w:val="24"/>
          <w:highlight w:val="none"/>
        </w:rPr>
        <w:t>投标人[</w:t>
      </w:r>
      <w:r>
        <w:rPr>
          <w:rFonts w:hint="eastAsia" w:ascii="仿宋" w:hAnsi="仿宋" w:eastAsia="仿宋" w:cs="仿宋"/>
          <w:color w:val="auto"/>
          <w:spacing w:val="20"/>
          <w:sz w:val="24"/>
          <w:szCs w:val="24"/>
          <w:highlight w:val="none"/>
          <w:lang w:eastAsia="zh-CN"/>
        </w:rPr>
        <w:t>公章(或CA签章)</w:t>
      </w:r>
      <w:r>
        <w:rPr>
          <w:rFonts w:hint="eastAsia" w:ascii="仿宋" w:hAnsi="仿宋" w:eastAsia="仿宋" w:cs="仿宋"/>
          <w:color w:val="auto"/>
          <w:spacing w:val="20"/>
          <w:sz w:val="24"/>
          <w:szCs w:val="24"/>
          <w:highlight w:val="none"/>
        </w:rPr>
        <w:t>、自然人除外]：</w:t>
      </w:r>
      <w:r>
        <w:rPr>
          <w:rFonts w:hint="eastAsia" w:ascii="仿宋" w:hAnsi="仿宋" w:eastAsia="仿宋" w:cs="仿宋"/>
          <w:color w:val="auto"/>
          <w:spacing w:val="20"/>
          <w:sz w:val="24"/>
          <w:szCs w:val="24"/>
          <w:highlight w:val="none"/>
          <w:u w:val="single"/>
        </w:rPr>
        <w:t xml:space="preserve">            </w:t>
      </w:r>
      <w:r>
        <w:rPr>
          <w:rFonts w:hint="eastAsia" w:ascii="仿宋" w:hAnsi="仿宋" w:eastAsia="仿宋" w:cs="仿宋"/>
          <w:color w:val="auto"/>
          <w:spacing w:val="20"/>
          <w:sz w:val="24"/>
          <w:szCs w:val="24"/>
          <w:highlight w:val="none"/>
        </w:rPr>
        <w:t xml:space="preserve">              </w:t>
      </w:r>
    </w:p>
    <w:p w14:paraId="355710B4">
      <w:pPr>
        <w:snapToGrid w:val="0"/>
        <w:spacing w:before="0"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pacing w:val="20"/>
          <w:sz w:val="24"/>
          <w:szCs w:val="24"/>
          <w:highlight w:val="none"/>
        </w:rPr>
        <w:t>日  期：</w:t>
      </w:r>
      <w:r>
        <w:rPr>
          <w:rFonts w:hint="eastAsia" w:ascii="仿宋" w:hAnsi="仿宋" w:eastAsia="仿宋" w:cs="仿宋"/>
          <w:color w:val="auto"/>
          <w:spacing w:val="20"/>
          <w:sz w:val="24"/>
          <w:szCs w:val="24"/>
          <w:highlight w:val="none"/>
          <w:u w:val="single"/>
        </w:rPr>
        <w:t xml:space="preserve">          </w:t>
      </w:r>
    </w:p>
    <w:p w14:paraId="73E4A011">
      <w:pPr>
        <w:snapToGrid w:val="0"/>
        <w:spacing w:before="50" w:after="120" w:afterLines="50" w:line="360" w:lineRule="auto"/>
        <w:jc w:val="left"/>
        <w:rPr>
          <w:rFonts w:hint="eastAsia" w:ascii="仿宋" w:hAnsi="仿宋" w:eastAsia="仿宋" w:cs="仿宋"/>
          <w:color w:val="auto"/>
          <w:sz w:val="24"/>
          <w:szCs w:val="24"/>
          <w:highlight w:val="none"/>
        </w:rPr>
      </w:pPr>
    </w:p>
    <w:p w14:paraId="1064FEF4">
      <w:pP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br w:type="page"/>
      </w:r>
    </w:p>
    <w:p w14:paraId="54F7C71E">
      <w:pPr>
        <w:snapToGrid w:val="0"/>
        <w:spacing w:before="120" w:beforeLines="50" w:after="50"/>
        <w:ind w:left="142"/>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lang w:val="en-US" w:eastAsia="zh-CN"/>
        </w:rPr>
        <w:t>5.</w:t>
      </w:r>
      <w:r>
        <w:rPr>
          <w:rFonts w:hint="eastAsia" w:ascii="仿宋" w:hAnsi="仿宋" w:eastAsia="仿宋" w:cs="仿宋"/>
          <w:b/>
          <w:color w:val="auto"/>
          <w:sz w:val="24"/>
          <w:highlight w:val="none"/>
          <w:lang w:eastAsia="zh-CN"/>
        </w:rPr>
        <w:t>实施人员配备表</w:t>
      </w:r>
      <w:r>
        <w:rPr>
          <w:rFonts w:hint="eastAsia" w:ascii="仿宋" w:hAnsi="仿宋" w:eastAsia="仿宋" w:cs="仿宋"/>
          <w:b/>
          <w:color w:val="auto"/>
          <w:sz w:val="24"/>
          <w:highlight w:val="none"/>
        </w:rPr>
        <w:t>格式</w:t>
      </w:r>
    </w:p>
    <w:p w14:paraId="062714A8">
      <w:pPr>
        <w:snapToGrid w:val="0"/>
        <w:spacing w:before="120" w:beforeLines="50" w:after="50"/>
        <w:ind w:left="142"/>
        <w:jc w:val="center"/>
        <w:rPr>
          <w:rFonts w:hint="eastAsia" w:ascii="仿宋" w:hAnsi="仿宋" w:eastAsia="仿宋" w:cs="仿宋"/>
          <w:b/>
          <w:color w:val="auto"/>
          <w:sz w:val="32"/>
          <w:szCs w:val="32"/>
          <w:highlight w:val="none"/>
        </w:rPr>
      </w:pPr>
    </w:p>
    <w:p w14:paraId="622FFFBA">
      <w:pPr>
        <w:snapToGrid w:val="0"/>
        <w:spacing w:before="120" w:beforeLines="50" w:after="50"/>
        <w:ind w:left="142"/>
        <w:jc w:val="center"/>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32"/>
          <w:szCs w:val="32"/>
          <w:highlight w:val="none"/>
          <w:lang w:eastAsia="zh-CN"/>
        </w:rPr>
        <w:t>实施人员配备表</w:t>
      </w:r>
    </w:p>
    <w:tbl>
      <w:tblPr>
        <w:tblStyle w:val="51"/>
        <w:tblW w:w="980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20"/>
        <w:gridCol w:w="1723"/>
        <w:gridCol w:w="2267"/>
        <w:gridCol w:w="1776"/>
        <w:gridCol w:w="2216"/>
      </w:tblGrid>
      <w:tr w14:paraId="0E9D61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4" w:hRule="atLeast"/>
          <w:jc w:val="center"/>
        </w:trPr>
        <w:tc>
          <w:tcPr>
            <w:tcW w:w="1820" w:type="dxa"/>
            <w:tcBorders>
              <w:top w:val="single" w:color="auto" w:sz="4" w:space="0"/>
              <w:left w:val="single" w:color="auto" w:sz="4" w:space="0"/>
              <w:bottom w:val="single" w:color="auto" w:sz="4" w:space="0"/>
              <w:right w:val="single" w:color="auto" w:sz="4" w:space="0"/>
            </w:tcBorders>
            <w:vAlign w:val="center"/>
          </w:tcPr>
          <w:p w14:paraId="7C9C1F39">
            <w:pPr>
              <w:snapToGrid w:val="0"/>
              <w:spacing w:before="120" w:beforeLines="50" w:after="5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1723" w:type="dxa"/>
            <w:tcBorders>
              <w:top w:val="single" w:color="auto" w:sz="4" w:space="0"/>
              <w:left w:val="single" w:color="auto" w:sz="4" w:space="0"/>
              <w:bottom w:val="single" w:color="auto" w:sz="4" w:space="0"/>
              <w:right w:val="single" w:color="auto" w:sz="4" w:space="0"/>
            </w:tcBorders>
            <w:vAlign w:val="center"/>
          </w:tcPr>
          <w:p w14:paraId="4E54D6C5">
            <w:pPr>
              <w:snapToGrid w:val="0"/>
              <w:spacing w:before="120" w:beforeLines="50" w:after="5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职务</w:t>
            </w:r>
          </w:p>
        </w:tc>
        <w:tc>
          <w:tcPr>
            <w:tcW w:w="2267" w:type="dxa"/>
            <w:tcBorders>
              <w:top w:val="single" w:color="auto" w:sz="4" w:space="0"/>
              <w:left w:val="single" w:color="auto" w:sz="4" w:space="0"/>
              <w:bottom w:val="single" w:color="auto" w:sz="4" w:space="0"/>
              <w:right w:val="single" w:color="auto" w:sz="4" w:space="0"/>
            </w:tcBorders>
            <w:vAlign w:val="center"/>
          </w:tcPr>
          <w:p w14:paraId="74009507">
            <w:pPr>
              <w:snapToGrid w:val="0"/>
              <w:spacing w:before="120" w:beforeLines="50" w:after="5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技术（技能）资格</w:t>
            </w:r>
          </w:p>
        </w:tc>
        <w:tc>
          <w:tcPr>
            <w:tcW w:w="1776" w:type="dxa"/>
            <w:tcBorders>
              <w:top w:val="single" w:color="auto" w:sz="4" w:space="0"/>
              <w:left w:val="single" w:color="auto" w:sz="4" w:space="0"/>
              <w:bottom w:val="single" w:color="auto" w:sz="4" w:space="0"/>
              <w:right w:val="single" w:color="auto" w:sz="4" w:space="0"/>
            </w:tcBorders>
            <w:vAlign w:val="center"/>
          </w:tcPr>
          <w:p w14:paraId="6CD806B7">
            <w:pPr>
              <w:snapToGrid w:val="0"/>
              <w:spacing w:before="120" w:beforeLines="50" w:after="5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证书编号</w:t>
            </w:r>
          </w:p>
        </w:tc>
        <w:tc>
          <w:tcPr>
            <w:tcW w:w="2216" w:type="dxa"/>
            <w:tcBorders>
              <w:top w:val="single" w:color="auto" w:sz="4" w:space="0"/>
              <w:left w:val="single" w:color="auto" w:sz="4" w:space="0"/>
              <w:bottom w:val="single" w:color="auto" w:sz="4" w:space="0"/>
              <w:right w:val="single" w:color="auto" w:sz="4" w:space="0"/>
            </w:tcBorders>
            <w:vAlign w:val="center"/>
          </w:tcPr>
          <w:p w14:paraId="57FAC26F">
            <w:pPr>
              <w:snapToGrid w:val="0"/>
              <w:spacing w:before="120" w:beforeLines="50" w:after="50"/>
              <w:jc w:val="cente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拟在本项目中担任的职务（或岗位）</w:t>
            </w:r>
          </w:p>
        </w:tc>
      </w:tr>
      <w:tr w14:paraId="35A7CF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820" w:type="dxa"/>
            <w:tcBorders>
              <w:top w:val="single" w:color="auto" w:sz="4" w:space="0"/>
              <w:left w:val="single" w:color="auto" w:sz="4" w:space="0"/>
              <w:bottom w:val="single" w:color="auto" w:sz="4" w:space="0"/>
              <w:right w:val="single" w:color="auto" w:sz="4" w:space="0"/>
            </w:tcBorders>
          </w:tcPr>
          <w:p w14:paraId="036F2444">
            <w:pPr>
              <w:snapToGrid w:val="0"/>
              <w:spacing w:before="120" w:beforeLines="50" w:after="50"/>
              <w:rPr>
                <w:rFonts w:hint="eastAsia" w:ascii="仿宋" w:hAnsi="仿宋" w:eastAsia="仿宋" w:cs="仿宋"/>
                <w:color w:val="auto"/>
                <w:sz w:val="24"/>
                <w:highlight w:val="none"/>
              </w:rPr>
            </w:pPr>
          </w:p>
        </w:tc>
        <w:tc>
          <w:tcPr>
            <w:tcW w:w="1723" w:type="dxa"/>
            <w:tcBorders>
              <w:top w:val="single" w:color="auto" w:sz="4" w:space="0"/>
              <w:left w:val="single" w:color="auto" w:sz="4" w:space="0"/>
              <w:bottom w:val="single" w:color="auto" w:sz="4" w:space="0"/>
              <w:right w:val="single" w:color="auto" w:sz="4" w:space="0"/>
            </w:tcBorders>
          </w:tcPr>
          <w:p w14:paraId="720BFCED">
            <w:pPr>
              <w:snapToGrid w:val="0"/>
              <w:spacing w:before="120" w:beforeLines="50" w:after="50"/>
              <w:rPr>
                <w:rFonts w:hint="eastAsia" w:ascii="仿宋" w:hAnsi="仿宋" w:eastAsia="仿宋" w:cs="仿宋"/>
                <w:color w:val="auto"/>
                <w:sz w:val="24"/>
                <w:highlight w:val="none"/>
              </w:rPr>
            </w:pPr>
          </w:p>
        </w:tc>
        <w:tc>
          <w:tcPr>
            <w:tcW w:w="2267" w:type="dxa"/>
            <w:tcBorders>
              <w:top w:val="single" w:color="auto" w:sz="4" w:space="0"/>
              <w:left w:val="single" w:color="auto" w:sz="4" w:space="0"/>
              <w:bottom w:val="single" w:color="auto" w:sz="4" w:space="0"/>
              <w:right w:val="single" w:color="auto" w:sz="4" w:space="0"/>
            </w:tcBorders>
          </w:tcPr>
          <w:p w14:paraId="02F71631">
            <w:pPr>
              <w:snapToGrid w:val="0"/>
              <w:spacing w:before="120" w:beforeLines="50" w:after="50"/>
              <w:rPr>
                <w:rFonts w:hint="eastAsia" w:ascii="仿宋" w:hAnsi="仿宋" w:eastAsia="仿宋" w:cs="仿宋"/>
                <w:color w:val="auto"/>
                <w:sz w:val="24"/>
                <w:highlight w:val="none"/>
              </w:rPr>
            </w:pPr>
          </w:p>
        </w:tc>
        <w:tc>
          <w:tcPr>
            <w:tcW w:w="1776" w:type="dxa"/>
            <w:tcBorders>
              <w:top w:val="single" w:color="auto" w:sz="4" w:space="0"/>
              <w:left w:val="single" w:color="auto" w:sz="4" w:space="0"/>
              <w:bottom w:val="single" w:color="auto" w:sz="4" w:space="0"/>
              <w:right w:val="single" w:color="auto" w:sz="4" w:space="0"/>
            </w:tcBorders>
          </w:tcPr>
          <w:p w14:paraId="0FCF1F46">
            <w:pPr>
              <w:snapToGrid w:val="0"/>
              <w:spacing w:before="120" w:beforeLines="50" w:after="50"/>
              <w:rPr>
                <w:rFonts w:hint="eastAsia" w:ascii="仿宋" w:hAnsi="仿宋" w:eastAsia="仿宋" w:cs="仿宋"/>
                <w:color w:val="auto"/>
                <w:sz w:val="24"/>
                <w:highlight w:val="none"/>
              </w:rPr>
            </w:pPr>
          </w:p>
        </w:tc>
        <w:tc>
          <w:tcPr>
            <w:tcW w:w="2216" w:type="dxa"/>
            <w:tcBorders>
              <w:top w:val="single" w:color="auto" w:sz="4" w:space="0"/>
              <w:left w:val="single" w:color="auto" w:sz="4" w:space="0"/>
              <w:bottom w:val="single" w:color="auto" w:sz="4" w:space="0"/>
              <w:right w:val="single" w:color="auto" w:sz="4" w:space="0"/>
            </w:tcBorders>
          </w:tcPr>
          <w:p w14:paraId="4F4EBF2E">
            <w:pPr>
              <w:snapToGrid w:val="0"/>
              <w:spacing w:before="120" w:beforeLines="50" w:after="50"/>
              <w:rPr>
                <w:rFonts w:hint="eastAsia" w:ascii="仿宋" w:hAnsi="仿宋" w:eastAsia="仿宋" w:cs="仿宋"/>
                <w:color w:val="auto"/>
                <w:sz w:val="24"/>
                <w:highlight w:val="none"/>
              </w:rPr>
            </w:pPr>
          </w:p>
        </w:tc>
      </w:tr>
      <w:tr w14:paraId="52A211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1820" w:type="dxa"/>
            <w:tcBorders>
              <w:top w:val="single" w:color="auto" w:sz="4" w:space="0"/>
              <w:left w:val="single" w:color="auto" w:sz="4" w:space="0"/>
              <w:bottom w:val="single" w:color="auto" w:sz="4" w:space="0"/>
              <w:right w:val="single" w:color="auto" w:sz="4" w:space="0"/>
            </w:tcBorders>
          </w:tcPr>
          <w:p w14:paraId="38672E9E">
            <w:pPr>
              <w:snapToGrid w:val="0"/>
              <w:spacing w:before="120" w:beforeLines="50" w:after="50"/>
              <w:rPr>
                <w:rFonts w:hint="eastAsia" w:ascii="仿宋" w:hAnsi="仿宋" w:eastAsia="仿宋" w:cs="仿宋"/>
                <w:color w:val="auto"/>
                <w:sz w:val="24"/>
                <w:highlight w:val="none"/>
              </w:rPr>
            </w:pPr>
          </w:p>
        </w:tc>
        <w:tc>
          <w:tcPr>
            <w:tcW w:w="1723" w:type="dxa"/>
            <w:tcBorders>
              <w:top w:val="single" w:color="auto" w:sz="4" w:space="0"/>
              <w:left w:val="single" w:color="auto" w:sz="4" w:space="0"/>
              <w:bottom w:val="single" w:color="auto" w:sz="4" w:space="0"/>
              <w:right w:val="single" w:color="auto" w:sz="4" w:space="0"/>
            </w:tcBorders>
          </w:tcPr>
          <w:p w14:paraId="2D3F8E8A">
            <w:pPr>
              <w:snapToGrid w:val="0"/>
              <w:spacing w:before="120" w:beforeLines="50" w:after="50"/>
              <w:rPr>
                <w:rFonts w:hint="eastAsia" w:ascii="仿宋" w:hAnsi="仿宋" w:eastAsia="仿宋" w:cs="仿宋"/>
                <w:color w:val="auto"/>
                <w:sz w:val="24"/>
                <w:highlight w:val="none"/>
              </w:rPr>
            </w:pPr>
          </w:p>
        </w:tc>
        <w:tc>
          <w:tcPr>
            <w:tcW w:w="2267" w:type="dxa"/>
            <w:tcBorders>
              <w:top w:val="single" w:color="auto" w:sz="4" w:space="0"/>
              <w:left w:val="single" w:color="auto" w:sz="4" w:space="0"/>
              <w:bottom w:val="single" w:color="auto" w:sz="4" w:space="0"/>
              <w:right w:val="single" w:color="auto" w:sz="4" w:space="0"/>
            </w:tcBorders>
          </w:tcPr>
          <w:p w14:paraId="42BA0DFC">
            <w:pPr>
              <w:snapToGrid w:val="0"/>
              <w:spacing w:before="120" w:beforeLines="50" w:after="50"/>
              <w:rPr>
                <w:rFonts w:hint="eastAsia" w:ascii="仿宋" w:hAnsi="仿宋" w:eastAsia="仿宋" w:cs="仿宋"/>
                <w:color w:val="auto"/>
                <w:sz w:val="24"/>
                <w:highlight w:val="none"/>
              </w:rPr>
            </w:pPr>
          </w:p>
        </w:tc>
        <w:tc>
          <w:tcPr>
            <w:tcW w:w="1776" w:type="dxa"/>
            <w:tcBorders>
              <w:top w:val="single" w:color="auto" w:sz="4" w:space="0"/>
              <w:left w:val="single" w:color="auto" w:sz="4" w:space="0"/>
              <w:bottom w:val="single" w:color="auto" w:sz="4" w:space="0"/>
              <w:right w:val="single" w:color="auto" w:sz="4" w:space="0"/>
            </w:tcBorders>
          </w:tcPr>
          <w:p w14:paraId="65634F65">
            <w:pPr>
              <w:snapToGrid w:val="0"/>
              <w:spacing w:before="120" w:beforeLines="50" w:after="50"/>
              <w:rPr>
                <w:rFonts w:hint="eastAsia" w:ascii="仿宋" w:hAnsi="仿宋" w:eastAsia="仿宋" w:cs="仿宋"/>
                <w:color w:val="auto"/>
                <w:sz w:val="24"/>
                <w:highlight w:val="none"/>
              </w:rPr>
            </w:pPr>
          </w:p>
        </w:tc>
        <w:tc>
          <w:tcPr>
            <w:tcW w:w="2216" w:type="dxa"/>
            <w:tcBorders>
              <w:top w:val="single" w:color="auto" w:sz="4" w:space="0"/>
              <w:left w:val="single" w:color="auto" w:sz="4" w:space="0"/>
              <w:bottom w:val="single" w:color="auto" w:sz="4" w:space="0"/>
              <w:right w:val="single" w:color="auto" w:sz="4" w:space="0"/>
            </w:tcBorders>
          </w:tcPr>
          <w:p w14:paraId="78BC2E00">
            <w:pPr>
              <w:snapToGrid w:val="0"/>
              <w:spacing w:before="120" w:beforeLines="50" w:after="50"/>
              <w:rPr>
                <w:rFonts w:hint="eastAsia" w:ascii="仿宋" w:hAnsi="仿宋" w:eastAsia="仿宋" w:cs="仿宋"/>
                <w:color w:val="auto"/>
                <w:sz w:val="24"/>
                <w:highlight w:val="none"/>
              </w:rPr>
            </w:pPr>
          </w:p>
        </w:tc>
      </w:tr>
      <w:tr w14:paraId="4B0278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820" w:type="dxa"/>
            <w:tcBorders>
              <w:top w:val="single" w:color="auto" w:sz="4" w:space="0"/>
              <w:left w:val="single" w:color="auto" w:sz="4" w:space="0"/>
              <w:bottom w:val="single" w:color="auto" w:sz="4" w:space="0"/>
              <w:right w:val="single" w:color="auto" w:sz="4" w:space="0"/>
            </w:tcBorders>
          </w:tcPr>
          <w:p w14:paraId="20BD263B">
            <w:pPr>
              <w:snapToGrid w:val="0"/>
              <w:spacing w:before="120" w:beforeLines="50" w:after="50"/>
              <w:rPr>
                <w:rFonts w:hint="eastAsia" w:ascii="仿宋" w:hAnsi="仿宋" w:eastAsia="仿宋" w:cs="仿宋"/>
                <w:color w:val="auto"/>
                <w:sz w:val="24"/>
                <w:highlight w:val="none"/>
              </w:rPr>
            </w:pPr>
          </w:p>
        </w:tc>
        <w:tc>
          <w:tcPr>
            <w:tcW w:w="1723" w:type="dxa"/>
            <w:tcBorders>
              <w:top w:val="single" w:color="auto" w:sz="4" w:space="0"/>
              <w:left w:val="single" w:color="auto" w:sz="4" w:space="0"/>
              <w:bottom w:val="single" w:color="auto" w:sz="4" w:space="0"/>
              <w:right w:val="single" w:color="auto" w:sz="4" w:space="0"/>
            </w:tcBorders>
          </w:tcPr>
          <w:p w14:paraId="3EABC169">
            <w:pPr>
              <w:snapToGrid w:val="0"/>
              <w:spacing w:before="120" w:beforeLines="50" w:after="50"/>
              <w:rPr>
                <w:rFonts w:hint="eastAsia" w:ascii="仿宋" w:hAnsi="仿宋" w:eastAsia="仿宋" w:cs="仿宋"/>
                <w:color w:val="auto"/>
                <w:sz w:val="24"/>
                <w:highlight w:val="none"/>
              </w:rPr>
            </w:pPr>
          </w:p>
        </w:tc>
        <w:tc>
          <w:tcPr>
            <w:tcW w:w="2267" w:type="dxa"/>
            <w:tcBorders>
              <w:top w:val="single" w:color="auto" w:sz="4" w:space="0"/>
              <w:left w:val="single" w:color="auto" w:sz="4" w:space="0"/>
              <w:bottom w:val="single" w:color="auto" w:sz="4" w:space="0"/>
              <w:right w:val="single" w:color="auto" w:sz="4" w:space="0"/>
            </w:tcBorders>
          </w:tcPr>
          <w:p w14:paraId="66F022E0">
            <w:pPr>
              <w:snapToGrid w:val="0"/>
              <w:spacing w:before="120" w:beforeLines="50" w:after="50"/>
              <w:ind w:left="5250" w:leftChars="2500"/>
              <w:rPr>
                <w:rFonts w:hint="eastAsia" w:ascii="仿宋" w:hAnsi="仿宋" w:eastAsia="仿宋" w:cs="仿宋"/>
                <w:color w:val="auto"/>
                <w:sz w:val="24"/>
                <w:highlight w:val="none"/>
              </w:rPr>
            </w:pPr>
          </w:p>
        </w:tc>
        <w:tc>
          <w:tcPr>
            <w:tcW w:w="1776" w:type="dxa"/>
            <w:tcBorders>
              <w:top w:val="single" w:color="auto" w:sz="4" w:space="0"/>
              <w:left w:val="single" w:color="auto" w:sz="4" w:space="0"/>
              <w:bottom w:val="single" w:color="auto" w:sz="4" w:space="0"/>
              <w:right w:val="single" w:color="auto" w:sz="4" w:space="0"/>
            </w:tcBorders>
          </w:tcPr>
          <w:p w14:paraId="78987753">
            <w:pPr>
              <w:snapToGrid w:val="0"/>
              <w:spacing w:before="120" w:beforeLines="50" w:after="50"/>
              <w:rPr>
                <w:rFonts w:hint="eastAsia" w:ascii="仿宋" w:hAnsi="仿宋" w:eastAsia="仿宋" w:cs="仿宋"/>
                <w:color w:val="auto"/>
                <w:sz w:val="24"/>
                <w:highlight w:val="none"/>
              </w:rPr>
            </w:pPr>
          </w:p>
        </w:tc>
        <w:tc>
          <w:tcPr>
            <w:tcW w:w="2216" w:type="dxa"/>
            <w:tcBorders>
              <w:top w:val="single" w:color="auto" w:sz="4" w:space="0"/>
              <w:left w:val="single" w:color="auto" w:sz="4" w:space="0"/>
              <w:bottom w:val="single" w:color="auto" w:sz="4" w:space="0"/>
              <w:right w:val="single" w:color="auto" w:sz="4" w:space="0"/>
            </w:tcBorders>
          </w:tcPr>
          <w:p w14:paraId="3710EB0B">
            <w:pPr>
              <w:snapToGrid w:val="0"/>
              <w:spacing w:before="120" w:beforeLines="50" w:after="50"/>
              <w:rPr>
                <w:rFonts w:hint="eastAsia" w:ascii="仿宋" w:hAnsi="仿宋" w:eastAsia="仿宋" w:cs="仿宋"/>
                <w:color w:val="auto"/>
                <w:sz w:val="24"/>
                <w:highlight w:val="none"/>
              </w:rPr>
            </w:pPr>
          </w:p>
        </w:tc>
      </w:tr>
    </w:tbl>
    <w:p w14:paraId="13A4254D">
      <w:pPr>
        <w:spacing w:line="360" w:lineRule="auto"/>
        <w:contextualSpacing/>
        <w:jc w:val="left"/>
        <w:rPr>
          <w:rFonts w:hint="eastAsia" w:ascii="仿宋" w:hAnsi="仿宋" w:eastAsia="仿宋" w:cs="仿宋"/>
          <w:color w:val="auto"/>
          <w:sz w:val="24"/>
          <w:szCs w:val="20"/>
          <w:highlight w:val="none"/>
        </w:rPr>
      </w:pPr>
    </w:p>
    <w:p w14:paraId="59F668DE">
      <w:pPr>
        <w:spacing w:line="360" w:lineRule="auto"/>
        <w:ind w:left="0" w:leftChars="0" w:firstLine="218" w:firstLineChars="91"/>
        <w:contextualSpacing/>
        <w:jc w:val="left"/>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注：</w:t>
      </w:r>
    </w:p>
    <w:p w14:paraId="457337C1">
      <w:pPr>
        <w:spacing w:line="360" w:lineRule="auto"/>
        <w:ind w:left="0" w:leftChars="0" w:firstLine="218" w:firstLineChars="91"/>
        <w:contextualSpacing/>
        <w:jc w:val="left"/>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1.在填写时，如本表格不适合投标单位的实际情况，可根据本表格式自行制表填写。</w:t>
      </w:r>
    </w:p>
    <w:p w14:paraId="2B58C8FA">
      <w:pPr>
        <w:spacing w:line="360" w:lineRule="auto"/>
        <w:ind w:left="0" w:leftChars="0" w:firstLine="218" w:firstLineChars="91"/>
        <w:contextualSpacing/>
        <w:jc w:val="left"/>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2.投标人应当附本表所列证书的复印件</w:t>
      </w:r>
      <w:r>
        <w:rPr>
          <w:rFonts w:hint="eastAsia" w:ascii="仿宋" w:hAnsi="仿宋" w:eastAsia="仿宋" w:cs="仿宋"/>
          <w:color w:val="auto"/>
          <w:sz w:val="24"/>
          <w:szCs w:val="20"/>
          <w:highlight w:val="none"/>
          <w:lang w:eastAsia="zh-CN"/>
        </w:rPr>
        <w:t>或相关证明</w:t>
      </w:r>
      <w:r>
        <w:rPr>
          <w:rFonts w:hint="eastAsia" w:ascii="仿宋" w:hAnsi="仿宋" w:eastAsia="仿宋" w:cs="仿宋"/>
          <w:color w:val="auto"/>
          <w:sz w:val="24"/>
          <w:szCs w:val="20"/>
          <w:highlight w:val="none"/>
        </w:rPr>
        <w:t>并加盖投标人公章。</w:t>
      </w:r>
    </w:p>
    <w:p w14:paraId="33F0EBA2">
      <w:pPr>
        <w:spacing w:line="360" w:lineRule="auto"/>
        <w:ind w:left="0" w:leftChars="0" w:firstLine="218" w:firstLineChars="91"/>
        <w:contextualSpacing/>
        <w:rPr>
          <w:rFonts w:hint="eastAsia" w:ascii="仿宋" w:hAnsi="仿宋" w:eastAsia="仿宋" w:cs="仿宋"/>
          <w:color w:val="auto"/>
          <w:sz w:val="24"/>
          <w:highlight w:val="none"/>
        </w:rPr>
      </w:pPr>
    </w:p>
    <w:p w14:paraId="1CAC59AA">
      <w:pPr>
        <w:spacing w:line="360" w:lineRule="auto"/>
        <w:ind w:left="0" w:leftChars="0" w:firstLine="218" w:firstLineChars="91"/>
        <w:contextualSpacing/>
        <w:rPr>
          <w:rFonts w:hint="eastAsia" w:ascii="仿宋" w:hAnsi="仿宋" w:eastAsia="仿宋" w:cs="仿宋"/>
          <w:color w:val="auto"/>
          <w:sz w:val="24"/>
          <w:highlight w:val="none"/>
        </w:rPr>
      </w:pPr>
    </w:p>
    <w:p w14:paraId="5936FDB7">
      <w:pPr>
        <w:pStyle w:val="27"/>
        <w:spacing w:beforeLines="0" w:line="360" w:lineRule="auto"/>
        <w:rPr>
          <w:rFonts w:hint="eastAsia" w:ascii="仿宋" w:hAnsi="仿宋" w:eastAsia="仿宋" w:cs="仿宋"/>
          <w:color w:val="auto"/>
          <w:spacing w:val="20"/>
          <w:sz w:val="24"/>
          <w:szCs w:val="24"/>
          <w:highlight w:val="none"/>
          <w:u w:val="single"/>
        </w:rPr>
      </w:pPr>
      <w:r>
        <w:rPr>
          <w:rFonts w:hint="eastAsia" w:ascii="仿宋" w:hAnsi="仿宋" w:eastAsia="仿宋" w:cs="仿宋"/>
          <w:color w:val="auto"/>
          <w:spacing w:val="20"/>
          <w:kern w:val="2"/>
          <w:sz w:val="24"/>
          <w:szCs w:val="24"/>
          <w:highlight w:val="none"/>
        </w:rPr>
        <w:t>法定代表人或者委托代理人签字[或盖章(CA签章)]</w:t>
      </w:r>
      <w:r>
        <w:rPr>
          <w:rFonts w:hint="eastAsia" w:ascii="仿宋" w:hAnsi="仿宋" w:eastAsia="仿宋" w:cs="仿宋"/>
          <w:color w:val="auto"/>
          <w:spacing w:val="20"/>
          <w:sz w:val="24"/>
          <w:szCs w:val="24"/>
          <w:highlight w:val="none"/>
        </w:rPr>
        <w:t>（属自然人的应在签名处加盖大拇指指印或个人CA签章）：</w:t>
      </w:r>
      <w:r>
        <w:rPr>
          <w:rFonts w:hint="eastAsia" w:ascii="仿宋" w:hAnsi="仿宋" w:eastAsia="仿宋" w:cs="仿宋"/>
          <w:color w:val="auto"/>
          <w:spacing w:val="20"/>
          <w:sz w:val="24"/>
          <w:szCs w:val="24"/>
          <w:highlight w:val="none"/>
          <w:u w:val="single"/>
        </w:rPr>
        <w:t xml:space="preserve">        </w:t>
      </w:r>
    </w:p>
    <w:p w14:paraId="2D1C28FA">
      <w:pPr>
        <w:snapToGrid w:val="0"/>
        <w:spacing w:before="0" w:beforeLines="0" w:after="0" w:line="360" w:lineRule="auto"/>
        <w:rPr>
          <w:rFonts w:hint="eastAsia" w:ascii="仿宋" w:hAnsi="仿宋" w:eastAsia="仿宋" w:cs="仿宋"/>
          <w:color w:val="auto"/>
          <w:spacing w:val="20"/>
          <w:sz w:val="24"/>
          <w:szCs w:val="24"/>
          <w:highlight w:val="none"/>
        </w:rPr>
      </w:pPr>
      <w:r>
        <w:rPr>
          <w:rFonts w:hint="eastAsia" w:ascii="仿宋" w:hAnsi="仿宋" w:eastAsia="仿宋" w:cs="仿宋"/>
          <w:color w:val="auto"/>
          <w:spacing w:val="20"/>
          <w:sz w:val="24"/>
          <w:szCs w:val="24"/>
          <w:highlight w:val="none"/>
        </w:rPr>
        <w:t>投标人[</w:t>
      </w:r>
      <w:r>
        <w:rPr>
          <w:rFonts w:hint="eastAsia" w:ascii="仿宋" w:hAnsi="仿宋" w:eastAsia="仿宋" w:cs="仿宋"/>
          <w:color w:val="auto"/>
          <w:spacing w:val="20"/>
          <w:sz w:val="24"/>
          <w:szCs w:val="24"/>
          <w:highlight w:val="none"/>
          <w:lang w:eastAsia="zh-CN"/>
        </w:rPr>
        <w:t>公章(或CA签章)</w:t>
      </w:r>
      <w:r>
        <w:rPr>
          <w:rFonts w:hint="eastAsia" w:ascii="仿宋" w:hAnsi="仿宋" w:eastAsia="仿宋" w:cs="仿宋"/>
          <w:color w:val="auto"/>
          <w:spacing w:val="20"/>
          <w:sz w:val="24"/>
          <w:szCs w:val="24"/>
          <w:highlight w:val="none"/>
        </w:rPr>
        <w:t>、自然人除外]：</w:t>
      </w:r>
      <w:r>
        <w:rPr>
          <w:rFonts w:hint="eastAsia" w:ascii="仿宋" w:hAnsi="仿宋" w:eastAsia="仿宋" w:cs="仿宋"/>
          <w:color w:val="auto"/>
          <w:spacing w:val="20"/>
          <w:sz w:val="24"/>
          <w:szCs w:val="24"/>
          <w:highlight w:val="none"/>
          <w:u w:val="single"/>
        </w:rPr>
        <w:t xml:space="preserve">            </w:t>
      </w:r>
      <w:r>
        <w:rPr>
          <w:rFonts w:hint="eastAsia" w:ascii="仿宋" w:hAnsi="仿宋" w:eastAsia="仿宋" w:cs="仿宋"/>
          <w:color w:val="auto"/>
          <w:spacing w:val="20"/>
          <w:sz w:val="24"/>
          <w:szCs w:val="24"/>
          <w:highlight w:val="none"/>
        </w:rPr>
        <w:t xml:space="preserve">              </w:t>
      </w:r>
    </w:p>
    <w:p w14:paraId="235AE469">
      <w:pPr>
        <w:snapToGrid w:val="0"/>
        <w:spacing w:before="0" w:beforeLines="0" w:after="0" w:line="360" w:lineRule="auto"/>
        <w:rPr>
          <w:rFonts w:hint="eastAsia" w:ascii="仿宋" w:hAnsi="仿宋" w:eastAsia="仿宋" w:cs="仿宋"/>
          <w:color w:val="auto"/>
          <w:spacing w:val="20"/>
          <w:sz w:val="24"/>
          <w:szCs w:val="24"/>
          <w:highlight w:val="none"/>
          <w:u w:val="single"/>
        </w:rPr>
      </w:pPr>
      <w:r>
        <w:rPr>
          <w:rFonts w:hint="eastAsia" w:ascii="仿宋" w:hAnsi="仿宋" w:eastAsia="仿宋" w:cs="仿宋"/>
          <w:color w:val="auto"/>
          <w:spacing w:val="20"/>
          <w:sz w:val="24"/>
          <w:szCs w:val="24"/>
          <w:highlight w:val="none"/>
        </w:rPr>
        <w:t>日 期：</w:t>
      </w:r>
      <w:r>
        <w:rPr>
          <w:rFonts w:hint="eastAsia" w:ascii="仿宋" w:hAnsi="仿宋" w:eastAsia="仿宋" w:cs="仿宋"/>
          <w:color w:val="auto"/>
          <w:spacing w:val="20"/>
          <w:sz w:val="24"/>
          <w:szCs w:val="24"/>
          <w:highlight w:val="none"/>
          <w:u w:val="single"/>
        </w:rPr>
        <w:t xml:space="preserve">        </w:t>
      </w:r>
    </w:p>
    <w:p w14:paraId="7CE58CD6">
      <w:pPr>
        <w:snapToGrid w:val="0"/>
        <w:spacing w:before="50" w:after="120" w:afterLines="50"/>
        <w:jc w:val="left"/>
        <w:rPr>
          <w:rFonts w:hint="eastAsia" w:ascii="仿宋" w:hAnsi="仿宋" w:eastAsia="仿宋" w:cs="仿宋"/>
          <w:color w:val="auto"/>
          <w:sz w:val="24"/>
          <w:szCs w:val="20"/>
          <w:highlight w:val="none"/>
        </w:rPr>
      </w:pPr>
    </w:p>
    <w:p w14:paraId="0D76C4E1">
      <w:pPr>
        <w:snapToGrid w:val="0"/>
        <w:spacing w:before="120" w:beforeLines="50" w:after="50"/>
        <w:ind w:left="142"/>
        <w:jc w:val="left"/>
        <w:rPr>
          <w:rFonts w:hint="eastAsia" w:ascii="仿宋" w:hAnsi="仿宋" w:eastAsia="仿宋" w:cs="仿宋"/>
          <w:b/>
          <w:color w:val="auto"/>
          <w:sz w:val="28"/>
          <w:szCs w:val="28"/>
          <w:highlight w:val="none"/>
        </w:rPr>
      </w:pPr>
      <w:r>
        <w:rPr>
          <w:rFonts w:hint="eastAsia" w:ascii="仿宋" w:hAnsi="仿宋" w:eastAsia="仿宋" w:cs="仿宋"/>
          <w:b/>
          <w:color w:val="auto"/>
          <w:sz w:val="24"/>
          <w:highlight w:val="none"/>
        </w:rPr>
        <w:br w:type="page"/>
      </w:r>
    </w:p>
    <w:p w14:paraId="169F5CDF">
      <w:pP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五、其他文书、文件格式</w:t>
      </w:r>
    </w:p>
    <w:p w14:paraId="651A6B9F">
      <w:pPr>
        <w:snapToGrid w:val="0"/>
        <w:spacing w:before="120" w:beforeLines="50" w:after="50"/>
        <w:ind w:left="142"/>
        <w:jc w:val="left"/>
        <w:rPr>
          <w:rFonts w:hint="eastAsia"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1.联合投标协议书格式</w:t>
      </w:r>
    </w:p>
    <w:p w14:paraId="29CB0101">
      <w:pPr>
        <w:snapToGrid w:val="0"/>
        <w:spacing w:before="120" w:beforeLines="50" w:after="50"/>
        <w:ind w:left="142"/>
        <w:jc w:val="left"/>
        <w:rPr>
          <w:rFonts w:hint="eastAsia" w:ascii="仿宋" w:hAnsi="仿宋" w:eastAsia="仿宋" w:cs="仿宋"/>
          <w:b/>
          <w:color w:val="auto"/>
          <w:spacing w:val="20"/>
          <w:sz w:val="24"/>
          <w:highlight w:val="none"/>
        </w:rPr>
      </w:pPr>
    </w:p>
    <w:p w14:paraId="777B0B75">
      <w:pPr>
        <w:pStyle w:val="8"/>
        <w:overflowPunct w:val="0"/>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联合体协议书</w:t>
      </w:r>
    </w:p>
    <w:p w14:paraId="096EF21C">
      <w:pPr>
        <w:pStyle w:val="8"/>
        <w:overflowPunct w:val="0"/>
        <w:rPr>
          <w:rFonts w:hint="eastAsia" w:ascii="仿宋" w:hAnsi="仿宋" w:eastAsia="仿宋" w:cs="仿宋"/>
          <w:color w:val="auto"/>
          <w:sz w:val="24"/>
          <w:highlight w:val="none"/>
        </w:rPr>
      </w:pPr>
    </w:p>
    <w:p w14:paraId="72A996EA">
      <w:pPr>
        <w:pStyle w:val="8"/>
        <w:overflowPunct w:val="0"/>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tab/>
      </w:r>
      <w:r>
        <w:rPr>
          <w:rFonts w:hint="eastAsia" w:ascii="仿宋" w:hAnsi="仿宋" w:eastAsia="仿宋" w:cs="仿宋"/>
          <w:color w:val="auto"/>
          <w:sz w:val="24"/>
          <w:highlight w:val="none"/>
        </w:rPr>
        <w:t>（所有成员单位名称）自愿组成</w:t>
      </w:r>
      <w:r>
        <w:rPr>
          <w:rFonts w:hint="eastAsia" w:ascii="仿宋" w:hAnsi="仿宋" w:eastAsia="仿宋" w:cs="仿宋"/>
          <w:color w:val="auto"/>
          <w:sz w:val="24"/>
          <w:highlight w:val="none"/>
          <w:u w:val="single"/>
        </w:rPr>
        <w:tab/>
      </w:r>
      <w:r>
        <w:rPr>
          <w:rFonts w:hint="eastAsia" w:ascii="仿宋" w:hAnsi="仿宋" w:eastAsia="仿宋" w:cs="仿宋"/>
          <w:color w:val="auto"/>
          <w:sz w:val="24"/>
          <w:highlight w:val="none"/>
        </w:rPr>
        <w:t>（联合体名称）联合体，共同参加</w:t>
      </w:r>
      <w:r>
        <w:rPr>
          <w:rFonts w:hint="eastAsia" w:ascii="仿宋" w:hAnsi="仿宋" w:eastAsia="仿宋" w:cs="仿宋"/>
          <w:color w:val="auto"/>
          <w:sz w:val="24"/>
          <w:highlight w:val="none"/>
          <w:u w:val="single"/>
        </w:rPr>
        <w:tab/>
      </w:r>
      <w:r>
        <w:rPr>
          <w:rFonts w:hint="eastAsia" w:ascii="仿宋" w:hAnsi="仿宋" w:eastAsia="仿宋" w:cs="仿宋"/>
          <w:color w:val="auto"/>
          <w:sz w:val="24"/>
          <w:highlight w:val="none"/>
          <w:u w:val="single"/>
        </w:rPr>
        <w:t xml:space="preserve">（项目名称）      </w:t>
      </w:r>
      <w:r>
        <w:rPr>
          <w:rFonts w:hint="eastAsia" w:ascii="仿宋" w:hAnsi="仿宋" w:eastAsia="仿宋" w:cs="仿宋"/>
          <w:color w:val="auto"/>
          <w:sz w:val="24"/>
          <w:highlight w:val="none"/>
        </w:rPr>
        <w:t>采购招标项目投标。现就联合体投标事宜订立如下协议。</w:t>
      </w:r>
    </w:p>
    <w:p w14:paraId="04307DAA">
      <w:pPr>
        <w:pStyle w:val="8"/>
        <w:overflowPunct w:val="0"/>
        <w:spacing w:line="360" w:lineRule="auto"/>
        <w:ind w:firstLineChars="175"/>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  </w:t>
      </w:r>
      <w:r>
        <w:rPr>
          <w:rFonts w:hint="eastAsia" w:ascii="仿宋" w:hAnsi="仿宋" w:eastAsia="仿宋" w:cs="仿宋"/>
          <w:color w:val="auto"/>
          <w:sz w:val="24"/>
          <w:highlight w:val="none"/>
          <w:u w:val="single"/>
        </w:rPr>
        <w:tab/>
      </w:r>
      <w:r>
        <w:rPr>
          <w:rFonts w:hint="eastAsia" w:ascii="仿宋" w:hAnsi="仿宋" w:eastAsia="仿宋" w:cs="仿宋"/>
          <w:color w:val="auto"/>
          <w:sz w:val="24"/>
          <w:highlight w:val="none"/>
        </w:rPr>
        <w:t>（某成员单位名称）为</w:t>
      </w:r>
      <w:r>
        <w:rPr>
          <w:rFonts w:hint="eastAsia" w:ascii="仿宋" w:hAnsi="仿宋" w:eastAsia="仿宋" w:cs="仿宋"/>
          <w:color w:val="auto"/>
          <w:sz w:val="24"/>
          <w:highlight w:val="none"/>
          <w:u w:val="single"/>
        </w:rPr>
        <w:tab/>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（联合体名称）牵头人。</w:t>
      </w:r>
    </w:p>
    <w:p w14:paraId="0A27BF65">
      <w:pPr>
        <w:pStyle w:val="8"/>
        <w:overflowPunct w:val="0"/>
        <w:spacing w:line="360" w:lineRule="auto"/>
        <w:ind w:firstLineChars="175"/>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2.联合体各成员授权牵头人代表联合体参加投标活动，签署文件及对文件的盖章，提交和接收相关的资料、信息及指示，进行合同谈判活动，负责合同实施阶段的组织和协调工作，以及处理与本招标项目有关的一切事宜。</w:t>
      </w:r>
    </w:p>
    <w:p w14:paraId="000A4320">
      <w:pPr>
        <w:pStyle w:val="8"/>
        <w:overflowPunct w:val="0"/>
        <w:spacing w:line="360" w:lineRule="auto"/>
        <w:ind w:firstLineChars="175"/>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3.联合体牵头人在本项目中签署和盖章的一切文件和处理的一切事宜，联合体各成员均予以承认。联合体各成员将严格按照招标文件、投标文件和合同的要求全面履行义务，并向采购人承担连带责任。</w:t>
      </w:r>
    </w:p>
    <w:p w14:paraId="53A36BBF">
      <w:pPr>
        <w:pStyle w:val="8"/>
        <w:overflowPunct w:val="0"/>
        <w:spacing w:line="360" w:lineRule="auto"/>
        <w:ind w:firstLineChars="175"/>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4.联合体各成员单位内部的职责分工如下：</w:t>
      </w:r>
      <w:r>
        <w:rPr>
          <w:rFonts w:hint="eastAsia" w:ascii="仿宋" w:hAnsi="仿宋" w:eastAsia="仿宋" w:cs="仿宋"/>
          <w:color w:val="auto"/>
          <w:sz w:val="24"/>
          <w:highlight w:val="none"/>
          <w:u w:val="single"/>
        </w:rPr>
        <w:tab/>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w:t>
      </w:r>
    </w:p>
    <w:p w14:paraId="1A8189B6">
      <w:pPr>
        <w:pStyle w:val="8"/>
        <w:overflowPunct w:val="0"/>
        <w:spacing w:line="360" w:lineRule="auto"/>
        <w:ind w:firstLineChars="175"/>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5.本协议书自所有成员单位法定代表人或者其委托代理人签字或者盖公章之日起生效，合同履行完毕后自动失效。</w:t>
      </w:r>
    </w:p>
    <w:p w14:paraId="70144362">
      <w:pPr>
        <w:pStyle w:val="8"/>
        <w:overflowPunct w:val="0"/>
        <w:spacing w:line="360" w:lineRule="auto"/>
        <w:ind w:firstLineChars="175"/>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6.本协议书一式</w:t>
      </w:r>
      <w:r>
        <w:rPr>
          <w:rFonts w:hint="eastAsia" w:ascii="仿宋" w:hAnsi="仿宋" w:eastAsia="仿宋" w:cs="仿宋"/>
          <w:color w:val="auto"/>
          <w:sz w:val="24"/>
          <w:highlight w:val="none"/>
          <w:u w:val="single"/>
        </w:rPr>
        <w:tab/>
      </w:r>
      <w:r>
        <w:rPr>
          <w:rFonts w:hint="eastAsia" w:ascii="仿宋" w:hAnsi="仿宋" w:eastAsia="仿宋" w:cs="仿宋"/>
          <w:color w:val="auto"/>
          <w:sz w:val="24"/>
          <w:highlight w:val="none"/>
        </w:rPr>
        <w:t>份，联合体成员和采购人各执一份。</w:t>
      </w:r>
    </w:p>
    <w:p w14:paraId="41B4FB41">
      <w:pPr>
        <w:pStyle w:val="8"/>
        <w:overflowPunct w:val="0"/>
        <w:spacing w:line="360" w:lineRule="auto"/>
        <w:ind w:firstLineChars="175"/>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注：本协议书由法定代表人签字的，应附法定代表人身份证明；由委托代理人签字的，应附授权委托书。</w:t>
      </w:r>
    </w:p>
    <w:p w14:paraId="5D0175F1">
      <w:pPr>
        <w:pStyle w:val="8"/>
        <w:overflowPunct w:val="0"/>
        <w:spacing w:line="360" w:lineRule="auto"/>
        <w:ind w:firstLineChars="175"/>
        <w:contextualSpacing/>
        <w:rPr>
          <w:rFonts w:hint="eastAsia" w:ascii="仿宋" w:hAnsi="仿宋" w:eastAsia="仿宋" w:cs="仿宋"/>
          <w:color w:val="auto"/>
          <w:sz w:val="24"/>
          <w:highlight w:val="none"/>
        </w:rPr>
      </w:pPr>
    </w:p>
    <w:p w14:paraId="625B8BE9">
      <w:pPr>
        <w:pStyle w:val="8"/>
        <w:overflowPunct w:val="0"/>
        <w:spacing w:line="360" w:lineRule="auto"/>
        <w:ind w:firstLineChars="175"/>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联合体牵头人名称（盖公章）：</w:t>
      </w:r>
    </w:p>
    <w:p w14:paraId="4B03C78A">
      <w:pPr>
        <w:pStyle w:val="8"/>
        <w:overflowPunct w:val="0"/>
        <w:spacing w:line="360" w:lineRule="auto"/>
        <w:ind w:firstLineChars="175"/>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法定代表人或者其委托代理人：</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（签字）</w:t>
      </w:r>
    </w:p>
    <w:p w14:paraId="4C0872DD">
      <w:pPr>
        <w:pStyle w:val="8"/>
        <w:overflowPunct w:val="0"/>
        <w:spacing w:line="360" w:lineRule="auto"/>
        <w:ind w:firstLineChars="175"/>
        <w:contextualSpacing/>
        <w:rPr>
          <w:rFonts w:hint="eastAsia" w:ascii="仿宋" w:hAnsi="仿宋" w:eastAsia="仿宋" w:cs="仿宋"/>
          <w:color w:val="auto"/>
          <w:sz w:val="24"/>
          <w:highlight w:val="none"/>
        </w:rPr>
      </w:pPr>
    </w:p>
    <w:p w14:paraId="6C58BC07">
      <w:pPr>
        <w:pStyle w:val="8"/>
        <w:overflowPunct w:val="0"/>
        <w:spacing w:line="360" w:lineRule="auto"/>
        <w:ind w:firstLineChars="175"/>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联合体成员名称（盖公章）：</w:t>
      </w:r>
    </w:p>
    <w:p w14:paraId="0D5D6A3A">
      <w:pPr>
        <w:pStyle w:val="8"/>
        <w:overflowPunct w:val="0"/>
        <w:spacing w:line="360" w:lineRule="auto"/>
        <w:ind w:firstLineChars="175"/>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法定代表人或者其委托代理人：</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（签字）</w:t>
      </w:r>
    </w:p>
    <w:p w14:paraId="48C4FEDB">
      <w:pPr>
        <w:pStyle w:val="8"/>
        <w:overflowPunct w:val="0"/>
        <w:spacing w:line="360" w:lineRule="auto"/>
        <w:ind w:firstLineChars="175"/>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p w14:paraId="3947254A">
      <w:pPr>
        <w:pStyle w:val="8"/>
        <w:overflowPunct w:val="0"/>
        <w:spacing w:line="360" w:lineRule="auto"/>
        <w:ind w:firstLineChars="175"/>
        <w:contextualSpacing/>
        <w:rPr>
          <w:rFonts w:hint="eastAsia" w:ascii="仿宋" w:hAnsi="仿宋" w:eastAsia="仿宋" w:cs="仿宋"/>
          <w:color w:val="auto"/>
          <w:sz w:val="24"/>
          <w:highlight w:val="none"/>
        </w:rPr>
      </w:pPr>
    </w:p>
    <w:p w14:paraId="1E2E686D">
      <w:pPr>
        <w:pStyle w:val="8"/>
        <w:overflowPunct w:val="0"/>
        <w:spacing w:line="360" w:lineRule="auto"/>
        <w:ind w:firstLineChars="175"/>
        <w:contextualSpacing/>
        <w:jc w:val="right"/>
        <w:rPr>
          <w:rFonts w:hint="eastAsia" w:ascii="仿宋" w:hAnsi="仿宋" w:eastAsia="仿宋" w:cs="仿宋"/>
          <w:b/>
          <w:color w:val="auto"/>
          <w:sz w:val="24"/>
          <w:highlight w:val="none"/>
        </w:rPr>
      </w:pP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年</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月</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日</w:t>
      </w:r>
    </w:p>
    <w:p w14:paraId="6CDF4096">
      <w:pPr>
        <w:snapToGrid w:val="0"/>
        <w:spacing w:before="120" w:beforeLines="50" w:after="50"/>
        <w:jc w:val="left"/>
        <w:rPr>
          <w:rFonts w:hint="eastAsia" w:ascii="仿宋" w:hAnsi="仿宋" w:eastAsia="仿宋" w:cs="仿宋"/>
          <w:color w:val="auto"/>
          <w:highlight w:val="none"/>
        </w:rPr>
      </w:pPr>
      <w:r>
        <w:rPr>
          <w:rFonts w:hint="eastAsia" w:ascii="仿宋" w:hAnsi="仿宋" w:eastAsia="仿宋" w:cs="仿宋"/>
          <w:b/>
          <w:color w:val="auto"/>
          <w:sz w:val="24"/>
          <w:highlight w:val="none"/>
        </w:rPr>
        <w:t>2.中小企业声明函格式</w:t>
      </w:r>
    </w:p>
    <w:p w14:paraId="1DC813B5">
      <w:pPr>
        <w:rPr>
          <w:rFonts w:hint="eastAsia" w:ascii="仿宋" w:hAnsi="仿宋" w:eastAsia="仿宋" w:cs="仿宋"/>
          <w:color w:val="auto"/>
          <w:highlight w:val="none"/>
        </w:rPr>
      </w:pPr>
    </w:p>
    <w:p w14:paraId="6575759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中小企业声明函（服务）</w:t>
      </w:r>
    </w:p>
    <w:p w14:paraId="6294A0B1">
      <w:pPr>
        <w:spacing w:before="2" w:line="500" w:lineRule="exact"/>
        <w:rPr>
          <w:rFonts w:hint="eastAsia" w:ascii="仿宋" w:hAnsi="仿宋" w:eastAsia="仿宋" w:cs="仿宋"/>
          <w:b/>
          <w:bCs/>
          <w:color w:val="auto"/>
          <w:sz w:val="27"/>
          <w:szCs w:val="27"/>
          <w:highlight w:val="none"/>
        </w:rPr>
      </w:pPr>
    </w:p>
    <w:p w14:paraId="598AA146">
      <w:pPr>
        <w:pStyle w:val="141"/>
        <w:spacing w:line="400" w:lineRule="exact"/>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本公司（联合体）郑重声明，根据《政府采购促进中小企业发展管理办法》（财库〔2020〕46号）的规定，本公司（联合体）参加</w:t>
      </w:r>
      <w:r>
        <w:rPr>
          <w:rFonts w:hint="eastAsia" w:ascii="仿宋" w:hAnsi="仿宋" w:eastAsia="仿宋" w:cs="仿宋"/>
          <w:color w:val="auto"/>
          <w:sz w:val="24"/>
          <w:szCs w:val="24"/>
          <w:highlight w:val="none"/>
          <w:u w:val="single"/>
        </w:rPr>
        <w:t>（采购人名称）</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u w:val="single"/>
        </w:rPr>
        <w:t>（项目名称及项目编号）</w:t>
      </w:r>
      <w:r>
        <w:rPr>
          <w:rFonts w:hint="eastAsia" w:ascii="仿宋" w:hAnsi="仿宋" w:eastAsia="仿宋" w:cs="仿宋"/>
          <w:color w:val="auto"/>
          <w:sz w:val="24"/>
          <w:szCs w:val="24"/>
          <w:highlight w:val="none"/>
        </w:rPr>
        <w:t>釆购活动,服务全部由符合政策要求的中小企业承接。相关企业（含联合体中的中小企业、签订分包意向协议的中小企业）的具体情况如下</w:t>
      </w:r>
      <w:bookmarkStart w:id="171" w:name="bookmark1"/>
      <w:bookmarkEnd w:id="171"/>
      <w:r>
        <w:rPr>
          <w:rFonts w:hint="eastAsia" w:ascii="仿宋" w:hAnsi="仿宋" w:eastAsia="仿宋" w:cs="仿宋"/>
          <w:color w:val="auto"/>
          <w:sz w:val="24"/>
          <w:szCs w:val="24"/>
          <w:highlight w:val="none"/>
        </w:rPr>
        <w:t>：</w:t>
      </w:r>
    </w:p>
    <w:p w14:paraId="364C8B3E">
      <w:pPr>
        <w:pStyle w:val="141"/>
        <w:spacing w:line="400" w:lineRule="exact"/>
        <w:ind w:firstLine="64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u w:val="single"/>
        </w:rPr>
        <w:t xml:space="preserve"> （项目名称）</w:t>
      </w:r>
      <w:r>
        <w:rPr>
          <w:rFonts w:hint="eastAsia" w:ascii="仿宋" w:hAnsi="仿宋" w:eastAsia="仿宋" w:cs="仿宋"/>
          <w:color w:val="auto"/>
          <w:sz w:val="24"/>
          <w:szCs w:val="24"/>
          <w:highlight w:val="none"/>
        </w:rPr>
        <w:t>，属于；承接企业为</w:t>
      </w:r>
      <w:r>
        <w:rPr>
          <w:rFonts w:hint="eastAsia" w:ascii="仿宋" w:hAnsi="仿宋" w:eastAsia="仿宋" w:cs="仿宋"/>
          <w:color w:val="auto"/>
          <w:sz w:val="24"/>
          <w:szCs w:val="24"/>
          <w:highlight w:val="none"/>
          <w:u w:val="single"/>
        </w:rPr>
        <w:t>（企业名称）</w:t>
      </w:r>
      <w:r>
        <w:rPr>
          <w:rFonts w:hint="eastAsia" w:ascii="仿宋" w:hAnsi="仿宋" w:eastAsia="仿宋" w:cs="仿宋"/>
          <w:color w:val="auto"/>
          <w:sz w:val="24"/>
          <w:szCs w:val="24"/>
          <w:highlight w:val="none"/>
        </w:rPr>
        <w:t>，从业人员</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rPr>
        <w:t>人，营业收入为万元，资产总额为万元，属于</w:t>
      </w:r>
      <w:r>
        <w:rPr>
          <w:rFonts w:hint="eastAsia" w:ascii="仿宋" w:hAnsi="仿宋" w:eastAsia="仿宋" w:cs="仿宋"/>
          <w:color w:val="auto"/>
          <w:sz w:val="24"/>
          <w:szCs w:val="24"/>
          <w:highlight w:val="none"/>
          <w:u w:val="single"/>
        </w:rPr>
        <w:t>（中型企业、小型企业、微型企业）</w:t>
      </w:r>
      <w:r>
        <w:rPr>
          <w:rFonts w:hint="eastAsia" w:ascii="仿宋" w:hAnsi="仿宋" w:eastAsia="仿宋" w:cs="仿宋"/>
          <w:color w:val="auto"/>
          <w:sz w:val="24"/>
          <w:szCs w:val="24"/>
          <w:highlight w:val="none"/>
        </w:rPr>
        <w:t xml:space="preserve">； </w:t>
      </w:r>
    </w:p>
    <w:p w14:paraId="10F8CA22">
      <w:pPr>
        <w:pStyle w:val="141"/>
        <w:spacing w:line="400" w:lineRule="exact"/>
        <w:ind w:firstLine="64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p w14:paraId="650D6E28">
      <w:pPr>
        <w:pStyle w:val="141"/>
        <w:spacing w:line="400" w:lineRule="exact"/>
        <w:ind w:firstLine="64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以上企业，不属于大企业的分支机构，不存在控股股东为大企业的情形，也不存在与大企业的负责人为同一人的情形。</w:t>
      </w:r>
    </w:p>
    <w:p w14:paraId="4501817B">
      <w:pPr>
        <w:pStyle w:val="141"/>
        <w:spacing w:after="40" w:line="400" w:lineRule="exact"/>
        <w:ind w:firstLine="64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本企业对上述声明内容的真实性负责。如有虚假，将依法承担相应责任。</w:t>
      </w:r>
    </w:p>
    <w:p w14:paraId="13B26093">
      <w:pPr>
        <w:pStyle w:val="141"/>
        <w:spacing w:after="40" w:line="400" w:lineRule="exact"/>
        <w:ind w:firstLine="640"/>
        <w:jc w:val="both"/>
        <w:rPr>
          <w:rFonts w:hint="eastAsia" w:ascii="仿宋" w:hAnsi="仿宋" w:eastAsia="仿宋" w:cs="仿宋"/>
          <w:color w:val="auto"/>
          <w:sz w:val="24"/>
          <w:szCs w:val="24"/>
          <w:highlight w:val="none"/>
        </w:rPr>
      </w:pPr>
    </w:p>
    <w:p w14:paraId="7BC74BAB">
      <w:pPr>
        <w:pStyle w:val="141"/>
        <w:spacing w:line="400" w:lineRule="exact"/>
        <w:ind w:firstLine="64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企业名称[盖公章]：</w:t>
      </w:r>
    </w:p>
    <w:p w14:paraId="29354891">
      <w:pPr>
        <w:pStyle w:val="141"/>
        <w:spacing w:line="400" w:lineRule="exact"/>
        <w:ind w:firstLine="64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日期：</w:t>
      </w:r>
    </w:p>
    <w:p w14:paraId="6A280CC3">
      <w:pPr>
        <w:spacing w:line="460" w:lineRule="exact"/>
        <w:rPr>
          <w:rFonts w:hint="eastAsia" w:ascii="仿宋" w:hAnsi="仿宋" w:eastAsia="仿宋" w:cs="仿宋"/>
          <w:color w:val="auto"/>
          <w:sz w:val="24"/>
          <w:highlight w:val="none"/>
        </w:rPr>
      </w:pPr>
    </w:p>
    <w:p w14:paraId="15F8CD15">
      <w:pPr>
        <w:spacing w:line="460" w:lineRule="exact"/>
        <w:rPr>
          <w:rFonts w:hint="eastAsia" w:ascii="仿宋" w:hAnsi="仿宋" w:eastAsia="仿宋" w:cs="仿宋"/>
          <w:b/>
          <w:color w:val="auto"/>
          <w:sz w:val="24"/>
          <w:highlight w:val="none"/>
        </w:rPr>
      </w:pPr>
      <w:r>
        <w:rPr>
          <w:rFonts w:hint="eastAsia" w:ascii="仿宋" w:hAnsi="仿宋" w:eastAsia="仿宋" w:cs="仿宋"/>
          <w:color w:val="auto"/>
          <w:sz w:val="24"/>
          <w:highlight w:val="none"/>
        </w:rPr>
        <w:t>备注：如果投标产品（或服务）中有小型或微型企业的产品（服务），应在投标报价明细表中注明生产（或服务）企业名称，并在投标文件提供符合规定的有关证明材料（投标人应提供最近一年的年度财务审计报告，以证明投标人（或投标产品生产厂家）的营业收入、资产总额等指标），否则不认可该产品（服务）为小型或微型企业的产品（服务）。</w:t>
      </w:r>
    </w:p>
    <w:p w14:paraId="39358B7D">
      <w:pPr>
        <w:pStyle w:val="2"/>
        <w:spacing w:line="360" w:lineRule="auto"/>
        <w:ind w:left="3960" w:right="1808"/>
        <w:contextualSpacing/>
        <w:rPr>
          <w:rFonts w:hint="eastAsia" w:ascii="仿宋" w:hAnsi="仿宋" w:eastAsia="仿宋" w:cs="仿宋"/>
          <w:color w:val="auto"/>
          <w:kern w:val="24"/>
          <w:highlight w:val="none"/>
        </w:rPr>
      </w:pPr>
    </w:p>
    <w:p w14:paraId="23006B45">
      <w:pPr>
        <w:pStyle w:val="2"/>
        <w:spacing w:line="360" w:lineRule="auto"/>
        <w:ind w:left="-426" w:right="142" w:firstLine="567"/>
        <w:contextualSpacing/>
        <w:rPr>
          <w:rFonts w:hint="eastAsia" w:ascii="仿宋" w:hAnsi="仿宋" w:eastAsia="仿宋" w:cs="仿宋"/>
          <w:color w:val="auto"/>
          <w:kern w:val="24"/>
          <w:highlight w:val="none"/>
        </w:rPr>
      </w:pPr>
      <w:r>
        <w:rPr>
          <w:rFonts w:hint="eastAsia" w:ascii="仿宋" w:hAnsi="仿宋" w:eastAsia="仿宋" w:cs="仿宋"/>
          <w:color w:val="auto"/>
          <w:kern w:val="24"/>
          <w:highlight w:val="none"/>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p>
    <w:p w14:paraId="7B381F04">
      <w:pPr>
        <w:snapToGrid w:val="0"/>
        <w:spacing w:before="120" w:beforeLines="50" w:after="50"/>
        <w:ind w:left="142"/>
        <w:jc w:val="left"/>
        <w:rPr>
          <w:rFonts w:hint="eastAsia" w:ascii="仿宋" w:hAnsi="仿宋" w:eastAsia="仿宋" w:cs="仿宋"/>
          <w:b/>
          <w:color w:val="auto"/>
          <w:sz w:val="24"/>
          <w:highlight w:val="none"/>
        </w:rPr>
      </w:pPr>
    </w:p>
    <w:p w14:paraId="249163E3">
      <w:pPr>
        <w:pStyle w:val="27"/>
        <w:jc w:val="left"/>
        <w:rPr>
          <w:rFonts w:hint="eastAsia" w:ascii="仿宋" w:hAnsi="仿宋" w:eastAsia="仿宋" w:cs="仿宋"/>
          <w:b/>
          <w:color w:val="auto"/>
          <w:sz w:val="24"/>
          <w:highlight w:val="none"/>
        </w:rPr>
      </w:pPr>
      <w:r>
        <w:rPr>
          <w:rFonts w:hint="eastAsia" w:ascii="仿宋" w:hAnsi="仿宋" w:eastAsia="仿宋" w:cs="仿宋"/>
          <w:color w:val="auto"/>
          <w:sz w:val="32"/>
          <w:szCs w:val="32"/>
          <w:highlight w:val="none"/>
        </w:rPr>
        <w:br w:type="page"/>
      </w:r>
      <w:r>
        <w:rPr>
          <w:rFonts w:hint="eastAsia" w:ascii="仿宋" w:hAnsi="仿宋" w:eastAsia="仿宋" w:cs="仿宋"/>
          <w:b/>
          <w:color w:val="auto"/>
          <w:sz w:val="24"/>
          <w:highlight w:val="none"/>
        </w:rPr>
        <w:t>3.残疾人福利性单位声明函格式</w:t>
      </w:r>
    </w:p>
    <w:p w14:paraId="46CBCC74">
      <w:pPr>
        <w:spacing w:line="588" w:lineRule="exact"/>
        <w:jc w:val="center"/>
        <w:rPr>
          <w:rFonts w:hint="eastAsia" w:ascii="仿宋" w:hAnsi="仿宋" w:eastAsia="仿宋" w:cs="仿宋"/>
          <w:b/>
          <w:color w:val="auto"/>
          <w:spacing w:val="6"/>
          <w:sz w:val="32"/>
          <w:szCs w:val="32"/>
          <w:highlight w:val="none"/>
        </w:rPr>
      </w:pPr>
    </w:p>
    <w:p w14:paraId="502EAC5C">
      <w:pPr>
        <w:spacing w:line="588" w:lineRule="exact"/>
        <w:jc w:val="center"/>
        <w:rPr>
          <w:rFonts w:hint="eastAsia" w:ascii="仿宋" w:hAnsi="仿宋" w:eastAsia="仿宋" w:cs="仿宋"/>
          <w:bCs/>
          <w:color w:val="auto"/>
          <w:spacing w:val="6"/>
          <w:sz w:val="44"/>
          <w:szCs w:val="44"/>
          <w:highlight w:val="none"/>
        </w:rPr>
      </w:pPr>
      <w:r>
        <w:rPr>
          <w:rFonts w:hint="eastAsia" w:ascii="仿宋" w:hAnsi="仿宋" w:eastAsia="仿宋" w:cs="仿宋"/>
          <w:bCs/>
          <w:color w:val="auto"/>
          <w:spacing w:val="6"/>
          <w:sz w:val="44"/>
          <w:szCs w:val="44"/>
          <w:highlight w:val="none"/>
        </w:rPr>
        <w:t>残疾人福利性单位声明函</w:t>
      </w:r>
    </w:p>
    <w:p w14:paraId="1ED65035">
      <w:pPr>
        <w:spacing w:line="360" w:lineRule="auto"/>
        <w:contextualSpacing/>
        <w:rPr>
          <w:rFonts w:hint="eastAsia" w:ascii="仿宋" w:hAnsi="仿宋" w:eastAsia="仿宋" w:cs="仿宋"/>
          <w:bCs/>
          <w:color w:val="auto"/>
          <w:spacing w:val="6"/>
          <w:sz w:val="30"/>
          <w:szCs w:val="30"/>
          <w:highlight w:val="none"/>
        </w:rPr>
      </w:pPr>
    </w:p>
    <w:p w14:paraId="465164B1">
      <w:pPr>
        <w:spacing w:line="360" w:lineRule="auto"/>
        <w:ind w:firstLine="504" w:firstLineChars="200"/>
        <w:contextualSpacing/>
        <w:rPr>
          <w:rFonts w:hint="eastAsia" w:ascii="仿宋" w:hAnsi="仿宋" w:eastAsia="仿宋" w:cs="仿宋"/>
          <w:color w:val="auto"/>
          <w:spacing w:val="6"/>
          <w:sz w:val="24"/>
          <w:highlight w:val="none"/>
        </w:rPr>
      </w:pPr>
      <w:r>
        <w:rPr>
          <w:rFonts w:hint="eastAsia" w:ascii="仿宋" w:hAnsi="仿宋" w:eastAsia="仿宋" w:cs="仿宋"/>
          <w:color w:val="auto"/>
          <w:spacing w:val="6"/>
          <w:sz w:val="24"/>
          <w:highlight w:val="none"/>
        </w:rPr>
        <w:t>本单位郑重声明，根据《财政部 民政部 中国残疾人联合会关于促进残疾人就业政府采购政策的通知》（财库</w:t>
      </w:r>
      <w:r>
        <w:rPr>
          <w:rFonts w:hint="eastAsia" w:ascii="仿宋" w:hAnsi="仿宋" w:eastAsia="仿宋" w:cs="仿宋"/>
          <w:color w:val="auto"/>
          <w:sz w:val="24"/>
          <w:highlight w:val="none"/>
        </w:rPr>
        <w:t>〔2017〕 141</w:t>
      </w:r>
      <w:r>
        <w:rPr>
          <w:rFonts w:hint="eastAsia" w:ascii="仿宋" w:hAnsi="仿宋" w:eastAsia="仿宋" w:cs="仿宋"/>
          <w:color w:val="auto"/>
          <w:spacing w:val="6"/>
          <w:sz w:val="24"/>
          <w:highlight w:val="none"/>
        </w:rPr>
        <w:t>号）的规定，本单位为符合条件的残疾人福利性单位，且本单位参加______单位的______项目采购活动提供本单位的服务</w:t>
      </w:r>
      <w:r>
        <w:rPr>
          <w:rFonts w:hint="eastAsia" w:ascii="仿宋" w:hAnsi="仿宋" w:eastAsia="仿宋" w:cs="仿宋"/>
          <w:color w:val="auto"/>
          <w:spacing w:val="-6"/>
          <w:sz w:val="24"/>
          <w:highlight w:val="none"/>
        </w:rPr>
        <w:t>。</w:t>
      </w:r>
    </w:p>
    <w:p w14:paraId="30AF53D4">
      <w:pPr>
        <w:spacing w:line="360" w:lineRule="auto"/>
        <w:ind w:firstLine="504" w:firstLineChars="200"/>
        <w:contextualSpacing/>
        <w:rPr>
          <w:rFonts w:hint="eastAsia" w:ascii="仿宋" w:hAnsi="仿宋" w:eastAsia="仿宋" w:cs="仿宋"/>
          <w:color w:val="auto"/>
          <w:spacing w:val="6"/>
          <w:sz w:val="24"/>
          <w:highlight w:val="none"/>
        </w:rPr>
      </w:pPr>
      <w:r>
        <w:rPr>
          <w:rFonts w:hint="eastAsia" w:ascii="仿宋" w:hAnsi="仿宋" w:eastAsia="仿宋" w:cs="仿宋"/>
          <w:color w:val="auto"/>
          <w:spacing w:val="6"/>
          <w:sz w:val="24"/>
          <w:highlight w:val="none"/>
        </w:rPr>
        <w:t>本单位对上述声明的真实性负责。如有虚假，将依法承担相应责任。</w:t>
      </w:r>
    </w:p>
    <w:p w14:paraId="35C9AA01">
      <w:pPr>
        <w:spacing w:line="360" w:lineRule="auto"/>
        <w:ind w:firstLine="504" w:firstLineChars="200"/>
        <w:contextualSpacing/>
        <w:rPr>
          <w:rFonts w:hint="eastAsia" w:ascii="仿宋" w:hAnsi="仿宋" w:eastAsia="仿宋" w:cs="仿宋"/>
          <w:color w:val="auto"/>
          <w:spacing w:val="6"/>
          <w:sz w:val="24"/>
          <w:highlight w:val="none"/>
        </w:rPr>
      </w:pPr>
    </w:p>
    <w:p w14:paraId="54D67B74">
      <w:pPr>
        <w:spacing w:line="360" w:lineRule="auto"/>
        <w:ind w:firstLine="504" w:firstLineChars="200"/>
        <w:contextualSpacing/>
        <w:rPr>
          <w:rFonts w:hint="eastAsia" w:ascii="仿宋" w:hAnsi="仿宋" w:eastAsia="仿宋" w:cs="仿宋"/>
          <w:color w:val="auto"/>
          <w:spacing w:val="6"/>
          <w:sz w:val="24"/>
          <w:highlight w:val="none"/>
        </w:rPr>
      </w:pPr>
    </w:p>
    <w:p w14:paraId="4267BE83">
      <w:pPr>
        <w:tabs>
          <w:tab w:val="left" w:pos="4860"/>
        </w:tabs>
        <w:spacing w:line="360" w:lineRule="auto"/>
        <w:ind w:right="1560" w:firstLine="504" w:firstLineChars="200"/>
        <w:contextualSpacing/>
        <w:jc w:val="center"/>
        <w:rPr>
          <w:rFonts w:hint="eastAsia" w:ascii="仿宋" w:hAnsi="仿宋" w:eastAsia="仿宋" w:cs="仿宋"/>
          <w:color w:val="auto"/>
          <w:spacing w:val="6"/>
          <w:sz w:val="24"/>
          <w:highlight w:val="none"/>
        </w:rPr>
      </w:pPr>
      <w:r>
        <w:rPr>
          <w:rFonts w:hint="eastAsia" w:ascii="仿宋" w:hAnsi="仿宋" w:eastAsia="仿宋" w:cs="仿宋"/>
          <w:color w:val="auto"/>
          <w:spacing w:val="6"/>
          <w:sz w:val="24"/>
          <w:highlight w:val="none"/>
        </w:rPr>
        <w:t>单位名称（盖公章）：</w:t>
      </w:r>
    </w:p>
    <w:p w14:paraId="7654289E">
      <w:pPr>
        <w:tabs>
          <w:tab w:val="left" w:pos="4860"/>
        </w:tabs>
        <w:spacing w:line="360" w:lineRule="auto"/>
        <w:ind w:right="1560" w:firstLine="504" w:firstLineChars="200"/>
        <w:contextualSpacing/>
        <w:jc w:val="center"/>
        <w:rPr>
          <w:rFonts w:hint="eastAsia" w:ascii="仿宋" w:hAnsi="仿宋" w:eastAsia="仿宋" w:cs="仿宋"/>
          <w:color w:val="auto"/>
          <w:spacing w:val="6"/>
          <w:sz w:val="24"/>
          <w:highlight w:val="none"/>
        </w:rPr>
      </w:pPr>
      <w:r>
        <w:rPr>
          <w:rFonts w:hint="eastAsia" w:ascii="仿宋" w:hAnsi="仿宋" w:eastAsia="仿宋" w:cs="仿宋"/>
          <w:color w:val="auto"/>
          <w:spacing w:val="6"/>
          <w:sz w:val="24"/>
          <w:highlight w:val="none"/>
        </w:rPr>
        <w:t>日  期：</w:t>
      </w:r>
    </w:p>
    <w:p w14:paraId="4A550B81">
      <w:pPr>
        <w:spacing w:line="360" w:lineRule="auto"/>
        <w:contextualSpacing/>
        <w:rPr>
          <w:rFonts w:hint="eastAsia" w:ascii="仿宋" w:hAnsi="仿宋" w:eastAsia="仿宋" w:cs="仿宋"/>
          <w:color w:val="auto"/>
          <w:sz w:val="24"/>
          <w:highlight w:val="none"/>
        </w:rPr>
      </w:pPr>
    </w:p>
    <w:p w14:paraId="0A92114F">
      <w:pPr>
        <w:spacing w:line="360" w:lineRule="auto"/>
        <w:contextualSpacing/>
        <w:rPr>
          <w:rFonts w:hint="eastAsia" w:ascii="仿宋" w:hAnsi="仿宋" w:eastAsia="仿宋" w:cs="仿宋"/>
          <w:color w:val="auto"/>
          <w:sz w:val="24"/>
          <w:highlight w:val="none"/>
        </w:rPr>
      </w:pPr>
    </w:p>
    <w:p w14:paraId="20C561BD">
      <w:pPr>
        <w:spacing w:line="360" w:lineRule="auto"/>
        <w:contextualSpacing/>
        <w:rPr>
          <w:rFonts w:hint="eastAsia" w:ascii="仿宋" w:hAnsi="仿宋" w:eastAsia="仿宋" w:cs="仿宋"/>
          <w:color w:val="auto"/>
          <w:sz w:val="24"/>
          <w:highlight w:val="none"/>
        </w:rPr>
      </w:pPr>
    </w:p>
    <w:p w14:paraId="2C1992F9">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10E1632B">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br w:type="page"/>
      </w:r>
      <w:r>
        <w:rPr>
          <w:rFonts w:hint="eastAsia" w:ascii="仿宋" w:hAnsi="仿宋" w:eastAsia="仿宋" w:cs="仿宋"/>
          <w:b/>
          <w:color w:val="auto"/>
          <w:sz w:val="24"/>
          <w:highlight w:val="none"/>
        </w:rPr>
        <w:t>4.质疑函格式</w:t>
      </w:r>
    </w:p>
    <w:p w14:paraId="6E6CF1D4">
      <w:pPr>
        <w:spacing w:line="500" w:lineRule="exact"/>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质疑函</w:t>
      </w:r>
    </w:p>
    <w:p w14:paraId="262A0BC7">
      <w:pPr>
        <w:pStyle w:val="27"/>
        <w:snapToGrid w:val="0"/>
        <w:spacing w:line="40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一、质疑供应商基本信息：</w:t>
      </w:r>
    </w:p>
    <w:p w14:paraId="6928CC77">
      <w:pPr>
        <w:pStyle w:val="27"/>
        <w:snapToGrid w:val="0"/>
        <w:spacing w:line="400" w:lineRule="exact"/>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质疑供应商：</w:t>
      </w:r>
    </w:p>
    <w:p w14:paraId="3982094F">
      <w:pPr>
        <w:pStyle w:val="27"/>
        <w:snapToGrid w:val="0"/>
        <w:spacing w:line="40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地址：邮编：</w:t>
      </w:r>
    </w:p>
    <w:p w14:paraId="59D11BD7">
      <w:pPr>
        <w:pStyle w:val="27"/>
        <w:snapToGrid w:val="0"/>
        <w:spacing w:line="40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联系人：联系电话：</w:t>
      </w:r>
    </w:p>
    <w:p w14:paraId="0E87C877">
      <w:pPr>
        <w:pStyle w:val="27"/>
        <w:snapToGrid w:val="0"/>
        <w:spacing w:line="40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授权代表：联系电话：</w:t>
      </w:r>
    </w:p>
    <w:p w14:paraId="6201D244">
      <w:pPr>
        <w:pStyle w:val="27"/>
        <w:snapToGrid w:val="0"/>
        <w:spacing w:line="40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地址：邮编：</w:t>
      </w:r>
    </w:p>
    <w:p w14:paraId="32F99A36">
      <w:pPr>
        <w:pStyle w:val="27"/>
        <w:snapToGrid w:val="0"/>
        <w:spacing w:line="40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二、质疑项目基本情况：</w:t>
      </w:r>
    </w:p>
    <w:p w14:paraId="0F2FAFD4">
      <w:pPr>
        <w:pStyle w:val="27"/>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质疑</w:t>
      </w:r>
      <w:r>
        <w:rPr>
          <w:rFonts w:hint="eastAsia" w:ascii="仿宋" w:hAnsi="仿宋" w:eastAsia="仿宋" w:cs="仿宋"/>
          <w:color w:val="auto"/>
          <w:sz w:val="24"/>
          <w:szCs w:val="24"/>
          <w:highlight w:val="none"/>
        </w:rPr>
        <w:t>项目的名称：</w:t>
      </w:r>
    </w:p>
    <w:p w14:paraId="2DC15252">
      <w:pPr>
        <w:pStyle w:val="27"/>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质疑</w:t>
      </w:r>
      <w:r>
        <w:rPr>
          <w:rFonts w:hint="eastAsia" w:ascii="仿宋" w:hAnsi="仿宋" w:eastAsia="仿宋" w:cs="仿宋"/>
          <w:color w:val="auto"/>
          <w:sz w:val="24"/>
          <w:szCs w:val="24"/>
          <w:highlight w:val="none"/>
        </w:rPr>
        <w:t>项目的编号：</w:t>
      </w:r>
    </w:p>
    <w:p w14:paraId="147BF036">
      <w:pPr>
        <w:pStyle w:val="27"/>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采购人名称：</w:t>
      </w:r>
    </w:p>
    <w:p w14:paraId="4E140B41">
      <w:pPr>
        <w:pStyle w:val="27"/>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质疑事项：</w:t>
      </w:r>
    </w:p>
    <w:p w14:paraId="49A5254D">
      <w:pPr>
        <w:pStyle w:val="27"/>
        <w:spacing w:line="400" w:lineRule="exact"/>
        <w:ind w:left="25" w:leftChars="12" w:firstLine="472" w:firstLineChars="197"/>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□招标文件   招标文件获取日期：</w:t>
      </w:r>
    </w:p>
    <w:p w14:paraId="621058FC">
      <w:pPr>
        <w:pStyle w:val="27"/>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□采购过程   </w:t>
      </w:r>
    </w:p>
    <w:p w14:paraId="02F404C4">
      <w:pPr>
        <w:pStyle w:val="27"/>
        <w:spacing w:line="400" w:lineRule="exact"/>
        <w:ind w:left="25" w:leftChars="12" w:firstLine="472" w:firstLineChars="197"/>
        <w:rPr>
          <w:rFonts w:hint="eastAsia"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 xml:space="preserve">□中标结果   </w:t>
      </w:r>
    </w:p>
    <w:p w14:paraId="1E691B99">
      <w:pPr>
        <w:pStyle w:val="27"/>
        <w:spacing w:line="400" w:lineRule="exact"/>
        <w:ind w:left="25" w:leftChars="12" w:firstLine="472" w:firstLineChars="196"/>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三、质疑事项具体内容</w:t>
      </w:r>
    </w:p>
    <w:p w14:paraId="0874A161">
      <w:pPr>
        <w:pStyle w:val="27"/>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质疑事项1：</w:t>
      </w:r>
    </w:p>
    <w:p w14:paraId="33C41B05">
      <w:pPr>
        <w:pStyle w:val="27"/>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事实依据：</w:t>
      </w:r>
    </w:p>
    <w:p w14:paraId="7D104379">
      <w:pPr>
        <w:pStyle w:val="27"/>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法律依据：</w:t>
      </w:r>
    </w:p>
    <w:p w14:paraId="4BBBD0A0">
      <w:pPr>
        <w:pStyle w:val="27"/>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质疑事项2：</w:t>
      </w:r>
    </w:p>
    <w:p w14:paraId="118FF0E1">
      <w:pPr>
        <w:pStyle w:val="27"/>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p w14:paraId="633AA204">
      <w:pPr>
        <w:pStyle w:val="27"/>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四、与质疑事项相关的质疑请求：</w:t>
      </w:r>
    </w:p>
    <w:p w14:paraId="130F9139">
      <w:pPr>
        <w:pStyle w:val="27"/>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请求：</w:t>
      </w:r>
    </w:p>
    <w:p w14:paraId="58CE08A6">
      <w:pPr>
        <w:pStyle w:val="27"/>
        <w:spacing w:line="400" w:lineRule="exact"/>
        <w:ind w:left="25" w:leftChars="12" w:firstLine="352" w:firstLineChars="147"/>
        <w:rPr>
          <w:rFonts w:hint="eastAsia" w:ascii="仿宋" w:hAnsi="仿宋" w:eastAsia="仿宋" w:cs="仿宋"/>
          <w:color w:val="auto"/>
          <w:sz w:val="24"/>
          <w:szCs w:val="24"/>
          <w:highlight w:val="none"/>
        </w:rPr>
      </w:pPr>
    </w:p>
    <w:p w14:paraId="4CF1887E">
      <w:pPr>
        <w:pStyle w:val="27"/>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签字（签章）：</w:t>
      </w:r>
    </w:p>
    <w:p w14:paraId="5B836542">
      <w:pPr>
        <w:pStyle w:val="27"/>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公章：</w:t>
      </w:r>
    </w:p>
    <w:p w14:paraId="193AC90D">
      <w:pPr>
        <w:pStyle w:val="27"/>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w:t>
      </w:r>
    </w:p>
    <w:p w14:paraId="7B42C1CA">
      <w:pPr>
        <w:pStyle w:val="27"/>
        <w:snapToGrid w:val="0"/>
        <w:spacing w:line="36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说明：</w:t>
      </w:r>
    </w:p>
    <w:p w14:paraId="5035C444">
      <w:pPr>
        <w:pStyle w:val="27"/>
        <w:spacing w:line="360" w:lineRule="exact"/>
        <w:ind w:left="25" w:leftChars="12" w:firstLine="354" w:firstLineChars="147"/>
        <w:rPr>
          <w:rFonts w:hint="eastAsia" w:ascii="仿宋" w:hAnsi="仿宋" w:eastAsia="仿宋" w:cs="仿宋"/>
          <w:b/>
          <w:bCs/>
          <w:color w:val="auto"/>
          <w:sz w:val="24"/>
          <w:szCs w:val="24"/>
          <w:highlight w:val="none"/>
        </w:rPr>
      </w:pPr>
      <w:r>
        <w:rPr>
          <w:rFonts w:hint="eastAsia" w:ascii="仿宋" w:hAnsi="仿宋" w:eastAsia="仿宋" w:cs="仿宋"/>
          <w:b/>
          <w:color w:val="auto"/>
          <w:sz w:val="24"/>
          <w:szCs w:val="24"/>
          <w:highlight w:val="none"/>
        </w:rPr>
        <w:t>1.供应商提出质疑时，应提交质疑函和必要的证明材料</w:t>
      </w:r>
      <w:r>
        <w:rPr>
          <w:rFonts w:hint="eastAsia" w:ascii="仿宋" w:hAnsi="仿宋" w:eastAsia="仿宋" w:cs="仿宋"/>
          <w:b/>
          <w:bCs/>
          <w:color w:val="auto"/>
          <w:sz w:val="24"/>
          <w:szCs w:val="24"/>
          <w:highlight w:val="none"/>
        </w:rPr>
        <w:t>。</w:t>
      </w:r>
    </w:p>
    <w:p w14:paraId="6E3E8274">
      <w:pPr>
        <w:pStyle w:val="27"/>
        <w:spacing w:line="360" w:lineRule="exact"/>
        <w:ind w:left="25" w:leftChars="12" w:firstLine="354" w:firstLineChars="147"/>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5DA5D64">
      <w:pPr>
        <w:pStyle w:val="27"/>
        <w:spacing w:line="360" w:lineRule="exact"/>
        <w:ind w:left="25" w:leftChars="12" w:firstLine="354" w:firstLineChars="147"/>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3.质疑函的质疑事项应具体、明确，并有必要的事实依据和法律依据。</w:t>
      </w:r>
    </w:p>
    <w:p w14:paraId="75EE896E">
      <w:pPr>
        <w:pStyle w:val="27"/>
        <w:spacing w:line="360" w:lineRule="exact"/>
        <w:ind w:left="25" w:leftChars="12" w:firstLine="354" w:firstLineChars="147"/>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4.质疑函的质疑请求应与质疑事项相关。</w:t>
      </w:r>
    </w:p>
    <w:p w14:paraId="36A5A414">
      <w:pPr>
        <w:pStyle w:val="27"/>
        <w:spacing w:line="360" w:lineRule="exact"/>
        <w:ind w:left="25" w:leftChars="12" w:firstLine="354" w:firstLineChars="147"/>
        <w:rPr>
          <w:rFonts w:hint="eastAsia" w:ascii="仿宋" w:hAnsi="仿宋" w:eastAsia="仿宋" w:cs="仿宋"/>
          <w:b/>
          <w:bCs/>
          <w:color w:val="auto"/>
          <w:sz w:val="24"/>
          <w:szCs w:val="24"/>
          <w:highlight w:val="none"/>
        </w:rPr>
      </w:pPr>
      <w:r>
        <w:rPr>
          <w:rFonts w:hint="eastAsia" w:ascii="仿宋" w:hAnsi="仿宋" w:eastAsia="仿宋" w:cs="仿宋"/>
          <w:b/>
          <w:color w:val="auto"/>
          <w:sz w:val="24"/>
          <w:szCs w:val="24"/>
          <w:highlight w:val="none"/>
        </w:rPr>
        <w:t>5.质疑供应商为法人或者其他组织的，质疑函应由法定代表人、主要负责人，或者其授权代表签字或者盖章，并加盖公章。</w:t>
      </w:r>
    </w:p>
    <w:p w14:paraId="2CFA72B2">
      <w:pPr>
        <w:spacing w:line="360" w:lineRule="auto"/>
        <w:jc w:val="left"/>
        <w:rPr>
          <w:rFonts w:hint="eastAsia" w:ascii="仿宋" w:hAnsi="仿宋" w:eastAsia="仿宋" w:cs="仿宋"/>
          <w:b/>
          <w:bCs/>
          <w:color w:val="auto"/>
          <w:sz w:val="32"/>
          <w:szCs w:val="32"/>
          <w:highlight w:val="none"/>
        </w:rPr>
      </w:pPr>
      <w:r>
        <w:rPr>
          <w:rFonts w:hint="eastAsia" w:ascii="仿宋" w:hAnsi="仿宋" w:eastAsia="仿宋" w:cs="仿宋"/>
          <w:color w:val="auto"/>
          <w:sz w:val="44"/>
          <w:highlight w:val="none"/>
        </w:rPr>
        <w:br w:type="page"/>
      </w:r>
      <w:r>
        <w:rPr>
          <w:rFonts w:hint="eastAsia" w:ascii="仿宋" w:hAnsi="仿宋" w:eastAsia="仿宋" w:cs="仿宋"/>
          <w:b/>
          <w:color w:val="auto"/>
          <w:sz w:val="24"/>
          <w:highlight w:val="none"/>
        </w:rPr>
        <w:t>5.投诉书格式</w:t>
      </w:r>
    </w:p>
    <w:p w14:paraId="7E1198B0">
      <w:pPr>
        <w:spacing w:line="500" w:lineRule="exact"/>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投诉书</w:t>
      </w:r>
    </w:p>
    <w:p w14:paraId="251AA81C">
      <w:pPr>
        <w:pStyle w:val="27"/>
        <w:snapToGrid w:val="0"/>
        <w:spacing w:line="40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一、投诉相关主体基本情况：</w:t>
      </w:r>
    </w:p>
    <w:p w14:paraId="7FF9B012">
      <w:pPr>
        <w:pStyle w:val="27"/>
        <w:snapToGrid w:val="0"/>
        <w:spacing w:line="400" w:lineRule="exact"/>
        <w:ind w:firstLine="480" w:firstLineChars="200"/>
        <w:jc w:val="left"/>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投标人：</w:t>
      </w:r>
    </w:p>
    <w:p w14:paraId="31478B47">
      <w:pPr>
        <w:pStyle w:val="27"/>
        <w:snapToGrid w:val="0"/>
        <w:spacing w:line="400" w:lineRule="exact"/>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地址：邮编：</w:t>
      </w:r>
    </w:p>
    <w:p w14:paraId="421B5AB8">
      <w:pPr>
        <w:pStyle w:val="27"/>
        <w:snapToGrid w:val="0"/>
        <w:spacing w:line="400" w:lineRule="exact"/>
        <w:ind w:firstLine="480" w:firstLineChars="200"/>
        <w:jc w:val="left"/>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法定代表人/主要负责人：</w:t>
      </w:r>
    </w:p>
    <w:p w14:paraId="05ABC484">
      <w:pPr>
        <w:pStyle w:val="27"/>
        <w:snapToGrid w:val="0"/>
        <w:spacing w:line="400" w:lineRule="exact"/>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联系电话：</w:t>
      </w:r>
    </w:p>
    <w:p w14:paraId="7FB4B5D3">
      <w:pPr>
        <w:pStyle w:val="27"/>
        <w:snapToGrid w:val="0"/>
        <w:spacing w:line="400" w:lineRule="exact"/>
        <w:ind w:firstLine="480" w:firstLineChars="200"/>
        <w:jc w:val="left"/>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授权代表：联系电话：</w:t>
      </w:r>
    </w:p>
    <w:p w14:paraId="38285E48">
      <w:pPr>
        <w:pStyle w:val="27"/>
        <w:snapToGrid w:val="0"/>
        <w:spacing w:line="400" w:lineRule="exact"/>
        <w:ind w:firstLine="480" w:firstLineChars="200"/>
        <w:jc w:val="left"/>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地址：</w:t>
      </w:r>
    </w:p>
    <w:p w14:paraId="539C40F8">
      <w:pPr>
        <w:pStyle w:val="27"/>
        <w:snapToGrid w:val="0"/>
        <w:spacing w:line="400" w:lineRule="exact"/>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邮编：</w:t>
      </w:r>
    </w:p>
    <w:p w14:paraId="6B906337">
      <w:pPr>
        <w:pStyle w:val="27"/>
        <w:snapToGrid w:val="0"/>
        <w:spacing w:line="400" w:lineRule="exact"/>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被投诉人1：</w:t>
      </w:r>
    </w:p>
    <w:p w14:paraId="3E82BA38">
      <w:pPr>
        <w:pStyle w:val="27"/>
        <w:snapToGrid w:val="0"/>
        <w:spacing w:line="400" w:lineRule="exact"/>
        <w:ind w:firstLine="480" w:firstLineChars="200"/>
        <w:jc w:val="left"/>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地址：</w:t>
      </w:r>
    </w:p>
    <w:p w14:paraId="501FE5F2">
      <w:pPr>
        <w:pStyle w:val="27"/>
        <w:snapToGrid w:val="0"/>
        <w:spacing w:line="400" w:lineRule="exact"/>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邮编：</w:t>
      </w:r>
    </w:p>
    <w:p w14:paraId="619D2617">
      <w:pPr>
        <w:pStyle w:val="27"/>
        <w:snapToGrid w:val="0"/>
        <w:spacing w:line="400" w:lineRule="exact"/>
        <w:ind w:firstLine="480" w:firstLineChars="200"/>
        <w:jc w:val="left"/>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联系人：联系电话：</w:t>
      </w:r>
    </w:p>
    <w:p w14:paraId="38AD1A09">
      <w:pPr>
        <w:pStyle w:val="27"/>
        <w:snapToGrid w:val="0"/>
        <w:spacing w:line="400" w:lineRule="exact"/>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被投诉人2：</w:t>
      </w:r>
    </w:p>
    <w:p w14:paraId="2B4E5719">
      <w:pPr>
        <w:pStyle w:val="27"/>
        <w:snapToGrid w:val="0"/>
        <w:spacing w:line="400" w:lineRule="exact"/>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w:t>
      </w:r>
    </w:p>
    <w:p w14:paraId="3EB73C2E">
      <w:pPr>
        <w:pStyle w:val="27"/>
        <w:snapToGrid w:val="0"/>
        <w:spacing w:line="400" w:lineRule="exact"/>
        <w:ind w:firstLine="480" w:firstLineChars="200"/>
        <w:jc w:val="left"/>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相关供应商：</w:t>
      </w:r>
    </w:p>
    <w:p w14:paraId="38A6F8ED">
      <w:pPr>
        <w:pStyle w:val="27"/>
        <w:snapToGrid w:val="0"/>
        <w:spacing w:line="400" w:lineRule="exact"/>
        <w:ind w:firstLine="480" w:firstLineChars="200"/>
        <w:jc w:val="left"/>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地址：邮编：</w:t>
      </w:r>
    </w:p>
    <w:p w14:paraId="3E450F66">
      <w:pPr>
        <w:pStyle w:val="27"/>
        <w:snapToGrid w:val="0"/>
        <w:spacing w:line="400" w:lineRule="exact"/>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联系人：联系电话：</w:t>
      </w:r>
    </w:p>
    <w:p w14:paraId="556B42B4">
      <w:pPr>
        <w:pStyle w:val="27"/>
        <w:snapToGrid w:val="0"/>
        <w:spacing w:line="40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二、投诉项目基本情况：</w:t>
      </w:r>
    </w:p>
    <w:p w14:paraId="56A82FCB">
      <w:pPr>
        <w:pStyle w:val="27"/>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采购</w:t>
      </w:r>
      <w:r>
        <w:rPr>
          <w:rFonts w:hint="eastAsia" w:ascii="仿宋" w:hAnsi="仿宋" w:eastAsia="仿宋" w:cs="仿宋"/>
          <w:color w:val="auto"/>
          <w:sz w:val="24"/>
          <w:szCs w:val="24"/>
          <w:highlight w:val="none"/>
        </w:rPr>
        <w:t>项目的名称：</w:t>
      </w:r>
    </w:p>
    <w:p w14:paraId="729FD031">
      <w:pPr>
        <w:pStyle w:val="27"/>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采购</w:t>
      </w:r>
      <w:r>
        <w:rPr>
          <w:rFonts w:hint="eastAsia" w:ascii="仿宋" w:hAnsi="仿宋" w:eastAsia="仿宋" w:cs="仿宋"/>
          <w:color w:val="auto"/>
          <w:sz w:val="24"/>
          <w:szCs w:val="24"/>
          <w:highlight w:val="none"/>
        </w:rPr>
        <w:t>项目的编号：</w:t>
      </w:r>
    </w:p>
    <w:p w14:paraId="165B5AA2">
      <w:pPr>
        <w:pStyle w:val="27"/>
        <w:spacing w:line="400" w:lineRule="exact"/>
        <w:ind w:left="25" w:leftChars="12" w:firstLine="472" w:firstLineChars="197"/>
        <w:rPr>
          <w:rFonts w:hint="eastAsia"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采购人名称：</w:t>
      </w:r>
    </w:p>
    <w:p w14:paraId="2C603197">
      <w:pPr>
        <w:pStyle w:val="27"/>
        <w:spacing w:line="400" w:lineRule="exact"/>
        <w:ind w:left="25" w:leftChars="12" w:firstLine="472" w:firstLineChars="197"/>
        <w:rPr>
          <w:rFonts w:hint="eastAsia"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代理机构名称：</w:t>
      </w:r>
    </w:p>
    <w:p w14:paraId="07D58842">
      <w:pPr>
        <w:pStyle w:val="27"/>
        <w:spacing w:line="400" w:lineRule="exact"/>
        <w:ind w:left="25" w:leftChars="12" w:firstLine="472" w:firstLineChars="197"/>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招标文件公告：</w:t>
      </w:r>
      <w:r>
        <w:rPr>
          <w:rFonts w:hint="eastAsia" w:ascii="仿宋" w:hAnsi="仿宋" w:eastAsia="仿宋" w:cs="仿宋"/>
          <w:bCs/>
          <w:color w:val="auto"/>
          <w:sz w:val="24"/>
          <w:szCs w:val="24"/>
          <w:highlight w:val="none"/>
          <w:u w:val="single"/>
        </w:rPr>
        <w:t>是/否</w:t>
      </w:r>
      <w:r>
        <w:rPr>
          <w:rFonts w:hint="eastAsia" w:ascii="仿宋" w:hAnsi="仿宋" w:eastAsia="仿宋" w:cs="仿宋"/>
          <w:bCs/>
          <w:color w:val="auto"/>
          <w:sz w:val="24"/>
          <w:szCs w:val="24"/>
          <w:highlight w:val="none"/>
        </w:rPr>
        <w:t>公告期限：</w:t>
      </w:r>
    </w:p>
    <w:p w14:paraId="563A76EC">
      <w:pPr>
        <w:pStyle w:val="27"/>
        <w:spacing w:line="400" w:lineRule="exact"/>
        <w:ind w:left="25" w:leftChars="12" w:firstLine="472" w:firstLineChars="197"/>
        <w:rPr>
          <w:rFonts w:hint="eastAsia" w:ascii="仿宋" w:hAnsi="仿宋" w:eastAsia="仿宋" w:cs="仿宋"/>
          <w:b/>
          <w:color w:val="auto"/>
          <w:sz w:val="24"/>
          <w:szCs w:val="24"/>
          <w:highlight w:val="none"/>
        </w:rPr>
      </w:pPr>
      <w:r>
        <w:rPr>
          <w:rFonts w:hint="eastAsia" w:ascii="仿宋" w:hAnsi="仿宋" w:eastAsia="仿宋" w:cs="仿宋"/>
          <w:bCs/>
          <w:color w:val="auto"/>
          <w:sz w:val="24"/>
          <w:szCs w:val="24"/>
          <w:highlight w:val="none"/>
        </w:rPr>
        <w:t>采购结果公告：</w:t>
      </w:r>
      <w:r>
        <w:rPr>
          <w:rFonts w:hint="eastAsia" w:ascii="仿宋" w:hAnsi="仿宋" w:eastAsia="仿宋" w:cs="仿宋"/>
          <w:bCs/>
          <w:color w:val="auto"/>
          <w:sz w:val="24"/>
          <w:szCs w:val="24"/>
          <w:highlight w:val="none"/>
          <w:u w:val="single"/>
        </w:rPr>
        <w:t>是/否</w:t>
      </w:r>
      <w:r>
        <w:rPr>
          <w:rFonts w:hint="eastAsia" w:ascii="仿宋" w:hAnsi="仿宋" w:eastAsia="仿宋" w:cs="仿宋"/>
          <w:bCs/>
          <w:color w:val="auto"/>
          <w:sz w:val="24"/>
          <w:szCs w:val="24"/>
          <w:highlight w:val="none"/>
        </w:rPr>
        <w:t xml:space="preserve">     公告期限：</w:t>
      </w:r>
    </w:p>
    <w:p w14:paraId="5ED57252">
      <w:pPr>
        <w:pStyle w:val="27"/>
        <w:spacing w:line="400" w:lineRule="exact"/>
        <w:ind w:left="25" w:leftChars="12" w:firstLine="472" w:firstLineChars="196"/>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三、质疑基本情况</w:t>
      </w:r>
    </w:p>
    <w:p w14:paraId="05D0B80E">
      <w:pPr>
        <w:pStyle w:val="27"/>
        <w:spacing w:line="400" w:lineRule="exact"/>
        <w:ind w:left="25" w:leftChars="12"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投诉人于  年   月   日，向提出质疑，质疑事项为：</w:t>
      </w:r>
    </w:p>
    <w:p w14:paraId="6415A8A4">
      <w:pPr>
        <w:pStyle w:val="27"/>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u w:val="single"/>
        </w:rPr>
        <w:t>采购人/代理机构</w:t>
      </w:r>
      <w:r>
        <w:rPr>
          <w:rFonts w:hint="eastAsia" w:ascii="仿宋" w:hAnsi="仿宋" w:eastAsia="仿宋" w:cs="仿宋"/>
          <w:bCs/>
          <w:color w:val="auto"/>
          <w:sz w:val="24"/>
          <w:szCs w:val="24"/>
          <w:highlight w:val="none"/>
        </w:rPr>
        <w:t xml:space="preserve">于   </w:t>
      </w:r>
      <w:r>
        <w:rPr>
          <w:rFonts w:hint="eastAsia" w:ascii="仿宋" w:hAnsi="仿宋" w:eastAsia="仿宋" w:cs="仿宋"/>
          <w:color w:val="auto"/>
          <w:sz w:val="24"/>
          <w:szCs w:val="24"/>
          <w:highlight w:val="none"/>
        </w:rPr>
        <w:t>年  月   日，</w:t>
      </w:r>
      <w:r>
        <w:rPr>
          <w:rFonts w:hint="eastAsia" w:ascii="仿宋" w:hAnsi="仿宋" w:eastAsia="仿宋" w:cs="仿宋"/>
          <w:bCs/>
          <w:color w:val="auto"/>
          <w:sz w:val="24"/>
          <w:szCs w:val="24"/>
          <w:highlight w:val="none"/>
        </w:rPr>
        <w:t xml:space="preserve">就质疑事项作出了答复/没有在法定期限内作出答复。                                                                                             </w:t>
      </w:r>
    </w:p>
    <w:p w14:paraId="3D64475F">
      <w:pPr>
        <w:pStyle w:val="27"/>
        <w:spacing w:line="400" w:lineRule="exact"/>
        <w:ind w:left="25" w:leftChars="12" w:firstLine="472" w:firstLineChars="196"/>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四、投诉事项具体内容</w:t>
      </w:r>
    </w:p>
    <w:p w14:paraId="28F2E1D3">
      <w:pPr>
        <w:pStyle w:val="27"/>
        <w:spacing w:line="400" w:lineRule="exact"/>
        <w:ind w:left="25" w:leftChars="12" w:firstLine="472" w:firstLineChars="197"/>
        <w:rPr>
          <w:rFonts w:hint="eastAsia"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投诉事项1：</w:t>
      </w:r>
    </w:p>
    <w:p w14:paraId="0E76B091">
      <w:pPr>
        <w:pStyle w:val="27"/>
        <w:spacing w:line="400" w:lineRule="exact"/>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事实依据：</w:t>
      </w:r>
    </w:p>
    <w:p w14:paraId="2598736F">
      <w:pPr>
        <w:pStyle w:val="27"/>
        <w:spacing w:line="400" w:lineRule="exact"/>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法律依据：</w:t>
      </w:r>
    </w:p>
    <w:p w14:paraId="5CFA3AF7">
      <w:pPr>
        <w:pStyle w:val="27"/>
        <w:spacing w:line="400" w:lineRule="exact"/>
        <w:ind w:left="25" w:leftChars="12" w:firstLine="472" w:firstLineChars="197"/>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投诉事项2：</w:t>
      </w:r>
    </w:p>
    <w:p w14:paraId="42437F7F">
      <w:pPr>
        <w:pStyle w:val="27"/>
        <w:spacing w:line="400" w:lineRule="exact"/>
        <w:ind w:left="25" w:leftChars="12" w:firstLine="472" w:firstLineChars="197"/>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w:t>
      </w:r>
    </w:p>
    <w:p w14:paraId="5F4AB330">
      <w:pPr>
        <w:pStyle w:val="27"/>
        <w:spacing w:line="400" w:lineRule="exact"/>
        <w:ind w:left="25" w:leftChars="12" w:firstLine="472" w:firstLineChars="196"/>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五、与投诉事项相关的投诉请求：</w:t>
      </w:r>
    </w:p>
    <w:p w14:paraId="45999F16">
      <w:pPr>
        <w:pStyle w:val="27"/>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请求：</w:t>
      </w:r>
    </w:p>
    <w:p w14:paraId="4BD32F9E">
      <w:pPr>
        <w:pStyle w:val="27"/>
        <w:spacing w:line="400" w:lineRule="exact"/>
        <w:ind w:left="25" w:leftChars="12" w:firstLine="352" w:firstLineChars="147"/>
        <w:rPr>
          <w:rFonts w:hint="eastAsia" w:ascii="仿宋" w:hAnsi="仿宋" w:eastAsia="仿宋" w:cs="仿宋"/>
          <w:color w:val="auto"/>
          <w:sz w:val="24"/>
          <w:szCs w:val="24"/>
          <w:highlight w:val="none"/>
        </w:rPr>
      </w:pPr>
    </w:p>
    <w:p w14:paraId="5A909603">
      <w:pPr>
        <w:pStyle w:val="27"/>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签字（签章）：</w:t>
      </w:r>
    </w:p>
    <w:p w14:paraId="4FED9101">
      <w:pPr>
        <w:pStyle w:val="27"/>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公章：</w:t>
      </w:r>
    </w:p>
    <w:p w14:paraId="37B8BA1F">
      <w:pPr>
        <w:pStyle w:val="27"/>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w:t>
      </w:r>
    </w:p>
    <w:p w14:paraId="36204F91">
      <w:pPr>
        <w:pStyle w:val="27"/>
        <w:snapToGrid w:val="0"/>
        <w:spacing w:line="36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说明：</w:t>
      </w:r>
    </w:p>
    <w:p w14:paraId="1B86FB0C">
      <w:pPr>
        <w:pStyle w:val="27"/>
        <w:spacing w:line="360" w:lineRule="exact"/>
        <w:ind w:left="25" w:leftChars="12" w:firstLine="354" w:firstLineChars="147"/>
        <w:rPr>
          <w:rFonts w:hint="eastAsia" w:ascii="仿宋" w:hAnsi="仿宋" w:eastAsia="仿宋" w:cs="仿宋"/>
          <w:b/>
          <w:bCs/>
          <w:color w:val="auto"/>
          <w:sz w:val="24"/>
          <w:szCs w:val="24"/>
          <w:highlight w:val="none"/>
        </w:rPr>
      </w:pPr>
      <w:r>
        <w:rPr>
          <w:rFonts w:hint="eastAsia" w:ascii="仿宋" w:hAnsi="仿宋" w:eastAsia="仿宋" w:cs="仿宋"/>
          <w:b/>
          <w:color w:val="auto"/>
          <w:sz w:val="24"/>
          <w:szCs w:val="24"/>
          <w:highlight w:val="none"/>
        </w:rPr>
        <w:t>1.投诉人提起投诉时，应当提交投诉书和必要的证明材料，并按照被投诉人和与投诉事项有关的供应商数量提供投诉书副本</w:t>
      </w:r>
      <w:r>
        <w:rPr>
          <w:rFonts w:hint="eastAsia" w:ascii="仿宋" w:hAnsi="仿宋" w:eastAsia="仿宋" w:cs="仿宋"/>
          <w:b/>
          <w:bCs/>
          <w:color w:val="auto"/>
          <w:sz w:val="24"/>
          <w:szCs w:val="24"/>
          <w:highlight w:val="none"/>
        </w:rPr>
        <w:t>。</w:t>
      </w:r>
    </w:p>
    <w:p w14:paraId="6858CBFA">
      <w:pPr>
        <w:pStyle w:val="27"/>
        <w:spacing w:line="360" w:lineRule="exact"/>
        <w:ind w:left="25" w:leftChars="12" w:firstLine="354" w:firstLineChars="147"/>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47AC886D">
      <w:pPr>
        <w:pStyle w:val="27"/>
        <w:spacing w:line="360" w:lineRule="exact"/>
        <w:ind w:left="25" w:leftChars="12" w:firstLine="354" w:firstLineChars="147"/>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3.投诉书应简要列明质疑事项，质疑函、质疑答复等作为附件材料提供。</w:t>
      </w:r>
    </w:p>
    <w:p w14:paraId="2D4C0C5A">
      <w:pPr>
        <w:pStyle w:val="27"/>
        <w:spacing w:line="360" w:lineRule="exact"/>
        <w:ind w:left="25" w:leftChars="12" w:firstLine="354" w:firstLineChars="147"/>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4.投诉书的投诉事项应具体、明确，并有必要的事实依据和法律依据。</w:t>
      </w:r>
    </w:p>
    <w:p w14:paraId="438D5B4F">
      <w:pPr>
        <w:pStyle w:val="27"/>
        <w:spacing w:line="360" w:lineRule="exact"/>
        <w:ind w:left="25" w:leftChars="12" w:firstLine="354" w:firstLineChars="147"/>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5.投诉书的投诉请求应与投诉事项相关。</w:t>
      </w:r>
    </w:p>
    <w:p w14:paraId="1930DBA2">
      <w:pPr>
        <w:pStyle w:val="27"/>
        <w:spacing w:line="360" w:lineRule="exact"/>
        <w:ind w:left="25" w:leftChars="12" w:firstLine="354" w:firstLineChars="147"/>
        <w:rPr>
          <w:rFonts w:hint="eastAsia" w:ascii="仿宋" w:hAnsi="仿宋" w:eastAsia="仿宋" w:cs="仿宋"/>
          <w:b/>
          <w:color w:val="auto"/>
          <w:highlight w:val="none"/>
        </w:rPr>
      </w:pPr>
      <w:r>
        <w:rPr>
          <w:rFonts w:hint="eastAsia" w:ascii="仿宋" w:hAnsi="仿宋" w:eastAsia="仿宋" w:cs="仿宋"/>
          <w:b/>
          <w:color w:val="auto"/>
          <w:sz w:val="24"/>
          <w:szCs w:val="24"/>
          <w:highlight w:val="none"/>
        </w:rPr>
        <w:t>6.投诉人为法人或者其他组织的，投诉书应由法定代表人、主要负责人，或者其授权代表签字或者盖章，并加盖公章。</w:t>
      </w:r>
    </w:p>
    <w:sectPr>
      <w:footerReference r:id="rId12" w:type="first"/>
      <w:headerReference r:id="rId9" w:type="default"/>
      <w:footerReference r:id="rId10" w:type="default"/>
      <w:footerReference r:id="rId11" w:type="even"/>
      <w:pgSz w:w="11906" w:h="16838"/>
      <w:pgMar w:top="907" w:right="851" w:bottom="907" w:left="851" w:header="851" w:footer="510" w:gutter="0"/>
      <w:pgNumType w:fmt="numberInDash"/>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1" w:fontKey="{A16FD76B-43D6-4BF7-BD4F-92133F6605D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690A047-97EF-4658-A964-2B7FE8692592}"/>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27322D5F-C698-48B1-BDF8-4C6A3CB348BB}"/>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entury">
    <w:altName w:val="Times New Roman"/>
    <w:panose1 w:val="02040604050505020304"/>
    <w:charset w:val="00"/>
    <w:family w:val="roman"/>
    <w:pitch w:val="default"/>
    <w:sig w:usb0="00000000" w:usb1="00000000" w:usb2="00000000" w:usb3="00000000" w:csb0="2000009F" w:csb1="DFD70000"/>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embedRegular r:id="rId4" w:fontKey="{32CE1A67-1267-486B-B888-7579337A711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845952"/>
    </w:sdtPr>
    <w:sdtEndPr>
      <w:rPr>
        <w:rFonts w:ascii="仿宋" w:hAnsi="仿宋" w:eastAsia="仿宋"/>
        <w:sz w:val="21"/>
        <w:szCs w:val="21"/>
      </w:rPr>
    </w:sdtEndPr>
    <w:sdtContent>
      <w:p w14:paraId="5CF8AB3D">
        <w:pPr>
          <w:pStyle w:val="33"/>
          <w:jc w:val="center"/>
          <w:rPr>
            <w:rFonts w:hint="eastAsia" w:ascii="仿宋" w:hAnsi="仿宋" w:eastAsia="仿宋"/>
            <w:sz w:val="21"/>
            <w:szCs w:val="21"/>
          </w:rPr>
        </w:pPr>
        <w:r>
          <w:rPr>
            <w:rFonts w:ascii="仿宋" w:hAnsi="仿宋" w:eastAsia="仿宋"/>
            <w:sz w:val="21"/>
            <w:szCs w:val="21"/>
          </w:rPr>
          <w:fldChar w:fldCharType="begin"/>
        </w:r>
        <w:r>
          <w:rPr>
            <w:rFonts w:ascii="仿宋" w:hAnsi="仿宋" w:eastAsia="仿宋"/>
            <w:sz w:val="21"/>
            <w:szCs w:val="21"/>
          </w:rPr>
          <w:instrText xml:space="preserve">PAGE   \* MERGEFORMAT</w:instrText>
        </w:r>
        <w:r>
          <w:rPr>
            <w:rFonts w:ascii="仿宋" w:hAnsi="仿宋" w:eastAsia="仿宋"/>
            <w:sz w:val="21"/>
            <w:szCs w:val="21"/>
          </w:rPr>
          <w:fldChar w:fldCharType="separate"/>
        </w:r>
        <w:r>
          <w:rPr>
            <w:rFonts w:ascii="仿宋" w:hAnsi="仿宋" w:eastAsia="仿宋"/>
            <w:sz w:val="21"/>
            <w:szCs w:val="21"/>
            <w:lang w:val="zh-CN"/>
          </w:rPr>
          <w:t>-</w:t>
        </w:r>
        <w:r>
          <w:rPr>
            <w:rFonts w:ascii="仿宋" w:hAnsi="仿宋" w:eastAsia="仿宋"/>
            <w:sz w:val="21"/>
            <w:szCs w:val="21"/>
          </w:rPr>
          <w:t xml:space="preserve"> 38 -</w:t>
        </w:r>
        <w:r>
          <w:rPr>
            <w:rFonts w:ascii="仿宋" w:hAnsi="仿宋" w:eastAsia="仿宋"/>
            <w:sz w:val="21"/>
            <w:szCs w:val="21"/>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B2DB5">
    <w:pPr>
      <w:pStyle w:val="33"/>
      <w:framePr w:wrap="around" w:vAnchor="text" w:hAnchor="margin" w:xAlign="center" w:y="1"/>
      <w:rPr>
        <w:rStyle w:val="55"/>
      </w:rPr>
    </w:pPr>
    <w:r>
      <w:fldChar w:fldCharType="begin"/>
    </w:r>
    <w:r>
      <w:rPr>
        <w:rStyle w:val="55"/>
      </w:rPr>
      <w:instrText xml:space="preserve">PAGE  </w:instrText>
    </w:r>
    <w:r>
      <w:fldChar w:fldCharType="end"/>
    </w:r>
  </w:p>
  <w:p w14:paraId="3CF5058F">
    <w:pPr>
      <w:pStyle w:val="3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5A14A">
    <w:pPr>
      <w:pStyle w:val="33"/>
      <w:ind w:right="360"/>
      <w:jc w:val="both"/>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F420E">
    <w:pPr>
      <w:pStyle w:val="33"/>
      <w:jc w:val="center"/>
      <w:rPr>
        <w:rFonts w:hint="eastAsia" w:ascii="仿宋" w:hAnsi="仿宋" w:eastAsia="仿宋"/>
        <w:sz w:val="21"/>
        <w:szCs w:val="21"/>
      </w:rPr>
    </w:pPr>
    <w:r>
      <w:rPr>
        <w:rFonts w:ascii="仿宋" w:hAnsi="仿宋" w:eastAsia="仿宋"/>
        <w:sz w:val="21"/>
        <w:szCs w:val="21"/>
      </w:rPr>
      <w:fldChar w:fldCharType="begin"/>
    </w:r>
    <w:r>
      <w:rPr>
        <w:rFonts w:ascii="仿宋" w:hAnsi="仿宋" w:eastAsia="仿宋"/>
        <w:sz w:val="21"/>
        <w:szCs w:val="21"/>
      </w:rPr>
      <w:instrText xml:space="preserve"> PAGE   \* MERGEFORMAT </w:instrText>
    </w:r>
    <w:r>
      <w:rPr>
        <w:rFonts w:ascii="仿宋" w:hAnsi="仿宋" w:eastAsia="仿宋"/>
        <w:sz w:val="21"/>
        <w:szCs w:val="21"/>
      </w:rPr>
      <w:fldChar w:fldCharType="separate"/>
    </w:r>
    <w:r>
      <w:rPr>
        <w:rFonts w:ascii="仿宋" w:hAnsi="仿宋" w:eastAsia="仿宋"/>
        <w:sz w:val="21"/>
        <w:szCs w:val="21"/>
        <w:lang w:val="zh-CN"/>
      </w:rPr>
      <w:t>-</w:t>
    </w:r>
    <w:r>
      <w:rPr>
        <w:rFonts w:ascii="仿宋" w:hAnsi="仿宋" w:eastAsia="仿宋"/>
        <w:sz w:val="21"/>
        <w:szCs w:val="21"/>
      </w:rPr>
      <w:t xml:space="preserve"> 81 -</w:t>
    </w:r>
    <w:r>
      <w:rPr>
        <w:rFonts w:ascii="仿宋" w:hAnsi="仿宋" w:eastAsia="仿宋"/>
        <w:sz w:val="21"/>
        <w:szCs w:val="21"/>
      </w:rPr>
      <w:fldChar w:fldCharType="end"/>
    </w:r>
  </w:p>
  <w:p w14:paraId="526DB9BE">
    <w:pPr>
      <w:pStyle w:val="3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97475">
    <w:pPr>
      <w:pStyle w:val="33"/>
      <w:framePr w:wrap="around" w:vAnchor="text" w:hAnchor="margin" w:xAlign="center" w:y="1"/>
      <w:rPr>
        <w:rStyle w:val="55"/>
      </w:rPr>
    </w:pPr>
    <w:r>
      <w:fldChar w:fldCharType="begin"/>
    </w:r>
    <w:r>
      <w:rPr>
        <w:rStyle w:val="55"/>
      </w:rPr>
      <w:instrText xml:space="preserve">PAGE  </w:instrText>
    </w:r>
    <w:r>
      <w:fldChar w:fldCharType="end"/>
    </w:r>
  </w:p>
  <w:p w14:paraId="7A9EE3D9">
    <w:pPr>
      <w:pStyle w:val="3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A6CA9">
    <w:pPr>
      <w:pStyle w:val="33"/>
      <w:ind w:right="360"/>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904A0">
    <w:pPr>
      <w:pStyle w:val="3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468A3">
    <w:pPr>
      <w:pStyle w:val="3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FCA7CC"/>
    <w:multiLevelType w:val="singleLevel"/>
    <w:tmpl w:val="C7FCA7CC"/>
    <w:lvl w:ilvl="0" w:tentative="0">
      <w:start w:val="4"/>
      <w:numFmt w:val="decimal"/>
      <w:suff w:val="nothing"/>
      <w:lvlText w:val="%1、"/>
      <w:lvlJc w:val="left"/>
    </w:lvl>
  </w:abstractNum>
  <w:abstractNum w:abstractNumId="1">
    <w:nsid w:val="FFFFFF7E"/>
    <w:multiLevelType w:val="singleLevel"/>
    <w:tmpl w:val="FFFFFF7E"/>
    <w:lvl w:ilvl="0" w:tentative="0">
      <w:start w:val="1"/>
      <w:numFmt w:val="decimal"/>
      <w:pStyle w:val="22"/>
      <w:lvlText w:val="%1."/>
      <w:lvlJc w:val="left"/>
      <w:pPr>
        <w:tabs>
          <w:tab w:val="left" w:pos="1200"/>
        </w:tabs>
        <w:ind w:left="1200" w:hanging="360"/>
      </w:pPr>
    </w:lvl>
  </w:abstractNum>
  <w:abstractNum w:abstractNumId="2">
    <w:nsid w:val="00000002"/>
    <w:multiLevelType w:val="singleLevel"/>
    <w:tmpl w:val="00000002"/>
    <w:lvl w:ilvl="0" w:tentative="0">
      <w:start w:val="1"/>
      <w:numFmt w:val="decimal"/>
      <w:suff w:val="nothing"/>
      <w:lvlText w:val="%1、"/>
      <w:lvlJc w:val="left"/>
    </w:lvl>
  </w:abstractNum>
  <w:abstractNum w:abstractNumId="3">
    <w:nsid w:val="00000006"/>
    <w:multiLevelType w:val="singleLevel"/>
    <w:tmpl w:val="00000006"/>
    <w:lvl w:ilvl="0" w:tentative="0">
      <w:start w:val="1"/>
      <w:numFmt w:val="decimal"/>
      <w:suff w:val="nothing"/>
      <w:lvlText w:val="（%1）"/>
      <w:lvlJc w:val="left"/>
    </w:lvl>
  </w:abstractNum>
  <w:abstractNum w:abstractNumId="4">
    <w:nsid w:val="166BC886"/>
    <w:multiLevelType w:val="singleLevel"/>
    <w:tmpl w:val="166BC886"/>
    <w:lvl w:ilvl="0" w:tentative="0">
      <w:start w:val="1"/>
      <w:numFmt w:val="decimal"/>
      <w:suff w:val="nothing"/>
      <w:lvlText w:val="%1、"/>
      <w:lvlJc w:val="left"/>
    </w:lvl>
  </w:abstractNum>
  <w:abstractNum w:abstractNumId="5">
    <w:nsid w:val="1FBE69EA"/>
    <w:multiLevelType w:val="singleLevel"/>
    <w:tmpl w:val="1FBE69EA"/>
    <w:lvl w:ilvl="0" w:tentative="0">
      <w:start w:val="2"/>
      <w:numFmt w:val="chineseCounting"/>
      <w:suff w:val="space"/>
      <w:lvlText w:val="第%1章"/>
      <w:lvlJc w:val="left"/>
      <w:rPr>
        <w:rFonts w:hint="eastAsia"/>
      </w:rPr>
    </w:lvl>
  </w:abstractNum>
  <w:abstractNum w:abstractNumId="6">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7"/>
      <w:suff w:val="nothing"/>
      <w:lvlText w:val=""/>
      <w:lvlJc w:val="left"/>
      <w:pPr>
        <w:ind w:left="0" w:firstLine="0"/>
      </w:pPr>
      <w:rPr>
        <w:rFonts w:hint="eastAsia"/>
      </w:rPr>
    </w:lvl>
    <w:lvl w:ilvl="5" w:tentative="0">
      <w:start w:val="1"/>
      <w:numFmt w:val="none"/>
      <w:pStyle w:val="9"/>
      <w:suff w:val="nothing"/>
      <w:lvlText w:val=""/>
      <w:lvlJc w:val="left"/>
      <w:pPr>
        <w:ind w:left="0" w:firstLine="0"/>
      </w:pPr>
      <w:rPr>
        <w:rFonts w:hint="eastAsia"/>
      </w:rPr>
    </w:lvl>
    <w:lvl w:ilvl="6" w:tentative="0">
      <w:start w:val="1"/>
      <w:numFmt w:val="none"/>
      <w:pStyle w:val="10"/>
      <w:suff w:val="nothing"/>
      <w:lvlText w:val=""/>
      <w:lvlJc w:val="left"/>
      <w:pPr>
        <w:ind w:left="0" w:firstLine="0"/>
      </w:pPr>
      <w:rPr>
        <w:rFonts w:hint="eastAsia"/>
      </w:rPr>
    </w:lvl>
    <w:lvl w:ilvl="7" w:tentative="0">
      <w:start w:val="1"/>
      <w:numFmt w:val="none"/>
      <w:pStyle w:val="11"/>
      <w:suff w:val="nothing"/>
      <w:lvlText w:val=""/>
      <w:lvlJc w:val="left"/>
      <w:pPr>
        <w:ind w:left="0" w:firstLine="0"/>
      </w:pPr>
      <w:rPr>
        <w:rFonts w:hint="eastAsia"/>
      </w:rPr>
    </w:lvl>
    <w:lvl w:ilvl="8" w:tentative="0">
      <w:start w:val="1"/>
      <w:numFmt w:val="none"/>
      <w:pStyle w:val="12"/>
      <w:suff w:val="nothing"/>
      <w:lvlText w:val=""/>
      <w:lvlJc w:val="left"/>
      <w:pPr>
        <w:ind w:left="0" w:firstLine="0"/>
      </w:pPr>
      <w:rPr>
        <w:rFonts w:hint="eastAsia"/>
      </w:rPr>
    </w:lvl>
  </w:abstractNum>
  <w:abstractNum w:abstractNumId="7">
    <w:nsid w:val="4C601917"/>
    <w:multiLevelType w:val="singleLevel"/>
    <w:tmpl w:val="4C601917"/>
    <w:lvl w:ilvl="0" w:tentative="0">
      <w:start w:val="1"/>
      <w:numFmt w:val="decimal"/>
      <w:suff w:val="nothing"/>
      <w:lvlText w:val="（%1）"/>
      <w:lvlJc w:val="left"/>
      <w:pPr>
        <w:ind w:left="-2"/>
      </w:pPr>
    </w:lvl>
  </w:abstractNum>
  <w:abstractNum w:abstractNumId="8">
    <w:nsid w:val="5FABD14B"/>
    <w:multiLevelType w:val="singleLevel"/>
    <w:tmpl w:val="5FABD14B"/>
    <w:lvl w:ilvl="0" w:tentative="0">
      <w:start w:val="1"/>
      <w:numFmt w:val="decimal"/>
      <w:suff w:val="nothing"/>
      <w:lvlText w:val="（%1）"/>
      <w:lvlJc w:val="left"/>
    </w:lvl>
  </w:abstractNum>
  <w:abstractNum w:abstractNumId="9">
    <w:nsid w:val="68423BD2"/>
    <w:multiLevelType w:val="multilevel"/>
    <w:tmpl w:val="68423BD2"/>
    <w:lvl w:ilvl="0" w:tentative="0">
      <w:start w:val="1"/>
      <w:numFmt w:val="japaneseCounting"/>
      <w:lvlText w:val="第%1章"/>
      <w:lvlJc w:val="left"/>
      <w:pPr>
        <w:tabs>
          <w:tab w:val="left" w:pos="1815"/>
        </w:tabs>
        <w:ind w:left="1815" w:hanging="1275"/>
      </w:pPr>
      <w:rPr>
        <w:rFonts w:hint="eastAsia"/>
        <w:lang w:val="en-US"/>
      </w:rPr>
    </w:lvl>
    <w:lvl w:ilvl="1" w:tentative="0">
      <w:start w:val="1"/>
      <w:numFmt w:val="japaneseCounting"/>
      <w:lvlText w:val="%2、"/>
      <w:lvlJc w:val="left"/>
      <w:pPr>
        <w:tabs>
          <w:tab w:val="left" w:pos="1680"/>
        </w:tabs>
        <w:ind w:left="1680" w:hanging="720"/>
      </w:pPr>
      <w:rPr>
        <w:rFonts w:hint="eastAsia"/>
      </w:rPr>
    </w:lvl>
    <w:lvl w:ilvl="2" w:tentative="0">
      <w:start w:val="1"/>
      <w:numFmt w:val="decimal"/>
      <w:lvlText w:val="%3."/>
      <w:lvlJc w:val="left"/>
      <w:pPr>
        <w:ind w:left="502" w:hanging="360"/>
      </w:pPr>
      <w:rPr>
        <w:rFonts w:hint="default"/>
        <w:sz w:val="24"/>
        <w:szCs w:val="24"/>
      </w:r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num w:numId="1">
    <w:abstractNumId w:val="6"/>
  </w:num>
  <w:num w:numId="2">
    <w:abstractNumId w:val="1"/>
  </w:num>
  <w:num w:numId="3">
    <w:abstractNumId w:val="5"/>
  </w:num>
  <w:num w:numId="4">
    <w:abstractNumId w:val="2"/>
  </w:num>
  <w:num w:numId="5">
    <w:abstractNumId w:val="4"/>
  </w:num>
  <w:num w:numId="6">
    <w:abstractNumId w:val="7"/>
  </w:num>
  <w:num w:numId="7">
    <w:abstractNumId w:val="8"/>
  </w:num>
  <w:num w:numId="8">
    <w:abstractNumId w:val="3"/>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55F30"/>
    <w:rsid w:val="02A6739E"/>
    <w:rsid w:val="03CD0D59"/>
    <w:rsid w:val="04F668B1"/>
    <w:rsid w:val="061756A9"/>
    <w:rsid w:val="06386FF8"/>
    <w:rsid w:val="06957D13"/>
    <w:rsid w:val="06B94F1C"/>
    <w:rsid w:val="075E111A"/>
    <w:rsid w:val="07BB0739"/>
    <w:rsid w:val="091C3577"/>
    <w:rsid w:val="0A013949"/>
    <w:rsid w:val="0AD42939"/>
    <w:rsid w:val="0D5368A3"/>
    <w:rsid w:val="0FB70159"/>
    <w:rsid w:val="12B6039C"/>
    <w:rsid w:val="12EC4BB0"/>
    <w:rsid w:val="151A1046"/>
    <w:rsid w:val="157306F8"/>
    <w:rsid w:val="16496FC7"/>
    <w:rsid w:val="16562C3A"/>
    <w:rsid w:val="20565029"/>
    <w:rsid w:val="2094619B"/>
    <w:rsid w:val="224F4E4E"/>
    <w:rsid w:val="22C30860"/>
    <w:rsid w:val="23D007FF"/>
    <w:rsid w:val="245F793E"/>
    <w:rsid w:val="250F50C4"/>
    <w:rsid w:val="26564228"/>
    <w:rsid w:val="2D74105A"/>
    <w:rsid w:val="2D883196"/>
    <w:rsid w:val="35CB479C"/>
    <w:rsid w:val="38D054CD"/>
    <w:rsid w:val="3A8A3448"/>
    <w:rsid w:val="3BAD6DC8"/>
    <w:rsid w:val="3C4457AB"/>
    <w:rsid w:val="3DE726A1"/>
    <w:rsid w:val="4431582F"/>
    <w:rsid w:val="44982DC6"/>
    <w:rsid w:val="480239B3"/>
    <w:rsid w:val="483C7BC1"/>
    <w:rsid w:val="4C3018D5"/>
    <w:rsid w:val="4D277082"/>
    <w:rsid w:val="4D804C84"/>
    <w:rsid w:val="4DFC6E5D"/>
    <w:rsid w:val="4E982697"/>
    <w:rsid w:val="4F44746F"/>
    <w:rsid w:val="50377F99"/>
    <w:rsid w:val="51134562"/>
    <w:rsid w:val="51BE7405"/>
    <w:rsid w:val="524D008C"/>
    <w:rsid w:val="54D95840"/>
    <w:rsid w:val="552713D3"/>
    <w:rsid w:val="573214BA"/>
    <w:rsid w:val="5780562E"/>
    <w:rsid w:val="583612B0"/>
    <w:rsid w:val="5C5D4EE0"/>
    <w:rsid w:val="5F171E0D"/>
    <w:rsid w:val="608168B8"/>
    <w:rsid w:val="6236052C"/>
    <w:rsid w:val="65332297"/>
    <w:rsid w:val="671A1A10"/>
    <w:rsid w:val="6B5133DB"/>
    <w:rsid w:val="6F7A69D7"/>
    <w:rsid w:val="71B40FF2"/>
    <w:rsid w:val="725B53BB"/>
    <w:rsid w:val="72E82840"/>
    <w:rsid w:val="7639662C"/>
    <w:rsid w:val="7DD343E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qFormat="1" w:unhideWhenUsed="0" w:uiPriority="99" w:semiHidden="0" w:name="table of figures"/>
    <w:lsdException w:uiPriority="99" w:name="envelope address"/>
    <w:lsdException w:qFormat="1" w:unhideWhenUsed="0" w:uiPriority="0" w:semiHidden="0" w:name="envelope return"/>
    <w:lsdException w:qFormat="1" w:uiPriority="99" w:semiHidden="0" w:name="footnote reference"/>
    <w:lsdException w:qFormat="1" w:uiPriority="99" w:semiHidden="0" w:name="annotation reference"/>
    <w:lsdException w:uiPriority="99" w:name="line number"/>
    <w:lsdException w:qFormat="1" w:unhideWhenUsed="0"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99"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3"/>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64"/>
    <w:qFormat/>
    <w:uiPriority w:val="0"/>
    <w:pPr>
      <w:keepNext/>
      <w:keepLines/>
      <w:spacing w:before="260" w:after="260" w:line="416" w:lineRule="auto"/>
      <w:outlineLvl w:val="1"/>
    </w:pPr>
    <w:rPr>
      <w:rFonts w:ascii="Arial" w:hAnsi="Arial" w:eastAsia="黑体"/>
      <w:b/>
      <w:bCs/>
      <w:kern w:val="0"/>
      <w:sz w:val="32"/>
      <w:szCs w:val="32"/>
    </w:rPr>
  </w:style>
  <w:style w:type="paragraph" w:styleId="5">
    <w:name w:val="heading 3"/>
    <w:basedOn w:val="1"/>
    <w:next w:val="1"/>
    <w:link w:val="65"/>
    <w:qFormat/>
    <w:uiPriority w:val="99"/>
    <w:pPr>
      <w:keepNext/>
      <w:keepLines/>
      <w:spacing w:before="260" w:after="260" w:line="416" w:lineRule="auto"/>
      <w:outlineLvl w:val="2"/>
    </w:pPr>
    <w:rPr>
      <w:b/>
      <w:bCs/>
      <w:kern w:val="0"/>
      <w:sz w:val="32"/>
      <w:szCs w:val="32"/>
    </w:rPr>
  </w:style>
  <w:style w:type="paragraph" w:styleId="6">
    <w:name w:val="heading 4"/>
    <w:basedOn w:val="1"/>
    <w:next w:val="1"/>
    <w:qFormat/>
    <w:uiPriority w:val="0"/>
    <w:pPr>
      <w:keepNext/>
      <w:keepLines/>
      <w:widowControl/>
      <w:spacing w:before="120" w:after="120" w:line="360" w:lineRule="auto"/>
      <w:ind w:firstLine="1044" w:firstLineChars="200"/>
      <w:jc w:val="center"/>
      <w:outlineLvl w:val="3"/>
    </w:pPr>
    <w:rPr>
      <w:rFonts w:ascii="Arial" w:hAnsi="Arial" w:eastAsia="黑体"/>
      <w:kern w:val="0"/>
      <w:sz w:val="28"/>
      <w:szCs w:val="20"/>
    </w:rPr>
  </w:style>
  <w:style w:type="paragraph" w:styleId="7">
    <w:name w:val="heading 5"/>
    <w:basedOn w:val="1"/>
    <w:next w:val="8"/>
    <w:link w:val="66"/>
    <w:qFormat/>
    <w:uiPriority w:val="0"/>
    <w:pPr>
      <w:keepNext/>
      <w:keepLines/>
      <w:numPr>
        <w:ilvl w:val="4"/>
        <w:numId w:val="1"/>
      </w:numPr>
      <w:spacing w:before="280" w:after="290" w:line="376" w:lineRule="auto"/>
      <w:outlineLvl w:val="4"/>
    </w:pPr>
    <w:rPr>
      <w:b/>
      <w:sz w:val="28"/>
    </w:rPr>
  </w:style>
  <w:style w:type="paragraph" w:styleId="9">
    <w:name w:val="heading 6"/>
    <w:basedOn w:val="1"/>
    <w:next w:val="8"/>
    <w:link w:val="67"/>
    <w:qFormat/>
    <w:uiPriority w:val="0"/>
    <w:pPr>
      <w:keepNext/>
      <w:keepLines/>
      <w:numPr>
        <w:ilvl w:val="5"/>
        <w:numId w:val="1"/>
      </w:numPr>
      <w:spacing w:before="240" w:after="64" w:line="320" w:lineRule="auto"/>
      <w:outlineLvl w:val="5"/>
    </w:pPr>
    <w:rPr>
      <w:rFonts w:ascii="Arial" w:hAnsi="Arial" w:eastAsia="黑体"/>
      <w:b/>
      <w:sz w:val="24"/>
    </w:rPr>
  </w:style>
  <w:style w:type="paragraph" w:styleId="10">
    <w:name w:val="heading 7"/>
    <w:basedOn w:val="1"/>
    <w:next w:val="8"/>
    <w:link w:val="68"/>
    <w:qFormat/>
    <w:uiPriority w:val="0"/>
    <w:pPr>
      <w:keepNext/>
      <w:keepLines/>
      <w:numPr>
        <w:ilvl w:val="6"/>
        <w:numId w:val="1"/>
      </w:numPr>
      <w:spacing w:before="240" w:after="64" w:line="320" w:lineRule="auto"/>
      <w:outlineLvl w:val="6"/>
    </w:pPr>
    <w:rPr>
      <w:b/>
      <w:sz w:val="24"/>
    </w:rPr>
  </w:style>
  <w:style w:type="paragraph" w:styleId="11">
    <w:name w:val="heading 8"/>
    <w:basedOn w:val="1"/>
    <w:next w:val="8"/>
    <w:link w:val="69"/>
    <w:qFormat/>
    <w:uiPriority w:val="0"/>
    <w:pPr>
      <w:keepNext/>
      <w:keepLines/>
      <w:numPr>
        <w:ilvl w:val="7"/>
        <w:numId w:val="1"/>
      </w:numPr>
      <w:spacing w:before="240" w:after="64" w:line="320" w:lineRule="auto"/>
      <w:outlineLvl w:val="7"/>
    </w:pPr>
    <w:rPr>
      <w:rFonts w:ascii="Arial" w:hAnsi="Arial" w:eastAsia="黑体"/>
      <w:sz w:val="24"/>
    </w:rPr>
  </w:style>
  <w:style w:type="paragraph" w:styleId="12">
    <w:name w:val="heading 9"/>
    <w:basedOn w:val="1"/>
    <w:next w:val="8"/>
    <w:link w:val="70"/>
    <w:qFormat/>
    <w:uiPriority w:val="0"/>
    <w:pPr>
      <w:keepNext/>
      <w:keepLines/>
      <w:numPr>
        <w:ilvl w:val="8"/>
        <w:numId w:val="1"/>
      </w:numPr>
      <w:spacing w:before="240" w:after="64" w:line="320" w:lineRule="auto"/>
      <w:outlineLvl w:val="8"/>
    </w:pPr>
    <w:rPr>
      <w:rFonts w:ascii="Arial" w:hAnsi="Arial" w:eastAsia="黑体"/>
    </w:rPr>
  </w:style>
  <w:style w:type="character" w:default="1" w:styleId="53">
    <w:name w:val="Default Paragraph Font"/>
    <w:unhideWhenUsed/>
    <w:qFormat/>
    <w:uiPriority w:val="1"/>
  </w:style>
  <w:style w:type="table" w:default="1" w:styleId="51">
    <w:name w:val="Normal Table"/>
    <w:unhideWhenUsed/>
    <w:qFormat/>
    <w:uiPriority w:val="99"/>
    <w:tblPr>
      <w:tblCellMar>
        <w:top w:w="0" w:type="dxa"/>
        <w:left w:w="108" w:type="dxa"/>
        <w:bottom w:w="0" w:type="dxa"/>
        <w:right w:w="108" w:type="dxa"/>
      </w:tblCellMar>
    </w:tblPr>
  </w:style>
  <w:style w:type="paragraph" w:styleId="2">
    <w:name w:val="Body Text"/>
    <w:basedOn w:val="1"/>
    <w:next w:val="1"/>
    <w:link w:val="62"/>
    <w:qFormat/>
    <w:uiPriority w:val="99"/>
    <w:pPr>
      <w:spacing w:line="380" w:lineRule="exact"/>
    </w:pPr>
    <w:rPr>
      <w:kern w:val="0"/>
      <w:sz w:val="24"/>
    </w:rPr>
  </w:style>
  <w:style w:type="paragraph" w:styleId="8">
    <w:name w:val="Normal Indent"/>
    <w:basedOn w:val="1"/>
    <w:qFormat/>
    <w:uiPriority w:val="99"/>
    <w:pPr>
      <w:ind w:firstLine="420"/>
    </w:pPr>
    <w:rPr>
      <w:szCs w:val="20"/>
    </w:rPr>
  </w:style>
  <w:style w:type="paragraph" w:styleId="13">
    <w:name w:val="toc 7"/>
    <w:basedOn w:val="1"/>
    <w:next w:val="1"/>
    <w:unhideWhenUsed/>
    <w:qFormat/>
    <w:uiPriority w:val="39"/>
    <w:pPr>
      <w:ind w:left="2520" w:leftChars="1200"/>
    </w:pPr>
    <w:rPr>
      <w:rFonts w:ascii="Calibri" w:hAnsi="Calibri"/>
      <w:szCs w:val="22"/>
    </w:rPr>
  </w:style>
  <w:style w:type="paragraph" w:styleId="14">
    <w:name w:val="index 8"/>
    <w:basedOn w:val="1"/>
    <w:next w:val="1"/>
    <w:unhideWhenUsed/>
    <w:qFormat/>
    <w:uiPriority w:val="99"/>
    <w:pPr>
      <w:ind w:left="1400" w:leftChars="1400"/>
    </w:pPr>
  </w:style>
  <w:style w:type="paragraph" w:styleId="15">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6">
    <w:name w:val="caption"/>
    <w:basedOn w:val="1"/>
    <w:next w:val="1"/>
    <w:qFormat/>
    <w:uiPriority w:val="0"/>
    <w:pPr>
      <w:spacing w:before="152"/>
    </w:pPr>
    <w:rPr>
      <w:rFonts w:ascii="Arial" w:hAnsi="Arial" w:eastAsia="黑体" w:cs="Arial"/>
      <w:sz w:val="20"/>
      <w:szCs w:val="20"/>
    </w:rPr>
  </w:style>
  <w:style w:type="paragraph" w:styleId="17">
    <w:name w:val="Document Map"/>
    <w:basedOn w:val="1"/>
    <w:link w:val="71"/>
    <w:unhideWhenUsed/>
    <w:qFormat/>
    <w:uiPriority w:val="0"/>
    <w:pPr>
      <w:shd w:val="clear" w:color="auto" w:fill="000080"/>
    </w:pPr>
    <w:rPr>
      <w:rFonts w:hint="eastAsia" w:ascii="宋体" w:hAnsi="宋体"/>
      <w:kern w:val="0"/>
      <w:sz w:val="20"/>
      <w:szCs w:val="20"/>
    </w:rPr>
  </w:style>
  <w:style w:type="paragraph" w:styleId="18">
    <w:name w:val="annotation text"/>
    <w:basedOn w:val="1"/>
    <w:link w:val="72"/>
    <w:unhideWhenUsed/>
    <w:qFormat/>
    <w:uiPriority w:val="99"/>
    <w:pPr>
      <w:jc w:val="left"/>
    </w:pPr>
  </w:style>
  <w:style w:type="paragraph" w:styleId="19">
    <w:name w:val="Body Text 3"/>
    <w:basedOn w:val="1"/>
    <w:next w:val="8"/>
    <w:link w:val="73"/>
    <w:qFormat/>
    <w:uiPriority w:val="0"/>
    <w:pPr>
      <w:spacing w:line="500" w:lineRule="exact"/>
    </w:pPr>
    <w:rPr>
      <w:b/>
      <w:bCs/>
      <w:kern w:val="0"/>
      <w:sz w:val="24"/>
    </w:rPr>
  </w:style>
  <w:style w:type="paragraph" w:styleId="20">
    <w:name w:val="Body Text Indent"/>
    <w:basedOn w:val="1"/>
    <w:next w:val="21"/>
    <w:link w:val="74"/>
    <w:qFormat/>
    <w:uiPriority w:val="0"/>
    <w:pPr>
      <w:ind w:firstLine="830" w:firstLineChars="352"/>
    </w:pPr>
    <w:rPr>
      <w:rFonts w:ascii="仿宋_GB2312" w:eastAsia="仿宋_GB2312"/>
      <w:kern w:val="0"/>
      <w:sz w:val="32"/>
      <w:szCs w:val="20"/>
    </w:rPr>
  </w:style>
  <w:style w:type="paragraph" w:styleId="21">
    <w:name w:val="envelope return"/>
    <w:basedOn w:val="1"/>
    <w:qFormat/>
    <w:uiPriority w:val="0"/>
    <w:pPr>
      <w:snapToGrid w:val="0"/>
    </w:pPr>
    <w:rPr>
      <w:rFonts w:ascii="Arial" w:hAnsi="Arial" w:cs="Arial"/>
    </w:rPr>
  </w:style>
  <w:style w:type="paragraph" w:styleId="22">
    <w:name w:val="List Number 3"/>
    <w:basedOn w:val="1"/>
    <w:qFormat/>
    <w:uiPriority w:val="0"/>
    <w:pPr>
      <w:numPr>
        <w:ilvl w:val="0"/>
        <w:numId w:val="2"/>
      </w:numPr>
    </w:pPr>
  </w:style>
  <w:style w:type="paragraph" w:styleId="23">
    <w:name w:val="List 2"/>
    <w:basedOn w:val="1"/>
    <w:qFormat/>
    <w:uiPriority w:val="0"/>
    <w:pPr>
      <w:ind w:left="100" w:leftChars="200" w:hanging="200" w:hangingChars="200"/>
    </w:pPr>
    <w:rPr>
      <w:sz w:val="28"/>
    </w:rPr>
  </w:style>
  <w:style w:type="paragraph" w:styleId="24">
    <w:name w:val="Block Text"/>
    <w:basedOn w:val="1"/>
    <w:qFormat/>
    <w:uiPriority w:val="0"/>
    <w:pPr>
      <w:adjustRightInd w:val="0"/>
      <w:spacing w:line="240" w:lineRule="auto"/>
      <w:ind w:left="420" w:right="33" w:firstLine="0" w:firstLineChars="0"/>
      <w:jc w:val="left"/>
      <w:textAlignment w:val="baseline"/>
    </w:pPr>
    <w:rPr>
      <w:kern w:val="0"/>
      <w:szCs w:val="20"/>
    </w:rPr>
  </w:style>
  <w:style w:type="paragraph" w:styleId="25">
    <w:name w:val="toc 5"/>
    <w:basedOn w:val="1"/>
    <w:next w:val="1"/>
    <w:unhideWhenUsed/>
    <w:qFormat/>
    <w:uiPriority w:val="39"/>
    <w:pPr>
      <w:ind w:left="1680" w:leftChars="800"/>
    </w:pPr>
    <w:rPr>
      <w:rFonts w:ascii="Calibri" w:hAnsi="Calibri"/>
      <w:szCs w:val="22"/>
    </w:rPr>
  </w:style>
  <w:style w:type="paragraph" w:styleId="26">
    <w:name w:val="toc 3"/>
    <w:basedOn w:val="1"/>
    <w:next w:val="1"/>
    <w:unhideWhenUsed/>
    <w:qFormat/>
    <w:uiPriority w:val="39"/>
    <w:pPr>
      <w:ind w:left="840" w:leftChars="400"/>
    </w:pPr>
    <w:rPr>
      <w:rFonts w:ascii="Calibri" w:hAnsi="Calibri"/>
      <w:szCs w:val="22"/>
    </w:rPr>
  </w:style>
  <w:style w:type="paragraph" w:styleId="27">
    <w:name w:val="Plain Text"/>
    <w:basedOn w:val="1"/>
    <w:link w:val="75"/>
    <w:qFormat/>
    <w:uiPriority w:val="0"/>
    <w:rPr>
      <w:rFonts w:ascii="宋体" w:hAnsi="Courier New"/>
      <w:kern w:val="0"/>
      <w:sz w:val="20"/>
      <w:szCs w:val="21"/>
    </w:rPr>
  </w:style>
  <w:style w:type="paragraph" w:styleId="28">
    <w:name w:val="toc 8"/>
    <w:basedOn w:val="1"/>
    <w:next w:val="1"/>
    <w:unhideWhenUsed/>
    <w:qFormat/>
    <w:uiPriority w:val="39"/>
    <w:pPr>
      <w:ind w:left="2940" w:leftChars="1400"/>
    </w:pPr>
    <w:rPr>
      <w:rFonts w:ascii="Calibri" w:hAnsi="Calibri"/>
      <w:szCs w:val="22"/>
    </w:rPr>
  </w:style>
  <w:style w:type="paragraph" w:styleId="29">
    <w:name w:val="Date"/>
    <w:basedOn w:val="1"/>
    <w:next w:val="1"/>
    <w:link w:val="76"/>
    <w:qFormat/>
    <w:uiPriority w:val="0"/>
    <w:pPr>
      <w:ind w:left="100" w:leftChars="2500"/>
    </w:pPr>
    <w:rPr>
      <w:rFonts w:ascii="宋体" w:hAnsi="Courier New"/>
      <w:kern w:val="0"/>
      <w:sz w:val="20"/>
      <w:szCs w:val="21"/>
    </w:rPr>
  </w:style>
  <w:style w:type="paragraph" w:styleId="30">
    <w:name w:val="Body Text Indent 2"/>
    <w:basedOn w:val="1"/>
    <w:link w:val="77"/>
    <w:qFormat/>
    <w:uiPriority w:val="0"/>
    <w:pPr>
      <w:ind w:firstLine="630"/>
    </w:pPr>
    <w:rPr>
      <w:kern w:val="0"/>
      <w:sz w:val="32"/>
      <w:szCs w:val="20"/>
    </w:rPr>
  </w:style>
  <w:style w:type="paragraph" w:styleId="31">
    <w:name w:val="endnote text"/>
    <w:basedOn w:val="1"/>
    <w:link w:val="78"/>
    <w:unhideWhenUsed/>
    <w:qFormat/>
    <w:uiPriority w:val="99"/>
    <w:pPr>
      <w:snapToGrid w:val="0"/>
      <w:jc w:val="left"/>
    </w:pPr>
  </w:style>
  <w:style w:type="paragraph" w:styleId="32">
    <w:name w:val="Balloon Text"/>
    <w:basedOn w:val="1"/>
    <w:link w:val="79"/>
    <w:semiHidden/>
    <w:qFormat/>
    <w:uiPriority w:val="0"/>
    <w:rPr>
      <w:kern w:val="0"/>
      <w:sz w:val="18"/>
      <w:szCs w:val="18"/>
    </w:rPr>
  </w:style>
  <w:style w:type="paragraph" w:styleId="33">
    <w:name w:val="footer"/>
    <w:basedOn w:val="1"/>
    <w:next w:val="1"/>
    <w:link w:val="80"/>
    <w:unhideWhenUsed/>
    <w:qFormat/>
    <w:uiPriority w:val="99"/>
    <w:pPr>
      <w:tabs>
        <w:tab w:val="center" w:pos="4153"/>
        <w:tab w:val="right" w:pos="8306"/>
      </w:tabs>
      <w:snapToGrid w:val="0"/>
      <w:jc w:val="left"/>
    </w:pPr>
    <w:rPr>
      <w:kern w:val="0"/>
      <w:sz w:val="18"/>
      <w:szCs w:val="18"/>
    </w:rPr>
  </w:style>
  <w:style w:type="paragraph" w:styleId="34">
    <w:name w:val="header"/>
    <w:basedOn w:val="1"/>
    <w:link w:val="81"/>
    <w:unhideWhenUsed/>
    <w:qFormat/>
    <w:uiPriority w:val="99"/>
    <w:pPr>
      <w:pBdr>
        <w:bottom w:val="single" w:color="auto" w:sz="6" w:space="1"/>
      </w:pBdr>
      <w:tabs>
        <w:tab w:val="center" w:pos="0"/>
        <w:tab w:val="left" w:pos="8306"/>
      </w:tabs>
      <w:snapToGrid w:val="0"/>
      <w:jc w:val="center"/>
    </w:pPr>
    <w:rPr>
      <w:sz w:val="18"/>
      <w:szCs w:val="18"/>
    </w:rPr>
  </w:style>
  <w:style w:type="paragraph" w:styleId="35">
    <w:name w:val="toc 1"/>
    <w:basedOn w:val="1"/>
    <w:next w:val="1"/>
    <w:qFormat/>
    <w:uiPriority w:val="39"/>
    <w:pPr>
      <w:tabs>
        <w:tab w:val="right" w:leader="dot" w:pos="8398"/>
      </w:tabs>
      <w:spacing w:before="120" w:after="120"/>
      <w:ind w:firstLine="240" w:firstLineChars="100"/>
      <w:jc w:val="left"/>
    </w:pPr>
    <w:rPr>
      <w:rFonts w:ascii="宋体" w:hAnsi="宋体"/>
      <w:b/>
      <w:bCs/>
      <w:caps/>
      <w:sz w:val="24"/>
    </w:rPr>
  </w:style>
  <w:style w:type="paragraph" w:styleId="36">
    <w:name w:val="toc 4"/>
    <w:basedOn w:val="1"/>
    <w:next w:val="1"/>
    <w:unhideWhenUsed/>
    <w:qFormat/>
    <w:uiPriority w:val="39"/>
    <w:pPr>
      <w:ind w:left="1260" w:leftChars="600"/>
    </w:pPr>
    <w:rPr>
      <w:rFonts w:ascii="Calibri" w:hAnsi="Calibri"/>
      <w:szCs w:val="22"/>
    </w:rPr>
  </w:style>
  <w:style w:type="paragraph" w:styleId="37">
    <w:name w:val="List"/>
    <w:basedOn w:val="1"/>
    <w:qFormat/>
    <w:uiPriority w:val="0"/>
    <w:pPr>
      <w:ind w:left="200" w:hanging="200" w:hangingChars="200"/>
    </w:pPr>
    <w:rPr>
      <w:sz w:val="28"/>
    </w:rPr>
  </w:style>
  <w:style w:type="paragraph" w:styleId="38">
    <w:name w:val="footnote text"/>
    <w:basedOn w:val="1"/>
    <w:link w:val="82"/>
    <w:unhideWhenUsed/>
    <w:qFormat/>
    <w:uiPriority w:val="99"/>
    <w:pPr>
      <w:snapToGrid w:val="0"/>
      <w:jc w:val="left"/>
    </w:pPr>
    <w:rPr>
      <w:sz w:val="18"/>
      <w:szCs w:val="18"/>
    </w:rPr>
  </w:style>
  <w:style w:type="paragraph" w:styleId="39">
    <w:name w:val="toc 6"/>
    <w:basedOn w:val="1"/>
    <w:next w:val="1"/>
    <w:unhideWhenUsed/>
    <w:qFormat/>
    <w:uiPriority w:val="39"/>
    <w:pPr>
      <w:ind w:left="2100" w:leftChars="1000"/>
    </w:pPr>
    <w:rPr>
      <w:rFonts w:ascii="Calibri" w:hAnsi="Calibri"/>
      <w:szCs w:val="22"/>
    </w:rPr>
  </w:style>
  <w:style w:type="paragraph" w:styleId="40">
    <w:name w:val="Body Text Indent 3"/>
    <w:basedOn w:val="1"/>
    <w:link w:val="83"/>
    <w:qFormat/>
    <w:uiPriority w:val="0"/>
    <w:pPr>
      <w:spacing w:after="120"/>
      <w:ind w:left="420" w:leftChars="200"/>
    </w:pPr>
    <w:rPr>
      <w:kern w:val="0"/>
      <w:sz w:val="16"/>
      <w:szCs w:val="16"/>
    </w:rPr>
  </w:style>
  <w:style w:type="paragraph" w:styleId="41">
    <w:name w:val="table of figures"/>
    <w:basedOn w:val="1"/>
    <w:next w:val="1"/>
    <w:qFormat/>
    <w:uiPriority w:val="99"/>
    <w:pPr>
      <w:spacing w:line="400" w:lineRule="exact"/>
      <w:ind w:left="200" w:leftChars="200" w:hanging="200" w:hangingChars="200"/>
      <w:jc w:val="left"/>
    </w:pPr>
  </w:style>
  <w:style w:type="paragraph" w:styleId="42">
    <w:name w:val="toc 2"/>
    <w:basedOn w:val="1"/>
    <w:next w:val="1"/>
    <w:unhideWhenUsed/>
    <w:qFormat/>
    <w:uiPriority w:val="39"/>
    <w:pPr>
      <w:ind w:left="420" w:leftChars="200"/>
    </w:pPr>
  </w:style>
  <w:style w:type="paragraph" w:styleId="43">
    <w:name w:val="toc 9"/>
    <w:basedOn w:val="1"/>
    <w:next w:val="1"/>
    <w:unhideWhenUsed/>
    <w:qFormat/>
    <w:uiPriority w:val="39"/>
    <w:pPr>
      <w:ind w:left="3360" w:leftChars="1600"/>
    </w:pPr>
    <w:rPr>
      <w:rFonts w:ascii="Calibri" w:hAnsi="Calibri"/>
      <w:szCs w:val="22"/>
    </w:rPr>
  </w:style>
  <w:style w:type="paragraph" w:styleId="44">
    <w:name w:val="Body Text 2"/>
    <w:basedOn w:val="1"/>
    <w:link w:val="84"/>
    <w:qFormat/>
    <w:uiPriority w:val="0"/>
    <w:pPr>
      <w:spacing w:after="120" w:line="480" w:lineRule="auto"/>
    </w:pPr>
    <w:rPr>
      <w:kern w:val="0"/>
      <w:sz w:val="20"/>
    </w:rPr>
  </w:style>
  <w:style w:type="paragraph" w:styleId="45">
    <w:name w:val="Normal (Web)"/>
    <w:basedOn w:val="1"/>
    <w:qFormat/>
    <w:uiPriority w:val="0"/>
    <w:pPr>
      <w:widowControl/>
      <w:spacing w:before="100" w:beforeAutospacing="1" w:after="100" w:afterAutospacing="1"/>
      <w:jc w:val="left"/>
    </w:pPr>
    <w:rPr>
      <w:rFonts w:ascii="宋体" w:hAnsi="宋体"/>
      <w:kern w:val="0"/>
      <w:sz w:val="24"/>
    </w:rPr>
  </w:style>
  <w:style w:type="paragraph" w:styleId="46">
    <w:name w:val="index 1"/>
    <w:basedOn w:val="1"/>
    <w:next w:val="1"/>
    <w:semiHidden/>
    <w:qFormat/>
    <w:uiPriority w:val="0"/>
    <w:pPr>
      <w:spacing w:line="400" w:lineRule="exact"/>
      <w:ind w:firstLine="420" w:firstLineChars="200"/>
    </w:pPr>
    <w:rPr>
      <w:rFonts w:ascii="宋体" w:hAnsi="Courier New"/>
      <w:b/>
      <w:szCs w:val="20"/>
    </w:rPr>
  </w:style>
  <w:style w:type="paragraph" w:styleId="47">
    <w:name w:val="Title"/>
    <w:basedOn w:val="1"/>
    <w:next w:val="1"/>
    <w:link w:val="85"/>
    <w:qFormat/>
    <w:uiPriority w:val="10"/>
    <w:pPr>
      <w:spacing w:before="240" w:after="60"/>
      <w:jc w:val="center"/>
      <w:outlineLvl w:val="0"/>
    </w:pPr>
    <w:rPr>
      <w:rFonts w:ascii="Cambria" w:hAnsi="Cambria"/>
      <w:b/>
      <w:bCs/>
      <w:sz w:val="32"/>
      <w:szCs w:val="32"/>
    </w:rPr>
  </w:style>
  <w:style w:type="paragraph" w:styleId="48">
    <w:name w:val="annotation subject"/>
    <w:basedOn w:val="18"/>
    <w:next w:val="18"/>
    <w:link w:val="86"/>
    <w:unhideWhenUsed/>
    <w:qFormat/>
    <w:uiPriority w:val="99"/>
    <w:rPr>
      <w:b/>
      <w:bCs/>
    </w:rPr>
  </w:style>
  <w:style w:type="paragraph" w:styleId="49">
    <w:name w:val="Body Text First Indent"/>
    <w:basedOn w:val="2"/>
    <w:next w:val="50"/>
    <w:qFormat/>
    <w:uiPriority w:val="99"/>
    <w:pPr>
      <w:spacing w:beforeLines="50" w:afterLines="50" w:line="360" w:lineRule="auto"/>
      <w:ind w:firstLine="420" w:firstLineChars="100"/>
    </w:pPr>
  </w:style>
  <w:style w:type="paragraph" w:styleId="50">
    <w:name w:val="Body Text First Indent 2"/>
    <w:basedOn w:val="1"/>
    <w:unhideWhenUsed/>
    <w:qFormat/>
    <w:uiPriority w:val="99"/>
    <w:pPr>
      <w:ind w:firstLine="420" w:firstLineChars="200"/>
    </w:pPr>
  </w:style>
  <w:style w:type="table" w:styleId="52">
    <w:name w:val="Table Grid"/>
    <w:basedOn w:val="5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endnote reference"/>
    <w:unhideWhenUsed/>
    <w:qFormat/>
    <w:uiPriority w:val="99"/>
    <w:rPr>
      <w:vertAlign w:val="superscript"/>
    </w:rPr>
  </w:style>
  <w:style w:type="character" w:styleId="55">
    <w:name w:val="page number"/>
    <w:qFormat/>
    <w:uiPriority w:val="0"/>
  </w:style>
  <w:style w:type="character" w:styleId="56">
    <w:name w:val="FollowedHyperlink"/>
    <w:qFormat/>
    <w:uiPriority w:val="0"/>
    <w:rPr>
      <w:color w:val="000000"/>
      <w:u w:val="none"/>
    </w:rPr>
  </w:style>
  <w:style w:type="character" w:styleId="57">
    <w:name w:val="Emphasis"/>
    <w:qFormat/>
    <w:uiPriority w:val="20"/>
    <w:rPr>
      <w:i/>
      <w:iCs/>
    </w:rPr>
  </w:style>
  <w:style w:type="character" w:styleId="58">
    <w:name w:val="Hyperlink"/>
    <w:qFormat/>
    <w:uiPriority w:val="99"/>
    <w:rPr>
      <w:color w:val="000000"/>
      <w:u w:val="none"/>
    </w:rPr>
  </w:style>
  <w:style w:type="character" w:styleId="59">
    <w:name w:val="annotation reference"/>
    <w:unhideWhenUsed/>
    <w:qFormat/>
    <w:uiPriority w:val="99"/>
    <w:rPr>
      <w:sz w:val="21"/>
      <w:szCs w:val="21"/>
    </w:rPr>
  </w:style>
  <w:style w:type="character" w:styleId="60">
    <w:name w:val="footnote reference"/>
    <w:unhideWhenUsed/>
    <w:qFormat/>
    <w:uiPriority w:val="99"/>
    <w:rPr>
      <w:vertAlign w:val="superscript"/>
    </w:rPr>
  </w:style>
  <w:style w:type="paragraph" w:customStyle="1" w:styleId="61">
    <w:name w:val="NormalIndent"/>
    <w:basedOn w:val="1"/>
    <w:qFormat/>
    <w:uiPriority w:val="0"/>
    <w:pPr>
      <w:ind w:firstLine="420"/>
    </w:pPr>
    <w:rPr>
      <w:szCs w:val="21"/>
    </w:rPr>
  </w:style>
  <w:style w:type="character" w:customStyle="1" w:styleId="62">
    <w:name w:val="正文文本 字符1"/>
    <w:link w:val="2"/>
    <w:qFormat/>
    <w:uiPriority w:val="99"/>
    <w:rPr>
      <w:rFonts w:ascii="Times New Roman" w:hAnsi="Times New Roman" w:eastAsia="宋体" w:cs="Times New Roman"/>
      <w:sz w:val="24"/>
      <w:szCs w:val="24"/>
    </w:rPr>
  </w:style>
  <w:style w:type="character" w:customStyle="1" w:styleId="63">
    <w:name w:val="标题 1 字符1"/>
    <w:link w:val="3"/>
    <w:qFormat/>
    <w:uiPriority w:val="0"/>
    <w:rPr>
      <w:rFonts w:ascii="Times New Roman" w:hAnsi="Times New Roman" w:eastAsia="宋体" w:cs="Times New Roman"/>
      <w:b/>
      <w:bCs/>
      <w:kern w:val="44"/>
      <w:sz w:val="44"/>
      <w:szCs w:val="44"/>
    </w:rPr>
  </w:style>
  <w:style w:type="character" w:customStyle="1" w:styleId="64">
    <w:name w:val="标题 2 字符"/>
    <w:link w:val="4"/>
    <w:qFormat/>
    <w:uiPriority w:val="0"/>
    <w:rPr>
      <w:rFonts w:ascii="Arial" w:hAnsi="Arial" w:eastAsia="黑体" w:cs="Times New Roman"/>
      <w:b/>
      <w:bCs/>
      <w:sz w:val="32"/>
      <w:szCs w:val="32"/>
    </w:rPr>
  </w:style>
  <w:style w:type="character" w:customStyle="1" w:styleId="65">
    <w:name w:val="标题 3 字符2"/>
    <w:link w:val="5"/>
    <w:qFormat/>
    <w:uiPriority w:val="0"/>
    <w:rPr>
      <w:rFonts w:ascii="Times New Roman" w:hAnsi="Times New Roman" w:eastAsia="宋体" w:cs="Times New Roman"/>
      <w:b/>
      <w:bCs/>
      <w:sz w:val="32"/>
      <w:szCs w:val="32"/>
    </w:rPr>
  </w:style>
  <w:style w:type="character" w:customStyle="1" w:styleId="66">
    <w:name w:val="标题 5 字符"/>
    <w:link w:val="7"/>
    <w:qFormat/>
    <w:uiPriority w:val="0"/>
    <w:rPr>
      <w:b/>
      <w:kern w:val="2"/>
      <w:sz w:val="28"/>
      <w:szCs w:val="24"/>
    </w:rPr>
  </w:style>
  <w:style w:type="character" w:customStyle="1" w:styleId="67">
    <w:name w:val="标题 6 字符"/>
    <w:link w:val="9"/>
    <w:qFormat/>
    <w:uiPriority w:val="0"/>
    <w:rPr>
      <w:rFonts w:ascii="Arial" w:hAnsi="Arial" w:eastAsia="黑体"/>
      <w:b/>
      <w:kern w:val="2"/>
      <w:sz w:val="24"/>
      <w:szCs w:val="24"/>
    </w:rPr>
  </w:style>
  <w:style w:type="character" w:customStyle="1" w:styleId="68">
    <w:name w:val="标题 7 字符"/>
    <w:link w:val="10"/>
    <w:qFormat/>
    <w:uiPriority w:val="0"/>
    <w:rPr>
      <w:rFonts w:ascii="Times New Roman" w:hAnsi="Times New Roman"/>
      <w:b/>
      <w:kern w:val="2"/>
      <w:sz w:val="24"/>
      <w:szCs w:val="24"/>
    </w:rPr>
  </w:style>
  <w:style w:type="character" w:customStyle="1" w:styleId="69">
    <w:name w:val="标题 8 字符"/>
    <w:link w:val="11"/>
    <w:qFormat/>
    <w:uiPriority w:val="0"/>
    <w:rPr>
      <w:rFonts w:ascii="Arial" w:hAnsi="Arial" w:eastAsia="黑体"/>
      <w:kern w:val="2"/>
      <w:sz w:val="24"/>
      <w:szCs w:val="24"/>
    </w:rPr>
  </w:style>
  <w:style w:type="character" w:customStyle="1" w:styleId="70">
    <w:name w:val="标题 9 字符"/>
    <w:link w:val="12"/>
    <w:qFormat/>
    <w:uiPriority w:val="0"/>
    <w:rPr>
      <w:rFonts w:ascii="Arial" w:hAnsi="Arial" w:eastAsia="黑体"/>
      <w:kern w:val="2"/>
      <w:sz w:val="21"/>
      <w:szCs w:val="24"/>
    </w:rPr>
  </w:style>
  <w:style w:type="character" w:customStyle="1" w:styleId="71">
    <w:name w:val="文档结构图 字符"/>
    <w:link w:val="17"/>
    <w:qFormat/>
    <w:uiPriority w:val="0"/>
    <w:rPr>
      <w:rFonts w:hint="eastAsia" w:ascii="宋体" w:hAnsi="宋体" w:eastAsia="宋体" w:cs="宋体"/>
    </w:rPr>
  </w:style>
  <w:style w:type="character" w:customStyle="1" w:styleId="72">
    <w:name w:val="批注文字 字符3"/>
    <w:link w:val="18"/>
    <w:qFormat/>
    <w:uiPriority w:val="0"/>
    <w:rPr>
      <w:rFonts w:ascii="Times New Roman" w:hAnsi="Times New Roman"/>
      <w:kern w:val="2"/>
      <w:sz w:val="21"/>
      <w:szCs w:val="24"/>
    </w:rPr>
  </w:style>
  <w:style w:type="character" w:customStyle="1" w:styleId="73">
    <w:name w:val="正文文本 3 字符"/>
    <w:link w:val="19"/>
    <w:qFormat/>
    <w:uiPriority w:val="0"/>
    <w:rPr>
      <w:rFonts w:ascii="Times New Roman" w:hAnsi="Times New Roman" w:eastAsia="宋体" w:cs="Times New Roman"/>
      <w:b/>
      <w:bCs/>
      <w:sz w:val="24"/>
      <w:szCs w:val="24"/>
    </w:rPr>
  </w:style>
  <w:style w:type="character" w:customStyle="1" w:styleId="74">
    <w:name w:val="正文文本缩进 字符1"/>
    <w:link w:val="20"/>
    <w:qFormat/>
    <w:uiPriority w:val="0"/>
    <w:rPr>
      <w:rFonts w:ascii="仿宋_GB2312" w:hAnsi="Times New Roman" w:eastAsia="仿宋_GB2312" w:cs="Times New Roman"/>
      <w:sz w:val="32"/>
      <w:szCs w:val="20"/>
    </w:rPr>
  </w:style>
  <w:style w:type="character" w:customStyle="1" w:styleId="75">
    <w:name w:val="纯文本 字符4"/>
    <w:link w:val="27"/>
    <w:qFormat/>
    <w:uiPriority w:val="0"/>
    <w:rPr>
      <w:rFonts w:ascii="宋体" w:hAnsi="Courier New" w:eastAsia="宋体" w:cs="Courier New"/>
      <w:szCs w:val="21"/>
    </w:rPr>
  </w:style>
  <w:style w:type="character" w:customStyle="1" w:styleId="76">
    <w:name w:val="日期 字符"/>
    <w:link w:val="29"/>
    <w:qFormat/>
    <w:uiPriority w:val="0"/>
    <w:rPr>
      <w:rFonts w:ascii="宋体" w:hAnsi="Courier New" w:eastAsia="宋体" w:cs="Courier New"/>
      <w:szCs w:val="21"/>
    </w:rPr>
  </w:style>
  <w:style w:type="character" w:customStyle="1" w:styleId="77">
    <w:name w:val="正文文本缩进 2 字符"/>
    <w:link w:val="30"/>
    <w:qFormat/>
    <w:uiPriority w:val="0"/>
    <w:rPr>
      <w:rFonts w:ascii="Times New Roman" w:hAnsi="Times New Roman" w:eastAsia="宋体" w:cs="Times New Roman"/>
      <w:sz w:val="32"/>
      <w:szCs w:val="20"/>
    </w:rPr>
  </w:style>
  <w:style w:type="character" w:customStyle="1" w:styleId="78">
    <w:name w:val="尾注文本 字符"/>
    <w:link w:val="31"/>
    <w:semiHidden/>
    <w:qFormat/>
    <w:uiPriority w:val="99"/>
    <w:rPr>
      <w:rFonts w:ascii="Times New Roman" w:hAnsi="Times New Roman"/>
      <w:kern w:val="2"/>
      <w:sz w:val="21"/>
      <w:szCs w:val="24"/>
    </w:rPr>
  </w:style>
  <w:style w:type="character" w:customStyle="1" w:styleId="79">
    <w:name w:val="批注框文本 字符"/>
    <w:link w:val="32"/>
    <w:semiHidden/>
    <w:qFormat/>
    <w:uiPriority w:val="0"/>
    <w:rPr>
      <w:rFonts w:ascii="Times New Roman" w:hAnsi="Times New Roman" w:eastAsia="宋体" w:cs="Times New Roman"/>
      <w:sz w:val="18"/>
      <w:szCs w:val="18"/>
    </w:rPr>
  </w:style>
  <w:style w:type="character" w:customStyle="1" w:styleId="80">
    <w:name w:val="页脚 字符1"/>
    <w:link w:val="33"/>
    <w:qFormat/>
    <w:uiPriority w:val="99"/>
    <w:rPr>
      <w:sz w:val="18"/>
      <w:szCs w:val="18"/>
    </w:rPr>
  </w:style>
  <w:style w:type="character" w:customStyle="1" w:styleId="81">
    <w:name w:val="页眉 字符1"/>
    <w:link w:val="34"/>
    <w:qFormat/>
    <w:uiPriority w:val="99"/>
    <w:rPr>
      <w:rFonts w:ascii="Times New Roman" w:hAnsi="Times New Roman"/>
      <w:kern w:val="2"/>
      <w:sz w:val="18"/>
      <w:szCs w:val="18"/>
    </w:rPr>
  </w:style>
  <w:style w:type="character" w:customStyle="1" w:styleId="82">
    <w:name w:val="脚注文本 字符"/>
    <w:link w:val="38"/>
    <w:semiHidden/>
    <w:qFormat/>
    <w:uiPriority w:val="99"/>
    <w:rPr>
      <w:rFonts w:ascii="Times New Roman" w:hAnsi="Times New Roman"/>
      <w:kern w:val="2"/>
      <w:sz w:val="18"/>
      <w:szCs w:val="18"/>
    </w:rPr>
  </w:style>
  <w:style w:type="character" w:customStyle="1" w:styleId="83">
    <w:name w:val="正文文本缩进 3 字符"/>
    <w:link w:val="40"/>
    <w:qFormat/>
    <w:uiPriority w:val="0"/>
    <w:rPr>
      <w:rFonts w:ascii="Times New Roman" w:hAnsi="Times New Roman" w:eastAsia="宋体" w:cs="Times New Roman"/>
      <w:sz w:val="16"/>
      <w:szCs w:val="16"/>
    </w:rPr>
  </w:style>
  <w:style w:type="character" w:customStyle="1" w:styleId="84">
    <w:name w:val="正文文本 2 字符"/>
    <w:link w:val="44"/>
    <w:qFormat/>
    <w:uiPriority w:val="0"/>
    <w:rPr>
      <w:rFonts w:ascii="Times New Roman" w:hAnsi="Times New Roman" w:eastAsia="宋体" w:cs="Times New Roman"/>
      <w:szCs w:val="24"/>
    </w:rPr>
  </w:style>
  <w:style w:type="character" w:customStyle="1" w:styleId="85">
    <w:name w:val="标题 字符"/>
    <w:link w:val="47"/>
    <w:qFormat/>
    <w:uiPriority w:val="10"/>
    <w:rPr>
      <w:rFonts w:ascii="Cambria" w:hAnsi="Cambria" w:cs="Times New Roman"/>
      <w:b/>
      <w:bCs/>
      <w:kern w:val="2"/>
      <w:sz w:val="32"/>
      <w:szCs w:val="32"/>
    </w:rPr>
  </w:style>
  <w:style w:type="character" w:customStyle="1" w:styleId="86">
    <w:name w:val="批注主题 字符"/>
    <w:link w:val="48"/>
    <w:semiHidden/>
    <w:qFormat/>
    <w:uiPriority w:val="99"/>
    <w:rPr>
      <w:rFonts w:ascii="Times New Roman" w:hAnsi="Times New Roman"/>
      <w:b/>
      <w:bCs/>
      <w:kern w:val="2"/>
      <w:sz w:val="21"/>
      <w:szCs w:val="24"/>
    </w:rPr>
  </w:style>
  <w:style w:type="character" w:customStyle="1" w:styleId="87">
    <w:name w:val="批注文字 Char1"/>
    <w:qFormat/>
    <w:locked/>
    <w:uiPriority w:val="0"/>
    <w:rPr>
      <w:rFonts w:ascii="Times New Roman" w:hAnsi="Times New Roman"/>
      <w:kern w:val="2"/>
      <w:sz w:val="21"/>
      <w:szCs w:val="24"/>
    </w:rPr>
  </w:style>
  <w:style w:type="character" w:customStyle="1" w:styleId="88">
    <w:name w:val="case31"/>
    <w:qFormat/>
    <w:uiPriority w:val="0"/>
    <w:rPr>
      <w:rFonts w:hint="default"/>
      <w:sz w:val="21"/>
      <w:szCs w:val="21"/>
    </w:rPr>
  </w:style>
  <w:style w:type="character" w:customStyle="1" w:styleId="89">
    <w:name w:val="批注文字 Char"/>
    <w:qFormat/>
    <w:uiPriority w:val="0"/>
    <w:rPr>
      <w:rFonts w:ascii="Times New Roman" w:hAnsi="Times New Roman"/>
      <w:kern w:val="2"/>
      <w:sz w:val="21"/>
      <w:szCs w:val="24"/>
    </w:rPr>
  </w:style>
  <w:style w:type="character" w:customStyle="1" w:styleId="90">
    <w:name w:val="纯文本 Char"/>
    <w:qFormat/>
    <w:uiPriority w:val="99"/>
    <w:rPr>
      <w:rFonts w:ascii="宋体" w:hAnsi="Courier New" w:eastAsia="宋体"/>
      <w:kern w:val="2"/>
      <w:sz w:val="21"/>
      <w:lang w:val="en-US" w:eastAsia="zh-CN" w:bidi="ar-SA"/>
    </w:rPr>
  </w:style>
  <w:style w:type="character" w:customStyle="1" w:styleId="91">
    <w:name w:val="纯文本 字符1"/>
    <w:qFormat/>
    <w:uiPriority w:val="0"/>
    <w:rPr>
      <w:rFonts w:ascii="宋体" w:hAnsi="Courier New"/>
    </w:rPr>
  </w:style>
  <w:style w:type="character" w:customStyle="1" w:styleId="92">
    <w:name w:val="批注文字 字符1"/>
    <w:qFormat/>
    <w:uiPriority w:val="0"/>
    <w:rPr>
      <w:rFonts w:ascii="Times New Roman" w:hAnsi="Times New Roman"/>
      <w:kern w:val="2"/>
      <w:sz w:val="21"/>
      <w:szCs w:val="24"/>
    </w:rPr>
  </w:style>
  <w:style w:type="character" w:customStyle="1" w:styleId="93">
    <w:name w:val="正文文本 Char1"/>
    <w:semiHidden/>
    <w:qFormat/>
    <w:locked/>
    <w:uiPriority w:val="99"/>
    <w:rPr>
      <w:sz w:val="24"/>
      <w:szCs w:val="24"/>
    </w:rPr>
  </w:style>
  <w:style w:type="character" w:customStyle="1" w:styleId="94">
    <w:name w:val="apple-style-span"/>
    <w:qFormat/>
    <w:uiPriority w:val="0"/>
  </w:style>
  <w:style w:type="character" w:customStyle="1" w:styleId="95">
    <w:name w:val="textcontents"/>
    <w:qFormat/>
    <w:uiPriority w:val="0"/>
  </w:style>
  <w:style w:type="character" w:customStyle="1" w:styleId="96">
    <w:name w:val="普通文字 Char Char2"/>
    <w:qFormat/>
    <w:uiPriority w:val="0"/>
    <w:rPr>
      <w:rFonts w:ascii="宋体" w:hAnsi="Courier New" w:eastAsia="宋体"/>
      <w:kern w:val="2"/>
      <w:sz w:val="21"/>
      <w:lang w:val="en-US" w:eastAsia="zh-CN" w:bidi="ar-SA"/>
    </w:rPr>
  </w:style>
  <w:style w:type="character" w:customStyle="1" w:styleId="97">
    <w:name w:val="标题 5 Char"/>
    <w:qFormat/>
    <w:uiPriority w:val="9"/>
    <w:rPr>
      <w:b/>
      <w:kern w:val="2"/>
      <w:sz w:val="28"/>
      <w:szCs w:val="24"/>
    </w:rPr>
  </w:style>
  <w:style w:type="character" w:customStyle="1" w:styleId="98">
    <w:name w:val="批注文字 字符"/>
    <w:qFormat/>
    <w:uiPriority w:val="99"/>
    <w:rPr>
      <w:rFonts w:ascii="Times New Roman" w:hAnsi="Times New Roman"/>
      <w:kern w:val="2"/>
      <w:sz w:val="21"/>
      <w:szCs w:val="24"/>
    </w:rPr>
  </w:style>
  <w:style w:type="character" w:customStyle="1" w:styleId="99">
    <w:name w:val="标题 1 字符"/>
    <w:qFormat/>
    <w:uiPriority w:val="9"/>
    <w:rPr>
      <w:rFonts w:ascii="Times New Roman" w:hAnsi="Times New Roman" w:eastAsia="宋体" w:cs="Times New Roman"/>
      <w:b/>
      <w:bCs/>
      <w:kern w:val="44"/>
      <w:sz w:val="44"/>
      <w:szCs w:val="44"/>
    </w:rPr>
  </w:style>
  <w:style w:type="character" w:customStyle="1" w:styleId="100">
    <w:name w:val="纯文本 字符"/>
    <w:qFormat/>
    <w:uiPriority w:val="0"/>
    <w:rPr>
      <w:rFonts w:ascii="宋体" w:hAnsi="Courier New" w:eastAsia="宋体" w:cs="Courier New"/>
      <w:szCs w:val="21"/>
    </w:rPr>
  </w:style>
  <w:style w:type="character" w:customStyle="1" w:styleId="101">
    <w:name w:val="headline-content4"/>
    <w:qFormat/>
    <w:uiPriority w:val="0"/>
  </w:style>
  <w:style w:type="character" w:customStyle="1" w:styleId="102">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103">
    <w:name w:val="正文文本缩进 字符"/>
    <w:qFormat/>
    <w:uiPriority w:val="0"/>
    <w:rPr>
      <w:rFonts w:ascii="仿宋_GB2312" w:hAnsi="Times New Roman" w:eastAsia="仿宋_GB2312" w:cs="Times New Roman"/>
      <w:sz w:val="32"/>
      <w:szCs w:val="20"/>
    </w:rPr>
  </w:style>
  <w:style w:type="character" w:customStyle="1" w:styleId="104">
    <w:name w:val="页脚 字符"/>
    <w:qFormat/>
    <w:uiPriority w:val="99"/>
  </w:style>
  <w:style w:type="character" w:customStyle="1" w:styleId="105">
    <w:name w:val="标题 1 Char1"/>
    <w:qFormat/>
    <w:uiPriority w:val="0"/>
    <w:rPr>
      <w:rFonts w:eastAsia="宋体"/>
      <w:b/>
      <w:bCs/>
      <w:kern w:val="44"/>
      <w:sz w:val="44"/>
      <w:szCs w:val="44"/>
      <w:lang w:val="en-US" w:eastAsia="zh-CN" w:bidi="ar-SA"/>
    </w:rPr>
  </w:style>
  <w:style w:type="character" w:customStyle="1" w:styleId="106">
    <w:name w:val="font11"/>
    <w:qFormat/>
    <w:uiPriority w:val="0"/>
    <w:rPr>
      <w:rFonts w:hint="eastAsia" w:ascii="宋体" w:hAnsi="宋体" w:eastAsia="宋体" w:cs="宋体"/>
      <w:color w:val="000000"/>
      <w:sz w:val="18"/>
      <w:szCs w:val="18"/>
      <w:u w:val="none"/>
    </w:rPr>
  </w:style>
  <w:style w:type="paragraph" w:customStyle="1" w:styleId="107">
    <w:name w:val="默认段落字体 Para Char Char Char Char Char Char Char Char Char1 Char Char Char Char"/>
    <w:basedOn w:val="1"/>
    <w:qFormat/>
    <w:uiPriority w:val="0"/>
    <w:rPr>
      <w:rFonts w:ascii="Tahoma" w:hAnsi="Tahoma"/>
      <w:sz w:val="24"/>
      <w:szCs w:val="20"/>
    </w:rPr>
  </w:style>
  <w:style w:type="paragraph" w:customStyle="1" w:styleId="108">
    <w:name w:val="Char1"/>
    <w:basedOn w:val="1"/>
    <w:qFormat/>
    <w:uiPriority w:val="0"/>
    <w:rPr>
      <w:szCs w:val="21"/>
    </w:rPr>
  </w:style>
  <w:style w:type="paragraph" w:customStyle="1" w:styleId="109">
    <w:name w:val="List Paragraph"/>
    <w:basedOn w:val="1"/>
    <w:qFormat/>
    <w:uiPriority w:val="34"/>
    <w:pPr>
      <w:ind w:firstLine="420" w:firstLineChars="200"/>
    </w:pPr>
  </w:style>
  <w:style w:type="paragraph" w:customStyle="1" w:styleId="110">
    <w:name w:val="纯文本1"/>
    <w:basedOn w:val="1"/>
    <w:qFormat/>
    <w:uiPriority w:val="0"/>
    <w:rPr>
      <w:rFonts w:ascii="宋体" w:hAnsi="Courier New" w:cs="Century"/>
      <w:szCs w:val="21"/>
    </w:rPr>
  </w:style>
  <w:style w:type="paragraph" w:customStyle="1" w:styleId="111">
    <w:name w:val="样式"/>
    <w:qFormat/>
    <w:uiPriority w:val="0"/>
    <w:pPr>
      <w:widowControl w:val="0"/>
      <w:autoSpaceDE w:val="0"/>
      <w:autoSpaceDN w:val="0"/>
      <w:adjustRightInd w:val="0"/>
      <w:spacing w:after="160" w:line="278" w:lineRule="auto"/>
      <w:jc w:val="center"/>
    </w:pPr>
    <w:rPr>
      <w:rFonts w:ascii="宋体" w:hAnsi="宋体" w:eastAsia="宋体" w:cs="宋体"/>
      <w:sz w:val="24"/>
      <w:szCs w:val="24"/>
      <w:lang w:val="en-US" w:eastAsia="zh-CN" w:bidi="ar-SA"/>
    </w:rPr>
  </w:style>
  <w:style w:type="paragraph" w:customStyle="1" w:styleId="112">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113">
    <w:name w:val="Table Paragraph"/>
    <w:basedOn w:val="1"/>
    <w:qFormat/>
    <w:uiPriority w:val="1"/>
    <w:pPr>
      <w:jc w:val="left"/>
    </w:pPr>
    <w:rPr>
      <w:rFonts w:ascii="Calibri" w:hAnsi="Calibri"/>
      <w:kern w:val="0"/>
      <w:sz w:val="22"/>
      <w:szCs w:val="22"/>
      <w:lang w:eastAsia="en-US"/>
    </w:rPr>
  </w:style>
  <w:style w:type="paragraph" w:customStyle="1" w:styleId="114">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15">
    <w:name w:val="表格"/>
    <w:basedOn w:val="1"/>
    <w:qFormat/>
    <w:uiPriority w:val="0"/>
    <w:pPr>
      <w:spacing w:line="400" w:lineRule="exact"/>
    </w:pPr>
    <w:rPr>
      <w:sz w:val="24"/>
    </w:rPr>
  </w:style>
  <w:style w:type="paragraph" w:customStyle="1" w:styleId="116">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117">
    <w:name w:val="xl22"/>
    <w:basedOn w:val="1"/>
    <w:qFormat/>
    <w:uiPriority w:val="0"/>
    <w:pPr>
      <w:widowControl/>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118">
    <w:name w:val="样式 首行缩进:  2 字符"/>
    <w:basedOn w:val="1"/>
    <w:qFormat/>
    <w:uiPriority w:val="0"/>
    <w:pPr>
      <w:spacing w:line="400" w:lineRule="exact"/>
      <w:ind w:firstLine="200" w:firstLineChars="200"/>
    </w:pPr>
    <w:rPr>
      <w:rFonts w:cs="宋体"/>
      <w:sz w:val="24"/>
    </w:rPr>
  </w:style>
  <w:style w:type="paragraph" w:customStyle="1" w:styleId="119">
    <w:name w:val="正文首行缩进两字符"/>
    <w:basedOn w:val="1"/>
    <w:qFormat/>
    <w:uiPriority w:val="0"/>
    <w:pPr>
      <w:spacing w:line="360" w:lineRule="auto"/>
      <w:ind w:firstLine="200" w:firstLineChars="200"/>
    </w:pPr>
  </w:style>
  <w:style w:type="paragraph" w:customStyle="1" w:styleId="120">
    <w:name w:val="正文段"/>
    <w:basedOn w:val="1"/>
    <w:qFormat/>
    <w:uiPriority w:val="0"/>
    <w:pPr>
      <w:widowControl/>
      <w:snapToGrid w:val="0"/>
      <w:spacing w:afterLines="50"/>
      <w:ind w:firstLine="200" w:firstLineChars="200"/>
    </w:pPr>
    <w:rPr>
      <w:kern w:val="0"/>
      <w:sz w:val="24"/>
      <w:szCs w:val="20"/>
    </w:rPr>
  </w:style>
  <w:style w:type="paragraph" w:customStyle="1" w:styleId="121">
    <w:name w:val="修订1"/>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table" w:customStyle="1" w:styleId="122">
    <w:name w:val="Table Normal"/>
    <w:semiHidden/>
    <w:qFormat/>
    <w:uiPriority w:val="2"/>
    <w:pPr>
      <w:widowControl w:val="0"/>
    </w:pPr>
    <w:rPr>
      <w:rFonts w:ascii="Calibri" w:hAnsi="Calibri" w:eastAsia="Times New Roman"/>
      <w:sz w:val="22"/>
      <w:szCs w:val="22"/>
      <w:lang w:eastAsia="en-US"/>
    </w:rPr>
    <w:tblPr>
      <w:tblCellMar>
        <w:top w:w="0" w:type="dxa"/>
        <w:left w:w="0" w:type="dxa"/>
        <w:bottom w:w="0" w:type="dxa"/>
        <w:right w:w="0" w:type="dxa"/>
      </w:tblCellMar>
    </w:tblPr>
  </w:style>
  <w:style w:type="character" w:customStyle="1" w:styleId="123">
    <w:name w:val="未处理的提及1"/>
    <w:unhideWhenUsed/>
    <w:qFormat/>
    <w:uiPriority w:val="99"/>
    <w:rPr>
      <w:color w:val="605E5C"/>
      <w:shd w:val="clear" w:color="auto" w:fill="E1DFDD"/>
    </w:rPr>
  </w:style>
  <w:style w:type="character" w:customStyle="1" w:styleId="124">
    <w:name w:val="批注文字 字符2"/>
    <w:qFormat/>
    <w:uiPriority w:val="0"/>
    <w:rPr>
      <w:rFonts w:ascii="Times New Roman" w:hAnsi="Times New Roman"/>
      <w:kern w:val="2"/>
      <w:sz w:val="21"/>
      <w:szCs w:val="24"/>
    </w:rPr>
  </w:style>
  <w:style w:type="character" w:customStyle="1" w:styleId="125">
    <w:name w:val="页眉 字符"/>
    <w:qFormat/>
    <w:uiPriority w:val="99"/>
    <w:rPr>
      <w:rFonts w:ascii="Times New Roman" w:hAnsi="Times New Roman"/>
      <w:kern w:val="2"/>
      <w:sz w:val="18"/>
      <w:szCs w:val="18"/>
    </w:rPr>
  </w:style>
  <w:style w:type="character" w:customStyle="1" w:styleId="126">
    <w:name w:val="正文文本 字符"/>
    <w:qFormat/>
    <w:uiPriority w:val="99"/>
    <w:rPr>
      <w:sz w:val="24"/>
      <w:szCs w:val="24"/>
    </w:rPr>
  </w:style>
  <w:style w:type="character" w:customStyle="1" w:styleId="127">
    <w:name w:val="纯文本 字符2"/>
    <w:qFormat/>
    <w:uiPriority w:val="0"/>
    <w:rPr>
      <w:rFonts w:ascii="宋体" w:hAnsi="Courier New"/>
      <w:szCs w:val="21"/>
    </w:rPr>
  </w:style>
  <w:style w:type="paragraph" w:customStyle="1" w:styleId="128">
    <w:name w:val="reader-word-layer reader-word-s1-6"/>
    <w:basedOn w:val="1"/>
    <w:qFormat/>
    <w:uiPriority w:val="0"/>
    <w:pPr>
      <w:widowControl/>
      <w:spacing w:before="100" w:beforeAutospacing="1" w:after="100" w:afterAutospacing="1"/>
      <w:jc w:val="left"/>
    </w:pPr>
    <w:rPr>
      <w:rFonts w:ascii="宋体" w:hAnsi="宋体" w:cs="宋体"/>
      <w:kern w:val="0"/>
      <w:sz w:val="24"/>
    </w:rPr>
  </w:style>
  <w:style w:type="paragraph" w:customStyle="1" w:styleId="129">
    <w:name w:val="reader-word-layer reader-word-s1-0 reader-word-s1-1 reader-word-s1-5"/>
    <w:basedOn w:val="1"/>
    <w:qFormat/>
    <w:uiPriority w:val="0"/>
    <w:pPr>
      <w:widowControl/>
      <w:spacing w:before="100" w:beforeAutospacing="1" w:after="100" w:afterAutospacing="1"/>
      <w:jc w:val="left"/>
    </w:pPr>
    <w:rPr>
      <w:rFonts w:ascii="宋体" w:hAnsi="宋体" w:cs="宋体"/>
      <w:kern w:val="0"/>
      <w:sz w:val="24"/>
    </w:rPr>
  </w:style>
  <w:style w:type="paragraph" w:customStyle="1" w:styleId="130">
    <w:name w:val="reader-word-layer reader-word-s1-9"/>
    <w:basedOn w:val="1"/>
    <w:qFormat/>
    <w:uiPriority w:val="0"/>
    <w:pPr>
      <w:widowControl/>
      <w:spacing w:before="100" w:beforeAutospacing="1" w:after="100" w:afterAutospacing="1"/>
      <w:jc w:val="left"/>
    </w:pPr>
    <w:rPr>
      <w:rFonts w:ascii="宋体" w:hAnsi="宋体" w:cs="宋体"/>
      <w:kern w:val="0"/>
      <w:sz w:val="24"/>
    </w:rPr>
  </w:style>
  <w:style w:type="paragraph" w:customStyle="1" w:styleId="131">
    <w:name w:val="列表段落2"/>
    <w:basedOn w:val="1"/>
    <w:qFormat/>
    <w:uiPriority w:val="99"/>
    <w:pPr>
      <w:ind w:firstLine="420" w:firstLineChars="200"/>
    </w:pPr>
    <w:rPr>
      <w:rFonts w:ascii="等线" w:hAnsi="等线" w:eastAsia="等线" w:cs="宋体"/>
      <w:szCs w:val="21"/>
    </w:rPr>
  </w:style>
  <w:style w:type="character" w:customStyle="1" w:styleId="132">
    <w:name w:val="标题 3 字符"/>
    <w:semiHidden/>
    <w:qFormat/>
    <w:locked/>
    <w:uiPriority w:val="99"/>
    <w:rPr>
      <w:rFonts w:ascii="等线" w:hAnsi="等线" w:eastAsia="等线" w:cs="Times New Roman"/>
      <w:b/>
      <w:sz w:val="32"/>
    </w:rPr>
  </w:style>
  <w:style w:type="character" w:customStyle="1" w:styleId="133">
    <w:name w:val="纯文本 字符3"/>
    <w:qFormat/>
    <w:uiPriority w:val="0"/>
    <w:rPr>
      <w:rFonts w:ascii="宋体" w:hAnsi="Courier New" w:eastAsia="宋体" w:cs="Courier New"/>
      <w:szCs w:val="21"/>
    </w:rPr>
  </w:style>
  <w:style w:type="character" w:customStyle="1" w:styleId="134">
    <w:name w:val="标题 3 字符1"/>
    <w:qFormat/>
    <w:uiPriority w:val="0"/>
    <w:rPr>
      <w:rFonts w:ascii="Times New Roman" w:hAnsi="Times New Roman" w:eastAsia="宋体" w:cs="Times New Roman"/>
      <w:b/>
      <w:bCs/>
      <w:sz w:val="32"/>
      <w:szCs w:val="32"/>
    </w:rPr>
  </w:style>
  <w:style w:type="character" w:customStyle="1" w:styleId="135">
    <w:name w:val="font61"/>
    <w:qFormat/>
    <w:uiPriority w:val="0"/>
    <w:rPr>
      <w:rFonts w:hint="eastAsia" w:ascii="宋体" w:hAnsi="宋体" w:eastAsia="宋体" w:cs="宋体"/>
      <w:color w:val="000000"/>
      <w:sz w:val="36"/>
      <w:szCs w:val="36"/>
      <w:u w:val="none"/>
    </w:rPr>
  </w:style>
  <w:style w:type="paragraph" w:customStyle="1" w:styleId="136">
    <w:name w:val="修订2"/>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137">
    <w:name w:val="修订3"/>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character" w:customStyle="1" w:styleId="138">
    <w:name w:val="纯文本 Char1"/>
    <w:qFormat/>
    <w:uiPriority w:val="0"/>
    <w:rPr>
      <w:rFonts w:ascii="宋体" w:hAnsi="Courier New" w:eastAsia="宋体" w:cs="Courier New"/>
      <w:szCs w:val="21"/>
    </w:rPr>
  </w:style>
  <w:style w:type="paragraph" w:customStyle="1" w:styleId="139">
    <w:name w:val="修订4"/>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140">
    <w:name w:val="修订5"/>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141">
    <w:name w:val="Body text|1"/>
    <w:basedOn w:val="1"/>
    <w:qFormat/>
    <w:uiPriority w:val="0"/>
    <w:pPr>
      <w:spacing w:line="350" w:lineRule="auto"/>
      <w:ind w:firstLine="400"/>
      <w:jc w:val="left"/>
    </w:pPr>
    <w:rPr>
      <w:rFonts w:ascii="宋体" w:hAnsi="宋体" w:cs="宋体"/>
      <w:kern w:val="0"/>
      <w:sz w:val="30"/>
      <w:szCs w:val="30"/>
    </w:rPr>
  </w:style>
  <w:style w:type="paragraph" w:customStyle="1" w:styleId="142">
    <w:name w:val="正文格式"/>
    <w:basedOn w:val="1"/>
    <w:qFormat/>
    <w:uiPriority w:val="0"/>
    <w:pPr>
      <w:widowControl/>
      <w:adjustRightInd w:val="0"/>
      <w:snapToGrid w:val="0"/>
      <w:spacing w:line="400" w:lineRule="atLeast"/>
      <w:ind w:firstLine="482"/>
      <w:textAlignment w:val="baseline"/>
    </w:pPr>
    <w:rPr>
      <w:kern w:val="0"/>
      <w:sz w:val="24"/>
    </w:rPr>
  </w:style>
  <w:style w:type="paragraph" w:customStyle="1" w:styleId="143">
    <w:name w:val="首行缩进"/>
    <w:basedOn w:val="1"/>
    <w:qFormat/>
    <w:uiPriority w:val="99"/>
    <w:pPr>
      <w:spacing w:line="400" w:lineRule="exact"/>
      <w:ind w:firstLine="480" w:firstLineChars="200"/>
      <w:jc w:val="left"/>
    </w:pPr>
    <w:rPr>
      <w:lang w:val="zh-CN"/>
    </w:rPr>
  </w:style>
  <w:style w:type="paragraph" w:customStyle="1" w:styleId="144">
    <w:name w:val="Table Text"/>
    <w:basedOn w:val="1"/>
    <w:semiHidden/>
    <w:qFormat/>
    <w:uiPriority w:val="0"/>
    <w:rPr>
      <w:rFonts w:ascii="宋体" w:hAnsi="宋体" w:eastAsia="宋体" w:cs="宋体"/>
      <w:sz w:val="24"/>
      <w:szCs w:val="24"/>
      <w:lang w:val="en-US" w:eastAsia="en-US" w:bidi="ar-SA"/>
    </w:rPr>
  </w:style>
  <w:style w:type="character" w:customStyle="1" w:styleId="145">
    <w:name w:val="NormalCharacter"/>
    <w:qFormat/>
    <w:uiPriority w:val="0"/>
    <w:rPr>
      <w:rFonts w:ascii="Times New Roman" w:hAnsi="Times New Roman" w:eastAsia="宋体" w:cs="Times New Roman"/>
      <w:kern w:val="2"/>
      <w:sz w:val="21"/>
      <w:szCs w:val="24"/>
      <w:lang w:val="en-US" w:eastAsia="zh-CN" w:bidi="ar-SA"/>
    </w:rPr>
  </w:style>
  <w:style w:type="paragraph" w:customStyle="1" w:styleId="146">
    <w:name w:val="样式 正文 + 首行缩进:  2 字符"/>
    <w:basedOn w:val="1"/>
    <w:qFormat/>
    <w:uiPriority w:val="0"/>
    <w:pPr>
      <w:keepNext/>
      <w:keepLines/>
      <w:spacing w:line="360" w:lineRule="auto"/>
      <w:ind w:firstLine="880" w:firstLineChars="200"/>
      <w:jc w:val="left"/>
    </w:pPr>
    <w:rPr>
      <w:rFonts w:ascii="宋体" w:hAnsi="宋体" w:cs="宋体"/>
      <w:kern w:val="0"/>
    </w:rPr>
  </w:style>
  <w:style w:type="paragraph" w:customStyle="1" w:styleId="147">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97</Pages>
  <Words>566</Words>
  <Characters>722</Characters>
  <Lines>397</Lines>
  <Paragraphs>111</Paragraphs>
  <TotalTime>44</TotalTime>
  <ScaleCrop>false</ScaleCrop>
  <LinksUpToDate>false</LinksUpToDate>
  <CharactersWithSpaces>741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2023-12-22T15:16:00Z</dcterms:created>
  <dc:creator>KWZB</dc:creator>
  <cp:lastModifiedBy>Administrator</cp:lastModifiedBy>
  <cp:lastPrinted>2025-02-05T12:10:00Z</cp:lastPrinted>
  <dcterms:modified xsi:type="dcterms:W3CDTF">2026-09-04T02:25:41Z</dcterms:modified>
  <dc:title>公开招标采购文件范本</dc:title>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7204F955462F44DAAF0B25A132C3E72A_13</vt:lpwstr>
  </property>
  <property fmtid="{D5CDD505-2E9C-101B-9397-08002B2CF9AE}" pid="4" name="KSOTemplateDocerSaveRecord">
    <vt:lpwstr>eyJoZGlkIjoiMjg3MDkwMDBmOWYxNWM2MGFhZDFiZWE0NzI1Y2Q2MDciLCJ1c2VySWQiOiIxMTg0MzM2NDk5In0=</vt:lpwstr>
  </property>
</Properties>
</file>