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ADDC37">
      <w:pPr>
        <w:pStyle w:val="22"/>
        <w:jc w:val="center"/>
        <w:rPr>
          <w:rFonts w:hint="eastAsia" w:cs="宋体"/>
          <w:bCs/>
          <w:color w:val="auto"/>
          <w:sz w:val="64"/>
          <w:szCs w:val="64"/>
        </w:rPr>
      </w:pPr>
      <w:r>
        <w:rPr>
          <w:rFonts w:hint="eastAsia" w:cs="宋体"/>
          <w:bCs/>
          <w:color w:val="auto"/>
          <w:sz w:val="56"/>
          <w:szCs w:val="56"/>
        </w:rPr>
        <w:t>广西中吉银工程项目管理有限公司</w:t>
      </w:r>
    </w:p>
    <w:p w14:paraId="26E5EBB2">
      <w:pPr>
        <w:rPr>
          <w:color w:val="auto"/>
        </w:rPr>
      </w:pPr>
    </w:p>
    <w:p w14:paraId="5D8FCA9A">
      <w:pPr>
        <w:pStyle w:val="38"/>
        <w:ind w:firstLine="240"/>
        <w:rPr>
          <w:color w:val="auto"/>
        </w:rPr>
      </w:pPr>
    </w:p>
    <w:p w14:paraId="705C65F6">
      <w:pPr>
        <w:ind w:firstLine="420"/>
        <w:rPr>
          <w:rFonts w:hint="eastAsia" w:ascii="宋体" w:hAnsi="宋体" w:cs="宋体"/>
          <w:color w:val="auto"/>
        </w:rPr>
      </w:pPr>
    </w:p>
    <w:p w14:paraId="23C07D6A">
      <w:pPr>
        <w:pStyle w:val="22"/>
        <w:jc w:val="center"/>
        <w:rPr>
          <w:rFonts w:hint="eastAsia" w:cs="宋体"/>
          <w:b/>
          <w:color w:val="auto"/>
          <w:sz w:val="56"/>
          <w:szCs w:val="56"/>
        </w:rPr>
      </w:pPr>
      <w:r>
        <w:rPr>
          <w:rFonts w:hint="eastAsia" w:cs="宋体"/>
          <w:b/>
          <w:color w:val="auto"/>
          <w:sz w:val="56"/>
          <w:szCs w:val="56"/>
        </w:rPr>
        <w:t>竞争性谈判文件</w:t>
      </w:r>
    </w:p>
    <w:p w14:paraId="2A98067A">
      <w:pPr>
        <w:pStyle w:val="22"/>
        <w:ind w:firstLine="402"/>
        <w:rPr>
          <w:rFonts w:hint="eastAsia" w:cs="宋体"/>
          <w:b/>
          <w:color w:val="auto"/>
        </w:rPr>
      </w:pPr>
    </w:p>
    <w:p w14:paraId="253D4E4A">
      <w:pPr>
        <w:pStyle w:val="22"/>
        <w:ind w:firstLine="402"/>
        <w:rPr>
          <w:rFonts w:hint="eastAsia" w:cs="宋体"/>
          <w:b/>
          <w:color w:val="auto"/>
        </w:rPr>
      </w:pPr>
    </w:p>
    <w:p w14:paraId="3BF129CD">
      <w:pPr>
        <w:snapToGrid w:val="0"/>
        <w:spacing w:before="165" w:beforeLines="50"/>
        <w:jc w:val="center"/>
        <w:rPr>
          <w:rFonts w:hint="eastAsia" w:ascii="宋体" w:hAnsi="宋体" w:cs="宋体"/>
          <w:b/>
          <w:color w:val="auto"/>
          <w:sz w:val="36"/>
          <w:szCs w:val="36"/>
        </w:rPr>
      </w:pPr>
      <w:r>
        <w:rPr>
          <w:rFonts w:hint="eastAsia" w:ascii="宋体" w:hAnsi="宋体" w:cs="宋体"/>
          <w:b/>
          <w:color w:val="auto"/>
          <w:sz w:val="36"/>
          <w:szCs w:val="36"/>
        </w:rPr>
        <w:t>（全流程电子化采购）</w:t>
      </w:r>
    </w:p>
    <w:p w14:paraId="2DDD6ACD">
      <w:pPr>
        <w:pStyle w:val="22"/>
        <w:ind w:firstLine="402"/>
        <w:rPr>
          <w:rFonts w:hint="eastAsia" w:cs="宋体"/>
          <w:b/>
          <w:color w:val="auto"/>
        </w:rPr>
      </w:pPr>
    </w:p>
    <w:p w14:paraId="2256FF55">
      <w:pPr>
        <w:rPr>
          <w:rFonts w:hint="eastAsia" w:ascii="宋体" w:hAnsi="宋体" w:cs="宋体"/>
          <w:b/>
          <w:color w:val="auto"/>
        </w:rPr>
      </w:pPr>
    </w:p>
    <w:p w14:paraId="7E8E36F1">
      <w:pPr>
        <w:pStyle w:val="26"/>
        <w:rPr>
          <w:rFonts w:hint="eastAsia" w:ascii="宋体" w:hAnsi="宋体" w:cs="宋体"/>
          <w:b/>
          <w:color w:val="auto"/>
        </w:rPr>
      </w:pPr>
    </w:p>
    <w:p w14:paraId="30DEBE4D">
      <w:pPr>
        <w:pStyle w:val="26"/>
        <w:jc w:val="center"/>
        <w:rPr>
          <w:rFonts w:hint="eastAsia" w:ascii="宋体" w:hAnsi="宋体" w:cs="宋体"/>
          <w:b/>
          <w:color w:val="auto"/>
        </w:rPr>
      </w:pPr>
      <w:r>
        <w:rPr>
          <w:rFonts w:hint="eastAsia" w:ascii="宋体" w:hAnsi="宋体" w:cs="宋体"/>
          <w:color w:val="auto"/>
          <w:sz w:val="30"/>
          <w:szCs w:val="72"/>
        </w:rPr>
        <w:drawing>
          <wp:inline distT="0" distB="0" distL="0" distR="0">
            <wp:extent cx="2158365" cy="2158365"/>
            <wp:effectExtent l="0" t="0" r="0" b="0"/>
            <wp:docPr id="1026" name="图片 1" descr="ceb6a3e180d97727ba36d00d8913d5a"/>
            <wp:cNvGraphicFramePr/>
            <a:graphic xmlns:a="http://schemas.openxmlformats.org/drawingml/2006/main">
              <a:graphicData uri="http://schemas.openxmlformats.org/drawingml/2006/picture">
                <pic:pic xmlns:pic="http://schemas.openxmlformats.org/drawingml/2006/picture">
                  <pic:nvPicPr>
                    <pic:cNvPr id="1026" name="图片 1" descr="ceb6a3e180d97727ba36d00d8913d5a"/>
                    <pic:cNvPicPr/>
                  </pic:nvPicPr>
                  <pic:blipFill>
                    <a:blip r:embed="rId9" cstate="print"/>
                    <a:srcRect/>
                    <a:stretch>
                      <a:fillRect/>
                    </a:stretch>
                  </pic:blipFill>
                  <pic:spPr>
                    <a:xfrm>
                      <a:off x="0" y="0"/>
                      <a:ext cx="2158365" cy="2158365"/>
                    </a:xfrm>
                    <a:prstGeom prst="rect">
                      <a:avLst/>
                    </a:prstGeom>
                    <a:ln>
                      <a:noFill/>
                    </a:ln>
                  </pic:spPr>
                </pic:pic>
              </a:graphicData>
            </a:graphic>
          </wp:inline>
        </w:drawing>
      </w:r>
    </w:p>
    <w:p w14:paraId="6C376876">
      <w:pPr>
        <w:pStyle w:val="26"/>
        <w:rPr>
          <w:rFonts w:hint="eastAsia" w:ascii="宋体" w:hAnsi="宋体" w:cs="宋体"/>
          <w:b/>
          <w:color w:val="auto"/>
        </w:rPr>
      </w:pPr>
    </w:p>
    <w:p w14:paraId="24AF6490">
      <w:pPr>
        <w:pStyle w:val="22"/>
        <w:rPr>
          <w:rFonts w:hint="eastAsia" w:cs="宋体"/>
          <w:b/>
          <w:color w:val="auto"/>
        </w:rPr>
      </w:pPr>
    </w:p>
    <w:p w14:paraId="77B1BF27">
      <w:pPr>
        <w:pStyle w:val="22"/>
        <w:spacing w:line="360" w:lineRule="auto"/>
        <w:rPr>
          <w:rFonts w:hint="eastAsia" w:cs="宋体"/>
          <w:bCs/>
          <w:color w:val="auto"/>
          <w:sz w:val="30"/>
          <w:szCs w:val="72"/>
        </w:rPr>
      </w:pPr>
      <w:r>
        <w:rPr>
          <w:rFonts w:hint="eastAsia" w:cs="宋体"/>
          <w:bCs/>
          <w:color w:val="auto"/>
          <w:sz w:val="30"/>
          <w:szCs w:val="72"/>
        </w:rPr>
        <w:t>项目名称：</w:t>
      </w:r>
      <w:r>
        <w:rPr>
          <w:rFonts w:hint="eastAsia" w:cs="宋体"/>
          <w:bCs/>
          <w:color w:val="auto"/>
          <w:sz w:val="30"/>
          <w:szCs w:val="72"/>
          <w:lang w:eastAsia="zh-CN"/>
        </w:rPr>
        <w:t xml:space="preserve">广西科技师范学院2026智慧农业教学实验室建设项目（重2）  </w:t>
      </w:r>
      <w:r>
        <w:rPr>
          <w:rFonts w:hint="eastAsia" w:cs="宋体"/>
          <w:bCs/>
          <w:color w:val="auto"/>
          <w:sz w:val="30"/>
          <w:szCs w:val="72"/>
        </w:rPr>
        <w:t xml:space="preserve"> </w:t>
      </w:r>
    </w:p>
    <w:p w14:paraId="78FF2902">
      <w:pPr>
        <w:pStyle w:val="22"/>
        <w:rPr>
          <w:rFonts w:hint="eastAsia" w:eastAsia="宋体" w:cs="宋体"/>
          <w:color w:val="auto"/>
          <w:lang w:eastAsia="zh-CN"/>
        </w:rPr>
      </w:pPr>
      <w:r>
        <w:rPr>
          <w:rFonts w:hint="eastAsia" w:cs="宋体"/>
          <w:bCs/>
          <w:color w:val="auto"/>
          <w:sz w:val="30"/>
          <w:szCs w:val="72"/>
        </w:rPr>
        <w:t>项目编号：</w:t>
      </w:r>
      <w:r>
        <w:rPr>
          <w:rFonts w:hint="eastAsia" w:cs="宋体"/>
          <w:bCs/>
          <w:color w:val="auto"/>
          <w:sz w:val="30"/>
          <w:szCs w:val="72"/>
          <w:lang w:eastAsia="zh-CN"/>
        </w:rPr>
        <w:t>GXZC2026-J1-003183-GXZJ</w:t>
      </w:r>
    </w:p>
    <w:p w14:paraId="6FD53D04">
      <w:pPr>
        <w:pStyle w:val="22"/>
        <w:rPr>
          <w:rFonts w:hint="eastAsia" w:cs="宋体"/>
          <w:bCs/>
          <w:color w:val="auto"/>
          <w:sz w:val="30"/>
          <w:szCs w:val="72"/>
        </w:rPr>
      </w:pPr>
      <w:r>
        <w:rPr>
          <w:rFonts w:hint="eastAsia" w:cs="宋体"/>
          <w:bCs/>
          <w:color w:val="auto"/>
          <w:sz w:val="30"/>
          <w:szCs w:val="72"/>
        </w:rPr>
        <w:t>采购人：</w:t>
      </w:r>
      <w:r>
        <w:rPr>
          <w:rFonts w:hint="eastAsia" w:cs="宋体"/>
          <w:bCs/>
          <w:color w:val="auto"/>
          <w:spacing w:val="-6"/>
          <w:sz w:val="30"/>
          <w:szCs w:val="72"/>
        </w:rPr>
        <w:t>广西科技师范学院</w:t>
      </w:r>
    </w:p>
    <w:p w14:paraId="6292B611">
      <w:pPr>
        <w:pStyle w:val="22"/>
        <w:rPr>
          <w:rFonts w:hint="eastAsia" w:cs="宋体"/>
          <w:bCs/>
          <w:color w:val="auto"/>
          <w:sz w:val="30"/>
          <w:szCs w:val="72"/>
        </w:rPr>
      </w:pPr>
      <w:r>
        <w:rPr>
          <w:rFonts w:hint="eastAsia" w:cs="宋体"/>
          <w:bCs/>
          <w:color w:val="auto"/>
          <w:sz w:val="30"/>
          <w:szCs w:val="72"/>
        </w:rPr>
        <w:t>采购代理机构：广西中吉银工程项目管理有限公司</w:t>
      </w:r>
    </w:p>
    <w:p w14:paraId="315F8E82">
      <w:pPr>
        <w:pStyle w:val="22"/>
        <w:ind w:firstLine="3300" w:firstLineChars="1100"/>
        <w:rPr>
          <w:rFonts w:hint="eastAsia" w:cs="宋体"/>
          <w:bCs/>
          <w:color w:val="auto"/>
          <w:sz w:val="30"/>
          <w:szCs w:val="72"/>
        </w:rPr>
      </w:pPr>
    </w:p>
    <w:p w14:paraId="39EACD05">
      <w:pPr>
        <w:snapToGrid w:val="0"/>
        <w:spacing w:before="165" w:beforeLines="50" w:line="560" w:lineRule="exact"/>
        <w:jc w:val="center"/>
        <w:rPr>
          <w:rFonts w:hint="eastAsia" w:ascii="宋体" w:hAnsi="宋体" w:eastAsia="宋体" w:cs="宋体"/>
          <w:b/>
          <w:color w:val="auto"/>
          <w:sz w:val="30"/>
          <w:szCs w:val="72"/>
        </w:rPr>
      </w:pPr>
      <w:r>
        <w:rPr>
          <w:rFonts w:hint="eastAsia" w:ascii="宋体" w:hAnsi="宋体" w:eastAsia="宋体" w:cs="宋体"/>
          <w:bCs/>
          <w:color w:val="auto"/>
          <w:sz w:val="30"/>
          <w:szCs w:val="72"/>
        </w:rPr>
        <w:t>2026年</w:t>
      </w:r>
      <w:r>
        <w:rPr>
          <w:rFonts w:hint="eastAsia" w:ascii="宋体" w:hAnsi="宋体" w:cs="宋体"/>
          <w:bCs/>
          <w:color w:val="auto"/>
          <w:sz w:val="30"/>
          <w:szCs w:val="72"/>
          <w:lang w:val="en-US" w:eastAsia="zh-CN"/>
        </w:rPr>
        <w:t>9</w:t>
      </w:r>
      <w:r>
        <w:rPr>
          <w:rFonts w:hint="eastAsia" w:ascii="宋体" w:hAnsi="宋体" w:eastAsia="宋体" w:cs="宋体"/>
          <w:bCs/>
          <w:color w:val="auto"/>
          <w:sz w:val="30"/>
          <w:szCs w:val="72"/>
        </w:rPr>
        <w:t>月</w:t>
      </w:r>
      <w:r>
        <w:rPr>
          <w:rFonts w:hint="eastAsia" w:ascii="宋体" w:hAnsi="宋体" w:cs="宋体"/>
          <w:bCs/>
          <w:color w:val="auto"/>
          <w:sz w:val="30"/>
          <w:szCs w:val="72"/>
          <w:lang w:val="en-US" w:eastAsia="zh-CN"/>
        </w:rPr>
        <w:t>24</w:t>
      </w:r>
      <w:r>
        <w:rPr>
          <w:rFonts w:hint="eastAsia" w:ascii="宋体" w:hAnsi="宋体" w:eastAsia="宋体" w:cs="宋体"/>
          <w:bCs/>
          <w:color w:val="auto"/>
          <w:sz w:val="30"/>
          <w:szCs w:val="72"/>
        </w:rPr>
        <w:t>日</w:t>
      </w:r>
    </w:p>
    <w:p w14:paraId="7FC810B4">
      <w:pPr>
        <w:jc w:val="center"/>
        <w:rPr>
          <w:rFonts w:hint="eastAsia" w:ascii="仿宋_GB2312" w:hAnsi="宋体" w:eastAsia="仿宋_GB2312"/>
          <w:b/>
          <w:color w:val="auto"/>
          <w:sz w:val="44"/>
          <w:szCs w:val="44"/>
        </w:rPr>
        <w:sectPr>
          <w:pgSz w:w="11906" w:h="16838"/>
          <w:pgMar w:top="1134" w:right="1134" w:bottom="1134" w:left="1134" w:header="720" w:footer="720" w:gutter="0"/>
          <w:pgNumType w:start="1"/>
          <w:cols w:space="720" w:num="1"/>
          <w:docGrid w:type="lines" w:linePitch="331" w:charSpace="0"/>
        </w:sectPr>
      </w:pPr>
    </w:p>
    <w:p w14:paraId="3935CC11">
      <w:pPr>
        <w:jc w:val="center"/>
        <w:rPr>
          <w:rFonts w:hint="eastAsia" w:ascii="仿宋_GB2312" w:hAnsi="宋体" w:eastAsia="仿宋_GB2312"/>
          <w:b/>
          <w:color w:val="auto"/>
          <w:sz w:val="44"/>
          <w:szCs w:val="44"/>
        </w:rPr>
      </w:pPr>
    </w:p>
    <w:p w14:paraId="5FE2799F">
      <w:pPr>
        <w:jc w:val="center"/>
        <w:rPr>
          <w:rFonts w:hint="eastAsia" w:ascii="宋体" w:hAnsi="宋体"/>
          <w:b/>
          <w:color w:val="auto"/>
          <w:sz w:val="44"/>
          <w:szCs w:val="44"/>
        </w:rPr>
      </w:pPr>
      <w:r>
        <w:rPr>
          <w:rFonts w:hint="eastAsia" w:ascii="宋体" w:hAnsi="宋体"/>
          <w:b/>
          <w:color w:val="auto"/>
          <w:sz w:val="44"/>
          <w:szCs w:val="44"/>
        </w:rPr>
        <w:t>目  录</w:t>
      </w:r>
    </w:p>
    <w:p w14:paraId="0E60B39D">
      <w:pPr>
        <w:jc w:val="center"/>
        <w:rPr>
          <w:rFonts w:hint="eastAsia" w:ascii="宋体" w:hAnsi="宋体"/>
          <w:b/>
          <w:color w:val="auto"/>
          <w:sz w:val="44"/>
          <w:szCs w:val="44"/>
        </w:rPr>
      </w:pPr>
    </w:p>
    <w:p w14:paraId="2ED74243">
      <w:pPr>
        <w:pStyle w:val="28"/>
        <w:tabs>
          <w:tab w:val="right" w:leader="middleDot" w:pos="9638"/>
        </w:tabs>
        <w:spacing w:line="360" w:lineRule="auto"/>
        <w:rPr>
          <w:rFonts w:hint="eastAsia" w:ascii="宋体" w:hAnsi="宋体" w:cs="宋体"/>
          <w:color w:val="auto"/>
          <w:sz w:val="32"/>
          <w:szCs w:val="32"/>
        </w:rPr>
      </w:pPr>
      <w:r>
        <w:rPr>
          <w:rFonts w:hint="eastAsia" w:ascii="宋体" w:hAnsi="宋体" w:cs="宋体"/>
          <w:b/>
          <w:color w:val="auto"/>
          <w:sz w:val="32"/>
          <w:szCs w:val="32"/>
        </w:rPr>
        <w:fldChar w:fldCharType="begin"/>
      </w:r>
      <w:r>
        <w:rPr>
          <w:rFonts w:hint="eastAsia" w:ascii="宋体" w:hAnsi="宋体" w:cs="宋体"/>
          <w:b/>
          <w:color w:val="auto"/>
          <w:sz w:val="32"/>
          <w:szCs w:val="32"/>
        </w:rPr>
        <w:instrText xml:space="preserve"> TOC \o "1-1" \h \z \u </w:instrText>
      </w:r>
      <w:r>
        <w:rPr>
          <w:rFonts w:hint="eastAsia" w:ascii="宋体" w:hAnsi="宋体" w:cs="宋体"/>
          <w:b/>
          <w:color w:val="auto"/>
          <w:sz w:val="32"/>
          <w:szCs w:val="32"/>
        </w:rPr>
        <w:fldChar w:fldCharType="separate"/>
      </w:r>
      <w:r>
        <w:rPr>
          <w:color w:val="auto"/>
        </w:rPr>
        <w:fldChar w:fldCharType="begin"/>
      </w:r>
      <w:r>
        <w:rPr>
          <w:color w:val="auto"/>
        </w:rPr>
        <w:instrText xml:space="preserve"> HYPERLINK \l "_Toc12799" </w:instrText>
      </w:r>
      <w:r>
        <w:rPr>
          <w:color w:val="auto"/>
        </w:rPr>
        <w:fldChar w:fldCharType="separate"/>
      </w:r>
      <w:r>
        <w:rPr>
          <w:rFonts w:hint="eastAsia" w:ascii="宋体" w:hAnsi="宋体" w:cs="宋体"/>
          <w:color w:val="auto"/>
          <w:sz w:val="32"/>
          <w:szCs w:val="32"/>
        </w:rPr>
        <w:t>第一章 竞争性谈判公告</w:t>
      </w:r>
      <w:r>
        <w:rPr>
          <w:rFonts w:hint="eastAsia" w:ascii="宋体" w:hAnsi="宋体" w:cs="宋体"/>
          <w:color w:val="auto"/>
          <w:sz w:val="24"/>
        </w:rPr>
        <w:tab/>
      </w:r>
      <w:r>
        <w:rPr>
          <w:rFonts w:hint="eastAsia" w:ascii="宋体" w:hAnsi="宋体" w:cs="宋体"/>
          <w:color w:val="auto"/>
          <w:sz w:val="32"/>
          <w:szCs w:val="32"/>
        </w:rPr>
        <w:fldChar w:fldCharType="begin"/>
      </w:r>
      <w:r>
        <w:rPr>
          <w:rFonts w:hint="eastAsia" w:ascii="宋体" w:hAnsi="宋体" w:cs="宋体"/>
          <w:color w:val="auto"/>
          <w:sz w:val="32"/>
          <w:szCs w:val="32"/>
        </w:rPr>
        <w:instrText xml:space="preserve"> PAGEREF _Toc12799 \h </w:instrText>
      </w:r>
      <w:r>
        <w:rPr>
          <w:rFonts w:hint="eastAsia" w:ascii="宋体" w:hAnsi="宋体" w:cs="宋体"/>
          <w:color w:val="auto"/>
          <w:sz w:val="32"/>
          <w:szCs w:val="32"/>
        </w:rPr>
        <w:fldChar w:fldCharType="separate"/>
      </w:r>
      <w:r>
        <w:rPr>
          <w:rFonts w:hint="eastAsia" w:ascii="宋体" w:hAnsi="宋体" w:cs="宋体"/>
          <w:color w:val="auto"/>
          <w:sz w:val="32"/>
          <w:szCs w:val="32"/>
        </w:rPr>
        <w:t>1</w:t>
      </w:r>
      <w:r>
        <w:rPr>
          <w:rFonts w:hint="eastAsia" w:ascii="宋体" w:hAnsi="宋体" w:cs="宋体"/>
          <w:color w:val="auto"/>
          <w:sz w:val="32"/>
          <w:szCs w:val="32"/>
        </w:rPr>
        <w:fldChar w:fldCharType="end"/>
      </w:r>
      <w:r>
        <w:rPr>
          <w:rFonts w:hint="eastAsia" w:ascii="宋体" w:hAnsi="宋体" w:cs="宋体"/>
          <w:color w:val="auto"/>
          <w:sz w:val="32"/>
          <w:szCs w:val="32"/>
        </w:rPr>
        <w:fldChar w:fldCharType="end"/>
      </w:r>
    </w:p>
    <w:p w14:paraId="1315CEF9">
      <w:pPr>
        <w:pStyle w:val="28"/>
        <w:tabs>
          <w:tab w:val="right" w:leader="middleDot" w:pos="9638"/>
        </w:tabs>
        <w:spacing w:line="360" w:lineRule="auto"/>
        <w:rPr>
          <w:rFonts w:hint="eastAsia" w:ascii="宋体" w:hAnsi="宋体" w:cs="宋体"/>
          <w:color w:val="auto"/>
          <w:sz w:val="32"/>
          <w:szCs w:val="32"/>
        </w:rPr>
      </w:pPr>
      <w:r>
        <w:rPr>
          <w:color w:val="auto"/>
        </w:rPr>
        <w:fldChar w:fldCharType="begin"/>
      </w:r>
      <w:r>
        <w:rPr>
          <w:color w:val="auto"/>
        </w:rPr>
        <w:instrText xml:space="preserve"> HYPERLINK \l "_Toc31716" </w:instrText>
      </w:r>
      <w:r>
        <w:rPr>
          <w:color w:val="auto"/>
        </w:rPr>
        <w:fldChar w:fldCharType="separate"/>
      </w:r>
      <w:r>
        <w:rPr>
          <w:rFonts w:hint="eastAsia" w:ascii="宋体" w:hAnsi="宋体" w:cs="宋体"/>
          <w:color w:val="auto"/>
          <w:sz w:val="32"/>
          <w:szCs w:val="32"/>
        </w:rPr>
        <w:t>第二章 供应商须知</w:t>
      </w:r>
      <w:r>
        <w:rPr>
          <w:rFonts w:hint="eastAsia" w:ascii="宋体" w:hAnsi="宋体" w:cs="宋体"/>
          <w:color w:val="auto"/>
          <w:sz w:val="24"/>
        </w:rPr>
        <w:tab/>
      </w:r>
      <w:r>
        <w:rPr>
          <w:rFonts w:hint="eastAsia" w:ascii="宋体" w:hAnsi="宋体" w:cs="宋体"/>
          <w:color w:val="auto"/>
          <w:sz w:val="32"/>
          <w:szCs w:val="32"/>
        </w:rPr>
        <w:fldChar w:fldCharType="begin"/>
      </w:r>
      <w:r>
        <w:rPr>
          <w:rFonts w:hint="eastAsia" w:ascii="宋体" w:hAnsi="宋体" w:cs="宋体"/>
          <w:color w:val="auto"/>
          <w:sz w:val="32"/>
          <w:szCs w:val="32"/>
        </w:rPr>
        <w:instrText xml:space="preserve"> PAGEREF _Toc31716 \h </w:instrText>
      </w:r>
      <w:r>
        <w:rPr>
          <w:rFonts w:hint="eastAsia" w:ascii="宋体" w:hAnsi="宋体" w:cs="宋体"/>
          <w:color w:val="auto"/>
          <w:sz w:val="32"/>
          <w:szCs w:val="32"/>
        </w:rPr>
        <w:fldChar w:fldCharType="separate"/>
      </w:r>
      <w:r>
        <w:rPr>
          <w:rFonts w:hint="eastAsia" w:ascii="宋体" w:hAnsi="宋体" w:cs="宋体"/>
          <w:color w:val="auto"/>
          <w:sz w:val="32"/>
          <w:szCs w:val="32"/>
        </w:rPr>
        <w:t>4</w:t>
      </w:r>
      <w:r>
        <w:rPr>
          <w:rFonts w:hint="eastAsia" w:ascii="宋体" w:hAnsi="宋体" w:cs="宋体"/>
          <w:color w:val="auto"/>
          <w:sz w:val="32"/>
          <w:szCs w:val="32"/>
        </w:rPr>
        <w:fldChar w:fldCharType="end"/>
      </w:r>
      <w:r>
        <w:rPr>
          <w:rFonts w:hint="eastAsia" w:ascii="宋体" w:hAnsi="宋体" w:cs="宋体"/>
          <w:color w:val="auto"/>
          <w:sz w:val="32"/>
          <w:szCs w:val="32"/>
        </w:rPr>
        <w:fldChar w:fldCharType="end"/>
      </w:r>
    </w:p>
    <w:p w14:paraId="46B1D6A3">
      <w:pPr>
        <w:pStyle w:val="28"/>
        <w:tabs>
          <w:tab w:val="right" w:leader="middleDot" w:pos="9638"/>
        </w:tabs>
        <w:spacing w:line="360" w:lineRule="auto"/>
        <w:rPr>
          <w:rFonts w:hint="eastAsia" w:ascii="宋体" w:hAnsi="宋体" w:cs="宋体"/>
          <w:color w:val="auto"/>
          <w:sz w:val="32"/>
          <w:szCs w:val="32"/>
        </w:rPr>
      </w:pPr>
      <w:r>
        <w:rPr>
          <w:color w:val="auto"/>
        </w:rPr>
        <w:fldChar w:fldCharType="begin"/>
      </w:r>
      <w:r>
        <w:rPr>
          <w:color w:val="auto"/>
        </w:rPr>
        <w:instrText xml:space="preserve"> HYPERLINK \l "_Toc2649" </w:instrText>
      </w:r>
      <w:r>
        <w:rPr>
          <w:color w:val="auto"/>
        </w:rPr>
        <w:fldChar w:fldCharType="separate"/>
      </w:r>
      <w:r>
        <w:rPr>
          <w:rFonts w:hint="eastAsia" w:ascii="宋体" w:hAnsi="宋体" w:cs="宋体"/>
          <w:color w:val="auto"/>
          <w:sz w:val="32"/>
          <w:szCs w:val="32"/>
        </w:rPr>
        <w:t>第三章 采购需求</w:t>
      </w:r>
      <w:r>
        <w:rPr>
          <w:rFonts w:hint="eastAsia" w:ascii="宋体" w:hAnsi="宋体" w:cs="宋体"/>
          <w:color w:val="auto"/>
          <w:sz w:val="24"/>
        </w:rPr>
        <w:tab/>
      </w:r>
      <w:r>
        <w:rPr>
          <w:rFonts w:hint="eastAsia" w:ascii="宋体" w:hAnsi="宋体" w:cs="宋体"/>
          <w:color w:val="auto"/>
          <w:sz w:val="32"/>
          <w:szCs w:val="32"/>
        </w:rPr>
        <w:fldChar w:fldCharType="begin"/>
      </w:r>
      <w:r>
        <w:rPr>
          <w:rFonts w:hint="eastAsia" w:ascii="宋体" w:hAnsi="宋体" w:cs="宋体"/>
          <w:color w:val="auto"/>
          <w:sz w:val="32"/>
          <w:szCs w:val="32"/>
        </w:rPr>
        <w:instrText xml:space="preserve"> PAGEREF _Toc2649 \h </w:instrText>
      </w:r>
      <w:r>
        <w:rPr>
          <w:rFonts w:hint="eastAsia" w:ascii="宋体" w:hAnsi="宋体" w:cs="宋体"/>
          <w:color w:val="auto"/>
          <w:sz w:val="32"/>
          <w:szCs w:val="32"/>
        </w:rPr>
        <w:fldChar w:fldCharType="separate"/>
      </w:r>
      <w:r>
        <w:rPr>
          <w:rFonts w:hint="eastAsia" w:ascii="宋体" w:hAnsi="宋体" w:cs="宋体"/>
          <w:color w:val="auto"/>
          <w:sz w:val="32"/>
          <w:szCs w:val="32"/>
        </w:rPr>
        <w:t>5</w:t>
      </w:r>
      <w:r>
        <w:rPr>
          <w:rFonts w:hint="eastAsia" w:ascii="宋体" w:hAnsi="宋体" w:cs="宋体"/>
          <w:color w:val="auto"/>
          <w:sz w:val="32"/>
          <w:szCs w:val="32"/>
        </w:rPr>
        <w:fldChar w:fldCharType="end"/>
      </w:r>
      <w:r>
        <w:rPr>
          <w:rFonts w:hint="eastAsia" w:ascii="宋体" w:hAnsi="宋体" w:cs="宋体"/>
          <w:color w:val="auto"/>
          <w:sz w:val="32"/>
          <w:szCs w:val="32"/>
        </w:rPr>
        <w:fldChar w:fldCharType="end"/>
      </w:r>
    </w:p>
    <w:p w14:paraId="2F83FD30">
      <w:pPr>
        <w:pStyle w:val="28"/>
        <w:tabs>
          <w:tab w:val="right" w:leader="middleDot" w:pos="9638"/>
        </w:tabs>
        <w:spacing w:line="360" w:lineRule="auto"/>
        <w:rPr>
          <w:rFonts w:hint="eastAsia" w:ascii="宋体" w:hAnsi="宋体" w:cs="宋体"/>
          <w:color w:val="auto"/>
          <w:sz w:val="32"/>
          <w:szCs w:val="32"/>
        </w:rPr>
      </w:pPr>
      <w:r>
        <w:rPr>
          <w:color w:val="auto"/>
        </w:rPr>
        <w:fldChar w:fldCharType="begin"/>
      </w:r>
      <w:r>
        <w:rPr>
          <w:color w:val="auto"/>
        </w:rPr>
        <w:instrText xml:space="preserve"> HYPERLINK \l "_Toc12867" </w:instrText>
      </w:r>
      <w:r>
        <w:rPr>
          <w:color w:val="auto"/>
        </w:rPr>
        <w:fldChar w:fldCharType="separate"/>
      </w:r>
      <w:r>
        <w:rPr>
          <w:rFonts w:hint="eastAsia" w:ascii="宋体" w:hAnsi="宋体" w:cs="宋体"/>
          <w:color w:val="auto"/>
          <w:sz w:val="32"/>
          <w:szCs w:val="32"/>
        </w:rPr>
        <w:t>第四章  竞争性谈判响应文件格式</w:t>
      </w:r>
      <w:r>
        <w:rPr>
          <w:rFonts w:hint="eastAsia" w:ascii="宋体" w:hAnsi="宋体" w:cs="宋体"/>
          <w:color w:val="auto"/>
          <w:sz w:val="24"/>
        </w:rPr>
        <w:tab/>
      </w:r>
      <w:r>
        <w:rPr>
          <w:rFonts w:hint="eastAsia" w:ascii="宋体" w:hAnsi="宋体" w:cs="宋体"/>
          <w:color w:val="auto"/>
          <w:sz w:val="32"/>
          <w:szCs w:val="32"/>
        </w:rPr>
        <w:fldChar w:fldCharType="begin"/>
      </w:r>
      <w:r>
        <w:rPr>
          <w:rFonts w:hint="eastAsia" w:ascii="宋体" w:hAnsi="宋体" w:cs="宋体"/>
          <w:color w:val="auto"/>
          <w:sz w:val="32"/>
          <w:szCs w:val="32"/>
        </w:rPr>
        <w:instrText xml:space="preserve"> PAGEREF _Toc12867 \h </w:instrText>
      </w:r>
      <w:r>
        <w:rPr>
          <w:rFonts w:hint="eastAsia" w:ascii="宋体" w:hAnsi="宋体" w:cs="宋体"/>
          <w:color w:val="auto"/>
          <w:sz w:val="32"/>
          <w:szCs w:val="32"/>
        </w:rPr>
        <w:fldChar w:fldCharType="separate"/>
      </w:r>
      <w:r>
        <w:rPr>
          <w:rFonts w:hint="eastAsia" w:ascii="宋体" w:hAnsi="宋体" w:cs="宋体"/>
          <w:color w:val="auto"/>
          <w:sz w:val="32"/>
          <w:szCs w:val="32"/>
        </w:rPr>
        <w:t>58</w:t>
      </w:r>
      <w:r>
        <w:rPr>
          <w:rFonts w:hint="eastAsia" w:ascii="宋体" w:hAnsi="宋体" w:cs="宋体"/>
          <w:color w:val="auto"/>
          <w:sz w:val="32"/>
          <w:szCs w:val="32"/>
        </w:rPr>
        <w:fldChar w:fldCharType="end"/>
      </w:r>
      <w:r>
        <w:rPr>
          <w:rFonts w:hint="eastAsia" w:ascii="宋体" w:hAnsi="宋体" w:cs="宋体"/>
          <w:color w:val="auto"/>
          <w:sz w:val="32"/>
          <w:szCs w:val="32"/>
        </w:rPr>
        <w:fldChar w:fldCharType="end"/>
      </w:r>
    </w:p>
    <w:p w14:paraId="7594E956">
      <w:pPr>
        <w:pStyle w:val="28"/>
        <w:tabs>
          <w:tab w:val="right" w:leader="middleDot" w:pos="9638"/>
        </w:tabs>
        <w:spacing w:line="360" w:lineRule="auto"/>
        <w:rPr>
          <w:rFonts w:hint="eastAsia" w:ascii="宋体" w:hAnsi="宋体" w:cs="宋体"/>
          <w:color w:val="auto"/>
          <w:sz w:val="32"/>
          <w:szCs w:val="32"/>
        </w:rPr>
      </w:pPr>
      <w:r>
        <w:rPr>
          <w:color w:val="auto"/>
        </w:rPr>
        <w:fldChar w:fldCharType="begin"/>
      </w:r>
      <w:r>
        <w:rPr>
          <w:color w:val="auto"/>
        </w:rPr>
        <w:instrText xml:space="preserve"> HYPERLINK \l "_Toc14743" </w:instrText>
      </w:r>
      <w:r>
        <w:rPr>
          <w:color w:val="auto"/>
        </w:rPr>
        <w:fldChar w:fldCharType="separate"/>
      </w:r>
      <w:r>
        <w:rPr>
          <w:rFonts w:hint="eastAsia" w:ascii="宋体" w:hAnsi="宋体" w:cs="宋体"/>
          <w:color w:val="auto"/>
          <w:kern w:val="0"/>
          <w:sz w:val="32"/>
          <w:szCs w:val="32"/>
        </w:rPr>
        <w:t>第五章  合同主要条款</w:t>
      </w:r>
      <w:r>
        <w:rPr>
          <w:rFonts w:hint="eastAsia" w:ascii="宋体" w:hAnsi="宋体" w:cs="宋体"/>
          <w:color w:val="auto"/>
          <w:sz w:val="24"/>
        </w:rPr>
        <w:tab/>
      </w:r>
      <w:r>
        <w:rPr>
          <w:rFonts w:hint="eastAsia" w:ascii="宋体" w:hAnsi="宋体" w:cs="宋体"/>
          <w:color w:val="auto"/>
          <w:sz w:val="32"/>
          <w:szCs w:val="32"/>
        </w:rPr>
        <w:fldChar w:fldCharType="begin"/>
      </w:r>
      <w:r>
        <w:rPr>
          <w:rFonts w:hint="eastAsia" w:ascii="宋体" w:hAnsi="宋体" w:cs="宋体"/>
          <w:color w:val="auto"/>
          <w:sz w:val="32"/>
          <w:szCs w:val="32"/>
        </w:rPr>
        <w:instrText xml:space="preserve"> PAGEREF _Toc14743 \h </w:instrText>
      </w:r>
      <w:r>
        <w:rPr>
          <w:rFonts w:hint="eastAsia" w:ascii="宋体" w:hAnsi="宋体" w:cs="宋体"/>
          <w:color w:val="auto"/>
          <w:sz w:val="32"/>
          <w:szCs w:val="32"/>
        </w:rPr>
        <w:fldChar w:fldCharType="separate"/>
      </w:r>
      <w:r>
        <w:rPr>
          <w:rFonts w:hint="eastAsia" w:ascii="宋体" w:hAnsi="宋体" w:cs="宋体"/>
          <w:color w:val="auto"/>
          <w:sz w:val="32"/>
          <w:szCs w:val="32"/>
        </w:rPr>
        <w:t>71</w:t>
      </w:r>
      <w:r>
        <w:rPr>
          <w:rFonts w:hint="eastAsia" w:ascii="宋体" w:hAnsi="宋体" w:cs="宋体"/>
          <w:color w:val="auto"/>
          <w:sz w:val="32"/>
          <w:szCs w:val="32"/>
        </w:rPr>
        <w:fldChar w:fldCharType="end"/>
      </w:r>
      <w:r>
        <w:rPr>
          <w:rFonts w:hint="eastAsia" w:ascii="宋体" w:hAnsi="宋体" w:cs="宋体"/>
          <w:color w:val="auto"/>
          <w:sz w:val="32"/>
          <w:szCs w:val="32"/>
        </w:rPr>
        <w:fldChar w:fldCharType="end"/>
      </w:r>
    </w:p>
    <w:p w14:paraId="6CC86C58">
      <w:pPr>
        <w:pStyle w:val="28"/>
        <w:tabs>
          <w:tab w:val="right" w:leader="middleDot" w:pos="9638"/>
        </w:tabs>
        <w:spacing w:line="360" w:lineRule="auto"/>
        <w:rPr>
          <w:rFonts w:hint="eastAsia" w:ascii="宋体" w:hAnsi="宋体" w:cs="宋体"/>
          <w:color w:val="auto"/>
          <w:sz w:val="32"/>
          <w:szCs w:val="32"/>
        </w:rPr>
      </w:pPr>
      <w:r>
        <w:rPr>
          <w:color w:val="auto"/>
        </w:rPr>
        <w:fldChar w:fldCharType="begin"/>
      </w:r>
      <w:r>
        <w:rPr>
          <w:color w:val="auto"/>
        </w:rPr>
        <w:instrText xml:space="preserve"> HYPERLINK \l "_Toc31634" </w:instrText>
      </w:r>
      <w:r>
        <w:rPr>
          <w:color w:val="auto"/>
        </w:rPr>
        <w:fldChar w:fldCharType="separate"/>
      </w:r>
      <w:r>
        <w:rPr>
          <w:rFonts w:hint="eastAsia" w:ascii="宋体" w:hAnsi="宋体" w:cs="宋体"/>
          <w:color w:val="auto"/>
          <w:kern w:val="0"/>
          <w:sz w:val="32"/>
          <w:szCs w:val="32"/>
        </w:rPr>
        <w:t>第六章  评定标准</w:t>
      </w:r>
      <w:r>
        <w:rPr>
          <w:rFonts w:hint="eastAsia" w:ascii="宋体" w:hAnsi="宋体" w:cs="宋体"/>
          <w:color w:val="auto"/>
          <w:sz w:val="24"/>
        </w:rPr>
        <w:tab/>
      </w:r>
      <w:r>
        <w:rPr>
          <w:rFonts w:hint="eastAsia" w:ascii="宋体" w:hAnsi="宋体" w:cs="宋体"/>
          <w:color w:val="auto"/>
          <w:sz w:val="32"/>
          <w:szCs w:val="32"/>
        </w:rPr>
        <w:fldChar w:fldCharType="begin"/>
      </w:r>
      <w:r>
        <w:rPr>
          <w:rFonts w:hint="eastAsia" w:ascii="宋体" w:hAnsi="宋体" w:cs="宋体"/>
          <w:color w:val="auto"/>
          <w:sz w:val="32"/>
          <w:szCs w:val="32"/>
        </w:rPr>
        <w:instrText xml:space="preserve"> PAGEREF _Toc31634 \h </w:instrText>
      </w:r>
      <w:r>
        <w:rPr>
          <w:rFonts w:hint="eastAsia" w:ascii="宋体" w:hAnsi="宋体" w:cs="宋体"/>
          <w:color w:val="auto"/>
          <w:sz w:val="32"/>
          <w:szCs w:val="32"/>
        </w:rPr>
        <w:fldChar w:fldCharType="separate"/>
      </w:r>
      <w:r>
        <w:rPr>
          <w:rFonts w:hint="eastAsia" w:ascii="宋体" w:hAnsi="宋体" w:cs="宋体"/>
          <w:color w:val="auto"/>
          <w:sz w:val="32"/>
          <w:szCs w:val="32"/>
        </w:rPr>
        <w:t>76</w:t>
      </w:r>
      <w:r>
        <w:rPr>
          <w:rFonts w:hint="eastAsia" w:ascii="宋体" w:hAnsi="宋体" w:cs="宋体"/>
          <w:color w:val="auto"/>
          <w:sz w:val="32"/>
          <w:szCs w:val="32"/>
        </w:rPr>
        <w:fldChar w:fldCharType="end"/>
      </w:r>
      <w:r>
        <w:rPr>
          <w:rFonts w:hint="eastAsia" w:ascii="宋体" w:hAnsi="宋体" w:cs="宋体"/>
          <w:color w:val="auto"/>
          <w:sz w:val="32"/>
          <w:szCs w:val="32"/>
        </w:rPr>
        <w:fldChar w:fldCharType="end"/>
      </w:r>
    </w:p>
    <w:p w14:paraId="5FF15F95">
      <w:pPr>
        <w:spacing w:line="360" w:lineRule="auto"/>
        <w:jc w:val="center"/>
        <w:rPr>
          <w:rFonts w:hint="eastAsia" w:ascii="仿宋_GB2312" w:hAnsi="宋体" w:eastAsia="仿宋_GB2312"/>
          <w:b/>
          <w:color w:val="auto"/>
          <w:sz w:val="32"/>
          <w:szCs w:val="32"/>
        </w:rPr>
      </w:pPr>
      <w:r>
        <w:rPr>
          <w:rFonts w:hint="eastAsia" w:ascii="宋体" w:hAnsi="宋体" w:cs="宋体"/>
          <w:color w:val="auto"/>
          <w:sz w:val="32"/>
          <w:szCs w:val="32"/>
        </w:rPr>
        <w:fldChar w:fldCharType="end"/>
      </w:r>
    </w:p>
    <w:p w14:paraId="49ECBB75">
      <w:pPr>
        <w:spacing w:line="400" w:lineRule="exact"/>
        <w:jc w:val="center"/>
        <w:rPr>
          <w:rFonts w:hint="eastAsia" w:ascii="仿宋_GB2312" w:hAnsi="宋体" w:eastAsia="仿宋_GB2312"/>
          <w:b/>
          <w:color w:val="auto"/>
          <w:sz w:val="32"/>
          <w:szCs w:val="32"/>
        </w:rPr>
      </w:pPr>
    </w:p>
    <w:p w14:paraId="19E059AA">
      <w:pPr>
        <w:spacing w:line="400" w:lineRule="exact"/>
        <w:jc w:val="center"/>
        <w:rPr>
          <w:rFonts w:hint="eastAsia" w:ascii="仿宋_GB2312" w:hAnsi="宋体" w:eastAsia="仿宋_GB2312"/>
          <w:b/>
          <w:color w:val="auto"/>
          <w:sz w:val="32"/>
          <w:szCs w:val="32"/>
        </w:rPr>
      </w:pPr>
    </w:p>
    <w:p w14:paraId="4EDC8049">
      <w:pPr>
        <w:spacing w:line="400" w:lineRule="exact"/>
        <w:jc w:val="center"/>
        <w:rPr>
          <w:rFonts w:hint="eastAsia" w:ascii="仿宋_GB2312" w:hAnsi="宋体" w:eastAsia="仿宋_GB2312"/>
          <w:b/>
          <w:color w:val="auto"/>
          <w:sz w:val="32"/>
          <w:szCs w:val="32"/>
        </w:rPr>
      </w:pPr>
    </w:p>
    <w:p w14:paraId="7C324CD4">
      <w:pPr>
        <w:spacing w:line="400" w:lineRule="exact"/>
        <w:jc w:val="center"/>
        <w:rPr>
          <w:rFonts w:hint="eastAsia" w:ascii="仿宋_GB2312" w:hAnsi="宋体" w:eastAsia="仿宋_GB2312"/>
          <w:b/>
          <w:color w:val="auto"/>
          <w:sz w:val="32"/>
          <w:szCs w:val="32"/>
        </w:rPr>
      </w:pPr>
    </w:p>
    <w:p w14:paraId="30BA58D4">
      <w:pPr>
        <w:spacing w:line="400" w:lineRule="exact"/>
        <w:jc w:val="center"/>
        <w:rPr>
          <w:rFonts w:hint="eastAsia" w:ascii="仿宋_GB2312" w:hAnsi="宋体" w:eastAsia="仿宋_GB2312"/>
          <w:b/>
          <w:color w:val="auto"/>
          <w:sz w:val="32"/>
          <w:szCs w:val="32"/>
        </w:rPr>
      </w:pPr>
    </w:p>
    <w:p w14:paraId="77EE8192">
      <w:pPr>
        <w:spacing w:line="400" w:lineRule="exact"/>
        <w:jc w:val="center"/>
        <w:rPr>
          <w:rFonts w:hint="eastAsia" w:ascii="仿宋_GB2312" w:hAnsi="宋体" w:eastAsia="仿宋_GB2312"/>
          <w:b/>
          <w:color w:val="auto"/>
          <w:sz w:val="32"/>
          <w:szCs w:val="32"/>
        </w:rPr>
      </w:pPr>
    </w:p>
    <w:p w14:paraId="13EDC5F6">
      <w:pPr>
        <w:spacing w:line="400" w:lineRule="exact"/>
        <w:jc w:val="center"/>
        <w:rPr>
          <w:rFonts w:hint="eastAsia" w:ascii="仿宋_GB2312" w:hAnsi="宋体" w:eastAsia="仿宋_GB2312"/>
          <w:b/>
          <w:color w:val="auto"/>
          <w:sz w:val="32"/>
          <w:szCs w:val="32"/>
        </w:rPr>
      </w:pPr>
    </w:p>
    <w:p w14:paraId="23D03507">
      <w:pPr>
        <w:spacing w:line="400" w:lineRule="exact"/>
        <w:jc w:val="center"/>
        <w:rPr>
          <w:rFonts w:hint="eastAsia" w:ascii="仿宋_GB2312" w:hAnsi="宋体" w:eastAsia="仿宋_GB2312"/>
          <w:b/>
          <w:color w:val="auto"/>
          <w:sz w:val="32"/>
          <w:szCs w:val="32"/>
        </w:rPr>
      </w:pPr>
    </w:p>
    <w:p w14:paraId="058F0C09">
      <w:pPr>
        <w:spacing w:line="400" w:lineRule="exact"/>
        <w:jc w:val="center"/>
        <w:rPr>
          <w:rFonts w:hint="eastAsia" w:ascii="仿宋_GB2312" w:hAnsi="宋体" w:eastAsia="仿宋_GB2312"/>
          <w:b/>
          <w:color w:val="auto"/>
          <w:sz w:val="32"/>
          <w:szCs w:val="32"/>
        </w:rPr>
      </w:pPr>
    </w:p>
    <w:p w14:paraId="5BCD7B7A">
      <w:pPr>
        <w:spacing w:line="400" w:lineRule="exact"/>
        <w:jc w:val="center"/>
        <w:rPr>
          <w:rFonts w:hint="eastAsia" w:ascii="仿宋_GB2312" w:hAnsi="宋体" w:eastAsia="仿宋_GB2312"/>
          <w:b/>
          <w:color w:val="auto"/>
          <w:sz w:val="32"/>
          <w:szCs w:val="32"/>
        </w:rPr>
      </w:pPr>
    </w:p>
    <w:p w14:paraId="7506D8B9">
      <w:pPr>
        <w:spacing w:line="400" w:lineRule="exact"/>
        <w:jc w:val="center"/>
        <w:rPr>
          <w:rFonts w:hint="eastAsia" w:ascii="仿宋_GB2312" w:hAnsi="宋体" w:eastAsia="仿宋_GB2312"/>
          <w:b/>
          <w:color w:val="auto"/>
          <w:sz w:val="32"/>
          <w:szCs w:val="32"/>
        </w:rPr>
      </w:pPr>
    </w:p>
    <w:p w14:paraId="22B53682">
      <w:pPr>
        <w:spacing w:line="400" w:lineRule="exact"/>
        <w:jc w:val="center"/>
        <w:rPr>
          <w:rFonts w:hint="eastAsia" w:ascii="黑体" w:hAnsi="宋体" w:eastAsia="黑体"/>
          <w:b/>
          <w:color w:val="auto"/>
          <w:sz w:val="32"/>
          <w:szCs w:val="32"/>
        </w:rPr>
      </w:pPr>
    </w:p>
    <w:p w14:paraId="1CF8D219">
      <w:pPr>
        <w:spacing w:line="400" w:lineRule="exact"/>
        <w:jc w:val="center"/>
        <w:rPr>
          <w:rFonts w:hint="eastAsia" w:ascii="黑体" w:hAnsi="宋体" w:eastAsia="黑体"/>
          <w:b/>
          <w:color w:val="auto"/>
          <w:sz w:val="32"/>
          <w:szCs w:val="32"/>
        </w:rPr>
      </w:pPr>
    </w:p>
    <w:p w14:paraId="10A0DDC1">
      <w:pPr>
        <w:spacing w:line="400" w:lineRule="exact"/>
        <w:jc w:val="center"/>
        <w:rPr>
          <w:rFonts w:hint="eastAsia" w:ascii="黑体" w:hAnsi="宋体" w:eastAsia="黑体"/>
          <w:b/>
          <w:color w:val="auto"/>
          <w:sz w:val="32"/>
          <w:szCs w:val="32"/>
        </w:rPr>
      </w:pPr>
    </w:p>
    <w:p w14:paraId="0667F255">
      <w:pPr>
        <w:spacing w:line="400" w:lineRule="exact"/>
        <w:jc w:val="center"/>
        <w:rPr>
          <w:rFonts w:hint="eastAsia" w:ascii="黑体" w:hAnsi="宋体" w:eastAsia="黑体"/>
          <w:b/>
          <w:color w:val="auto"/>
          <w:sz w:val="32"/>
          <w:szCs w:val="32"/>
        </w:rPr>
      </w:pPr>
    </w:p>
    <w:p w14:paraId="5CC869B7">
      <w:pPr>
        <w:spacing w:line="400" w:lineRule="exact"/>
        <w:jc w:val="center"/>
        <w:rPr>
          <w:rFonts w:hint="eastAsia" w:ascii="黑体" w:hAnsi="宋体" w:eastAsia="黑体"/>
          <w:b/>
          <w:color w:val="auto"/>
          <w:sz w:val="32"/>
          <w:szCs w:val="32"/>
        </w:rPr>
      </w:pPr>
    </w:p>
    <w:p w14:paraId="0F8C6C39">
      <w:pPr>
        <w:spacing w:line="400" w:lineRule="exact"/>
        <w:jc w:val="center"/>
        <w:rPr>
          <w:rFonts w:hint="eastAsia" w:ascii="黑体" w:hAnsi="宋体" w:eastAsia="黑体"/>
          <w:b/>
          <w:color w:val="auto"/>
          <w:sz w:val="32"/>
          <w:szCs w:val="32"/>
        </w:rPr>
      </w:pPr>
    </w:p>
    <w:p w14:paraId="192078E9">
      <w:pPr>
        <w:spacing w:line="400" w:lineRule="exact"/>
        <w:jc w:val="center"/>
        <w:rPr>
          <w:rFonts w:hint="eastAsia" w:ascii="黑体" w:hAnsi="宋体" w:eastAsia="黑体"/>
          <w:b/>
          <w:color w:val="auto"/>
          <w:sz w:val="32"/>
          <w:szCs w:val="32"/>
        </w:rPr>
      </w:pPr>
    </w:p>
    <w:p w14:paraId="0DCB50F3">
      <w:pPr>
        <w:spacing w:line="400" w:lineRule="exact"/>
        <w:jc w:val="center"/>
        <w:rPr>
          <w:rFonts w:hint="eastAsia" w:ascii="黑体" w:hAnsi="宋体" w:eastAsia="黑体"/>
          <w:b/>
          <w:color w:val="auto"/>
          <w:sz w:val="32"/>
          <w:szCs w:val="32"/>
        </w:rPr>
      </w:pPr>
    </w:p>
    <w:p w14:paraId="2EEE4346">
      <w:pPr>
        <w:pStyle w:val="2"/>
        <w:spacing w:after="100" w:line="480" w:lineRule="auto"/>
        <w:jc w:val="center"/>
        <w:rPr>
          <w:color w:val="auto"/>
        </w:rPr>
        <w:sectPr>
          <w:footerReference r:id="rId3" w:type="default"/>
          <w:pgSz w:w="11906" w:h="16838"/>
          <w:pgMar w:top="1134" w:right="1134" w:bottom="1134" w:left="1134" w:header="720" w:footer="720" w:gutter="0"/>
          <w:pgNumType w:start="1"/>
          <w:cols w:space="720" w:num="1"/>
          <w:docGrid w:type="lines" w:linePitch="331" w:charSpace="0"/>
        </w:sectPr>
      </w:pPr>
      <w:bookmarkStart w:id="0" w:name="_Toc129703548"/>
    </w:p>
    <w:p w14:paraId="05979219">
      <w:pPr>
        <w:pStyle w:val="2"/>
        <w:spacing w:after="100" w:line="480" w:lineRule="auto"/>
        <w:jc w:val="center"/>
        <w:rPr>
          <w:color w:val="auto"/>
        </w:rPr>
      </w:pPr>
      <w:bookmarkStart w:id="1" w:name="_Toc12799"/>
      <w:r>
        <w:rPr>
          <w:rFonts w:hint="eastAsia"/>
          <w:color w:val="auto"/>
        </w:rPr>
        <w:t>第一章 竞争性谈判公告</w:t>
      </w:r>
      <w:bookmarkEnd w:id="0"/>
      <w:bookmarkEnd w:id="1"/>
    </w:p>
    <w:p w14:paraId="22CC8F5E">
      <w:pPr>
        <w:spacing w:line="600" w:lineRule="exact"/>
        <w:jc w:val="center"/>
        <w:rPr>
          <w:rFonts w:hint="eastAsia" w:ascii="华文新魏" w:hAnsi="宋体" w:eastAsia="华文新魏"/>
          <w:color w:val="auto"/>
          <w:sz w:val="44"/>
          <w:szCs w:val="44"/>
        </w:rPr>
      </w:pPr>
      <w:r>
        <w:rPr>
          <w:rFonts w:hint="eastAsia" w:ascii="宋体" w:hAnsi="宋体"/>
          <w:b/>
          <w:bCs/>
          <w:color w:val="auto"/>
          <w:sz w:val="28"/>
          <w:szCs w:val="28"/>
        </w:rPr>
        <w:t>广西中吉银工程项目管理有限公司关于</w:t>
      </w:r>
      <w:r>
        <w:rPr>
          <w:rFonts w:hint="eastAsia" w:ascii="宋体" w:hAnsi="宋体"/>
          <w:b/>
          <w:bCs/>
          <w:color w:val="auto"/>
          <w:sz w:val="28"/>
          <w:szCs w:val="28"/>
          <w:lang w:eastAsia="zh-CN"/>
        </w:rPr>
        <w:t>广西科技师范学院2026智慧农业教学实验室建设项目（重</w:t>
      </w:r>
      <w:r>
        <w:rPr>
          <w:rFonts w:hint="eastAsia" w:ascii="宋体" w:hAnsi="宋体"/>
          <w:b/>
          <w:bCs/>
          <w:color w:val="auto"/>
          <w:sz w:val="28"/>
          <w:szCs w:val="28"/>
          <w:lang w:val="en-US" w:eastAsia="zh-CN"/>
        </w:rPr>
        <w:t>2</w:t>
      </w:r>
      <w:r>
        <w:rPr>
          <w:rFonts w:hint="eastAsia" w:ascii="宋体" w:hAnsi="宋体"/>
          <w:b/>
          <w:bCs/>
          <w:color w:val="auto"/>
          <w:sz w:val="28"/>
          <w:szCs w:val="28"/>
          <w:lang w:eastAsia="zh-CN"/>
        </w:rPr>
        <w:t>）</w:t>
      </w:r>
      <w:r>
        <w:rPr>
          <w:rFonts w:hint="eastAsia" w:ascii="宋体" w:hAnsi="宋体"/>
          <w:b/>
          <w:bCs/>
          <w:color w:val="auto"/>
          <w:sz w:val="28"/>
          <w:szCs w:val="28"/>
        </w:rPr>
        <w:t>（</w:t>
      </w:r>
      <w:r>
        <w:rPr>
          <w:rFonts w:hint="eastAsia" w:ascii="宋体" w:hAnsi="宋体"/>
          <w:b/>
          <w:bCs/>
          <w:color w:val="auto"/>
          <w:sz w:val="28"/>
          <w:szCs w:val="28"/>
          <w:lang w:eastAsia="zh-CN"/>
        </w:rPr>
        <w:t>GXZC2026-J1-003183-GXZJ</w:t>
      </w:r>
      <w:r>
        <w:rPr>
          <w:rFonts w:hint="eastAsia" w:ascii="宋体" w:hAnsi="宋体"/>
          <w:b/>
          <w:bCs/>
          <w:color w:val="auto"/>
          <w:sz w:val="28"/>
          <w:szCs w:val="28"/>
        </w:rPr>
        <w:t>）的竞争性谈判公告</w:t>
      </w:r>
    </w:p>
    <w:p w14:paraId="1CA4CB2A">
      <w:pPr>
        <w:spacing w:line="380" w:lineRule="exact"/>
        <w:rPr>
          <w:rFonts w:hint="eastAsia" w:ascii="宋体" w:hAnsi="宋体"/>
          <w:color w:val="auto"/>
          <w:szCs w:val="21"/>
        </w:rPr>
      </w:pPr>
    </w:p>
    <w:p w14:paraId="7912BEB4">
      <w:pPr>
        <w:pBdr>
          <w:top w:val="single" w:color="auto" w:sz="4" w:space="1"/>
          <w:left w:val="single" w:color="auto" w:sz="4" w:space="4"/>
          <w:bottom w:val="single" w:color="auto" w:sz="4" w:space="1"/>
          <w:right w:val="single" w:color="auto" w:sz="4" w:space="4"/>
        </w:pBdr>
        <w:spacing w:line="380" w:lineRule="exact"/>
        <w:ind w:firstLine="420" w:firstLineChars="200"/>
        <w:rPr>
          <w:rFonts w:hint="eastAsia" w:ascii="宋体" w:hAnsi="宋体"/>
          <w:color w:val="auto"/>
          <w:szCs w:val="21"/>
        </w:rPr>
      </w:pPr>
      <w:r>
        <w:rPr>
          <w:rFonts w:hint="eastAsia" w:ascii="宋体" w:hAnsi="宋体"/>
          <w:color w:val="auto"/>
          <w:szCs w:val="21"/>
        </w:rPr>
        <w:t>项目概况</w:t>
      </w:r>
    </w:p>
    <w:p w14:paraId="5F2B0549">
      <w:pPr>
        <w:pBdr>
          <w:top w:val="single" w:color="auto" w:sz="4" w:space="1"/>
          <w:left w:val="single" w:color="auto" w:sz="4" w:space="4"/>
          <w:bottom w:val="single" w:color="auto" w:sz="4" w:space="1"/>
          <w:right w:val="single" w:color="auto" w:sz="4" w:space="4"/>
        </w:pBdr>
        <w:spacing w:line="380" w:lineRule="exact"/>
        <w:ind w:firstLine="420" w:firstLineChars="200"/>
        <w:rPr>
          <w:rFonts w:hint="eastAsia" w:ascii="宋体" w:hAnsi="宋体"/>
          <w:color w:val="auto"/>
          <w:szCs w:val="21"/>
        </w:rPr>
      </w:pPr>
      <w:r>
        <w:rPr>
          <w:rFonts w:hint="eastAsia" w:ascii="宋体" w:hAnsi="宋体"/>
          <w:color w:val="auto"/>
          <w:szCs w:val="21"/>
          <w:u w:val="single"/>
          <w:lang w:eastAsia="zh-CN"/>
        </w:rPr>
        <w:t>广西科技师范学院2026智慧农业教学实验室建设项目（重2）</w:t>
      </w:r>
      <w:bookmarkStart w:id="78" w:name="_GoBack"/>
      <w:bookmarkEnd w:id="78"/>
      <w:r>
        <w:rPr>
          <w:rFonts w:hint="eastAsia" w:ascii="宋体" w:hAnsi="宋体"/>
          <w:color w:val="auto"/>
          <w:szCs w:val="21"/>
        </w:rPr>
        <w:t>采购项目的潜在供应商应在</w:t>
      </w:r>
      <w:r>
        <w:rPr>
          <w:rFonts w:hint="eastAsia" w:ascii="宋体" w:hAnsi="宋体"/>
          <w:color w:val="auto"/>
          <w:szCs w:val="21"/>
          <w:u w:val="single"/>
        </w:rPr>
        <w:t>广西政府采购云平台（https://www.gcy.zfcg.gxzf.gov.cn/）</w:t>
      </w:r>
      <w:r>
        <w:rPr>
          <w:rFonts w:hint="eastAsia" w:ascii="宋体" w:hAnsi="宋体"/>
          <w:color w:val="auto"/>
          <w:szCs w:val="21"/>
        </w:rPr>
        <w:t>获取采购文件，并于</w:t>
      </w:r>
      <w:r>
        <w:rPr>
          <w:rFonts w:hint="eastAsia" w:ascii="宋体" w:hAnsi="宋体"/>
          <w:color w:val="auto"/>
          <w:szCs w:val="21"/>
          <w:u w:val="single"/>
        </w:rPr>
        <w:t>2026年</w:t>
      </w:r>
      <w:r>
        <w:rPr>
          <w:rFonts w:hint="eastAsia" w:ascii="宋体" w:hAnsi="宋体"/>
          <w:color w:val="auto"/>
          <w:szCs w:val="21"/>
          <w:u w:val="single"/>
          <w:lang w:val="en-US" w:eastAsia="zh-CN"/>
        </w:rPr>
        <w:t>10</w:t>
      </w:r>
      <w:r>
        <w:rPr>
          <w:rFonts w:hint="eastAsia" w:ascii="宋体" w:hAnsi="宋体"/>
          <w:bCs/>
          <w:color w:val="auto"/>
          <w:szCs w:val="21"/>
          <w:u w:val="single"/>
        </w:rPr>
        <w:t>月</w:t>
      </w:r>
      <w:r>
        <w:rPr>
          <w:rFonts w:hint="eastAsia" w:ascii="宋体" w:hAnsi="宋体"/>
          <w:bCs/>
          <w:color w:val="auto"/>
          <w:szCs w:val="21"/>
          <w:u w:val="single"/>
          <w:lang w:val="en-US" w:eastAsia="zh-CN"/>
        </w:rPr>
        <w:t>12</w:t>
      </w:r>
      <w:r>
        <w:rPr>
          <w:rFonts w:hint="eastAsia" w:ascii="宋体" w:hAnsi="宋体"/>
          <w:bCs/>
          <w:color w:val="auto"/>
          <w:szCs w:val="21"/>
          <w:u w:val="single"/>
        </w:rPr>
        <w:t>日</w:t>
      </w:r>
      <w:r>
        <w:rPr>
          <w:rFonts w:hint="eastAsia" w:ascii="宋体" w:hAnsi="宋体"/>
          <w:bCs/>
          <w:color w:val="auto"/>
          <w:szCs w:val="21"/>
          <w:u w:val="single"/>
          <w:lang w:val="en-US" w:eastAsia="zh-CN"/>
        </w:rPr>
        <w:t>10</w:t>
      </w:r>
      <w:r>
        <w:rPr>
          <w:rFonts w:hint="eastAsia" w:ascii="宋体" w:hAnsi="宋体"/>
          <w:bCs/>
          <w:color w:val="auto"/>
          <w:szCs w:val="21"/>
          <w:u w:val="single"/>
        </w:rPr>
        <w:t>时30分</w:t>
      </w:r>
      <w:r>
        <w:rPr>
          <w:rFonts w:hint="eastAsia" w:ascii="宋体" w:hAnsi="宋体"/>
          <w:bCs/>
          <w:color w:val="auto"/>
          <w:szCs w:val="21"/>
        </w:rPr>
        <w:t>（北京时间）前提交响应</w:t>
      </w:r>
      <w:r>
        <w:rPr>
          <w:rFonts w:ascii="宋体" w:hAnsi="宋体"/>
          <w:bCs/>
          <w:color w:val="auto"/>
          <w:szCs w:val="21"/>
        </w:rPr>
        <w:t>文件</w:t>
      </w:r>
      <w:r>
        <w:rPr>
          <w:rFonts w:hint="eastAsia" w:ascii="宋体" w:hAnsi="宋体"/>
          <w:color w:val="auto"/>
          <w:szCs w:val="21"/>
        </w:rPr>
        <w:t>。</w:t>
      </w:r>
    </w:p>
    <w:p w14:paraId="1076B224">
      <w:pPr>
        <w:spacing w:line="380" w:lineRule="exact"/>
        <w:rPr>
          <w:rFonts w:hint="eastAsia" w:ascii="宋体" w:hAnsi="宋体"/>
          <w:color w:val="auto"/>
          <w:szCs w:val="21"/>
        </w:rPr>
      </w:pPr>
    </w:p>
    <w:p w14:paraId="349CC2C8">
      <w:pPr>
        <w:spacing w:line="380" w:lineRule="exact"/>
        <w:rPr>
          <w:rFonts w:hint="eastAsia" w:ascii="宋体" w:hAnsi="宋体"/>
          <w:b/>
          <w:color w:val="auto"/>
        </w:rPr>
      </w:pPr>
      <w:bookmarkStart w:id="2" w:name="_Toc28359012"/>
      <w:bookmarkStart w:id="3" w:name="_Toc35393629"/>
      <w:bookmarkStart w:id="4" w:name="_Toc28359089"/>
      <w:bookmarkStart w:id="5" w:name="_Toc35393798"/>
      <w:r>
        <w:rPr>
          <w:rFonts w:hint="eastAsia" w:ascii="宋体" w:hAnsi="宋体"/>
          <w:b/>
          <w:color w:val="auto"/>
        </w:rPr>
        <w:t>一、项目基本情况</w:t>
      </w:r>
      <w:bookmarkEnd w:id="2"/>
      <w:bookmarkEnd w:id="3"/>
      <w:bookmarkEnd w:id="4"/>
      <w:bookmarkEnd w:id="5"/>
    </w:p>
    <w:p w14:paraId="5C6DE7E7">
      <w:pPr>
        <w:widowControl/>
        <w:adjustRightInd w:val="0"/>
        <w:snapToGrid w:val="0"/>
        <w:spacing w:line="400" w:lineRule="exact"/>
        <w:ind w:firstLine="420" w:firstLineChars="200"/>
        <w:jc w:val="left"/>
        <w:rPr>
          <w:rFonts w:hint="eastAsia" w:ascii="宋体" w:hAnsi="宋体" w:eastAsia="宋体" w:cs="宋体"/>
          <w:color w:val="auto"/>
          <w:kern w:val="0"/>
          <w:szCs w:val="21"/>
          <w:lang w:eastAsia="zh-CN"/>
        </w:rPr>
      </w:pPr>
      <w:r>
        <w:rPr>
          <w:rFonts w:ascii="宋体" w:hAnsi="宋体" w:cs="宋体"/>
          <w:color w:val="auto"/>
          <w:kern w:val="0"/>
          <w:szCs w:val="21"/>
        </w:rPr>
        <w:t>项目编号：</w:t>
      </w:r>
      <w:r>
        <w:rPr>
          <w:rFonts w:hint="eastAsia" w:ascii="宋体" w:hAnsi="宋体" w:cs="宋体"/>
          <w:color w:val="auto"/>
          <w:kern w:val="0"/>
          <w:szCs w:val="21"/>
          <w:lang w:eastAsia="zh-CN"/>
        </w:rPr>
        <w:t>GXZC2026-J1-003183-GXZJ</w:t>
      </w:r>
    </w:p>
    <w:p w14:paraId="1951620A">
      <w:pPr>
        <w:widowControl/>
        <w:adjustRightInd w:val="0"/>
        <w:snapToGrid w:val="0"/>
        <w:spacing w:line="400" w:lineRule="exact"/>
        <w:ind w:firstLine="420" w:firstLineChars="200"/>
        <w:jc w:val="left"/>
        <w:rPr>
          <w:color w:val="auto"/>
        </w:rPr>
      </w:pPr>
      <w:r>
        <w:rPr>
          <w:rFonts w:ascii="宋体" w:hAnsi="宋体" w:cs="宋体"/>
          <w:color w:val="auto"/>
          <w:kern w:val="0"/>
          <w:szCs w:val="21"/>
        </w:rPr>
        <w:t>项目名称：</w:t>
      </w:r>
      <w:r>
        <w:rPr>
          <w:rFonts w:hint="eastAsia"/>
          <w:color w:val="auto"/>
          <w:lang w:eastAsia="zh-CN"/>
        </w:rPr>
        <w:t xml:space="preserve">广西科技师范学院2026智慧农业教学实验室建设项目（重2）  </w:t>
      </w:r>
      <w:r>
        <w:rPr>
          <w:rFonts w:hint="eastAsia"/>
          <w:color w:val="auto"/>
        </w:rPr>
        <w:t xml:space="preserve">  </w:t>
      </w:r>
    </w:p>
    <w:p w14:paraId="622AE8FB">
      <w:pPr>
        <w:widowControl/>
        <w:adjustRightInd w:val="0"/>
        <w:snapToGrid w:val="0"/>
        <w:spacing w:line="400" w:lineRule="exact"/>
        <w:ind w:firstLine="420" w:firstLineChars="200"/>
        <w:jc w:val="left"/>
        <w:rPr>
          <w:rFonts w:hint="eastAsia" w:ascii="宋体" w:hAnsi="宋体" w:cs="宋体"/>
          <w:color w:val="auto"/>
          <w:kern w:val="0"/>
          <w:szCs w:val="21"/>
        </w:rPr>
      </w:pPr>
      <w:r>
        <w:rPr>
          <w:rFonts w:ascii="宋体" w:hAnsi="宋体" w:cs="宋体"/>
          <w:color w:val="auto"/>
          <w:kern w:val="0"/>
          <w:szCs w:val="21"/>
        </w:rPr>
        <w:t>预算总金额（元）：</w:t>
      </w:r>
      <w:r>
        <w:rPr>
          <w:rFonts w:hint="eastAsia" w:ascii="宋体" w:hAnsi="宋体" w:cs="宋体"/>
          <w:color w:val="auto"/>
          <w:kern w:val="0"/>
          <w:szCs w:val="21"/>
        </w:rPr>
        <w:t>1,751,852.00</w:t>
      </w:r>
    </w:p>
    <w:p w14:paraId="2338CCBD">
      <w:pPr>
        <w:widowControl/>
        <w:adjustRightInd w:val="0"/>
        <w:snapToGrid w:val="0"/>
        <w:spacing w:line="400" w:lineRule="exact"/>
        <w:ind w:firstLine="420" w:firstLineChars="200"/>
        <w:jc w:val="left"/>
        <w:rPr>
          <w:rFonts w:hint="eastAsia" w:ascii="宋体" w:hAnsi="宋体"/>
          <w:color w:val="auto"/>
        </w:rPr>
      </w:pPr>
      <w:r>
        <w:rPr>
          <w:rFonts w:ascii="宋体" w:hAnsi="宋体" w:cs="宋体"/>
          <w:color w:val="auto"/>
          <w:kern w:val="0"/>
          <w:szCs w:val="21"/>
        </w:rPr>
        <w:t>采购需求：</w:t>
      </w:r>
    </w:p>
    <w:p w14:paraId="5513232F">
      <w:pPr>
        <w:spacing w:line="380" w:lineRule="exact"/>
        <w:ind w:firstLine="420" w:firstLineChars="200"/>
        <w:jc w:val="left"/>
        <w:rPr>
          <w:rFonts w:hint="eastAsia" w:ascii="宋体" w:hAnsi="宋体"/>
          <w:color w:val="auto"/>
        </w:rPr>
      </w:pPr>
      <w:r>
        <w:rPr>
          <w:rFonts w:hint="eastAsia" w:ascii="宋体" w:hAnsi="宋体"/>
          <w:color w:val="auto"/>
        </w:rPr>
        <w:t>标项名称：</w:t>
      </w:r>
      <w:r>
        <w:rPr>
          <w:rFonts w:hint="eastAsia" w:ascii="宋体" w:hAnsi="宋体"/>
          <w:color w:val="auto"/>
          <w:lang w:eastAsia="zh-CN"/>
        </w:rPr>
        <w:t xml:space="preserve">广西科技师范学院2026智慧农业教学实验室建设项目（重2）  </w:t>
      </w:r>
      <w:r>
        <w:rPr>
          <w:rFonts w:hint="eastAsia" w:ascii="宋体" w:hAnsi="宋体"/>
          <w:color w:val="auto"/>
        </w:rPr>
        <w:t xml:space="preserve"> </w:t>
      </w:r>
    </w:p>
    <w:p w14:paraId="5A39A893">
      <w:pPr>
        <w:spacing w:line="380" w:lineRule="exact"/>
        <w:ind w:firstLine="420" w:firstLineChars="200"/>
        <w:jc w:val="left"/>
        <w:rPr>
          <w:rFonts w:hint="eastAsia" w:ascii="宋体" w:hAnsi="宋体"/>
          <w:color w:val="auto"/>
        </w:rPr>
      </w:pPr>
      <w:r>
        <w:rPr>
          <w:rFonts w:hint="eastAsia" w:ascii="宋体" w:hAnsi="宋体"/>
          <w:color w:val="auto"/>
        </w:rPr>
        <w:t>数量：1</w:t>
      </w:r>
    </w:p>
    <w:p w14:paraId="7104FBD2">
      <w:pPr>
        <w:widowControl/>
        <w:adjustRightInd w:val="0"/>
        <w:snapToGrid w:val="0"/>
        <w:spacing w:line="400" w:lineRule="exact"/>
        <w:ind w:firstLine="420" w:firstLineChars="200"/>
        <w:jc w:val="left"/>
        <w:rPr>
          <w:rFonts w:hint="eastAsia" w:ascii="宋体" w:hAnsi="宋体" w:cs="宋体"/>
          <w:color w:val="auto"/>
          <w:kern w:val="0"/>
          <w:szCs w:val="21"/>
        </w:rPr>
      </w:pPr>
      <w:r>
        <w:rPr>
          <w:rFonts w:hint="eastAsia" w:ascii="宋体" w:hAnsi="宋体"/>
          <w:color w:val="auto"/>
        </w:rPr>
        <w:t>预算金额（元）：</w:t>
      </w:r>
      <w:r>
        <w:rPr>
          <w:rFonts w:hint="eastAsia" w:ascii="宋体" w:hAnsi="宋体" w:cs="宋体"/>
          <w:color w:val="auto"/>
          <w:kern w:val="0"/>
          <w:szCs w:val="21"/>
        </w:rPr>
        <w:t>1,751,852.00</w:t>
      </w:r>
    </w:p>
    <w:p w14:paraId="673DA11F">
      <w:pPr>
        <w:spacing w:line="380" w:lineRule="exact"/>
        <w:ind w:firstLine="420" w:firstLineChars="200"/>
        <w:rPr>
          <w:rFonts w:hint="eastAsia" w:ascii="宋体" w:hAnsi="宋体"/>
          <w:color w:val="auto"/>
        </w:rPr>
      </w:pPr>
      <w:r>
        <w:rPr>
          <w:rFonts w:hint="eastAsia" w:ascii="宋体" w:hAnsi="宋体"/>
          <w:color w:val="auto"/>
        </w:rPr>
        <w:t>简要规格描述或项目基本概况介绍、用途：</w:t>
      </w:r>
      <w:r>
        <w:rPr>
          <w:rFonts w:hint="eastAsia" w:ascii="宋体" w:cs="Arial"/>
          <w:color w:val="auto"/>
          <w:szCs w:val="21"/>
        </w:rPr>
        <w:t>紫外可见分光光度计3台，超纯水机1台，电子天平（百分之一）4台，电子天平（万分之一）2台，酶标分析仪1台，旋转蒸发器2台，循环水泵2台，台式低速离心机2台，电热恒温鼓风干燥箱4个，生物显微镜4台等</w:t>
      </w:r>
      <w:r>
        <w:rPr>
          <w:rFonts w:hint="eastAsia"/>
          <w:bCs/>
          <w:color w:val="auto"/>
          <w:kern w:val="0"/>
          <w:szCs w:val="21"/>
        </w:rPr>
        <w:t>。</w:t>
      </w:r>
      <w:r>
        <w:rPr>
          <w:rFonts w:hint="eastAsia" w:ascii="宋体" w:cs="Arial"/>
          <w:color w:val="auto"/>
          <w:szCs w:val="21"/>
        </w:rPr>
        <w:t>如需进一步了解详细内容，详见竞争性谈判文件。</w:t>
      </w:r>
    </w:p>
    <w:p w14:paraId="425B0997">
      <w:pPr>
        <w:spacing w:line="380" w:lineRule="exact"/>
        <w:ind w:firstLine="420" w:firstLineChars="200"/>
        <w:rPr>
          <w:rFonts w:hint="eastAsia" w:ascii="宋体" w:hAnsi="宋体"/>
          <w:color w:val="auto"/>
        </w:rPr>
      </w:pPr>
      <w:r>
        <w:rPr>
          <w:rFonts w:hint="eastAsia" w:ascii="宋体" w:hAnsi="宋体"/>
          <w:color w:val="auto"/>
        </w:rPr>
        <w:t>最高限价（如有）：</w:t>
      </w:r>
      <w:r>
        <w:rPr>
          <w:rFonts w:hint="eastAsia" w:ascii="宋体" w:hAnsi="宋体" w:cs="宋体"/>
          <w:color w:val="auto"/>
          <w:kern w:val="0"/>
          <w:szCs w:val="21"/>
        </w:rPr>
        <w:t>1,751,852.00</w:t>
      </w:r>
      <w:r>
        <w:rPr>
          <w:rFonts w:hint="eastAsia" w:ascii="宋体" w:hAnsi="宋体"/>
          <w:color w:val="auto"/>
        </w:rPr>
        <w:t>元</w:t>
      </w:r>
    </w:p>
    <w:p w14:paraId="398BABD7">
      <w:pPr>
        <w:spacing w:line="380" w:lineRule="exact"/>
        <w:ind w:firstLine="420" w:firstLineChars="200"/>
        <w:rPr>
          <w:rFonts w:hint="eastAsia" w:ascii="宋体" w:hAnsi="宋体"/>
          <w:color w:val="auto"/>
        </w:rPr>
      </w:pPr>
      <w:r>
        <w:rPr>
          <w:rFonts w:hint="eastAsia" w:ascii="宋体" w:hAnsi="宋体"/>
          <w:color w:val="auto"/>
        </w:rPr>
        <w:t>合同履约期限：详见竞争性谈判文件。</w:t>
      </w:r>
    </w:p>
    <w:p w14:paraId="3E4C239C">
      <w:pPr>
        <w:spacing w:line="380" w:lineRule="exact"/>
        <w:ind w:firstLine="420" w:firstLineChars="200"/>
        <w:rPr>
          <w:rFonts w:hint="eastAsia" w:ascii="宋体" w:hAnsi="宋体"/>
          <w:color w:val="auto"/>
        </w:rPr>
      </w:pPr>
      <w:r>
        <w:rPr>
          <w:rFonts w:hint="eastAsia" w:ascii="宋体" w:hAnsi="宋体"/>
          <w:color w:val="auto"/>
        </w:rPr>
        <w:t>本标项</w:t>
      </w:r>
      <w:r>
        <w:rPr>
          <w:rFonts w:ascii="宋体" w:hAnsi="宋体"/>
          <w:color w:val="auto"/>
        </w:rPr>
        <w:t>（否）</w:t>
      </w:r>
      <w:r>
        <w:rPr>
          <w:rFonts w:hint="eastAsia" w:ascii="宋体" w:hAnsi="宋体"/>
          <w:color w:val="auto"/>
        </w:rPr>
        <w:t>接受联合体投标</w:t>
      </w:r>
    </w:p>
    <w:p w14:paraId="09FEDC9C">
      <w:pPr>
        <w:spacing w:line="380" w:lineRule="exact"/>
        <w:ind w:firstLine="420" w:firstLineChars="200"/>
        <w:rPr>
          <w:rFonts w:hint="eastAsia" w:ascii="宋体" w:hAnsi="宋体"/>
          <w:color w:val="auto"/>
        </w:rPr>
      </w:pPr>
      <w:r>
        <w:rPr>
          <w:rFonts w:hint="eastAsia" w:ascii="宋体" w:hAnsi="宋体"/>
          <w:color w:val="auto"/>
        </w:rPr>
        <w:t>备注：本项目为线上电子招标项目，有意向参与本项目的供应商应当做好参与全流程电子招投标交易的充分准备。</w:t>
      </w:r>
    </w:p>
    <w:p w14:paraId="11620459">
      <w:pPr>
        <w:spacing w:line="380" w:lineRule="exact"/>
        <w:rPr>
          <w:rFonts w:hint="eastAsia" w:ascii="宋体" w:hAnsi="宋体"/>
          <w:b/>
          <w:color w:val="auto"/>
        </w:rPr>
      </w:pPr>
      <w:bookmarkStart w:id="6" w:name="_Toc28359090"/>
      <w:bookmarkStart w:id="7" w:name="_Toc35393630"/>
      <w:bookmarkStart w:id="8" w:name="_Toc35393799"/>
      <w:bookmarkStart w:id="9" w:name="_Toc28359013"/>
      <w:r>
        <w:rPr>
          <w:rFonts w:hint="eastAsia" w:ascii="宋体" w:hAnsi="宋体"/>
          <w:b/>
          <w:color w:val="auto"/>
        </w:rPr>
        <w:t>二、申请人的资格要求：</w:t>
      </w:r>
      <w:bookmarkEnd w:id="6"/>
      <w:bookmarkEnd w:id="7"/>
      <w:bookmarkEnd w:id="8"/>
      <w:bookmarkEnd w:id="9"/>
    </w:p>
    <w:p w14:paraId="784D7C3B">
      <w:pPr>
        <w:spacing w:line="380" w:lineRule="exact"/>
        <w:ind w:firstLine="420" w:firstLineChars="200"/>
        <w:rPr>
          <w:rFonts w:hint="eastAsia" w:ascii="宋体" w:hAnsi="宋体"/>
          <w:color w:val="auto"/>
        </w:rPr>
      </w:pPr>
      <w:r>
        <w:rPr>
          <w:rFonts w:hint="eastAsia" w:ascii="宋体" w:hAnsi="宋体"/>
          <w:color w:val="auto"/>
        </w:rPr>
        <w:t>1.满足《中华人民共和国政府采购法》第二十二条规定；</w:t>
      </w:r>
    </w:p>
    <w:p w14:paraId="4FA3E296">
      <w:pPr>
        <w:spacing w:line="360" w:lineRule="auto"/>
        <w:ind w:firstLine="420" w:firstLineChars="200"/>
        <w:rPr>
          <w:rFonts w:hint="eastAsia" w:ascii="宋体" w:hAnsi="宋体"/>
          <w:color w:val="auto"/>
        </w:rPr>
      </w:pPr>
      <w:bookmarkStart w:id="10" w:name="_Toc28359091"/>
      <w:bookmarkStart w:id="11" w:name="_Toc28359014"/>
      <w:r>
        <w:rPr>
          <w:rFonts w:ascii="宋体" w:hAnsi="宋体"/>
          <w:color w:val="auto"/>
        </w:rPr>
        <w:t>2</w:t>
      </w:r>
      <w:r>
        <w:rPr>
          <w:rFonts w:hint="eastAsia" w:ascii="宋体" w:hAnsi="宋体"/>
          <w:color w:val="auto"/>
        </w:rPr>
        <w:t>.落实政府采购政策需满足的资格要求：无</w:t>
      </w:r>
      <w:r>
        <w:rPr>
          <w:rFonts w:hint="eastAsia" w:ascii="宋体" w:hAnsi="宋体"/>
          <w:color w:val="auto"/>
          <w:szCs w:val="21"/>
        </w:rPr>
        <w:t>。</w:t>
      </w:r>
    </w:p>
    <w:p w14:paraId="5D3877C5">
      <w:pPr>
        <w:spacing w:line="380" w:lineRule="exact"/>
        <w:ind w:firstLine="420" w:firstLineChars="200"/>
        <w:rPr>
          <w:rFonts w:hint="eastAsia" w:ascii="宋体" w:hAnsi="宋体"/>
          <w:i/>
          <w:iCs/>
          <w:color w:val="auto"/>
          <w:u w:val="single"/>
        </w:rPr>
      </w:pPr>
      <w:r>
        <w:rPr>
          <w:rFonts w:hint="eastAsia" w:ascii="宋体" w:hAnsi="宋体"/>
          <w:color w:val="auto"/>
        </w:rPr>
        <w:t>3.本项目的特定资格要求：无。</w:t>
      </w:r>
    </w:p>
    <w:p w14:paraId="5A57B441">
      <w:pPr>
        <w:spacing w:line="380" w:lineRule="exact"/>
        <w:rPr>
          <w:rFonts w:hint="eastAsia" w:ascii="宋体" w:hAnsi="宋体"/>
          <w:b/>
          <w:color w:val="auto"/>
        </w:rPr>
      </w:pPr>
      <w:bookmarkStart w:id="12" w:name="_Toc35393631"/>
      <w:bookmarkStart w:id="13" w:name="_Toc35393800"/>
      <w:r>
        <w:rPr>
          <w:rFonts w:hint="eastAsia" w:ascii="宋体" w:hAnsi="宋体"/>
          <w:b/>
          <w:color w:val="auto"/>
        </w:rPr>
        <w:t>三、获取采购文件</w:t>
      </w:r>
      <w:bookmarkEnd w:id="10"/>
      <w:bookmarkEnd w:id="11"/>
      <w:bookmarkEnd w:id="12"/>
      <w:bookmarkEnd w:id="13"/>
    </w:p>
    <w:p w14:paraId="71AB0CD5">
      <w:pPr>
        <w:spacing w:line="380" w:lineRule="exact"/>
        <w:ind w:firstLine="420" w:firstLineChars="200"/>
        <w:rPr>
          <w:rFonts w:hint="eastAsia" w:ascii="宋体" w:hAnsi="宋体"/>
          <w:color w:val="auto"/>
        </w:rPr>
      </w:pPr>
      <w:r>
        <w:rPr>
          <w:rFonts w:hint="eastAsia" w:ascii="宋体" w:hAnsi="宋体"/>
          <w:color w:val="auto"/>
        </w:rPr>
        <w:t>时间：</w:t>
      </w:r>
      <w:r>
        <w:rPr>
          <w:rFonts w:hint="eastAsia" w:ascii="宋体" w:hAnsi="宋体"/>
          <w:color w:val="auto"/>
          <w:u w:val="single"/>
        </w:rPr>
        <w:t>2026年</w:t>
      </w:r>
      <w:r>
        <w:rPr>
          <w:rFonts w:hint="eastAsia" w:ascii="宋体" w:hAnsi="宋体"/>
          <w:color w:val="auto"/>
          <w:u w:val="single"/>
          <w:lang w:val="en-US" w:eastAsia="zh-CN"/>
        </w:rPr>
        <w:t>9</w:t>
      </w:r>
      <w:r>
        <w:rPr>
          <w:rFonts w:hint="eastAsia" w:ascii="宋体" w:hAnsi="宋体"/>
          <w:color w:val="auto"/>
          <w:u w:val="single"/>
        </w:rPr>
        <w:t>月</w:t>
      </w:r>
      <w:r>
        <w:rPr>
          <w:rFonts w:hint="eastAsia" w:ascii="宋体" w:hAnsi="宋体"/>
          <w:color w:val="auto"/>
          <w:u w:val="single"/>
          <w:lang w:val="en-US" w:eastAsia="zh-CN"/>
        </w:rPr>
        <w:t>24</w:t>
      </w:r>
      <w:r>
        <w:rPr>
          <w:rFonts w:hint="eastAsia" w:ascii="宋体" w:hAnsi="宋体"/>
          <w:color w:val="auto"/>
          <w:u w:val="single"/>
        </w:rPr>
        <w:t>日</w:t>
      </w:r>
      <w:r>
        <w:rPr>
          <w:rFonts w:hint="eastAsia" w:ascii="宋体" w:hAnsi="宋体"/>
          <w:color w:val="auto"/>
        </w:rPr>
        <w:t>至</w:t>
      </w:r>
      <w:r>
        <w:rPr>
          <w:rFonts w:hint="eastAsia" w:ascii="宋体" w:hAnsi="宋体"/>
          <w:color w:val="auto"/>
          <w:u w:val="single"/>
        </w:rPr>
        <w:t>2026年</w:t>
      </w:r>
      <w:r>
        <w:rPr>
          <w:rFonts w:hint="eastAsia" w:ascii="宋体" w:hAnsi="宋体"/>
          <w:color w:val="auto"/>
          <w:u w:val="single"/>
          <w:lang w:val="en-US" w:eastAsia="zh-CN"/>
        </w:rPr>
        <w:t>9</w:t>
      </w:r>
      <w:r>
        <w:rPr>
          <w:rFonts w:hint="eastAsia" w:ascii="宋体" w:hAnsi="宋体"/>
          <w:color w:val="auto"/>
          <w:u w:val="single"/>
        </w:rPr>
        <w:t>月</w:t>
      </w:r>
      <w:r>
        <w:rPr>
          <w:rFonts w:hint="eastAsia" w:ascii="宋体" w:hAnsi="宋体"/>
          <w:color w:val="auto"/>
          <w:u w:val="single"/>
          <w:lang w:val="en-US" w:eastAsia="zh-CN"/>
        </w:rPr>
        <w:t>30</w:t>
      </w:r>
      <w:r>
        <w:rPr>
          <w:rFonts w:hint="eastAsia" w:ascii="宋体" w:hAnsi="宋体"/>
          <w:color w:val="auto"/>
          <w:u w:val="single"/>
        </w:rPr>
        <w:t>日</w:t>
      </w:r>
      <w:r>
        <w:rPr>
          <w:rFonts w:hint="eastAsia" w:ascii="宋体" w:hAnsi="宋体"/>
          <w:color w:val="auto"/>
        </w:rPr>
        <w:t>，每天上午</w:t>
      </w:r>
      <w:r>
        <w:rPr>
          <w:rFonts w:hint="eastAsia" w:ascii="宋体" w:hAnsi="宋体"/>
          <w:color w:val="auto"/>
          <w:u w:val="single"/>
        </w:rPr>
        <w:t>8时30分</w:t>
      </w:r>
      <w:r>
        <w:rPr>
          <w:rFonts w:hint="eastAsia" w:ascii="宋体" w:hAnsi="宋体"/>
          <w:color w:val="auto"/>
        </w:rPr>
        <w:t>至</w:t>
      </w:r>
      <w:r>
        <w:rPr>
          <w:rFonts w:hint="eastAsia" w:ascii="宋体" w:hAnsi="宋体"/>
          <w:color w:val="auto"/>
          <w:u w:val="single"/>
        </w:rPr>
        <w:t>11时59分</w:t>
      </w:r>
      <w:r>
        <w:rPr>
          <w:rFonts w:hint="eastAsia" w:ascii="宋体" w:hAnsi="宋体"/>
          <w:color w:val="auto"/>
        </w:rPr>
        <w:t>，下午</w:t>
      </w:r>
      <w:r>
        <w:rPr>
          <w:rFonts w:hint="eastAsia" w:ascii="宋体" w:hAnsi="宋体"/>
          <w:color w:val="auto"/>
          <w:u w:val="single"/>
        </w:rPr>
        <w:t>12时00分</w:t>
      </w:r>
      <w:r>
        <w:rPr>
          <w:rFonts w:hint="eastAsia" w:ascii="宋体" w:hAnsi="宋体"/>
          <w:color w:val="auto"/>
        </w:rPr>
        <w:t>至</w:t>
      </w:r>
      <w:r>
        <w:rPr>
          <w:rFonts w:hint="eastAsia" w:ascii="宋体" w:hAnsi="宋体"/>
          <w:color w:val="auto"/>
          <w:u w:val="single"/>
        </w:rPr>
        <w:t>18时00分</w:t>
      </w:r>
      <w:r>
        <w:rPr>
          <w:rFonts w:hint="eastAsia" w:ascii="宋体" w:hAnsi="宋体"/>
          <w:color w:val="auto"/>
        </w:rPr>
        <w:t>（北京时间，</w:t>
      </w:r>
      <w:r>
        <w:rPr>
          <w:rFonts w:ascii="宋体" w:hAnsi="宋体"/>
          <w:color w:val="auto"/>
        </w:rPr>
        <w:t>法定节假日</w:t>
      </w:r>
      <w:r>
        <w:rPr>
          <w:rFonts w:hint="eastAsia" w:ascii="宋体" w:hAnsi="宋体"/>
          <w:color w:val="auto"/>
        </w:rPr>
        <w:t>除外 ）</w:t>
      </w:r>
    </w:p>
    <w:p w14:paraId="4A1844CF">
      <w:pPr>
        <w:spacing w:line="380" w:lineRule="exact"/>
        <w:ind w:firstLine="420" w:firstLineChars="200"/>
        <w:rPr>
          <w:rFonts w:hint="eastAsia" w:ascii="宋体" w:hAnsi="宋体"/>
          <w:color w:val="auto"/>
          <w:u w:val="single"/>
        </w:rPr>
      </w:pPr>
      <w:r>
        <w:rPr>
          <w:rFonts w:hint="eastAsia" w:ascii="宋体" w:hAnsi="宋体"/>
          <w:color w:val="auto"/>
        </w:rPr>
        <w:t>地点：广西政府采购云平台（https://www.gcy.zfcg.gxzf.gov.cn/）</w:t>
      </w:r>
    </w:p>
    <w:p w14:paraId="201495BD">
      <w:pPr>
        <w:spacing w:line="380" w:lineRule="exact"/>
        <w:ind w:firstLine="420" w:firstLineChars="200"/>
        <w:rPr>
          <w:rFonts w:hint="eastAsia" w:ascii="宋体" w:hAnsi="宋体"/>
          <w:color w:val="auto"/>
        </w:rPr>
      </w:pPr>
      <w:r>
        <w:rPr>
          <w:rFonts w:hint="eastAsia" w:ascii="宋体" w:hAnsi="宋体"/>
          <w:color w:val="auto"/>
        </w:rPr>
        <w:t>方式：请登录广西政府采购云平台（https://www.gcy.zfcg.gxzf.gov.cn/）进行报名并获取采购文件；未注册的供应商可在广西政府采购云平台完成注册后再行报名。如在操作过程中遇到问题或需技术支持，请致电广西政府采购云平台客服热线：</w:t>
      </w:r>
      <w:r>
        <w:rPr>
          <w:rFonts w:ascii="宋体" w:hAnsi="宋体"/>
          <w:color w:val="auto"/>
        </w:rPr>
        <w:t>95763</w:t>
      </w:r>
      <w:r>
        <w:rPr>
          <w:rFonts w:hint="eastAsia" w:ascii="宋体" w:hAnsi="宋体"/>
          <w:color w:val="auto"/>
        </w:rPr>
        <w:t>。提示：供应商只有在“广西政府采购云平台”完成获取采购文件申请并下载了采购文件后才视作依法获取采购文件（法律法规所指的供应商获取采购文件时间以供应商完成获取采购文件申请后下载采购文件的时间为准）。</w:t>
      </w:r>
    </w:p>
    <w:p w14:paraId="50C133A6">
      <w:pPr>
        <w:spacing w:line="380" w:lineRule="exact"/>
        <w:ind w:firstLine="420" w:firstLineChars="200"/>
        <w:rPr>
          <w:rFonts w:hint="eastAsia" w:ascii="宋体" w:hAnsi="宋体"/>
          <w:color w:val="auto"/>
        </w:rPr>
      </w:pPr>
      <w:r>
        <w:rPr>
          <w:rFonts w:ascii="宋体" w:hAnsi="宋体" w:cs="宋体"/>
          <w:color w:val="auto"/>
          <w:kern w:val="0"/>
          <w:szCs w:val="21"/>
        </w:rPr>
        <w:t>售价（元）：</w:t>
      </w:r>
      <w:r>
        <w:rPr>
          <w:rFonts w:hint="eastAsia" w:ascii="宋体" w:hAnsi="宋体" w:cs="宋体"/>
          <w:color w:val="auto"/>
          <w:kern w:val="0"/>
          <w:szCs w:val="21"/>
        </w:rPr>
        <w:t>0</w:t>
      </w:r>
    </w:p>
    <w:p w14:paraId="1EE745CB">
      <w:pPr>
        <w:spacing w:line="380" w:lineRule="exact"/>
        <w:rPr>
          <w:rFonts w:hint="eastAsia" w:ascii="宋体" w:hAnsi="宋体"/>
          <w:b/>
          <w:color w:val="auto"/>
        </w:rPr>
      </w:pPr>
      <w:bookmarkStart w:id="14" w:name="_Toc28359092"/>
      <w:bookmarkStart w:id="15" w:name="_Toc35393801"/>
      <w:bookmarkStart w:id="16" w:name="_Toc28359015"/>
      <w:bookmarkStart w:id="17" w:name="_Toc35393632"/>
      <w:r>
        <w:rPr>
          <w:rFonts w:hint="eastAsia" w:ascii="宋体" w:hAnsi="宋体"/>
          <w:b/>
          <w:color w:val="auto"/>
        </w:rPr>
        <w:t>四、响应文件提交</w:t>
      </w:r>
      <w:bookmarkEnd w:id="14"/>
      <w:bookmarkEnd w:id="15"/>
      <w:bookmarkEnd w:id="16"/>
      <w:bookmarkEnd w:id="17"/>
    </w:p>
    <w:p w14:paraId="296D3219">
      <w:pPr>
        <w:spacing w:line="380" w:lineRule="exact"/>
        <w:ind w:firstLine="420" w:firstLineChars="200"/>
        <w:rPr>
          <w:rFonts w:hint="eastAsia" w:ascii="宋体" w:hAnsi="宋体"/>
          <w:bCs/>
          <w:color w:val="auto"/>
          <w:u w:val="single"/>
        </w:rPr>
      </w:pPr>
      <w:r>
        <w:rPr>
          <w:rFonts w:hint="eastAsia" w:ascii="宋体" w:hAnsi="宋体"/>
          <w:color w:val="auto"/>
        </w:rPr>
        <w:t>截止时间：</w:t>
      </w:r>
      <w:r>
        <w:rPr>
          <w:rFonts w:hint="eastAsia" w:ascii="宋体" w:hAnsi="宋体"/>
          <w:bCs/>
          <w:color w:val="auto"/>
        </w:rPr>
        <w:t>2026年10月12日</w:t>
      </w:r>
      <w:r>
        <w:rPr>
          <w:rFonts w:hint="eastAsia" w:ascii="宋体" w:hAnsi="宋体"/>
          <w:bCs/>
          <w:color w:val="auto"/>
          <w:lang w:val="en-US" w:eastAsia="zh-CN"/>
        </w:rPr>
        <w:t>10</w:t>
      </w:r>
      <w:r>
        <w:rPr>
          <w:rFonts w:hint="eastAsia" w:ascii="宋体" w:hAnsi="宋体"/>
          <w:bCs/>
          <w:color w:val="auto"/>
        </w:rPr>
        <w:t>:30（北京时间）</w:t>
      </w:r>
    </w:p>
    <w:p w14:paraId="5D27A925">
      <w:pPr>
        <w:spacing w:line="380" w:lineRule="exact"/>
        <w:ind w:firstLine="420" w:firstLineChars="200"/>
        <w:rPr>
          <w:rFonts w:hint="eastAsia" w:ascii="宋体" w:hAnsi="宋体"/>
          <w:color w:val="auto"/>
          <w:szCs w:val="21"/>
        </w:rPr>
      </w:pPr>
      <w:r>
        <w:rPr>
          <w:rFonts w:hint="eastAsia" w:ascii="宋体" w:hAnsi="宋体"/>
          <w:color w:val="auto"/>
        </w:rPr>
        <w:t>地点（网址）：广西政府采购云平台（https://www.gcy.zfcg.gxzf.gov.cn/）</w:t>
      </w:r>
      <w:r>
        <w:rPr>
          <w:rFonts w:hint="eastAsia" w:ascii="宋体" w:hAnsi="宋体"/>
          <w:color w:val="auto"/>
          <w:szCs w:val="21"/>
        </w:rPr>
        <w:t>（本项目为全流程电子化项目，供应商应派法定代表人或委托代理人准时在线出席电子评审会议，随时关注评审进度，如在评审过程中有电子询标，应在规定的时间内对电子询标函进行澄清回复。）</w:t>
      </w:r>
    </w:p>
    <w:p w14:paraId="5590D5E5">
      <w:pPr>
        <w:spacing w:line="380" w:lineRule="exact"/>
        <w:rPr>
          <w:rFonts w:hint="eastAsia" w:ascii="宋体" w:hAnsi="宋体"/>
          <w:b/>
          <w:color w:val="auto"/>
        </w:rPr>
      </w:pPr>
      <w:bookmarkStart w:id="18" w:name="_Toc28359093"/>
      <w:bookmarkStart w:id="19" w:name="_Toc28359016"/>
      <w:bookmarkStart w:id="20" w:name="_Toc35393802"/>
      <w:bookmarkStart w:id="21" w:name="_Toc35393633"/>
      <w:bookmarkStart w:id="22" w:name="_Toc28359094"/>
      <w:bookmarkStart w:id="23" w:name="_Toc28359017"/>
      <w:bookmarkStart w:id="24" w:name="_Toc35393634"/>
      <w:bookmarkStart w:id="25" w:name="_Toc35393803"/>
      <w:r>
        <w:rPr>
          <w:rFonts w:hint="eastAsia" w:ascii="宋体" w:hAnsi="宋体"/>
          <w:b/>
          <w:color w:val="auto"/>
        </w:rPr>
        <w:t>五、开启</w:t>
      </w:r>
      <w:bookmarkEnd w:id="18"/>
      <w:bookmarkEnd w:id="19"/>
      <w:bookmarkEnd w:id="20"/>
      <w:bookmarkEnd w:id="21"/>
    </w:p>
    <w:p w14:paraId="306A89C9">
      <w:pPr>
        <w:spacing w:line="380" w:lineRule="exact"/>
        <w:ind w:firstLine="420" w:firstLineChars="200"/>
        <w:rPr>
          <w:rFonts w:hint="eastAsia" w:ascii="宋体" w:hAnsi="宋体"/>
          <w:bCs/>
          <w:color w:val="auto"/>
          <w:u w:val="single"/>
        </w:rPr>
      </w:pPr>
      <w:r>
        <w:rPr>
          <w:rFonts w:hint="eastAsia" w:ascii="宋体" w:hAnsi="宋体"/>
          <w:color w:val="auto"/>
        </w:rPr>
        <w:t>开启时间：</w:t>
      </w:r>
      <w:r>
        <w:rPr>
          <w:rFonts w:hint="eastAsia" w:ascii="宋体" w:hAnsi="宋体"/>
          <w:bCs/>
          <w:color w:val="auto"/>
        </w:rPr>
        <w:t>2026年10月12日</w:t>
      </w:r>
      <w:r>
        <w:rPr>
          <w:rFonts w:hint="eastAsia" w:ascii="宋体" w:hAnsi="宋体"/>
          <w:bCs/>
          <w:color w:val="auto"/>
          <w:lang w:val="en-US" w:eastAsia="zh-CN"/>
        </w:rPr>
        <w:t>10</w:t>
      </w:r>
      <w:r>
        <w:rPr>
          <w:rFonts w:hint="eastAsia" w:ascii="宋体" w:hAnsi="宋体"/>
          <w:bCs/>
          <w:color w:val="auto"/>
        </w:rPr>
        <w:t>:30（北京时间）</w:t>
      </w:r>
    </w:p>
    <w:p w14:paraId="0234A476">
      <w:pPr>
        <w:spacing w:line="380" w:lineRule="exact"/>
        <w:ind w:firstLine="420" w:firstLineChars="200"/>
        <w:rPr>
          <w:rFonts w:hint="eastAsia" w:ascii="宋体" w:hAnsi="宋体"/>
          <w:b/>
          <w:color w:val="auto"/>
        </w:rPr>
      </w:pPr>
      <w:r>
        <w:rPr>
          <w:rFonts w:hint="eastAsia" w:ascii="宋体" w:hAnsi="宋体"/>
          <w:color w:val="auto"/>
        </w:rPr>
        <w:t>地点：</w:t>
      </w:r>
      <w:r>
        <w:rPr>
          <w:rFonts w:hint="eastAsia" w:ascii="宋体" w:hAnsi="宋体"/>
          <w:bCs/>
          <w:color w:val="auto"/>
        </w:rPr>
        <w:t>广西政府采购云平台电子开标大厅</w:t>
      </w:r>
    </w:p>
    <w:p w14:paraId="3895FE70">
      <w:pPr>
        <w:spacing w:line="380" w:lineRule="exact"/>
        <w:rPr>
          <w:rFonts w:hint="eastAsia" w:ascii="宋体" w:hAnsi="宋体"/>
          <w:b/>
          <w:color w:val="auto"/>
        </w:rPr>
      </w:pPr>
      <w:r>
        <w:rPr>
          <w:rFonts w:hint="eastAsia" w:ascii="宋体" w:hAnsi="宋体"/>
          <w:b/>
          <w:color w:val="auto"/>
        </w:rPr>
        <w:t>六、公告期限</w:t>
      </w:r>
      <w:bookmarkEnd w:id="22"/>
      <w:bookmarkEnd w:id="23"/>
      <w:bookmarkEnd w:id="24"/>
      <w:bookmarkEnd w:id="25"/>
    </w:p>
    <w:p w14:paraId="6D4ED1AC">
      <w:pPr>
        <w:spacing w:line="380" w:lineRule="exact"/>
        <w:ind w:firstLine="420" w:firstLineChars="200"/>
        <w:rPr>
          <w:rFonts w:hint="eastAsia" w:ascii="宋体" w:hAnsi="宋体"/>
          <w:color w:val="auto"/>
          <w:kern w:val="0"/>
        </w:rPr>
      </w:pPr>
      <w:r>
        <w:rPr>
          <w:rFonts w:hint="eastAsia" w:ascii="宋体" w:hAnsi="宋体"/>
          <w:color w:val="auto"/>
          <w:kern w:val="0"/>
        </w:rPr>
        <w:t>自本公告发布之日起3个工作日。</w:t>
      </w:r>
    </w:p>
    <w:p w14:paraId="03CEB32B">
      <w:pPr>
        <w:spacing w:line="380" w:lineRule="exact"/>
        <w:rPr>
          <w:rFonts w:hint="eastAsia" w:ascii="宋体" w:hAnsi="宋体"/>
          <w:b/>
          <w:color w:val="auto"/>
        </w:rPr>
      </w:pPr>
      <w:bookmarkStart w:id="26" w:name="_Toc35393635"/>
      <w:bookmarkStart w:id="27" w:name="_Toc35393804"/>
      <w:r>
        <w:rPr>
          <w:rFonts w:hint="eastAsia" w:ascii="宋体" w:hAnsi="宋体"/>
          <w:b/>
          <w:color w:val="auto"/>
        </w:rPr>
        <w:t>七、其他补充事宜</w:t>
      </w:r>
      <w:bookmarkEnd w:id="26"/>
      <w:bookmarkEnd w:id="27"/>
    </w:p>
    <w:p w14:paraId="2BBC1984">
      <w:pPr>
        <w:spacing w:line="380" w:lineRule="exact"/>
        <w:ind w:firstLine="422" w:firstLineChars="200"/>
        <w:rPr>
          <w:rFonts w:hint="eastAsia" w:ascii="宋体" w:hAnsi="宋体"/>
          <w:color w:val="auto"/>
        </w:rPr>
      </w:pPr>
      <w:r>
        <w:rPr>
          <w:rFonts w:hint="eastAsia" w:ascii="宋体" w:hAnsi="宋体"/>
          <w:b/>
          <w:color w:val="auto"/>
        </w:rPr>
        <w:t>1.</w:t>
      </w:r>
      <w:r>
        <w:rPr>
          <w:rFonts w:hint="eastAsia" w:ascii="宋体" w:hAnsi="宋体"/>
          <w:b/>
          <w:bCs/>
          <w:color w:val="auto"/>
        </w:rPr>
        <w:t xml:space="preserve"> </w:t>
      </w:r>
      <w:r>
        <w:rPr>
          <w:rFonts w:hint="eastAsia" w:ascii="宋体" w:hAnsi="宋体"/>
          <w:b/>
          <w:color w:val="auto"/>
          <w:szCs w:val="21"/>
        </w:rPr>
        <w:t>谈判</w:t>
      </w:r>
      <w:r>
        <w:rPr>
          <w:rFonts w:hint="eastAsia" w:ascii="宋体" w:hAnsi="宋体"/>
          <w:b/>
          <w:bCs/>
          <w:color w:val="auto"/>
        </w:rPr>
        <w:t>保证金</w:t>
      </w:r>
      <w:r>
        <w:rPr>
          <w:rFonts w:hint="eastAsia" w:ascii="宋体" w:hAnsi="宋体"/>
          <w:b/>
          <w:color w:val="auto"/>
        </w:rPr>
        <w:t>（人民币）：</w:t>
      </w:r>
      <w:r>
        <w:rPr>
          <w:rFonts w:hint="eastAsia" w:ascii="宋体" w:hAnsi="宋体"/>
          <w:b/>
          <w:color w:val="auto"/>
          <w:u w:val="single"/>
        </w:rPr>
        <w:t xml:space="preserve"> 17,000.00 </w:t>
      </w:r>
      <w:r>
        <w:rPr>
          <w:rFonts w:hint="eastAsia" w:ascii="宋体" w:hAnsi="宋体"/>
          <w:b/>
          <w:color w:val="auto"/>
        </w:rPr>
        <w:t>元</w:t>
      </w:r>
      <w:r>
        <w:rPr>
          <w:rFonts w:hint="eastAsia" w:ascii="宋体" w:hAnsi="宋体"/>
          <w:color w:val="auto"/>
        </w:rPr>
        <w:t>。</w:t>
      </w:r>
      <w:r>
        <w:rPr>
          <w:rFonts w:hint="eastAsia" w:ascii="宋体" w:hAnsi="宋体"/>
          <w:b/>
          <w:color w:val="auto"/>
        </w:rPr>
        <w:t>（必须足额交纳）</w:t>
      </w:r>
    </w:p>
    <w:p w14:paraId="6A2BACD3">
      <w:pPr>
        <w:spacing w:line="380" w:lineRule="exact"/>
        <w:ind w:firstLine="420" w:firstLineChars="200"/>
        <w:rPr>
          <w:rFonts w:hint="eastAsia" w:ascii="宋体" w:hAnsi="宋体"/>
          <w:color w:val="auto"/>
          <w:szCs w:val="21"/>
        </w:rPr>
      </w:pPr>
      <w:r>
        <w:rPr>
          <w:rFonts w:hint="eastAsia" w:ascii="宋体" w:hAnsi="宋体"/>
          <w:color w:val="auto"/>
          <w:szCs w:val="21"/>
        </w:rPr>
        <w:t>（1）谈判保证金的交纳方式：支票、汇票、本票、网上银行或者银行、保险机构出具的保函等非现金形式。</w:t>
      </w:r>
    </w:p>
    <w:p w14:paraId="28920C9F">
      <w:pPr>
        <w:spacing w:line="380" w:lineRule="exact"/>
        <w:ind w:firstLine="420" w:firstLineChars="200"/>
        <w:rPr>
          <w:rFonts w:hint="eastAsia" w:ascii="宋体" w:hAnsi="宋体"/>
          <w:color w:val="auto"/>
          <w:szCs w:val="21"/>
        </w:rPr>
      </w:pPr>
      <w:r>
        <w:rPr>
          <w:rFonts w:hint="eastAsia" w:ascii="宋体" w:hAnsi="宋体"/>
          <w:color w:val="auto"/>
          <w:szCs w:val="21"/>
        </w:rPr>
        <w:t>（2）采用银行转账方式的，供应商应于响应文件提交截止时间前将谈判保证金交至以下账户：</w:t>
      </w:r>
    </w:p>
    <w:p w14:paraId="05FAEDCE">
      <w:pPr>
        <w:spacing w:line="380" w:lineRule="exact"/>
        <w:ind w:firstLine="420" w:firstLineChars="200"/>
        <w:rPr>
          <w:rFonts w:hint="eastAsia" w:ascii="宋体" w:hAnsi="宋体"/>
          <w:color w:val="auto"/>
          <w:szCs w:val="21"/>
        </w:rPr>
      </w:pPr>
      <w:r>
        <w:rPr>
          <w:rFonts w:hint="eastAsia" w:ascii="宋体" w:hAnsi="宋体"/>
          <w:color w:val="auto"/>
          <w:szCs w:val="21"/>
        </w:rPr>
        <w:t>开户银行：广西北部湾银行南宁市嘉宾支行</w:t>
      </w:r>
    </w:p>
    <w:p w14:paraId="0681BA9A">
      <w:pPr>
        <w:spacing w:line="380" w:lineRule="exact"/>
        <w:ind w:firstLine="420" w:firstLineChars="200"/>
        <w:rPr>
          <w:rFonts w:hint="eastAsia" w:ascii="宋体" w:hAnsi="宋体"/>
          <w:color w:val="auto"/>
          <w:szCs w:val="21"/>
        </w:rPr>
      </w:pPr>
      <w:r>
        <w:rPr>
          <w:rFonts w:hint="eastAsia" w:ascii="宋体" w:hAnsi="宋体"/>
          <w:color w:val="auto"/>
          <w:szCs w:val="21"/>
        </w:rPr>
        <w:t>开户名称：广西中吉银工程项目管理有限公司</w:t>
      </w:r>
    </w:p>
    <w:p w14:paraId="39E0535A">
      <w:pPr>
        <w:spacing w:line="380" w:lineRule="exact"/>
        <w:ind w:firstLine="420" w:firstLineChars="200"/>
        <w:rPr>
          <w:rFonts w:hint="eastAsia" w:ascii="宋体" w:hAnsi="宋体"/>
          <w:color w:val="auto"/>
          <w:szCs w:val="21"/>
        </w:rPr>
      </w:pPr>
      <w:r>
        <w:rPr>
          <w:rFonts w:hint="eastAsia" w:ascii="宋体" w:hAnsi="宋体"/>
          <w:color w:val="auto"/>
          <w:szCs w:val="21"/>
        </w:rPr>
        <w:t>银行账号：</w:t>
      </w:r>
      <w:r>
        <w:rPr>
          <w:rFonts w:hint="eastAsia" w:ascii="宋体" w:hAnsi="宋体" w:cs="宋体"/>
          <w:color w:val="auto"/>
          <w:kern w:val="0"/>
          <w:szCs w:val="21"/>
        </w:rPr>
        <w:t>805021372200001</w:t>
      </w:r>
    </w:p>
    <w:p w14:paraId="6DEA8061">
      <w:pPr>
        <w:spacing w:line="380" w:lineRule="exact"/>
        <w:ind w:firstLine="420" w:firstLineChars="200"/>
        <w:rPr>
          <w:rFonts w:hint="eastAsia" w:ascii="宋体" w:hAnsi="宋体"/>
          <w:color w:val="auto"/>
        </w:rPr>
      </w:pPr>
      <w:r>
        <w:rPr>
          <w:rFonts w:hint="eastAsia" w:ascii="宋体" w:hAnsi="宋体"/>
          <w:color w:val="auto"/>
          <w:szCs w:val="21"/>
        </w:rPr>
        <w:t>（3）</w:t>
      </w:r>
      <w:r>
        <w:rPr>
          <w:rFonts w:hint="eastAsia" w:ascii="宋体" w:hAnsi="宋体" w:cs="宋体"/>
          <w:color w:val="auto"/>
          <w:kern w:val="0"/>
          <w:szCs w:val="21"/>
        </w:rPr>
        <w:t>采用支票、汇票、本票或者保函等方式的，在首次响应文件提交截止时间前，供应商必须提交单独密封的支票、汇票、本票或者保函原件至我公司财务部。（</w:t>
      </w:r>
      <w:r>
        <w:rPr>
          <w:rFonts w:hint="eastAsia" w:ascii="宋体" w:hAnsi="宋体" w:cs="Arial"/>
          <w:b/>
          <w:bCs/>
          <w:color w:val="auto"/>
        </w:rPr>
        <w:t>财务部联系方式：</w:t>
      </w:r>
      <w:r>
        <w:rPr>
          <w:rFonts w:hint="eastAsia" w:ascii="宋体" w:hAnsi="宋体" w:cs="Arial"/>
          <w:color w:val="auto"/>
        </w:rPr>
        <w:t>地址：南宁市青秀区民族大道159号凤岭·新新家园A区2栋15层；</w:t>
      </w:r>
      <w:r>
        <w:rPr>
          <w:rFonts w:hint="eastAsia" w:ascii="宋体" w:hAnsi="宋体" w:cs="Arial"/>
          <w:b/>
          <w:bCs/>
          <w:color w:val="auto"/>
        </w:rPr>
        <w:t>电话：</w:t>
      </w:r>
      <w:r>
        <w:rPr>
          <w:rFonts w:hint="eastAsia" w:ascii="宋体" w:hAnsi="宋体" w:cs="Arial"/>
          <w:color w:val="auto"/>
        </w:rPr>
        <w:t>0771-3147550</w:t>
      </w:r>
      <w:r>
        <w:rPr>
          <w:rFonts w:hint="eastAsia" w:ascii="宋体" w:hAnsi="宋体" w:cs="宋体"/>
          <w:color w:val="auto"/>
          <w:kern w:val="0"/>
          <w:szCs w:val="21"/>
        </w:rPr>
        <w:t>）</w:t>
      </w:r>
    </w:p>
    <w:p w14:paraId="584BFD87">
      <w:pPr>
        <w:spacing w:line="380" w:lineRule="exact"/>
        <w:ind w:firstLine="422" w:firstLineChars="200"/>
        <w:rPr>
          <w:rFonts w:hint="eastAsia" w:ascii="宋体" w:hAnsi="宋体"/>
          <w:b/>
          <w:color w:val="auto"/>
        </w:rPr>
      </w:pPr>
      <w:r>
        <w:rPr>
          <w:rFonts w:hint="eastAsia" w:ascii="宋体" w:hAnsi="宋体"/>
          <w:b/>
          <w:color w:val="auto"/>
        </w:rPr>
        <w:t>2.本项目需要落实的政府采购政策</w:t>
      </w:r>
    </w:p>
    <w:p w14:paraId="7649FA48">
      <w:pPr>
        <w:spacing w:line="380" w:lineRule="exact"/>
        <w:ind w:firstLine="420" w:firstLineChars="200"/>
        <w:rPr>
          <w:rFonts w:hint="eastAsia" w:ascii="宋体" w:hAnsi="宋体"/>
          <w:b/>
          <w:color w:val="auto"/>
        </w:rPr>
      </w:pPr>
      <w:r>
        <w:rPr>
          <w:rFonts w:hint="eastAsia" w:ascii="宋体" w:hAnsi="宋体" w:cs="Arial"/>
          <w:color w:val="auto"/>
          <w:szCs w:val="21"/>
        </w:rPr>
        <w:t>政府采购促进中小企业发展；政府采购支持采用本国产品的政策；强制采购节能产品；优先采购节能产品、环境标志产品；政府采购促进残疾人就业政策；政府采购支持监狱企业发展；政府采购扶持不发达地区和少数民族地区等。</w:t>
      </w:r>
    </w:p>
    <w:p w14:paraId="0F139EFC">
      <w:pPr>
        <w:spacing w:line="380" w:lineRule="exact"/>
        <w:ind w:firstLine="422" w:firstLineChars="200"/>
        <w:rPr>
          <w:rFonts w:hint="eastAsia" w:ascii="宋体" w:hAnsi="宋体"/>
          <w:b/>
          <w:color w:val="auto"/>
        </w:rPr>
      </w:pPr>
      <w:r>
        <w:rPr>
          <w:rFonts w:hint="eastAsia" w:ascii="宋体" w:hAnsi="宋体"/>
          <w:b/>
          <w:color w:val="auto"/>
        </w:rPr>
        <w:t>3.网上公告媒体查询</w:t>
      </w:r>
    </w:p>
    <w:p w14:paraId="7EC6E2B7">
      <w:pPr>
        <w:spacing w:line="380" w:lineRule="exact"/>
        <w:ind w:firstLine="420" w:firstLineChars="200"/>
        <w:rPr>
          <w:rFonts w:hint="eastAsia" w:ascii="宋体" w:hAnsi="宋体"/>
          <w:color w:val="auto"/>
        </w:rPr>
      </w:pPr>
      <w:r>
        <w:rPr>
          <w:rFonts w:hint="eastAsia" w:ascii="宋体" w:hAnsi="宋体"/>
          <w:color w:val="auto"/>
          <w:szCs w:val="21"/>
        </w:rPr>
        <w:t>中国政府采购网（</w:t>
      </w:r>
      <w:r>
        <w:rPr>
          <w:rFonts w:ascii="宋体" w:hAnsi="宋体"/>
          <w:color w:val="auto"/>
          <w:szCs w:val="21"/>
        </w:rPr>
        <w:t>www.ccgp.gov.cn</w:t>
      </w:r>
      <w:r>
        <w:rPr>
          <w:rFonts w:hint="eastAsia" w:ascii="宋体" w:hAnsi="宋体"/>
          <w:color w:val="auto"/>
          <w:szCs w:val="21"/>
        </w:rPr>
        <w:t>）、广西壮族自治区政府采购网（</w:t>
      </w:r>
      <w:r>
        <w:rPr>
          <w:rFonts w:ascii="宋体" w:hAnsi="宋体"/>
          <w:color w:val="auto"/>
          <w:szCs w:val="21"/>
        </w:rPr>
        <w:t>zfcg.gxzf.gov.cn</w:t>
      </w:r>
      <w:r>
        <w:rPr>
          <w:rFonts w:hint="eastAsia" w:ascii="宋体" w:hAnsi="宋体"/>
          <w:color w:val="auto"/>
          <w:szCs w:val="21"/>
        </w:rPr>
        <w:t>）</w:t>
      </w:r>
      <w:r>
        <w:rPr>
          <w:rFonts w:hint="eastAsia" w:ascii="宋体" w:hAnsi="宋体"/>
          <w:color w:val="auto"/>
        </w:rPr>
        <w:t>。</w:t>
      </w:r>
    </w:p>
    <w:p w14:paraId="2EF47706">
      <w:pPr>
        <w:spacing w:line="380" w:lineRule="exact"/>
        <w:ind w:firstLine="422" w:firstLineChars="200"/>
        <w:rPr>
          <w:rFonts w:ascii="宋体" w:cs="Arial"/>
          <w:color w:val="auto"/>
          <w:szCs w:val="21"/>
        </w:rPr>
      </w:pPr>
      <w:r>
        <w:rPr>
          <w:rFonts w:hint="eastAsia" w:ascii="宋体" w:hAnsi="宋体"/>
          <w:b/>
          <w:color w:val="auto"/>
        </w:rPr>
        <w:t>4.</w:t>
      </w:r>
      <w:r>
        <w:rPr>
          <w:rFonts w:hint="eastAsia" w:ascii="宋体" w:cs="Arial"/>
          <w:b/>
          <w:color w:val="auto"/>
          <w:szCs w:val="21"/>
        </w:rPr>
        <w:t>其他注意事项</w:t>
      </w:r>
    </w:p>
    <w:p w14:paraId="7386F46C">
      <w:pPr>
        <w:spacing w:line="380" w:lineRule="exact"/>
        <w:ind w:firstLine="420" w:firstLineChars="200"/>
        <w:rPr>
          <w:rFonts w:ascii="宋体" w:cs="Arial"/>
          <w:color w:val="auto"/>
          <w:szCs w:val="21"/>
        </w:rPr>
      </w:pPr>
      <w:r>
        <w:rPr>
          <w:rFonts w:hint="eastAsia" w:ascii="宋体" w:cs="Arial"/>
          <w:color w:val="auto"/>
          <w:szCs w:val="21"/>
        </w:rPr>
        <w:t>（1）本项目实行电子竞标，供应商应按照本项目招标文件和广西政府采购云平台的要求编制、加密并提交竞标响应文件。供应商在使用系统参与竞标过程中遇到涉及平台使用的任何问题，可致电广西政府采购云平台技术支持热线咨询，联系方式：</w:t>
      </w:r>
      <w:r>
        <w:rPr>
          <w:rFonts w:ascii="宋体" w:cs="Arial"/>
          <w:color w:val="auto"/>
          <w:szCs w:val="21"/>
        </w:rPr>
        <w:t>95763</w:t>
      </w:r>
      <w:r>
        <w:rPr>
          <w:rFonts w:hint="eastAsia" w:ascii="宋体" w:cs="Arial"/>
          <w:color w:val="auto"/>
          <w:szCs w:val="21"/>
        </w:rPr>
        <w:t>。</w:t>
      </w:r>
    </w:p>
    <w:p w14:paraId="1B5BCBDF">
      <w:pPr>
        <w:spacing w:line="380" w:lineRule="exact"/>
        <w:ind w:firstLine="420" w:firstLineChars="200"/>
        <w:rPr>
          <w:rFonts w:ascii="宋体" w:cs="Arial"/>
          <w:color w:val="auto"/>
          <w:szCs w:val="21"/>
        </w:rPr>
      </w:pPr>
      <w:r>
        <w:rPr>
          <w:rFonts w:hint="eastAsia" w:ascii="宋体" w:cs="Arial"/>
          <w:color w:val="auto"/>
          <w:szCs w:val="21"/>
        </w:rPr>
        <w:t>（2）供应商应及时熟悉掌握电子标系统操作指南（</w:t>
      </w:r>
      <w:r>
        <w:rPr>
          <w:rFonts w:hint="eastAsia" w:ascii="宋体" w:hAnsi="宋体"/>
          <w:color w:val="auto"/>
        </w:rPr>
        <w:t>见广西政府采购云平台电子卖场首页右上角—服务中心—帮助中心—项目采购</w:t>
      </w:r>
      <w:r>
        <w:rPr>
          <w:rFonts w:hint="eastAsia" w:ascii="宋体" w:cs="Arial"/>
          <w:color w:val="auto"/>
          <w:szCs w:val="21"/>
        </w:rPr>
        <w:t>）。</w:t>
      </w:r>
    </w:p>
    <w:p w14:paraId="2BA8EE93">
      <w:pPr>
        <w:spacing w:line="380" w:lineRule="exact"/>
        <w:ind w:firstLine="420" w:firstLineChars="200"/>
        <w:rPr>
          <w:rFonts w:ascii="宋体" w:cs="Arial"/>
          <w:color w:val="auto"/>
          <w:szCs w:val="21"/>
        </w:rPr>
      </w:pPr>
      <w:r>
        <w:rPr>
          <w:rFonts w:hint="eastAsia" w:ascii="宋体" w:cs="Arial"/>
          <w:color w:val="auto"/>
          <w:szCs w:val="21"/>
        </w:rPr>
        <w:t>（3）供应商应及时完成CA申领和绑定（见广西壮族自治区政府采购网—办事服务—下载专区-政采云CA证书办理操作指南）；</w:t>
      </w:r>
    </w:p>
    <w:p w14:paraId="0AD53899">
      <w:pPr>
        <w:spacing w:line="380" w:lineRule="exact"/>
        <w:ind w:firstLine="420" w:firstLineChars="200"/>
        <w:rPr>
          <w:rFonts w:ascii="宋体" w:cs="Arial"/>
          <w:color w:val="auto"/>
          <w:szCs w:val="21"/>
        </w:rPr>
      </w:pPr>
      <w:r>
        <w:rPr>
          <w:rFonts w:hint="eastAsia" w:ascii="宋体" w:cs="Arial"/>
          <w:color w:val="auto"/>
          <w:szCs w:val="21"/>
        </w:rPr>
        <w:t>（4）供应商通过广西政府采购云平台投标客户端软件制作竞标响应文件，广西政府采购云平台投标客户端软件请供应商自行前往下载并安装（见广西壮族自治区政府采购网—办事服务—下载专区-广西壮族自治区全流程电子招投标项目管理系统--供应商客户端）。</w:t>
      </w:r>
    </w:p>
    <w:p w14:paraId="30E90C17">
      <w:pPr>
        <w:spacing w:line="380" w:lineRule="exact"/>
        <w:ind w:firstLine="420" w:firstLineChars="200"/>
        <w:rPr>
          <w:rFonts w:ascii="宋体" w:cs="Arial"/>
          <w:color w:val="auto"/>
          <w:szCs w:val="21"/>
        </w:rPr>
      </w:pPr>
      <w:r>
        <w:rPr>
          <w:rFonts w:hint="eastAsia" w:ascii="宋体" w:cs="Arial"/>
          <w:color w:val="auto"/>
          <w:szCs w:val="21"/>
        </w:rPr>
        <w:t>（5）因未注册入库、未办理CA数字证书、CA证书故障、操作不当等原因造成无法投标或投标失败等后果由供应商自行承担。</w:t>
      </w:r>
    </w:p>
    <w:p w14:paraId="7781A545">
      <w:pPr>
        <w:spacing w:line="380" w:lineRule="exact"/>
        <w:ind w:firstLine="420" w:firstLineChars="200"/>
        <w:rPr>
          <w:rFonts w:hint="eastAsia" w:ascii="宋体" w:hAnsi="宋体"/>
          <w:color w:val="auto"/>
        </w:rPr>
      </w:pPr>
      <w:r>
        <w:rPr>
          <w:rFonts w:hint="eastAsia" w:ascii="宋体" w:cs="Arial"/>
          <w:color w:val="auto"/>
          <w:szCs w:val="21"/>
        </w:rPr>
        <w:t>（6）竞标响应文件网上提交截止后，广西政府采购云平台（电子标系统）自动提取所有竞标响应文件，各供应商须在开标开始后30分钟内对上传广西政府采购云平台的竞标响应文件进行解密，所有供应商在规定的解密时限内解密完成或解密时限结束后，本公司开启竞标响应文件；供应商超过解密时限的，系统默认自动放弃。</w:t>
      </w:r>
    </w:p>
    <w:p w14:paraId="43AE3CE1">
      <w:pPr>
        <w:spacing w:line="380" w:lineRule="exact"/>
        <w:rPr>
          <w:rFonts w:hint="eastAsia" w:ascii="宋体" w:hAnsi="宋体"/>
          <w:b/>
          <w:color w:val="auto"/>
        </w:rPr>
      </w:pPr>
      <w:bookmarkStart w:id="28" w:name="_Toc28359095"/>
      <w:bookmarkStart w:id="29" w:name="_Toc35393805"/>
      <w:bookmarkStart w:id="30" w:name="_Toc28359018"/>
      <w:bookmarkStart w:id="31" w:name="_Toc35393636"/>
      <w:r>
        <w:rPr>
          <w:rFonts w:hint="eastAsia" w:ascii="宋体" w:hAnsi="宋体"/>
          <w:b/>
          <w:color w:val="auto"/>
        </w:rPr>
        <w:t>八、凡对本次采购提出询问，请按</w:t>
      </w:r>
      <w:r>
        <w:rPr>
          <w:rFonts w:ascii="宋体" w:hAnsi="宋体"/>
          <w:b/>
          <w:color w:val="auto"/>
        </w:rPr>
        <w:t>以下方式</w:t>
      </w:r>
      <w:r>
        <w:rPr>
          <w:rFonts w:hint="eastAsia" w:ascii="宋体" w:hAnsi="宋体"/>
          <w:b/>
          <w:color w:val="auto"/>
        </w:rPr>
        <w:t>联系。</w:t>
      </w:r>
      <w:bookmarkEnd w:id="28"/>
      <w:bookmarkEnd w:id="29"/>
      <w:bookmarkEnd w:id="30"/>
      <w:bookmarkEnd w:id="31"/>
    </w:p>
    <w:p w14:paraId="0E626479">
      <w:pPr>
        <w:spacing w:line="380" w:lineRule="exact"/>
        <w:ind w:firstLine="420" w:firstLineChars="200"/>
        <w:rPr>
          <w:rFonts w:hint="eastAsia" w:ascii="宋体" w:hAnsi="宋体"/>
          <w:color w:val="auto"/>
        </w:rPr>
      </w:pPr>
      <w:r>
        <w:rPr>
          <w:rFonts w:hint="eastAsia" w:ascii="宋体" w:hAnsi="宋体"/>
          <w:color w:val="auto"/>
        </w:rPr>
        <w:t>1.采购人信息</w:t>
      </w:r>
    </w:p>
    <w:p w14:paraId="6FB53C89">
      <w:pPr>
        <w:spacing w:line="380" w:lineRule="exact"/>
        <w:ind w:firstLine="420" w:firstLineChars="200"/>
        <w:rPr>
          <w:rFonts w:hint="eastAsia" w:ascii="宋体" w:hAnsi="宋体"/>
          <w:color w:val="auto"/>
        </w:rPr>
      </w:pPr>
      <w:bookmarkStart w:id="32" w:name="_Toc28359009"/>
      <w:bookmarkStart w:id="33" w:name="_Toc28359086"/>
      <w:r>
        <w:rPr>
          <w:rFonts w:hint="eastAsia" w:ascii="宋体" w:hAnsi="宋体"/>
          <w:color w:val="auto"/>
        </w:rPr>
        <w:t>名    称：广西科技师范学院</w:t>
      </w:r>
    </w:p>
    <w:p w14:paraId="16E05805">
      <w:pPr>
        <w:spacing w:line="380" w:lineRule="exact"/>
        <w:ind w:firstLine="420" w:firstLineChars="200"/>
        <w:rPr>
          <w:rFonts w:hint="eastAsia" w:ascii="宋体" w:hAnsi="宋体"/>
          <w:color w:val="auto"/>
        </w:rPr>
      </w:pPr>
      <w:r>
        <w:rPr>
          <w:rFonts w:hint="eastAsia" w:ascii="宋体" w:hAnsi="宋体"/>
          <w:color w:val="auto"/>
        </w:rPr>
        <w:t>地    址：广西壮族自治区来宾市兴宾区铁北大道966号</w:t>
      </w:r>
    </w:p>
    <w:p w14:paraId="379D8239">
      <w:pPr>
        <w:spacing w:line="380" w:lineRule="exact"/>
        <w:ind w:firstLine="420" w:firstLineChars="200"/>
        <w:rPr>
          <w:rFonts w:hint="eastAsia" w:ascii="宋体" w:hAnsi="宋体"/>
          <w:color w:val="auto"/>
        </w:rPr>
      </w:pPr>
      <w:r>
        <w:rPr>
          <w:rFonts w:hint="eastAsia" w:ascii="宋体" w:hAnsi="宋体"/>
          <w:color w:val="auto"/>
        </w:rPr>
        <w:t>联系方式：周老师，0772-6621590</w:t>
      </w:r>
    </w:p>
    <w:p w14:paraId="30998658">
      <w:pPr>
        <w:spacing w:line="380" w:lineRule="exact"/>
        <w:ind w:firstLine="420" w:firstLineChars="200"/>
        <w:rPr>
          <w:rFonts w:hint="eastAsia" w:ascii="宋体" w:hAnsi="宋体"/>
          <w:color w:val="auto"/>
        </w:rPr>
      </w:pPr>
      <w:r>
        <w:rPr>
          <w:rFonts w:hint="eastAsia" w:ascii="宋体" w:hAnsi="宋体"/>
          <w:color w:val="auto"/>
        </w:rPr>
        <w:t>2.采购代理机构信息</w:t>
      </w:r>
      <w:bookmarkEnd w:id="32"/>
      <w:bookmarkEnd w:id="33"/>
    </w:p>
    <w:p w14:paraId="0CC3BC4F">
      <w:pPr>
        <w:spacing w:line="380" w:lineRule="exact"/>
        <w:ind w:firstLine="420" w:firstLineChars="200"/>
        <w:rPr>
          <w:rFonts w:hint="eastAsia" w:ascii="宋体" w:hAnsi="宋体"/>
          <w:color w:val="auto"/>
        </w:rPr>
      </w:pPr>
      <w:r>
        <w:rPr>
          <w:rFonts w:hint="eastAsia" w:ascii="宋体" w:hAnsi="宋体"/>
          <w:color w:val="auto"/>
        </w:rPr>
        <w:t>名    称：</w:t>
      </w:r>
      <w:r>
        <w:rPr>
          <w:rFonts w:hint="eastAsia" w:ascii="宋体" w:hAnsi="宋体"/>
          <w:color w:val="auto"/>
          <w:szCs w:val="21"/>
        </w:rPr>
        <w:t>广西中吉银工程项目管理有限公司</w:t>
      </w:r>
    </w:p>
    <w:p w14:paraId="4C1BCA1C">
      <w:pPr>
        <w:spacing w:line="380" w:lineRule="exact"/>
        <w:ind w:firstLine="420" w:firstLineChars="200"/>
        <w:rPr>
          <w:rFonts w:hint="eastAsia" w:ascii="宋体" w:hAnsi="宋体"/>
          <w:color w:val="auto"/>
        </w:rPr>
      </w:pPr>
      <w:r>
        <w:rPr>
          <w:rFonts w:hint="eastAsia" w:ascii="宋体" w:hAnsi="宋体"/>
          <w:color w:val="auto"/>
        </w:rPr>
        <w:t>地    址：</w:t>
      </w:r>
      <w:r>
        <w:rPr>
          <w:rFonts w:hint="eastAsia" w:ascii="宋体" w:hAnsi="宋体"/>
          <w:color w:val="auto"/>
          <w:szCs w:val="21"/>
        </w:rPr>
        <w:t>南宁市青秀区民族大道159号凤岭·新新家园A区2栋15层</w:t>
      </w:r>
    </w:p>
    <w:p w14:paraId="612582D7">
      <w:pPr>
        <w:spacing w:line="380" w:lineRule="exact"/>
        <w:ind w:firstLine="420" w:firstLineChars="200"/>
        <w:rPr>
          <w:rFonts w:hint="eastAsia" w:ascii="宋体" w:hAnsi="宋体"/>
          <w:color w:val="auto"/>
        </w:rPr>
      </w:pPr>
      <w:r>
        <w:rPr>
          <w:rFonts w:hint="eastAsia" w:ascii="宋体" w:hAnsi="宋体"/>
          <w:color w:val="auto"/>
        </w:rPr>
        <w:t>项目联系人：米工</w:t>
      </w:r>
    </w:p>
    <w:p w14:paraId="771956CE">
      <w:pPr>
        <w:spacing w:line="380" w:lineRule="exact"/>
        <w:ind w:firstLine="420" w:firstLineChars="200"/>
        <w:rPr>
          <w:rFonts w:hint="eastAsia" w:ascii="宋体" w:hAnsi="宋体"/>
          <w:color w:val="auto"/>
        </w:rPr>
      </w:pPr>
      <w:r>
        <w:rPr>
          <w:rFonts w:hint="eastAsia" w:ascii="宋体" w:hAnsi="宋体"/>
          <w:color w:val="auto"/>
        </w:rPr>
        <w:t>项目联系方式：</w:t>
      </w:r>
      <w:r>
        <w:rPr>
          <w:rFonts w:hint="eastAsia" w:ascii="宋体" w:hAnsi="宋体"/>
          <w:color w:val="auto"/>
          <w:szCs w:val="21"/>
        </w:rPr>
        <w:t>0771-3146887、0771-3120820</w:t>
      </w:r>
    </w:p>
    <w:p w14:paraId="222421D6">
      <w:pPr>
        <w:spacing w:line="380" w:lineRule="exact"/>
        <w:ind w:firstLine="420" w:firstLineChars="200"/>
        <w:rPr>
          <w:rFonts w:hint="eastAsia" w:ascii="宋体" w:hAnsi="宋体"/>
          <w:color w:val="auto"/>
          <w:u w:val="single"/>
        </w:rPr>
      </w:pPr>
    </w:p>
    <w:p w14:paraId="5F32D21A">
      <w:pPr>
        <w:spacing w:line="380" w:lineRule="exact"/>
        <w:ind w:firstLine="420" w:firstLineChars="200"/>
        <w:rPr>
          <w:rFonts w:hint="eastAsia" w:ascii="宋体" w:hAnsi="宋体"/>
          <w:color w:val="auto"/>
          <w:u w:val="single"/>
        </w:rPr>
      </w:pPr>
    </w:p>
    <w:p w14:paraId="3BB31499">
      <w:pPr>
        <w:snapToGrid w:val="0"/>
        <w:spacing w:line="350" w:lineRule="exact"/>
        <w:ind w:left="238"/>
        <w:jc w:val="right"/>
        <w:rPr>
          <w:rFonts w:hint="eastAsia" w:ascii="宋体" w:hAnsi="宋体"/>
          <w:color w:val="auto"/>
        </w:rPr>
      </w:pPr>
      <w:r>
        <w:rPr>
          <w:rFonts w:hint="eastAsia" w:ascii="宋体" w:hAnsi="宋体"/>
          <w:color w:val="auto"/>
          <w:szCs w:val="21"/>
        </w:rPr>
        <w:t xml:space="preserve"> 广西中吉银工程项目管理有限公司</w:t>
      </w:r>
    </w:p>
    <w:p w14:paraId="602A13A9">
      <w:pPr>
        <w:spacing w:line="380" w:lineRule="exact"/>
        <w:ind w:right="210" w:firstLine="420" w:firstLineChars="200"/>
        <w:jc w:val="right"/>
        <w:rPr>
          <w:rFonts w:hint="eastAsia" w:ascii="宋体" w:hAnsi="宋体"/>
          <w:color w:val="auto"/>
          <w:u w:val="single"/>
        </w:rPr>
      </w:pPr>
      <w:r>
        <w:rPr>
          <w:rFonts w:hint="eastAsia" w:ascii="宋体" w:hAnsi="宋体" w:cs="Arial"/>
          <w:color w:val="auto"/>
        </w:rPr>
        <w:t>2026年</w:t>
      </w:r>
      <w:r>
        <w:rPr>
          <w:rFonts w:hint="eastAsia" w:ascii="宋体" w:hAnsi="宋体" w:cs="Arial"/>
          <w:color w:val="auto"/>
          <w:lang w:val="en-US" w:eastAsia="zh-CN"/>
        </w:rPr>
        <w:t>9</w:t>
      </w:r>
      <w:r>
        <w:rPr>
          <w:rFonts w:hint="eastAsia" w:ascii="宋体" w:hAnsi="宋体" w:cs="Arial"/>
          <w:color w:val="auto"/>
        </w:rPr>
        <w:t>月</w:t>
      </w:r>
      <w:r>
        <w:rPr>
          <w:rFonts w:hint="eastAsia" w:ascii="宋体" w:hAnsi="宋体" w:cs="Arial"/>
          <w:color w:val="auto"/>
          <w:lang w:val="en-US" w:eastAsia="zh-CN"/>
        </w:rPr>
        <w:t>24</w:t>
      </w:r>
      <w:r>
        <w:rPr>
          <w:rFonts w:hint="eastAsia" w:ascii="宋体" w:hAnsi="宋体" w:cs="Arial"/>
          <w:color w:val="auto"/>
        </w:rPr>
        <w:t>日</w:t>
      </w:r>
    </w:p>
    <w:p w14:paraId="494131AE">
      <w:pPr>
        <w:pStyle w:val="36"/>
        <w:rPr>
          <w:rFonts w:hint="eastAsia" w:ascii="宋体" w:hAnsi="宋体"/>
          <w:color w:val="auto"/>
        </w:rPr>
      </w:pPr>
      <w:r>
        <w:rPr>
          <w:rFonts w:ascii="宋体" w:hAnsi="宋体"/>
          <w:color w:val="auto"/>
        </w:rPr>
        <w:br w:type="page"/>
      </w:r>
      <w:bookmarkStart w:id="34" w:name="_Toc31716"/>
      <w:r>
        <w:rPr>
          <w:rFonts w:hint="eastAsia" w:ascii="宋体" w:hAnsi="宋体" w:cs="宋体"/>
          <w:color w:val="auto"/>
          <w:sz w:val="44"/>
          <w:szCs w:val="44"/>
        </w:rPr>
        <w:t>第二章 供应商须知</w:t>
      </w:r>
      <w:bookmarkEnd w:id="34"/>
    </w:p>
    <w:p w14:paraId="651BC0A4">
      <w:pPr>
        <w:spacing w:line="800" w:lineRule="exact"/>
        <w:jc w:val="center"/>
        <w:rPr>
          <w:rFonts w:hint="eastAsia" w:ascii="宋体" w:hAnsi="宋体"/>
          <w:b/>
          <w:color w:val="auto"/>
          <w:sz w:val="32"/>
          <w:szCs w:val="32"/>
        </w:rPr>
      </w:pPr>
      <w:r>
        <w:rPr>
          <w:rFonts w:hint="eastAsia" w:ascii="宋体" w:hAnsi="宋体"/>
          <w:b/>
          <w:color w:val="auto"/>
          <w:sz w:val="32"/>
          <w:szCs w:val="32"/>
        </w:rPr>
        <w:t>谈判供应商须知前附表</w:t>
      </w:r>
    </w:p>
    <w:p w14:paraId="74BA4B03">
      <w:pPr>
        <w:spacing w:line="360" w:lineRule="exact"/>
        <w:jc w:val="center"/>
        <w:rPr>
          <w:rFonts w:hint="eastAsia" w:ascii="宋体" w:hAnsi="宋体"/>
          <w:b/>
          <w:color w:val="auto"/>
          <w:sz w:val="32"/>
          <w:szCs w:val="32"/>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8369"/>
      </w:tblGrid>
      <w:tr w14:paraId="1B3F5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726" w:type="dxa"/>
          </w:tcPr>
          <w:p w14:paraId="29DCA076">
            <w:pPr>
              <w:pStyle w:val="61"/>
              <w:spacing w:line="400" w:lineRule="exact"/>
              <w:jc w:val="center"/>
              <w:rPr>
                <w:color w:val="auto"/>
              </w:rPr>
            </w:pPr>
            <w:r>
              <w:rPr>
                <w:rFonts w:hint="eastAsia"/>
                <w:color w:val="auto"/>
              </w:rPr>
              <w:t>序号</w:t>
            </w:r>
          </w:p>
        </w:tc>
        <w:tc>
          <w:tcPr>
            <w:tcW w:w="8369" w:type="dxa"/>
          </w:tcPr>
          <w:p w14:paraId="100497C7">
            <w:pPr>
              <w:pStyle w:val="61"/>
              <w:spacing w:line="400" w:lineRule="exact"/>
              <w:jc w:val="center"/>
              <w:rPr>
                <w:color w:val="auto"/>
              </w:rPr>
            </w:pPr>
            <w:r>
              <w:rPr>
                <w:rFonts w:hint="eastAsia"/>
                <w:color w:val="auto"/>
              </w:rPr>
              <w:t>内    容</w:t>
            </w:r>
          </w:p>
        </w:tc>
      </w:tr>
      <w:tr w14:paraId="534FF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 w:hRule="atLeast"/>
          <w:jc w:val="center"/>
        </w:trPr>
        <w:tc>
          <w:tcPr>
            <w:tcW w:w="726" w:type="dxa"/>
            <w:vAlign w:val="center"/>
          </w:tcPr>
          <w:p w14:paraId="67EC28B2">
            <w:pPr>
              <w:pStyle w:val="61"/>
              <w:numPr>
                <w:ilvl w:val="0"/>
                <w:numId w:val="3"/>
              </w:numPr>
              <w:spacing w:line="390" w:lineRule="exact"/>
              <w:jc w:val="center"/>
              <w:rPr>
                <w:color w:val="auto"/>
              </w:rPr>
            </w:pPr>
          </w:p>
        </w:tc>
        <w:tc>
          <w:tcPr>
            <w:tcW w:w="8369" w:type="dxa"/>
            <w:vAlign w:val="center"/>
          </w:tcPr>
          <w:p w14:paraId="69E2214F">
            <w:pPr>
              <w:pStyle w:val="61"/>
              <w:spacing w:line="390" w:lineRule="exact"/>
              <w:rPr>
                <w:color w:val="auto"/>
              </w:rPr>
            </w:pPr>
            <w:r>
              <w:rPr>
                <w:rFonts w:hint="eastAsia"/>
                <w:color w:val="auto"/>
              </w:rPr>
              <w:t>采购项目名称：</w:t>
            </w:r>
            <w:r>
              <w:rPr>
                <w:rFonts w:hint="eastAsia"/>
                <w:color w:val="auto"/>
                <w:lang w:eastAsia="zh-CN"/>
              </w:rPr>
              <w:t xml:space="preserve">广西科技师范学院2026智慧农业教学实验室建设项目（重2）  </w:t>
            </w:r>
            <w:r>
              <w:rPr>
                <w:rFonts w:hint="eastAsia"/>
                <w:color w:val="auto"/>
              </w:rPr>
              <w:t xml:space="preserve">  </w:t>
            </w:r>
          </w:p>
          <w:p w14:paraId="4E1B372C">
            <w:pPr>
              <w:pStyle w:val="61"/>
              <w:spacing w:line="390" w:lineRule="exact"/>
              <w:rPr>
                <w:rFonts w:hint="eastAsia" w:eastAsia="宋体"/>
                <w:color w:val="auto"/>
                <w:lang w:eastAsia="zh-CN"/>
              </w:rPr>
            </w:pPr>
            <w:r>
              <w:rPr>
                <w:rFonts w:hint="eastAsia"/>
                <w:color w:val="auto"/>
              </w:rPr>
              <w:t>采购项目编号：</w:t>
            </w:r>
            <w:r>
              <w:rPr>
                <w:rFonts w:hint="eastAsia"/>
                <w:color w:val="auto"/>
                <w:lang w:eastAsia="zh-CN"/>
              </w:rPr>
              <w:t>GXZC2026-J1-003183-GXZJ</w:t>
            </w:r>
          </w:p>
        </w:tc>
      </w:tr>
      <w:tr w14:paraId="7F3BB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3F11EF04">
            <w:pPr>
              <w:pStyle w:val="61"/>
              <w:numPr>
                <w:ilvl w:val="0"/>
                <w:numId w:val="3"/>
              </w:numPr>
              <w:spacing w:line="390" w:lineRule="exact"/>
              <w:jc w:val="center"/>
              <w:rPr>
                <w:color w:val="auto"/>
              </w:rPr>
            </w:pPr>
          </w:p>
        </w:tc>
        <w:tc>
          <w:tcPr>
            <w:tcW w:w="8369" w:type="dxa"/>
            <w:vAlign w:val="center"/>
          </w:tcPr>
          <w:p w14:paraId="2E0B36A2">
            <w:pPr>
              <w:pStyle w:val="61"/>
              <w:spacing w:line="390" w:lineRule="exact"/>
              <w:ind w:left="-36" w:firstLine="36"/>
              <w:rPr>
                <w:color w:val="auto"/>
              </w:rPr>
            </w:pPr>
            <w:r>
              <w:rPr>
                <w:rFonts w:hint="eastAsia"/>
                <w:color w:val="auto"/>
              </w:rPr>
              <w:t>供应商资格：按第一章竞争性谈判公告第二条规定。</w:t>
            </w:r>
          </w:p>
        </w:tc>
      </w:tr>
      <w:tr w14:paraId="4E610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310CA99D">
            <w:pPr>
              <w:pStyle w:val="61"/>
              <w:numPr>
                <w:ilvl w:val="0"/>
                <w:numId w:val="3"/>
              </w:numPr>
              <w:spacing w:line="390" w:lineRule="exact"/>
              <w:jc w:val="center"/>
              <w:rPr>
                <w:color w:val="auto"/>
              </w:rPr>
            </w:pPr>
          </w:p>
        </w:tc>
        <w:tc>
          <w:tcPr>
            <w:tcW w:w="8369" w:type="dxa"/>
            <w:vAlign w:val="center"/>
          </w:tcPr>
          <w:p w14:paraId="4DD3B8B0">
            <w:pPr>
              <w:spacing w:line="390" w:lineRule="exact"/>
              <w:rPr>
                <w:rFonts w:hint="eastAsia" w:ascii="宋体" w:hAnsi="宋体"/>
                <w:color w:val="auto"/>
                <w:szCs w:val="21"/>
              </w:rPr>
            </w:pPr>
            <w:r>
              <w:rPr>
                <w:rFonts w:hint="eastAsia"/>
                <w:color w:val="auto"/>
              </w:rPr>
              <w:t>竞标报价：供应商必须就所竞项目的全部内容作完整唯一报价，漏项报价的或有选择的或有条件的报价，其响应文件将视为无效。</w:t>
            </w:r>
          </w:p>
        </w:tc>
      </w:tr>
      <w:tr w14:paraId="141EF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7BE87CFD">
            <w:pPr>
              <w:pStyle w:val="61"/>
              <w:numPr>
                <w:ilvl w:val="0"/>
                <w:numId w:val="3"/>
              </w:numPr>
              <w:spacing w:line="390" w:lineRule="exact"/>
              <w:jc w:val="center"/>
              <w:rPr>
                <w:color w:val="auto"/>
              </w:rPr>
            </w:pPr>
          </w:p>
        </w:tc>
        <w:tc>
          <w:tcPr>
            <w:tcW w:w="8369" w:type="dxa"/>
            <w:vAlign w:val="center"/>
          </w:tcPr>
          <w:p w14:paraId="210FF54A">
            <w:pPr>
              <w:pStyle w:val="22"/>
              <w:snapToGrid w:val="0"/>
              <w:spacing w:line="380" w:lineRule="exact"/>
              <w:rPr>
                <w:rFonts w:hint="eastAsia" w:cs="宋体"/>
                <w:color w:val="auto"/>
              </w:rPr>
            </w:pPr>
            <w:r>
              <w:rPr>
                <w:rFonts w:hint="eastAsia" w:cs="宋体"/>
                <w:color w:val="auto"/>
              </w:rPr>
              <w:t>1.采购代理费支付方式：</w:t>
            </w:r>
          </w:p>
          <w:p w14:paraId="7C41E9A0">
            <w:pPr>
              <w:pStyle w:val="22"/>
              <w:snapToGrid w:val="0"/>
              <w:spacing w:line="380" w:lineRule="exact"/>
              <w:rPr>
                <w:rFonts w:hint="eastAsia" w:cs="宋体"/>
                <w:color w:val="auto"/>
              </w:rPr>
            </w:pPr>
            <w:r>
              <w:rPr>
                <w:rFonts w:hint="eastAsia" w:cs="宋体"/>
                <w:color w:val="auto"/>
              </w:rPr>
              <w:t>☑本项目代理服务费按如下规定由</w:t>
            </w:r>
            <w:r>
              <w:rPr>
                <w:rFonts w:hint="eastAsia" w:cs="宋体"/>
                <w:color w:val="auto"/>
                <w:u w:val="single"/>
              </w:rPr>
              <w:t>成交供应商</w:t>
            </w:r>
            <w:r>
              <w:rPr>
                <w:rFonts w:hint="eastAsia" w:cs="宋体"/>
                <w:color w:val="auto"/>
              </w:rPr>
              <w:t>在领取成交通知书前，一次性向采购代理机构支付。</w:t>
            </w:r>
          </w:p>
          <w:p w14:paraId="07ACA5DA">
            <w:pPr>
              <w:pStyle w:val="22"/>
              <w:snapToGrid w:val="0"/>
              <w:spacing w:line="380" w:lineRule="exact"/>
              <w:rPr>
                <w:rFonts w:hint="eastAsia" w:cs="宋体"/>
                <w:color w:val="auto"/>
              </w:rPr>
            </w:pPr>
            <w:r>
              <w:rPr>
                <w:rFonts w:hint="eastAsia" w:cs="宋体"/>
                <w:color w:val="auto"/>
              </w:rPr>
              <w:t>□采购人支付。</w:t>
            </w:r>
          </w:p>
          <w:p w14:paraId="05634017">
            <w:pPr>
              <w:pStyle w:val="22"/>
              <w:snapToGrid w:val="0"/>
              <w:spacing w:line="380" w:lineRule="exact"/>
              <w:rPr>
                <w:rFonts w:hint="eastAsia" w:cs="宋体"/>
                <w:color w:val="auto"/>
              </w:rPr>
            </w:pPr>
            <w:r>
              <w:rPr>
                <w:rFonts w:hint="eastAsia" w:cs="宋体"/>
                <w:color w:val="auto"/>
              </w:rPr>
              <w:t>2.采购代理费收取标准：</w:t>
            </w:r>
          </w:p>
          <w:p w14:paraId="4B9E660E">
            <w:pPr>
              <w:pStyle w:val="22"/>
              <w:snapToGrid w:val="0"/>
              <w:spacing w:line="380" w:lineRule="exact"/>
              <w:rPr>
                <w:rFonts w:hint="eastAsia" w:cs="宋体"/>
                <w:color w:val="auto"/>
              </w:rPr>
            </w:pPr>
            <w:r>
              <w:rPr>
                <w:rFonts w:hint="eastAsia" w:cs="宋体"/>
                <w:color w:val="auto"/>
              </w:rPr>
              <w:t>□以分标（□成交金额/□采购预算/□暂定成交金额/□其他</w:t>
            </w:r>
            <w:r>
              <w:rPr>
                <w:rFonts w:hint="eastAsia" w:cs="宋体"/>
                <w:color w:val="auto"/>
                <w:u w:val="single"/>
              </w:rPr>
              <w:t xml:space="preserve"> /</w:t>
            </w:r>
            <w:r>
              <w:rPr>
                <w:rFonts w:cs="宋体"/>
                <w:color w:val="auto"/>
                <w:u w:val="single"/>
              </w:rPr>
              <w:t xml:space="preserve">  </w:t>
            </w:r>
            <w:r>
              <w:rPr>
                <w:rFonts w:hint="eastAsia" w:cs="宋体"/>
                <w:color w:val="auto"/>
              </w:rPr>
              <w:t>）为计费额，按（□货物类/□服务类/□工程类）标准采用差额定率累进法计算出收费基准价格，采购代理收费以（□收费基准价格/□收费基准价格下浮</w:t>
            </w:r>
            <w:r>
              <w:rPr>
                <w:rFonts w:hint="eastAsia" w:cs="宋体"/>
                <w:color w:val="auto"/>
                <w:u w:val="single"/>
              </w:rPr>
              <w:t xml:space="preserve"> /%</w:t>
            </w:r>
            <w:r>
              <w:rPr>
                <w:rFonts w:cs="宋体"/>
                <w:color w:val="auto"/>
              </w:rPr>
              <w:t>/</w:t>
            </w:r>
            <w:r>
              <w:rPr>
                <w:rFonts w:hint="eastAsia" w:cs="宋体"/>
                <w:color w:val="auto"/>
              </w:rPr>
              <w:t>□收费基准价格上浮</w:t>
            </w:r>
            <w:r>
              <w:rPr>
                <w:rFonts w:hint="eastAsia" w:cs="宋体"/>
                <w:color w:val="auto"/>
                <w:u w:val="single"/>
              </w:rPr>
              <w:t xml:space="preserve"> </w:t>
            </w:r>
            <w:r>
              <w:rPr>
                <w:rFonts w:cs="宋体"/>
                <w:color w:val="auto"/>
                <w:u w:val="single"/>
              </w:rPr>
              <w:t xml:space="preserve"> </w:t>
            </w:r>
            <w:r>
              <w:rPr>
                <w:rFonts w:hint="eastAsia" w:cs="宋体"/>
                <w:color w:val="auto"/>
                <w:u w:val="single"/>
              </w:rPr>
              <w:t xml:space="preserve">/ </w:t>
            </w:r>
            <w:r>
              <w:rPr>
                <w:rFonts w:cs="宋体"/>
                <w:color w:val="auto"/>
                <w:u w:val="single"/>
              </w:rPr>
              <w:t xml:space="preserve"> </w:t>
            </w:r>
            <w:r>
              <w:rPr>
                <w:rFonts w:hint="eastAsia" w:cs="宋体"/>
                <w:color w:val="auto"/>
                <w:u w:val="single"/>
              </w:rPr>
              <w:t>%</w:t>
            </w:r>
            <w:r>
              <w:rPr>
                <w:rFonts w:hint="eastAsia" w:cs="宋体"/>
                <w:color w:val="auto"/>
              </w:rPr>
              <w:t>）向中标（成交）人收取。</w:t>
            </w:r>
          </w:p>
          <w:p w14:paraId="16BE0DAA">
            <w:pPr>
              <w:spacing w:line="390" w:lineRule="exact"/>
              <w:rPr>
                <w:color w:val="auto"/>
              </w:rPr>
            </w:pPr>
            <w:r>
              <w:rPr>
                <w:rFonts w:hint="eastAsia" w:hAnsi="宋体" w:cs="宋体"/>
                <w:b/>
                <w:bCs/>
                <w:color w:val="auto"/>
              </w:rPr>
              <w:t>☑固定采购代理收费</w:t>
            </w:r>
            <w:r>
              <w:rPr>
                <w:rFonts w:hint="eastAsia" w:hAnsi="宋体" w:cs="宋体"/>
                <w:b/>
                <w:bCs/>
                <w:color w:val="auto"/>
                <w:u w:val="single"/>
              </w:rPr>
              <w:t xml:space="preserve"> </w:t>
            </w:r>
            <w:r>
              <w:rPr>
                <w:rFonts w:hint="eastAsia" w:ascii="宋体" w:hAnsi="宋体" w:cs="宋体"/>
                <w:b/>
                <w:bCs/>
                <w:color w:val="auto"/>
                <w:u w:val="single"/>
                <w:lang w:val="en-US" w:eastAsia="zh-CN"/>
              </w:rPr>
              <w:t>16000.00</w:t>
            </w:r>
            <w:r>
              <w:rPr>
                <w:rFonts w:hint="eastAsia" w:ascii="宋体" w:hAnsi="宋体" w:cs="宋体"/>
                <w:b/>
                <w:bCs/>
                <w:color w:val="auto"/>
                <w:u w:val="single"/>
              </w:rPr>
              <w:t>。</w:t>
            </w:r>
          </w:p>
        </w:tc>
      </w:tr>
      <w:tr w14:paraId="1DB83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726" w:type="dxa"/>
            <w:vAlign w:val="center"/>
          </w:tcPr>
          <w:p w14:paraId="0447915F">
            <w:pPr>
              <w:pStyle w:val="61"/>
              <w:numPr>
                <w:ilvl w:val="0"/>
                <w:numId w:val="3"/>
              </w:numPr>
              <w:spacing w:line="390" w:lineRule="exact"/>
              <w:jc w:val="center"/>
              <w:rPr>
                <w:color w:val="auto"/>
              </w:rPr>
            </w:pPr>
          </w:p>
        </w:tc>
        <w:tc>
          <w:tcPr>
            <w:tcW w:w="8369" w:type="dxa"/>
            <w:vAlign w:val="center"/>
          </w:tcPr>
          <w:p w14:paraId="48A0AAB3">
            <w:pPr>
              <w:pStyle w:val="22"/>
              <w:spacing w:line="390" w:lineRule="exact"/>
              <w:rPr>
                <w:rFonts w:hint="eastAsia"/>
                <w:color w:val="auto"/>
              </w:rPr>
            </w:pPr>
            <w:r>
              <w:rPr>
                <w:rFonts w:hint="eastAsia"/>
                <w:color w:val="auto"/>
              </w:rPr>
              <w:t>响应文件的上传和提交：本项目通过“广西政府采购云平台”</w:t>
            </w:r>
            <w:r>
              <w:rPr>
                <w:color w:val="auto"/>
              </w:rPr>
              <w:t>实行在线</w:t>
            </w:r>
            <w:r>
              <w:rPr>
                <w:rFonts w:hint="eastAsia"/>
                <w:color w:val="auto"/>
              </w:rPr>
              <w:t>竞标</w:t>
            </w:r>
            <w:r>
              <w:rPr>
                <w:color w:val="auto"/>
              </w:rPr>
              <w:t>响应（电子标），</w:t>
            </w:r>
            <w:r>
              <w:rPr>
                <w:rFonts w:hint="eastAsia"/>
                <w:color w:val="auto"/>
              </w:rPr>
              <w:t>竞标</w:t>
            </w:r>
            <w:r>
              <w:rPr>
                <w:color w:val="auto"/>
              </w:rPr>
              <w:t>供应商应当在</w:t>
            </w:r>
            <w:r>
              <w:rPr>
                <w:rFonts w:hint="eastAsia"/>
                <w:b/>
                <w:color w:val="auto"/>
              </w:rPr>
              <w:t>响应文件提交截止时间</w:t>
            </w:r>
            <w:r>
              <w:rPr>
                <w:color w:val="auto"/>
              </w:rPr>
              <w:t>前，将生成的</w:t>
            </w:r>
            <w:r>
              <w:rPr>
                <w:rFonts w:hint="eastAsia"/>
                <w:color w:val="auto"/>
              </w:rPr>
              <w:t>“</w:t>
            </w:r>
            <w:r>
              <w:rPr>
                <w:color w:val="auto"/>
              </w:rPr>
              <w:t>电子加密</w:t>
            </w:r>
            <w:r>
              <w:rPr>
                <w:rFonts w:hint="eastAsia"/>
                <w:color w:val="auto"/>
              </w:rPr>
              <w:t>响应</w:t>
            </w:r>
            <w:r>
              <w:rPr>
                <w:color w:val="auto"/>
              </w:rPr>
              <w:t>文件</w:t>
            </w:r>
            <w:r>
              <w:rPr>
                <w:rFonts w:hint="eastAsia"/>
                <w:color w:val="auto"/>
              </w:rPr>
              <w:t>”</w:t>
            </w:r>
            <w:r>
              <w:rPr>
                <w:color w:val="auto"/>
              </w:rPr>
              <w:t>上传</w:t>
            </w:r>
            <w:r>
              <w:rPr>
                <w:rFonts w:hint="eastAsia"/>
                <w:color w:val="auto"/>
              </w:rPr>
              <w:t>提交</w:t>
            </w:r>
            <w:r>
              <w:rPr>
                <w:color w:val="auto"/>
              </w:rPr>
              <w:t>至</w:t>
            </w:r>
            <w:r>
              <w:rPr>
                <w:rFonts w:hint="eastAsia"/>
                <w:color w:val="auto"/>
              </w:rPr>
              <w:t xml:space="preserve"> “广西政府采购云平台”</w:t>
            </w:r>
            <w:r>
              <w:rPr>
                <w:color w:val="auto"/>
              </w:rPr>
              <w:t>。</w:t>
            </w:r>
          </w:p>
          <w:p w14:paraId="56C16FEA">
            <w:pPr>
              <w:pStyle w:val="22"/>
              <w:spacing w:line="390" w:lineRule="exact"/>
              <w:rPr>
                <w:rFonts w:hint="eastAsia"/>
                <w:color w:val="auto"/>
              </w:rPr>
            </w:pPr>
            <w:r>
              <w:rPr>
                <w:rFonts w:hint="eastAsia"/>
                <w:color w:val="auto"/>
              </w:rPr>
              <w:t>“电子加密响应文件”的上传、提交：</w:t>
            </w:r>
          </w:p>
          <w:p w14:paraId="55EF4A82">
            <w:pPr>
              <w:pStyle w:val="22"/>
              <w:spacing w:line="390" w:lineRule="exact"/>
              <w:rPr>
                <w:rFonts w:hint="eastAsia"/>
                <w:color w:val="auto"/>
              </w:rPr>
            </w:pPr>
            <w:r>
              <w:rPr>
                <w:rFonts w:hint="eastAsia"/>
                <w:color w:val="auto"/>
              </w:rPr>
              <w:t>a.谈判供应商应在</w:t>
            </w:r>
            <w:r>
              <w:rPr>
                <w:rFonts w:hint="eastAsia"/>
                <w:b/>
                <w:color w:val="auto"/>
              </w:rPr>
              <w:t>响应文件提交截止时间</w:t>
            </w:r>
            <w:r>
              <w:rPr>
                <w:rFonts w:hint="eastAsia"/>
                <w:color w:val="auto"/>
              </w:rPr>
              <w:t>前将“电子加密响应文件”成功上传提交至“广西政府采购云平台”，否则谈判无效。</w:t>
            </w:r>
          </w:p>
          <w:p w14:paraId="580A49A6">
            <w:pPr>
              <w:pStyle w:val="22"/>
              <w:spacing w:line="390" w:lineRule="exact"/>
              <w:rPr>
                <w:rFonts w:hint="eastAsia"/>
                <w:color w:val="auto"/>
              </w:rPr>
            </w:pPr>
            <w:r>
              <w:rPr>
                <w:rFonts w:hint="eastAsia"/>
                <w:color w:val="auto"/>
              </w:rPr>
              <w:t>b.“电子加密谈判响应文件”成功上传提交后，供应商可自行打印响应文件接收回执。</w:t>
            </w:r>
          </w:p>
        </w:tc>
      </w:tr>
      <w:tr w14:paraId="40E03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726" w:type="dxa"/>
            <w:vAlign w:val="center"/>
          </w:tcPr>
          <w:p w14:paraId="3F66EB1B">
            <w:pPr>
              <w:pStyle w:val="61"/>
              <w:numPr>
                <w:ilvl w:val="0"/>
                <w:numId w:val="3"/>
              </w:numPr>
              <w:spacing w:line="390" w:lineRule="exact"/>
              <w:jc w:val="center"/>
              <w:rPr>
                <w:color w:val="auto"/>
              </w:rPr>
            </w:pPr>
          </w:p>
        </w:tc>
        <w:tc>
          <w:tcPr>
            <w:tcW w:w="8369" w:type="dxa"/>
            <w:vAlign w:val="center"/>
          </w:tcPr>
          <w:p w14:paraId="6A564937">
            <w:pPr>
              <w:pStyle w:val="61"/>
              <w:spacing w:line="390" w:lineRule="exact"/>
              <w:rPr>
                <w:bCs/>
                <w:color w:val="auto"/>
              </w:rPr>
            </w:pPr>
            <w:r>
              <w:rPr>
                <w:rFonts w:hint="eastAsia"/>
                <w:color w:val="auto"/>
              </w:rPr>
              <w:t>响应文件递交截止时间：</w:t>
            </w:r>
            <w:r>
              <w:rPr>
                <w:rFonts w:hint="eastAsia" w:hAnsi="宋体"/>
                <w:color w:val="auto"/>
                <w:szCs w:val="21"/>
                <w:u w:val="single"/>
              </w:rPr>
              <w:t>详见竞争性谈判公告</w:t>
            </w:r>
          </w:p>
          <w:p w14:paraId="0B43BE17">
            <w:pPr>
              <w:pStyle w:val="22"/>
              <w:spacing w:line="390" w:lineRule="exact"/>
              <w:rPr>
                <w:rFonts w:hint="eastAsia"/>
                <w:color w:val="auto"/>
              </w:rPr>
            </w:pPr>
            <w:r>
              <w:rPr>
                <w:rFonts w:hint="eastAsia"/>
                <w:color w:val="auto"/>
              </w:rPr>
              <w:t>响应文件递交地址：</w:t>
            </w:r>
            <w:r>
              <w:rPr>
                <w:rFonts w:hint="eastAsia"/>
                <w:color w:val="auto"/>
                <w:u w:val="single"/>
              </w:rPr>
              <w:t>详见竞争性谈判公告</w:t>
            </w:r>
          </w:p>
        </w:tc>
      </w:tr>
      <w:tr w14:paraId="38D55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726" w:type="dxa"/>
            <w:vAlign w:val="center"/>
          </w:tcPr>
          <w:p w14:paraId="757F5F35">
            <w:pPr>
              <w:pStyle w:val="61"/>
              <w:numPr>
                <w:ilvl w:val="0"/>
                <w:numId w:val="3"/>
              </w:numPr>
              <w:spacing w:line="390" w:lineRule="exact"/>
              <w:jc w:val="center"/>
              <w:rPr>
                <w:color w:val="auto"/>
              </w:rPr>
            </w:pPr>
          </w:p>
        </w:tc>
        <w:tc>
          <w:tcPr>
            <w:tcW w:w="8369" w:type="dxa"/>
            <w:vAlign w:val="center"/>
          </w:tcPr>
          <w:p w14:paraId="327475BB">
            <w:pPr>
              <w:pStyle w:val="61"/>
              <w:spacing w:line="390" w:lineRule="exact"/>
              <w:rPr>
                <w:color w:val="auto"/>
              </w:rPr>
            </w:pPr>
            <w:r>
              <w:rPr>
                <w:rFonts w:hint="eastAsia"/>
                <w:color w:val="auto"/>
              </w:rPr>
              <w:t>竞争性谈判响应文件有效期：响应文件递交截止日期后六十日。</w:t>
            </w:r>
          </w:p>
        </w:tc>
      </w:tr>
      <w:tr w14:paraId="5E10C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vAlign w:val="center"/>
          </w:tcPr>
          <w:p w14:paraId="6C3665E0">
            <w:pPr>
              <w:pStyle w:val="61"/>
              <w:numPr>
                <w:ilvl w:val="0"/>
                <w:numId w:val="3"/>
              </w:numPr>
              <w:spacing w:line="390" w:lineRule="exact"/>
              <w:jc w:val="center"/>
              <w:rPr>
                <w:color w:val="auto"/>
              </w:rPr>
            </w:pPr>
          </w:p>
        </w:tc>
        <w:tc>
          <w:tcPr>
            <w:tcW w:w="8369" w:type="dxa"/>
            <w:vAlign w:val="center"/>
          </w:tcPr>
          <w:p w14:paraId="7DEF3D54">
            <w:pPr>
              <w:pStyle w:val="22"/>
              <w:spacing w:line="390" w:lineRule="exact"/>
              <w:rPr>
                <w:rFonts w:hint="eastAsia"/>
                <w:color w:val="auto"/>
              </w:rPr>
            </w:pPr>
            <w:r>
              <w:rPr>
                <w:rFonts w:hint="eastAsia"/>
                <w:color w:val="auto"/>
              </w:rPr>
              <w:t>谈判保证金（人民币）：</w:t>
            </w:r>
            <w:r>
              <w:rPr>
                <w:rFonts w:hint="eastAsia"/>
                <w:color w:val="auto"/>
                <w:u w:val="single"/>
              </w:rPr>
              <w:t>详见竞争性谈判公告</w:t>
            </w:r>
          </w:p>
        </w:tc>
      </w:tr>
      <w:tr w14:paraId="3B502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vAlign w:val="center"/>
          </w:tcPr>
          <w:p w14:paraId="440502AD">
            <w:pPr>
              <w:pStyle w:val="61"/>
              <w:numPr>
                <w:ilvl w:val="0"/>
                <w:numId w:val="3"/>
              </w:numPr>
              <w:spacing w:line="390" w:lineRule="exact"/>
              <w:jc w:val="center"/>
              <w:rPr>
                <w:color w:val="auto"/>
              </w:rPr>
            </w:pPr>
          </w:p>
        </w:tc>
        <w:tc>
          <w:tcPr>
            <w:tcW w:w="8369" w:type="dxa"/>
            <w:vAlign w:val="center"/>
          </w:tcPr>
          <w:p w14:paraId="0F448410">
            <w:pPr>
              <w:pStyle w:val="61"/>
              <w:spacing w:line="390" w:lineRule="exact"/>
              <w:rPr>
                <w:bCs/>
                <w:color w:val="auto"/>
              </w:rPr>
            </w:pPr>
            <w:r>
              <w:rPr>
                <w:rFonts w:hint="eastAsia"/>
                <w:bCs/>
                <w:color w:val="auto"/>
              </w:rPr>
              <w:t>谈判时间：</w:t>
            </w:r>
            <w:r>
              <w:rPr>
                <w:rFonts w:hint="eastAsia" w:hAnsi="宋体"/>
                <w:color w:val="auto"/>
                <w:szCs w:val="21"/>
                <w:u w:val="single"/>
              </w:rPr>
              <w:t>详见竞争性谈判公告</w:t>
            </w:r>
          </w:p>
          <w:p w14:paraId="528B0BCA">
            <w:pPr>
              <w:pStyle w:val="61"/>
              <w:spacing w:line="390" w:lineRule="exact"/>
              <w:rPr>
                <w:color w:val="auto"/>
              </w:rPr>
            </w:pPr>
            <w:r>
              <w:rPr>
                <w:rFonts w:hint="eastAsia"/>
                <w:bCs/>
                <w:color w:val="auto"/>
              </w:rPr>
              <w:t>谈判地点：</w:t>
            </w:r>
            <w:r>
              <w:rPr>
                <w:rFonts w:hint="eastAsia"/>
                <w:color w:val="auto"/>
                <w:u w:val="single"/>
              </w:rPr>
              <w:t>详见</w:t>
            </w:r>
            <w:r>
              <w:rPr>
                <w:rFonts w:hint="eastAsia" w:hAnsi="宋体"/>
                <w:color w:val="auto"/>
                <w:szCs w:val="21"/>
                <w:u w:val="single"/>
              </w:rPr>
              <w:t>竞争性</w:t>
            </w:r>
            <w:r>
              <w:rPr>
                <w:rFonts w:hint="eastAsia"/>
                <w:color w:val="auto"/>
                <w:u w:val="single"/>
              </w:rPr>
              <w:t>谈判公告</w:t>
            </w:r>
          </w:p>
        </w:tc>
      </w:tr>
      <w:tr w14:paraId="2FE21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vAlign w:val="center"/>
          </w:tcPr>
          <w:p w14:paraId="0C87582A">
            <w:pPr>
              <w:pStyle w:val="61"/>
              <w:numPr>
                <w:ilvl w:val="0"/>
                <w:numId w:val="3"/>
              </w:numPr>
              <w:spacing w:line="390" w:lineRule="exact"/>
              <w:jc w:val="center"/>
              <w:rPr>
                <w:color w:val="auto"/>
              </w:rPr>
            </w:pPr>
          </w:p>
        </w:tc>
        <w:tc>
          <w:tcPr>
            <w:tcW w:w="8369" w:type="dxa"/>
            <w:vAlign w:val="center"/>
          </w:tcPr>
          <w:p w14:paraId="3F4E09FE">
            <w:pPr>
              <w:pStyle w:val="61"/>
              <w:spacing w:line="390" w:lineRule="exact"/>
              <w:rPr>
                <w:color w:val="auto"/>
              </w:rPr>
            </w:pPr>
            <w:r>
              <w:rPr>
                <w:rFonts w:hint="eastAsia"/>
                <w:color w:val="auto"/>
              </w:rPr>
              <w:t>评标方法：最低评标价法（详细见第六章）</w:t>
            </w:r>
          </w:p>
        </w:tc>
      </w:tr>
      <w:tr w14:paraId="582C9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vAlign w:val="center"/>
          </w:tcPr>
          <w:p w14:paraId="10286063">
            <w:pPr>
              <w:pStyle w:val="61"/>
              <w:numPr>
                <w:ilvl w:val="0"/>
                <w:numId w:val="3"/>
              </w:numPr>
              <w:spacing w:line="390" w:lineRule="exact"/>
              <w:jc w:val="center"/>
              <w:rPr>
                <w:color w:val="auto"/>
              </w:rPr>
            </w:pPr>
          </w:p>
        </w:tc>
        <w:tc>
          <w:tcPr>
            <w:tcW w:w="8369" w:type="dxa"/>
            <w:vAlign w:val="center"/>
          </w:tcPr>
          <w:p w14:paraId="78067161">
            <w:pPr>
              <w:spacing w:line="300" w:lineRule="exact"/>
              <w:rPr>
                <w:rFonts w:hint="eastAsia" w:ascii="宋体" w:hAnsi="宋体"/>
                <w:snapToGrid w:val="0"/>
                <w:color w:val="auto"/>
                <w:szCs w:val="21"/>
              </w:rPr>
            </w:pPr>
            <w:r>
              <w:rPr>
                <w:rFonts w:hint="eastAsia" w:ascii="宋体" w:hAnsi="宋体"/>
                <w:color w:val="auto"/>
                <w:szCs w:val="21"/>
              </w:rPr>
              <w:t>响应文件形式：</w:t>
            </w:r>
            <w:r>
              <w:rPr>
                <w:rFonts w:hint="eastAsia" w:ascii="宋体" w:hAnsi="宋体"/>
                <w:snapToGrid w:val="0"/>
                <w:color w:val="auto"/>
                <w:szCs w:val="21"/>
              </w:rPr>
              <w:t>谈判供应商应准备电子响应文件。</w:t>
            </w:r>
          </w:p>
          <w:p w14:paraId="2A389804">
            <w:pPr>
              <w:pStyle w:val="61"/>
              <w:spacing w:line="400" w:lineRule="exact"/>
              <w:rPr>
                <w:color w:val="auto"/>
                <w:szCs w:val="21"/>
              </w:rPr>
            </w:pPr>
            <w:r>
              <w:rPr>
                <w:rFonts w:hint="eastAsia"/>
                <w:snapToGrid w:val="0"/>
                <w:color w:val="auto"/>
                <w:szCs w:val="21"/>
              </w:rPr>
              <w:t>电子响应文件是指通过“广西政府采购云平台电子投标客户端”完成响应文件编制后生成并加密的数据电文形式的电子加密响应文件。</w:t>
            </w:r>
          </w:p>
        </w:tc>
      </w:tr>
      <w:tr w14:paraId="06E04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vAlign w:val="center"/>
          </w:tcPr>
          <w:p w14:paraId="4269C84D">
            <w:pPr>
              <w:pStyle w:val="61"/>
              <w:numPr>
                <w:ilvl w:val="0"/>
                <w:numId w:val="3"/>
              </w:numPr>
              <w:spacing w:line="390" w:lineRule="exact"/>
              <w:jc w:val="center"/>
              <w:rPr>
                <w:color w:val="auto"/>
              </w:rPr>
            </w:pPr>
          </w:p>
        </w:tc>
        <w:tc>
          <w:tcPr>
            <w:tcW w:w="8369" w:type="dxa"/>
            <w:vAlign w:val="center"/>
          </w:tcPr>
          <w:p w14:paraId="6F360810">
            <w:pPr>
              <w:pStyle w:val="61"/>
              <w:spacing w:line="400" w:lineRule="exact"/>
              <w:rPr>
                <w:color w:val="auto"/>
                <w:szCs w:val="21"/>
              </w:rPr>
            </w:pPr>
            <w:r>
              <w:rPr>
                <w:rFonts w:hint="eastAsia"/>
                <w:snapToGrid w:val="0"/>
                <w:color w:val="auto"/>
                <w:szCs w:val="21"/>
              </w:rPr>
              <w:t>响应文件的编制：供应商应先安装“广西政府采购云平台电子投标客户端”，并按照本竞争性谈判文件和“广西政府采购云平台”的要求，通过“广西政府采购云平台电子投标客户端”编制并加密响应文件。</w:t>
            </w:r>
          </w:p>
        </w:tc>
      </w:tr>
      <w:tr w14:paraId="40CA9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vAlign w:val="center"/>
          </w:tcPr>
          <w:p w14:paraId="646BB4A7">
            <w:pPr>
              <w:pStyle w:val="61"/>
              <w:numPr>
                <w:ilvl w:val="0"/>
                <w:numId w:val="3"/>
              </w:numPr>
              <w:spacing w:line="390" w:lineRule="exact"/>
              <w:jc w:val="center"/>
              <w:rPr>
                <w:color w:val="auto"/>
              </w:rPr>
            </w:pPr>
          </w:p>
        </w:tc>
        <w:tc>
          <w:tcPr>
            <w:tcW w:w="8369" w:type="dxa"/>
            <w:vAlign w:val="center"/>
          </w:tcPr>
          <w:p w14:paraId="12FE4C87">
            <w:pPr>
              <w:pStyle w:val="61"/>
              <w:spacing w:line="400" w:lineRule="exact"/>
              <w:rPr>
                <w:color w:val="auto"/>
                <w:szCs w:val="21"/>
              </w:rPr>
            </w:pPr>
            <w:r>
              <w:rPr>
                <w:rFonts w:hint="eastAsia"/>
                <w:snapToGrid w:val="0"/>
                <w:color w:val="auto"/>
                <w:szCs w:val="21"/>
              </w:rPr>
              <w:t>响应文件的盖章：响应文件中所涉及的加盖公章均采用CA电子签章。</w:t>
            </w:r>
          </w:p>
        </w:tc>
      </w:tr>
      <w:tr w14:paraId="35F48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vAlign w:val="center"/>
          </w:tcPr>
          <w:p w14:paraId="3678933F">
            <w:pPr>
              <w:pStyle w:val="61"/>
              <w:numPr>
                <w:ilvl w:val="0"/>
                <w:numId w:val="3"/>
              </w:numPr>
              <w:spacing w:line="390" w:lineRule="exact"/>
              <w:jc w:val="center"/>
              <w:rPr>
                <w:color w:val="auto"/>
              </w:rPr>
            </w:pPr>
          </w:p>
        </w:tc>
        <w:tc>
          <w:tcPr>
            <w:tcW w:w="8369" w:type="dxa"/>
            <w:vAlign w:val="center"/>
          </w:tcPr>
          <w:p w14:paraId="4AB5A7D6">
            <w:pPr>
              <w:pStyle w:val="61"/>
              <w:spacing w:line="400" w:lineRule="exact"/>
              <w:rPr>
                <w:color w:val="auto"/>
                <w:szCs w:val="21"/>
              </w:rPr>
            </w:pPr>
            <w:r>
              <w:rPr>
                <w:rFonts w:hint="eastAsia"/>
                <w:snapToGrid w:val="0"/>
                <w:color w:val="auto"/>
                <w:szCs w:val="21"/>
              </w:rPr>
              <w:t>法定代表人或其授权代表签字或盖章：本竞争性谈判文件所涉及的法定代表人或其授权代表签字或盖章的内容，如果谈判供应商没有法定代表人电子签章，涉及到法定代表人或其授权代表签字或盖章的内容，谈判供应商可以线下签字或盖章后扫描上传。</w:t>
            </w:r>
          </w:p>
        </w:tc>
      </w:tr>
      <w:tr w14:paraId="527D3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vAlign w:val="center"/>
          </w:tcPr>
          <w:p w14:paraId="022AD059">
            <w:pPr>
              <w:pStyle w:val="61"/>
              <w:numPr>
                <w:ilvl w:val="0"/>
                <w:numId w:val="3"/>
              </w:numPr>
              <w:spacing w:line="390" w:lineRule="exact"/>
              <w:jc w:val="center"/>
              <w:rPr>
                <w:color w:val="auto"/>
              </w:rPr>
            </w:pPr>
          </w:p>
        </w:tc>
        <w:tc>
          <w:tcPr>
            <w:tcW w:w="8369" w:type="dxa"/>
            <w:vAlign w:val="center"/>
          </w:tcPr>
          <w:p w14:paraId="3F87A978">
            <w:pPr>
              <w:pStyle w:val="61"/>
              <w:spacing w:line="400" w:lineRule="exact"/>
              <w:rPr>
                <w:color w:val="auto"/>
                <w:szCs w:val="21"/>
              </w:rPr>
            </w:pPr>
            <w:r>
              <w:rPr>
                <w:rFonts w:hint="eastAsia"/>
                <w:snapToGrid w:val="0"/>
                <w:color w:val="auto"/>
                <w:szCs w:val="21"/>
              </w:rPr>
              <w:t>响应文件份数：电子加密响应文件在线上传提交一份。</w:t>
            </w:r>
          </w:p>
        </w:tc>
      </w:tr>
      <w:tr w14:paraId="6C8C2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vAlign w:val="center"/>
          </w:tcPr>
          <w:p w14:paraId="27C7AD8E">
            <w:pPr>
              <w:pStyle w:val="61"/>
              <w:numPr>
                <w:ilvl w:val="0"/>
                <w:numId w:val="3"/>
              </w:numPr>
              <w:spacing w:line="390" w:lineRule="exact"/>
              <w:jc w:val="center"/>
              <w:rPr>
                <w:color w:val="auto"/>
              </w:rPr>
            </w:pPr>
          </w:p>
        </w:tc>
        <w:tc>
          <w:tcPr>
            <w:tcW w:w="8369" w:type="dxa"/>
            <w:vAlign w:val="center"/>
          </w:tcPr>
          <w:p w14:paraId="3259E752">
            <w:pPr>
              <w:pStyle w:val="61"/>
              <w:spacing w:line="400" w:lineRule="exact"/>
              <w:rPr>
                <w:snapToGrid w:val="0"/>
                <w:color w:val="auto"/>
                <w:szCs w:val="21"/>
              </w:rPr>
            </w:pPr>
            <w:r>
              <w:rPr>
                <w:rFonts w:hint="eastAsia"/>
                <w:snapToGrid w:val="0"/>
                <w:color w:val="auto"/>
                <w:szCs w:val="21"/>
              </w:rPr>
              <w:t>电子加密响应文件的解密：</w:t>
            </w:r>
          </w:p>
          <w:p w14:paraId="3E0BFA3F">
            <w:pPr>
              <w:pStyle w:val="61"/>
              <w:spacing w:line="400" w:lineRule="exact"/>
              <w:rPr>
                <w:snapToGrid w:val="0"/>
                <w:color w:val="auto"/>
                <w:szCs w:val="21"/>
              </w:rPr>
            </w:pPr>
            <w:r>
              <w:rPr>
                <w:rFonts w:hint="eastAsia"/>
                <w:snapToGrid w:val="0"/>
                <w:color w:val="auto"/>
                <w:szCs w:val="21"/>
              </w:rPr>
              <w:t>谈判响应文件开启后，本公司将向各参与谈判供应商发出“电子加密响应文件”的解密通知，各谈判供应商代表应当在接到解密通知后30分钟内自行完成“电子加密响应文件”的在线解密。</w:t>
            </w:r>
          </w:p>
        </w:tc>
      </w:tr>
    </w:tbl>
    <w:p w14:paraId="58676406">
      <w:pPr>
        <w:spacing w:line="400" w:lineRule="exact"/>
        <w:jc w:val="center"/>
        <w:rPr>
          <w:rFonts w:hint="eastAsia" w:ascii="仿宋_GB2312" w:hAnsi="宋体" w:eastAsia="仿宋_GB2312"/>
          <w:b/>
          <w:color w:val="auto"/>
          <w:sz w:val="32"/>
          <w:szCs w:val="32"/>
        </w:rPr>
      </w:pPr>
    </w:p>
    <w:p w14:paraId="117515AC">
      <w:pPr>
        <w:spacing w:line="820" w:lineRule="exact"/>
        <w:jc w:val="center"/>
        <w:rPr>
          <w:rFonts w:hint="eastAsia" w:ascii="宋体" w:hAnsi="宋体"/>
          <w:b/>
          <w:color w:val="auto"/>
          <w:sz w:val="32"/>
          <w:szCs w:val="32"/>
        </w:rPr>
      </w:pPr>
      <w:r>
        <w:rPr>
          <w:rFonts w:ascii="仿宋_GB2312" w:hAnsi="宋体" w:eastAsia="仿宋_GB2312"/>
          <w:b/>
          <w:color w:val="auto"/>
          <w:sz w:val="32"/>
          <w:szCs w:val="32"/>
        </w:rPr>
        <w:br w:type="page"/>
      </w:r>
      <w:r>
        <w:rPr>
          <w:rFonts w:hint="eastAsia" w:ascii="宋体" w:hAnsi="宋体"/>
          <w:b/>
          <w:color w:val="auto"/>
          <w:sz w:val="32"/>
          <w:szCs w:val="32"/>
        </w:rPr>
        <w:t>谈判供应商须知正文</w:t>
      </w:r>
    </w:p>
    <w:p w14:paraId="53CD12A4">
      <w:pPr>
        <w:spacing w:line="400" w:lineRule="exact"/>
        <w:rPr>
          <w:rFonts w:hint="eastAsia" w:ascii="仿宋_GB2312" w:hAnsi="宋体" w:eastAsia="仿宋_GB2312"/>
          <w:color w:val="auto"/>
          <w:szCs w:val="21"/>
        </w:rPr>
      </w:pPr>
    </w:p>
    <w:p w14:paraId="7D510F64">
      <w:pPr>
        <w:spacing w:line="400" w:lineRule="exact"/>
        <w:ind w:firstLine="422" w:firstLineChars="200"/>
        <w:rPr>
          <w:rFonts w:hint="eastAsia" w:ascii="宋体" w:hAnsi="宋体"/>
          <w:b/>
          <w:color w:val="auto"/>
          <w:szCs w:val="21"/>
        </w:rPr>
      </w:pPr>
      <w:r>
        <w:rPr>
          <w:rFonts w:hint="eastAsia" w:ascii="宋体" w:hAnsi="宋体"/>
          <w:b/>
          <w:color w:val="auto"/>
          <w:szCs w:val="21"/>
        </w:rPr>
        <w:t>一、总　则</w:t>
      </w:r>
    </w:p>
    <w:p w14:paraId="29C86C29">
      <w:pPr>
        <w:spacing w:line="400" w:lineRule="exact"/>
        <w:ind w:firstLine="420" w:firstLineChars="200"/>
        <w:rPr>
          <w:rFonts w:hint="eastAsia" w:ascii="宋体" w:hAnsi="宋体"/>
          <w:color w:val="auto"/>
          <w:szCs w:val="21"/>
        </w:rPr>
      </w:pPr>
      <w:r>
        <w:rPr>
          <w:rFonts w:hint="eastAsia" w:ascii="宋体" w:hAnsi="宋体"/>
          <w:color w:val="auto"/>
          <w:szCs w:val="21"/>
        </w:rPr>
        <w:t>1. 适用范围</w:t>
      </w:r>
    </w:p>
    <w:p w14:paraId="08EA2C0D">
      <w:pPr>
        <w:spacing w:line="400" w:lineRule="exact"/>
        <w:ind w:firstLine="420" w:firstLineChars="200"/>
        <w:rPr>
          <w:rFonts w:hint="eastAsia" w:ascii="宋体" w:hAnsi="宋体"/>
          <w:color w:val="auto"/>
          <w:szCs w:val="21"/>
        </w:rPr>
      </w:pPr>
      <w:r>
        <w:rPr>
          <w:rFonts w:hint="eastAsia" w:ascii="宋体" w:hAnsi="宋体"/>
          <w:color w:val="auto"/>
          <w:szCs w:val="21"/>
        </w:rPr>
        <w:t>本文件仅适用于本文件中所叙述的</w:t>
      </w:r>
      <w:r>
        <w:rPr>
          <w:rFonts w:hint="eastAsia" w:ascii="宋体" w:hAnsi="宋体"/>
          <w:b/>
          <w:color w:val="auto"/>
          <w:szCs w:val="21"/>
        </w:rPr>
        <w:t>货物类</w:t>
      </w:r>
      <w:r>
        <w:rPr>
          <w:rFonts w:hint="eastAsia" w:ascii="宋体" w:hAnsi="宋体"/>
          <w:color w:val="auto"/>
          <w:szCs w:val="21"/>
        </w:rPr>
        <w:t>政府采购项目。</w:t>
      </w:r>
    </w:p>
    <w:p w14:paraId="1AA8A952">
      <w:pPr>
        <w:spacing w:line="400" w:lineRule="exact"/>
        <w:ind w:firstLine="420" w:firstLineChars="200"/>
        <w:rPr>
          <w:rFonts w:hint="eastAsia" w:ascii="宋体" w:hAnsi="宋体"/>
          <w:color w:val="auto"/>
          <w:szCs w:val="21"/>
        </w:rPr>
      </w:pPr>
      <w:r>
        <w:rPr>
          <w:rFonts w:hint="eastAsia" w:ascii="宋体" w:hAnsi="宋体"/>
          <w:color w:val="auto"/>
          <w:szCs w:val="21"/>
        </w:rPr>
        <w:t>2. 定义</w:t>
      </w:r>
    </w:p>
    <w:p w14:paraId="537463EA">
      <w:pPr>
        <w:spacing w:line="400" w:lineRule="exact"/>
        <w:ind w:firstLine="420" w:firstLineChars="200"/>
        <w:rPr>
          <w:rFonts w:hint="eastAsia" w:ascii="宋体" w:hAnsi="宋体"/>
          <w:color w:val="auto"/>
          <w:szCs w:val="21"/>
        </w:rPr>
      </w:pPr>
      <w:r>
        <w:rPr>
          <w:rFonts w:hint="eastAsia" w:ascii="宋体" w:hAnsi="宋体"/>
          <w:color w:val="auto"/>
          <w:szCs w:val="21"/>
        </w:rPr>
        <w:t>2.1“采购人”是</w:t>
      </w:r>
      <w:r>
        <w:rPr>
          <w:rFonts w:hint="eastAsia" w:hAnsi="宋体"/>
          <w:color w:val="auto"/>
        </w:rPr>
        <w:t>指组织本次采购的采购单位</w:t>
      </w:r>
      <w:r>
        <w:rPr>
          <w:rFonts w:hint="eastAsia"/>
          <w:color w:val="auto"/>
        </w:rPr>
        <w:t>。</w:t>
      </w:r>
    </w:p>
    <w:p w14:paraId="3329D988">
      <w:pPr>
        <w:spacing w:line="400" w:lineRule="exact"/>
        <w:ind w:firstLine="420" w:firstLineChars="200"/>
        <w:rPr>
          <w:rFonts w:hint="eastAsia" w:ascii="宋体" w:hAnsi="宋体"/>
          <w:color w:val="auto"/>
          <w:szCs w:val="21"/>
        </w:rPr>
      </w:pPr>
      <w:r>
        <w:rPr>
          <w:rFonts w:hint="eastAsia" w:ascii="宋体" w:hAnsi="宋体"/>
          <w:color w:val="auto"/>
          <w:szCs w:val="21"/>
        </w:rPr>
        <w:t>2.2“采购代理机构”是指： 广西中吉银工程项目管理有限公司</w:t>
      </w:r>
      <w:r>
        <w:rPr>
          <w:rFonts w:hint="eastAsia"/>
          <w:color w:val="auto"/>
        </w:rPr>
        <w:t>。</w:t>
      </w:r>
    </w:p>
    <w:p w14:paraId="678B01DB">
      <w:pPr>
        <w:spacing w:line="400" w:lineRule="exact"/>
        <w:ind w:firstLine="420" w:firstLineChars="200"/>
        <w:rPr>
          <w:rFonts w:hint="eastAsia" w:ascii="宋体" w:hAnsi="宋体"/>
          <w:color w:val="auto"/>
          <w:szCs w:val="21"/>
        </w:rPr>
      </w:pPr>
      <w:r>
        <w:rPr>
          <w:rFonts w:hint="eastAsia" w:ascii="宋体" w:hAnsi="宋体"/>
          <w:color w:val="auto"/>
          <w:szCs w:val="21"/>
        </w:rPr>
        <w:t>2.3“谈判供应商”是指响应本文件要求，参加谈判的法人或者其他组织和自然人。如果该供应商在本次谈判中成交,即成为“成交供应商”。</w:t>
      </w:r>
    </w:p>
    <w:p w14:paraId="5AD32B63">
      <w:pPr>
        <w:spacing w:line="400" w:lineRule="exact"/>
        <w:ind w:firstLine="420" w:firstLineChars="200"/>
        <w:rPr>
          <w:rFonts w:hint="eastAsia" w:ascii="宋体" w:hAnsi="宋体"/>
          <w:color w:val="auto"/>
          <w:szCs w:val="21"/>
        </w:rPr>
      </w:pPr>
      <w:r>
        <w:rPr>
          <w:rFonts w:hint="eastAsia" w:ascii="宋体" w:hAnsi="宋体"/>
          <w:color w:val="auto"/>
          <w:szCs w:val="21"/>
        </w:rPr>
        <w:t>2.4“货物”是指各种形态和种类的物品，包括原材料、燃料、设备、产品等。</w:t>
      </w:r>
    </w:p>
    <w:p w14:paraId="72346654">
      <w:pPr>
        <w:spacing w:line="400" w:lineRule="exact"/>
        <w:ind w:firstLine="420" w:firstLineChars="200"/>
        <w:rPr>
          <w:rFonts w:hint="eastAsia" w:ascii="宋体" w:hAnsi="宋体"/>
          <w:color w:val="auto"/>
          <w:szCs w:val="21"/>
        </w:rPr>
      </w:pPr>
      <w:r>
        <w:rPr>
          <w:rFonts w:hint="eastAsia" w:ascii="宋体" w:hAnsi="宋体"/>
          <w:color w:val="auto"/>
          <w:szCs w:val="21"/>
        </w:rPr>
        <w:t>2.5“服务”是指除货物和工程以外的其他政府采购对象。</w:t>
      </w:r>
    </w:p>
    <w:p w14:paraId="5F469DE6">
      <w:pPr>
        <w:spacing w:line="400" w:lineRule="exact"/>
        <w:ind w:firstLine="420" w:firstLineChars="200"/>
        <w:rPr>
          <w:rFonts w:hint="eastAsia" w:ascii="宋体" w:hAnsi="宋体"/>
          <w:color w:val="auto"/>
          <w:szCs w:val="21"/>
        </w:rPr>
      </w:pPr>
      <w:r>
        <w:rPr>
          <w:rFonts w:hint="eastAsia" w:ascii="宋体" w:hAnsi="宋体"/>
          <w:color w:val="auto"/>
          <w:szCs w:val="21"/>
        </w:rPr>
        <w:t>2.6“竞争性谈判响应文件”是指：供应商根据本文件要求，编制包含报价、技术和服务等所有内容的文件。</w:t>
      </w:r>
    </w:p>
    <w:p w14:paraId="33246449">
      <w:pPr>
        <w:spacing w:line="400" w:lineRule="exact"/>
        <w:ind w:firstLine="420" w:firstLineChars="200"/>
        <w:rPr>
          <w:rFonts w:hint="eastAsia" w:ascii="宋体" w:hAnsi="宋体"/>
          <w:color w:val="auto"/>
          <w:szCs w:val="21"/>
        </w:rPr>
      </w:pPr>
      <w:r>
        <w:rPr>
          <w:rFonts w:hint="eastAsia" w:ascii="宋体" w:hAnsi="宋体"/>
          <w:color w:val="auto"/>
          <w:szCs w:val="21"/>
        </w:rPr>
        <w:t>3. 谈判供应商的基本条件：详见须知前附表。</w:t>
      </w:r>
    </w:p>
    <w:p w14:paraId="1628154C">
      <w:pPr>
        <w:spacing w:line="400" w:lineRule="exact"/>
        <w:ind w:firstLine="420" w:firstLineChars="200"/>
        <w:rPr>
          <w:rFonts w:hint="eastAsia" w:ascii="宋体" w:hAnsi="宋体"/>
          <w:color w:val="auto"/>
          <w:szCs w:val="21"/>
        </w:rPr>
      </w:pPr>
      <w:r>
        <w:rPr>
          <w:rFonts w:hint="eastAsia" w:ascii="宋体" w:hAnsi="宋体"/>
          <w:color w:val="auto"/>
          <w:szCs w:val="21"/>
        </w:rPr>
        <w:t>4. 谈判费用、代理服务费</w:t>
      </w:r>
    </w:p>
    <w:p w14:paraId="1AC5B0BF">
      <w:pPr>
        <w:spacing w:line="400" w:lineRule="exact"/>
        <w:ind w:firstLine="420" w:firstLineChars="200"/>
        <w:rPr>
          <w:rFonts w:hint="eastAsia" w:ascii="宋体" w:hAnsi="宋体"/>
          <w:color w:val="auto"/>
          <w:szCs w:val="21"/>
        </w:rPr>
      </w:pPr>
      <w:r>
        <w:rPr>
          <w:rFonts w:hint="eastAsia" w:ascii="宋体" w:hAnsi="宋体"/>
          <w:color w:val="auto"/>
          <w:szCs w:val="21"/>
        </w:rPr>
        <w:t>4.1谈判供应商应自行承担所有与编写和提交竞争性谈判响应文件有关的费用，不论谈判结果如何，采购人和 广西中吉银工程项目管理有限公司在任何情况下无义务和责任承担此类费用。</w:t>
      </w:r>
    </w:p>
    <w:p w14:paraId="2D1A4257">
      <w:pPr>
        <w:spacing w:line="400" w:lineRule="exact"/>
        <w:ind w:firstLine="420" w:firstLineChars="200"/>
        <w:rPr>
          <w:rFonts w:hint="eastAsia" w:ascii="宋体" w:hAnsi="宋体"/>
          <w:color w:val="auto"/>
          <w:szCs w:val="21"/>
        </w:rPr>
      </w:pPr>
      <w:r>
        <w:rPr>
          <w:rFonts w:hint="eastAsia" w:ascii="宋体" w:hAnsi="宋体"/>
          <w:color w:val="auto"/>
          <w:szCs w:val="21"/>
        </w:rPr>
        <w:t>4.2本项目的代理服务费按须知前附表的规定执行，由成交供应商在发布成交结果公告后，一次性向采购代理机构支付。</w:t>
      </w:r>
    </w:p>
    <w:p w14:paraId="636FCADC">
      <w:pPr>
        <w:spacing w:line="400" w:lineRule="exact"/>
        <w:ind w:firstLine="422" w:firstLineChars="200"/>
        <w:rPr>
          <w:rFonts w:hint="eastAsia" w:ascii="宋体" w:hAnsi="宋体"/>
          <w:color w:val="auto"/>
          <w:szCs w:val="21"/>
        </w:rPr>
      </w:pPr>
      <w:r>
        <w:rPr>
          <w:rFonts w:hint="eastAsia"/>
          <w:b/>
          <w:bCs/>
          <w:color w:val="auto"/>
        </w:rPr>
        <w:t xml:space="preserve">5. </w:t>
      </w:r>
      <w:r>
        <w:rPr>
          <w:rFonts w:hint="eastAsia" w:ascii="宋体" w:hAnsi="宋体"/>
          <w:b/>
          <w:color w:val="auto"/>
          <w:szCs w:val="21"/>
        </w:rPr>
        <w:t>竞争性</w:t>
      </w:r>
      <w:r>
        <w:rPr>
          <w:rFonts w:hint="eastAsia" w:hAnsi="宋体"/>
          <w:b/>
          <w:color w:val="auto"/>
        </w:rPr>
        <w:t>谈判文件的澄清和修改：</w:t>
      </w:r>
    </w:p>
    <w:p w14:paraId="52C65028">
      <w:pPr>
        <w:widowControl/>
        <w:wordWrap w:val="0"/>
        <w:spacing w:line="400" w:lineRule="exact"/>
        <w:ind w:firstLine="420"/>
        <w:jc w:val="left"/>
        <w:rPr>
          <w:rFonts w:hint="eastAsia" w:ascii="宋体" w:hAnsi="宋体" w:cs="Courier New"/>
          <w:color w:val="auto"/>
          <w:szCs w:val="21"/>
        </w:rPr>
      </w:pPr>
      <w:r>
        <w:rPr>
          <w:rFonts w:hint="eastAsia" w:ascii="宋体" w:hAnsi="宋体" w:cs="Courier New"/>
          <w:color w:val="auto"/>
          <w:szCs w:val="21"/>
        </w:rPr>
        <w:t>5.1供应商应认真阅读谈判文件，供应商认为采购文件使自己的权益受到损害的，应当在知道或者应知其权益受到损害之日起七个工作日内，以书面形式向采购人、采购代理机构提出，</w:t>
      </w:r>
      <w:r>
        <w:rPr>
          <w:rFonts w:hint="eastAsia" w:ascii="宋体" w:hAnsi="宋体"/>
          <w:color w:val="auto"/>
        </w:rPr>
        <w:t>供应商在法定质疑期内必须一次性提出针对同一采购程序环节的质疑</w:t>
      </w:r>
      <w:r>
        <w:rPr>
          <w:rFonts w:hint="eastAsia" w:ascii="宋体" w:hAnsi="宋体" w:cs="Courier New"/>
          <w:color w:val="auto"/>
          <w:szCs w:val="21"/>
        </w:rPr>
        <w:t>。</w:t>
      </w:r>
    </w:p>
    <w:p w14:paraId="1CFE0080">
      <w:pPr>
        <w:widowControl/>
        <w:wordWrap w:val="0"/>
        <w:spacing w:line="400" w:lineRule="exact"/>
        <w:ind w:firstLine="420"/>
        <w:jc w:val="left"/>
        <w:rPr>
          <w:rFonts w:hint="eastAsia" w:ascii="宋体" w:hAnsi="宋体" w:cs="Courier New"/>
          <w:color w:val="auto"/>
          <w:szCs w:val="21"/>
        </w:rPr>
      </w:pPr>
      <w:r>
        <w:rPr>
          <w:rFonts w:hint="eastAsia" w:ascii="宋体" w:hAnsi="宋体" w:cs="Courier New"/>
          <w:color w:val="auto"/>
          <w:szCs w:val="21"/>
        </w:rPr>
        <w:t>5.2供应商提出质疑应当提交质疑函和必要的证明材料。质疑函应当包括下列内容：</w:t>
      </w:r>
    </w:p>
    <w:p w14:paraId="5765EC8A">
      <w:pPr>
        <w:widowControl/>
        <w:wordWrap w:val="0"/>
        <w:spacing w:line="400" w:lineRule="exact"/>
        <w:ind w:firstLine="420"/>
        <w:jc w:val="left"/>
        <w:rPr>
          <w:rFonts w:hint="eastAsia" w:ascii="宋体" w:hAnsi="宋体" w:cs="Courier New"/>
          <w:color w:val="auto"/>
          <w:szCs w:val="21"/>
        </w:rPr>
      </w:pPr>
      <w:r>
        <w:rPr>
          <w:rFonts w:hint="eastAsia" w:ascii="宋体" w:hAnsi="宋体" w:cs="Courier New"/>
          <w:color w:val="auto"/>
          <w:szCs w:val="21"/>
        </w:rPr>
        <w:t>（1）供应商的姓名或者名称、地址、邮编、联系人及联系电话；</w:t>
      </w:r>
    </w:p>
    <w:p w14:paraId="7C305341">
      <w:pPr>
        <w:widowControl/>
        <w:wordWrap w:val="0"/>
        <w:spacing w:line="400" w:lineRule="exact"/>
        <w:ind w:firstLine="420"/>
        <w:jc w:val="left"/>
        <w:rPr>
          <w:rFonts w:hint="eastAsia" w:ascii="宋体" w:hAnsi="宋体" w:cs="Courier New"/>
          <w:color w:val="auto"/>
          <w:szCs w:val="21"/>
        </w:rPr>
      </w:pPr>
      <w:r>
        <w:rPr>
          <w:rFonts w:hint="eastAsia" w:ascii="宋体" w:hAnsi="宋体" w:cs="Courier New"/>
          <w:color w:val="auto"/>
          <w:szCs w:val="21"/>
        </w:rPr>
        <w:t>（2）质疑项目的名称、编号；</w:t>
      </w:r>
    </w:p>
    <w:p w14:paraId="64F6DEBF">
      <w:pPr>
        <w:widowControl/>
        <w:wordWrap w:val="0"/>
        <w:spacing w:line="400" w:lineRule="exact"/>
        <w:ind w:firstLine="420"/>
        <w:jc w:val="left"/>
        <w:rPr>
          <w:rFonts w:hint="eastAsia" w:ascii="宋体" w:hAnsi="宋体" w:cs="Courier New"/>
          <w:color w:val="auto"/>
          <w:szCs w:val="21"/>
        </w:rPr>
      </w:pPr>
      <w:r>
        <w:rPr>
          <w:rFonts w:hint="eastAsia" w:ascii="宋体" w:hAnsi="宋体" w:cs="Courier New"/>
          <w:color w:val="auto"/>
          <w:szCs w:val="21"/>
        </w:rPr>
        <w:t>（3）具体、明确的质疑事项和与质疑事项相关的请求；</w:t>
      </w:r>
    </w:p>
    <w:p w14:paraId="6DCC2238">
      <w:pPr>
        <w:widowControl/>
        <w:wordWrap w:val="0"/>
        <w:spacing w:line="400" w:lineRule="exact"/>
        <w:ind w:firstLine="420"/>
        <w:jc w:val="left"/>
        <w:rPr>
          <w:rFonts w:hint="eastAsia" w:ascii="宋体" w:hAnsi="宋体" w:cs="Courier New"/>
          <w:color w:val="auto"/>
          <w:szCs w:val="21"/>
        </w:rPr>
      </w:pPr>
      <w:r>
        <w:rPr>
          <w:rFonts w:hint="eastAsia" w:ascii="宋体" w:hAnsi="宋体" w:cs="Courier New"/>
          <w:color w:val="auto"/>
          <w:szCs w:val="21"/>
        </w:rPr>
        <w:t>（4）事实依据；</w:t>
      </w:r>
    </w:p>
    <w:p w14:paraId="4B49C092">
      <w:pPr>
        <w:widowControl/>
        <w:wordWrap w:val="0"/>
        <w:spacing w:line="400" w:lineRule="exact"/>
        <w:ind w:firstLine="420"/>
        <w:jc w:val="left"/>
        <w:rPr>
          <w:rFonts w:hint="eastAsia" w:ascii="宋体" w:hAnsi="宋体" w:cs="Courier New"/>
          <w:color w:val="auto"/>
          <w:szCs w:val="21"/>
        </w:rPr>
      </w:pPr>
      <w:r>
        <w:rPr>
          <w:rFonts w:hint="eastAsia" w:ascii="宋体" w:hAnsi="宋体" w:cs="Courier New"/>
          <w:color w:val="auto"/>
          <w:szCs w:val="21"/>
        </w:rPr>
        <w:t>（5）必要的法律依据；</w:t>
      </w:r>
    </w:p>
    <w:p w14:paraId="676D6F30">
      <w:pPr>
        <w:widowControl/>
        <w:wordWrap w:val="0"/>
        <w:spacing w:line="400" w:lineRule="exact"/>
        <w:ind w:firstLine="420"/>
        <w:jc w:val="left"/>
        <w:rPr>
          <w:rFonts w:hint="eastAsia" w:ascii="宋体" w:hAnsi="宋体" w:cs="Courier New"/>
          <w:color w:val="auto"/>
          <w:szCs w:val="21"/>
        </w:rPr>
      </w:pPr>
      <w:r>
        <w:rPr>
          <w:rFonts w:hint="eastAsia" w:ascii="宋体" w:hAnsi="宋体" w:cs="Courier New"/>
          <w:color w:val="auto"/>
          <w:szCs w:val="21"/>
        </w:rPr>
        <w:t>（6）提出质疑的日期。</w:t>
      </w:r>
    </w:p>
    <w:p w14:paraId="6C4F6F95">
      <w:pPr>
        <w:widowControl/>
        <w:wordWrap w:val="0"/>
        <w:spacing w:line="400" w:lineRule="exact"/>
        <w:ind w:firstLine="420"/>
        <w:jc w:val="left"/>
        <w:rPr>
          <w:rFonts w:hint="eastAsia" w:ascii="宋体" w:hAnsi="宋体" w:cs="Courier New"/>
          <w:color w:val="auto"/>
          <w:szCs w:val="21"/>
        </w:rPr>
      </w:pPr>
      <w:r>
        <w:rPr>
          <w:rFonts w:hint="eastAsia" w:ascii="宋体" w:hAnsi="宋体" w:cs="Courier New"/>
          <w:color w:val="auto"/>
          <w:szCs w:val="21"/>
        </w:rPr>
        <w:t>供应商为自然人的，应当由本人签字；供应商为法人或者其他组织的，应当由法定代表人、主要负责人，或者其授权代表签字或者盖章，并加盖公章。</w:t>
      </w:r>
    </w:p>
    <w:p w14:paraId="3E789D97">
      <w:pPr>
        <w:widowControl/>
        <w:wordWrap w:val="0"/>
        <w:spacing w:line="400" w:lineRule="exact"/>
        <w:ind w:firstLine="420"/>
        <w:jc w:val="left"/>
        <w:rPr>
          <w:rFonts w:hint="eastAsia" w:ascii="宋体" w:hAnsi="宋体" w:cs="Courier New"/>
          <w:color w:val="auto"/>
          <w:szCs w:val="21"/>
        </w:rPr>
      </w:pPr>
      <w:r>
        <w:rPr>
          <w:rFonts w:hint="eastAsia" w:ascii="宋体" w:hAnsi="宋体" w:cs="Courier New"/>
          <w:color w:val="auto"/>
          <w:szCs w:val="21"/>
        </w:rPr>
        <w:t>5.3提交首次响应文件截止之日前，采购人、采购代理机构或者谈判小组可以对已发出的谈判文件进行必要的澄清或者修改，澄清或者修改的内容作为谈判文件的组成部分。澄清或者修改的内容可能影响响应文件编制的，采购人、采购代理机构或者谈判小组应当在提交首次响应文件截止之日3个工作日前，以书面形式通知所有接收谈判文件的供应商，不足3个工作日的，应当顺延提交首次响应文件截止之日。</w:t>
      </w:r>
    </w:p>
    <w:p w14:paraId="34428A70">
      <w:pPr>
        <w:spacing w:line="400" w:lineRule="exact"/>
        <w:ind w:firstLine="420" w:firstLineChars="200"/>
        <w:rPr>
          <w:rFonts w:hint="eastAsia" w:ascii="宋体" w:hAnsi="宋体"/>
          <w:color w:val="auto"/>
          <w:szCs w:val="21"/>
        </w:rPr>
      </w:pPr>
      <w:r>
        <w:rPr>
          <w:rFonts w:hint="eastAsia" w:ascii="宋体" w:hAnsi="宋体"/>
          <w:color w:val="auto"/>
          <w:szCs w:val="20"/>
        </w:rPr>
        <w:t>5.4谈判</w:t>
      </w:r>
      <w:r>
        <w:rPr>
          <w:rFonts w:hint="eastAsia" w:hAnsi="宋体"/>
          <w:color w:val="auto"/>
        </w:rPr>
        <w:t>供应商接到电话通知后到采购代理机构处领取以上澄清答复（或补充通知、更改通知等），或在网上查询，如在电话通知后24小时内不上门领取的，则视为已在网上查询收到。该澄清或修改的内容为竞争性谈判文件的组成部分。谈判供应商在每一次收到澄清答复或补充通知后应立即以书面形式通知采购代理机构，确认已收到该澄清答复或补充通知。否则，由此造成的一切后果由谈判供应商负责。</w:t>
      </w:r>
    </w:p>
    <w:p w14:paraId="77C5C9B2">
      <w:pPr>
        <w:spacing w:line="400" w:lineRule="exact"/>
        <w:ind w:firstLine="422" w:firstLineChars="200"/>
        <w:rPr>
          <w:rFonts w:hint="eastAsia" w:ascii="宋体" w:hAnsi="宋体"/>
          <w:b/>
          <w:color w:val="auto"/>
          <w:szCs w:val="21"/>
        </w:rPr>
      </w:pPr>
      <w:r>
        <w:rPr>
          <w:rFonts w:hint="eastAsia" w:ascii="宋体" w:hAnsi="宋体"/>
          <w:b/>
          <w:color w:val="auto"/>
          <w:szCs w:val="21"/>
        </w:rPr>
        <w:t>二、竞争性谈判响应文件的编制</w:t>
      </w:r>
    </w:p>
    <w:p w14:paraId="79D797CA">
      <w:pPr>
        <w:spacing w:line="400" w:lineRule="exact"/>
        <w:ind w:firstLine="420" w:firstLineChars="200"/>
        <w:rPr>
          <w:rFonts w:hint="eastAsia" w:ascii="宋体" w:hAnsi="宋体"/>
          <w:color w:val="auto"/>
          <w:szCs w:val="21"/>
        </w:rPr>
      </w:pPr>
      <w:r>
        <w:rPr>
          <w:rFonts w:hint="eastAsia" w:ascii="宋体" w:hAnsi="宋体"/>
          <w:color w:val="auto"/>
          <w:szCs w:val="21"/>
        </w:rPr>
        <w:t>6. 竞争性谈判响应文件编制基本要求</w:t>
      </w:r>
    </w:p>
    <w:p w14:paraId="5EE71066">
      <w:pPr>
        <w:spacing w:line="400" w:lineRule="exact"/>
        <w:ind w:firstLine="420" w:firstLineChars="200"/>
        <w:rPr>
          <w:rFonts w:hint="eastAsia" w:ascii="宋体" w:hAnsi="宋体"/>
          <w:color w:val="auto"/>
          <w:szCs w:val="21"/>
        </w:rPr>
      </w:pPr>
      <w:r>
        <w:rPr>
          <w:rFonts w:hint="eastAsia" w:ascii="宋体" w:hAnsi="宋体"/>
          <w:color w:val="auto"/>
          <w:szCs w:val="21"/>
        </w:rPr>
        <w:t>6.1</w:t>
      </w:r>
      <w:r>
        <w:rPr>
          <w:rFonts w:hint="eastAsia" w:ascii="宋体" w:hAnsi="宋体" w:cs="宋体"/>
          <w:bCs/>
          <w:color w:val="auto"/>
        </w:rPr>
        <w:t>谈判供应商对竞争性谈判响应文件的编制应按</w:t>
      </w:r>
      <w:r>
        <w:rPr>
          <w:rFonts w:hint="eastAsia" w:ascii="宋体" w:hAnsi="宋体"/>
          <w:color w:val="auto"/>
        </w:rPr>
        <w:t>本竞争性谈判文件规定的格式和顺序编制并标注页码，响应文件内容不完整、编排混乱导致响应文件被误读、漏读或者查找不到相关内容的后果由谈判供应商承担。供应商应准确设置评审关联点。未设置或设置错误导致响应文件被误读、漏读或者查找不到相关内容的后果由谈判供应商承担</w:t>
      </w:r>
      <w:r>
        <w:rPr>
          <w:rFonts w:hint="eastAsia" w:ascii="宋体" w:hAnsi="宋体"/>
          <w:color w:val="auto"/>
          <w:szCs w:val="21"/>
        </w:rPr>
        <w:t>。</w:t>
      </w:r>
    </w:p>
    <w:p w14:paraId="616D082C">
      <w:pPr>
        <w:spacing w:line="400" w:lineRule="exact"/>
        <w:ind w:firstLine="420" w:firstLineChars="200"/>
        <w:rPr>
          <w:rFonts w:hint="eastAsia" w:ascii="宋体" w:hAnsi="宋体"/>
          <w:color w:val="auto"/>
          <w:szCs w:val="21"/>
        </w:rPr>
      </w:pPr>
      <w:r>
        <w:rPr>
          <w:rFonts w:hint="eastAsia" w:ascii="宋体" w:hAnsi="宋体"/>
          <w:color w:val="auto"/>
          <w:szCs w:val="21"/>
        </w:rPr>
        <w:t>6.2响应文件须由谈判供应商在规定位置盖章并由法定代表人或法定代表人的授权委托人签署，谈判供应商应写全称。</w:t>
      </w:r>
    </w:p>
    <w:p w14:paraId="2EDF6823">
      <w:pPr>
        <w:spacing w:line="400" w:lineRule="exact"/>
        <w:ind w:firstLine="420" w:firstLineChars="200"/>
        <w:rPr>
          <w:rFonts w:hint="eastAsia" w:ascii="宋体" w:hAnsi="宋体"/>
          <w:color w:val="auto"/>
          <w:szCs w:val="21"/>
        </w:rPr>
      </w:pPr>
      <w:r>
        <w:rPr>
          <w:rFonts w:hint="eastAsia" w:ascii="宋体" w:hAnsi="宋体"/>
          <w:color w:val="auto"/>
          <w:szCs w:val="21"/>
        </w:rPr>
        <w:t>6.3</w:t>
      </w:r>
      <w:r>
        <w:rPr>
          <w:rFonts w:hint="eastAsia" w:ascii="宋体" w:hAnsi="宋体"/>
          <w:color w:val="auto"/>
        </w:rPr>
        <w:t>响应文件不得涂改，若有修改错漏处，须加盖单位公章或者法定代表人或授权委托人签字或盖章。响应文件因扫描不清晰或乱码或表达不清所引起的后果由</w:t>
      </w:r>
      <w:r>
        <w:rPr>
          <w:rFonts w:hint="eastAsia" w:ascii="宋体" w:hAnsi="宋体" w:cs="宋体"/>
          <w:bCs/>
          <w:color w:val="auto"/>
        </w:rPr>
        <w:t>谈判</w:t>
      </w:r>
      <w:r>
        <w:rPr>
          <w:rFonts w:hint="eastAsia" w:ascii="宋体" w:hAnsi="宋体"/>
          <w:color w:val="auto"/>
        </w:rPr>
        <w:t>供应商负责</w:t>
      </w:r>
      <w:r>
        <w:rPr>
          <w:rFonts w:hint="eastAsia" w:ascii="宋体" w:hAnsi="宋体"/>
          <w:color w:val="auto"/>
          <w:szCs w:val="21"/>
        </w:rPr>
        <w:t>。</w:t>
      </w:r>
    </w:p>
    <w:p w14:paraId="4BAACC9F">
      <w:pPr>
        <w:spacing w:line="400" w:lineRule="exact"/>
        <w:ind w:firstLine="420" w:firstLineChars="200"/>
        <w:rPr>
          <w:rFonts w:hint="eastAsia" w:ascii="宋体" w:hAnsi="宋体"/>
          <w:color w:val="auto"/>
          <w:szCs w:val="21"/>
        </w:rPr>
      </w:pPr>
      <w:r>
        <w:rPr>
          <w:rFonts w:hint="eastAsia" w:ascii="宋体" w:hAnsi="宋体"/>
          <w:color w:val="auto"/>
          <w:szCs w:val="21"/>
        </w:rPr>
        <w:t>6.4谈判供应商提交的竞争性谈判响应文件以及谈判供应商与本公司和采购人就有关谈判的所有来往函电均应使用中文。谈判供应商提交的支持文件和印刷的文献可以使用别的语言，但其相应内容必须附有中文翻译文本，在解释竞争性谈判响应文件时以翻译文本为主。</w:t>
      </w:r>
    </w:p>
    <w:p w14:paraId="7278DBA8">
      <w:pPr>
        <w:spacing w:line="400" w:lineRule="exact"/>
        <w:ind w:firstLine="420" w:firstLineChars="200"/>
        <w:rPr>
          <w:rFonts w:hint="eastAsia" w:ascii="宋体" w:hAnsi="宋体"/>
          <w:color w:val="auto"/>
          <w:szCs w:val="21"/>
        </w:rPr>
      </w:pPr>
      <w:r>
        <w:rPr>
          <w:rFonts w:hint="eastAsia" w:ascii="宋体" w:hAnsi="宋体"/>
          <w:color w:val="auto"/>
          <w:szCs w:val="21"/>
        </w:rPr>
        <w:t>6.5谈判供应商应认真阅读、并充分理解本文件的全部内容（包括所有的澄清、更改、补充、答疑等内容），承诺并履行本文件中各项条款规定及要求。</w:t>
      </w:r>
    </w:p>
    <w:p w14:paraId="218FAB74">
      <w:pPr>
        <w:spacing w:line="400" w:lineRule="exact"/>
        <w:ind w:firstLine="420" w:firstLineChars="200"/>
        <w:rPr>
          <w:rFonts w:hint="eastAsia" w:ascii="宋体" w:hAnsi="宋体"/>
          <w:color w:val="auto"/>
          <w:szCs w:val="21"/>
        </w:rPr>
      </w:pPr>
      <w:r>
        <w:rPr>
          <w:rFonts w:hint="eastAsia" w:ascii="宋体" w:hAnsi="宋体"/>
          <w:color w:val="auto"/>
          <w:szCs w:val="21"/>
        </w:rPr>
        <w:t>6.6竞争性谈判响应文件必须按本文件的全部内容，包括所有的澄清、更改、补充、答疑等内容及附件进行编制。</w:t>
      </w:r>
    </w:p>
    <w:p w14:paraId="1FB13884">
      <w:pPr>
        <w:spacing w:line="400" w:lineRule="exact"/>
        <w:ind w:firstLine="420" w:firstLineChars="200"/>
        <w:rPr>
          <w:rFonts w:hint="eastAsia" w:ascii="宋体" w:hAnsi="宋体"/>
          <w:color w:val="auto"/>
          <w:szCs w:val="21"/>
        </w:rPr>
      </w:pPr>
      <w:r>
        <w:rPr>
          <w:rFonts w:hint="eastAsia" w:ascii="宋体" w:hAnsi="宋体"/>
          <w:color w:val="auto"/>
          <w:szCs w:val="21"/>
        </w:rPr>
        <w:t>6.7如因谈判供应商只填写和提供了本文件要求的部分内容和附件，而给谈判小组评审造成困难，其可能导致的结果和责任由谈判供应商自行承担。</w:t>
      </w:r>
    </w:p>
    <w:p w14:paraId="6CD1DC58">
      <w:pPr>
        <w:spacing w:line="400" w:lineRule="exact"/>
        <w:ind w:firstLine="420" w:firstLineChars="200"/>
        <w:rPr>
          <w:rFonts w:hint="eastAsia" w:ascii="宋体" w:hAnsi="宋体"/>
          <w:color w:val="auto"/>
          <w:szCs w:val="21"/>
        </w:rPr>
      </w:pPr>
      <w:r>
        <w:rPr>
          <w:rFonts w:hint="eastAsia" w:ascii="宋体" w:hAnsi="宋体"/>
          <w:color w:val="auto"/>
          <w:szCs w:val="21"/>
        </w:rPr>
        <w:t>6.8竞争性谈判响应文件的组成：竞争性谈判响应文件应由资格文件和商务技术文件两个部分组成</w:t>
      </w:r>
      <w:r>
        <w:rPr>
          <w:rFonts w:hint="eastAsia" w:ascii="宋体"/>
          <w:b/>
          <w:color w:val="auto"/>
          <w:szCs w:val="21"/>
        </w:rPr>
        <w:t>（扫描件或其他电子文件）</w:t>
      </w:r>
      <w:r>
        <w:rPr>
          <w:rFonts w:hint="eastAsia" w:ascii="宋体" w:hAnsi="宋体"/>
          <w:color w:val="auto"/>
          <w:szCs w:val="21"/>
        </w:rPr>
        <w:t>。</w:t>
      </w:r>
      <w:r>
        <w:rPr>
          <w:rFonts w:hint="eastAsia" w:ascii="宋体" w:hAnsi="宋体"/>
          <w:b/>
          <w:color w:val="auto"/>
          <w:szCs w:val="21"/>
        </w:rPr>
        <w:t>（以下文件要求必须提供的文件如未提供，谈判小组有权拒绝其竞争性谈判响应文件）</w:t>
      </w:r>
    </w:p>
    <w:p w14:paraId="49FF053E">
      <w:pPr>
        <w:spacing w:line="400" w:lineRule="exact"/>
        <w:ind w:firstLine="422" w:firstLineChars="200"/>
        <w:rPr>
          <w:rFonts w:hint="eastAsia" w:ascii="宋体" w:hAnsi="宋体"/>
          <w:b/>
          <w:color w:val="auto"/>
          <w:szCs w:val="21"/>
        </w:rPr>
      </w:pPr>
      <w:r>
        <w:rPr>
          <w:rFonts w:hint="eastAsia" w:ascii="宋体" w:hAnsi="宋体"/>
          <w:b/>
          <w:color w:val="auto"/>
          <w:szCs w:val="21"/>
        </w:rPr>
        <w:t>6.8.1资格文件</w:t>
      </w:r>
    </w:p>
    <w:p w14:paraId="5778FD4E">
      <w:pPr>
        <w:spacing w:line="400" w:lineRule="exact"/>
        <w:ind w:firstLine="420" w:firstLineChars="200"/>
        <w:rPr>
          <w:rFonts w:hint="eastAsia" w:ascii="宋体" w:hAnsi="宋体"/>
          <w:color w:val="auto"/>
          <w:szCs w:val="21"/>
        </w:rPr>
      </w:pPr>
      <w:r>
        <w:rPr>
          <w:rFonts w:hint="eastAsia" w:ascii="宋体" w:hAnsi="宋体"/>
          <w:color w:val="auto"/>
          <w:szCs w:val="21"/>
        </w:rPr>
        <w:t>1）有效的主体资格证明文件；</w:t>
      </w:r>
    </w:p>
    <w:p w14:paraId="579A74BF">
      <w:pPr>
        <w:spacing w:line="400" w:lineRule="exact"/>
        <w:ind w:firstLine="420" w:firstLineChars="200"/>
        <w:rPr>
          <w:rFonts w:hint="eastAsia" w:hAnsi="宋体"/>
          <w:b/>
          <w:color w:val="auto"/>
        </w:rPr>
      </w:pPr>
      <w:r>
        <w:rPr>
          <w:rFonts w:hint="eastAsia" w:hAnsi="宋体"/>
          <w:color w:val="auto"/>
        </w:rPr>
        <w:t>谈判供应商有效的</w:t>
      </w:r>
      <w:r>
        <w:rPr>
          <w:rFonts w:hint="eastAsia" w:ascii="宋体" w:hAnsi="宋体"/>
          <w:color w:val="auto"/>
        </w:rPr>
        <w:t>“主体资格证明文件”复印件（如营业执照、事业单位法人证书、执业许可证、自然人身份证等）</w:t>
      </w:r>
      <w:r>
        <w:rPr>
          <w:rFonts w:hint="eastAsia" w:hAnsi="宋体"/>
          <w:color w:val="auto"/>
        </w:rPr>
        <w:t>；</w:t>
      </w:r>
      <w:r>
        <w:rPr>
          <w:rFonts w:hint="eastAsia" w:hAnsi="宋体"/>
          <w:b/>
          <w:color w:val="auto"/>
        </w:rPr>
        <w:t xml:space="preserve">[必须提供] </w:t>
      </w:r>
    </w:p>
    <w:p w14:paraId="5B7DB44D">
      <w:pPr>
        <w:spacing w:line="400" w:lineRule="exact"/>
        <w:ind w:firstLine="420" w:firstLineChars="200"/>
        <w:rPr>
          <w:rFonts w:hint="eastAsia" w:ascii="宋体" w:hAnsi="宋体"/>
          <w:color w:val="auto"/>
          <w:szCs w:val="21"/>
        </w:rPr>
      </w:pPr>
      <w:r>
        <w:rPr>
          <w:rFonts w:hint="eastAsia" w:ascii="宋体" w:hAnsi="宋体"/>
          <w:color w:val="auto"/>
          <w:szCs w:val="21"/>
        </w:rPr>
        <w:t>2）响应文件递交截止之日前一年内谈判供应商连续三个月的依法缴纳税费或依法免缴税费的证明复印件；无纳税记录的，应提供由谈判供应商所在地的税务部门出具的《依法纳税或依法免税证明》 复印件；</w:t>
      </w:r>
      <w:r>
        <w:rPr>
          <w:rFonts w:hint="eastAsia" w:ascii="宋体" w:hAnsi="宋体"/>
          <w:b/>
          <w:color w:val="auto"/>
        </w:rPr>
        <w:t>（必须提供，新成立单位按实际提供）</w:t>
      </w:r>
    </w:p>
    <w:p w14:paraId="007AE3EA">
      <w:pPr>
        <w:spacing w:line="400" w:lineRule="exact"/>
        <w:ind w:firstLine="420" w:firstLineChars="200"/>
        <w:rPr>
          <w:rFonts w:hint="eastAsia" w:ascii="宋体" w:hAnsi="宋体"/>
          <w:color w:val="auto"/>
          <w:szCs w:val="21"/>
        </w:rPr>
      </w:pPr>
      <w:r>
        <w:rPr>
          <w:rFonts w:hint="eastAsia" w:ascii="宋体" w:hAnsi="宋体"/>
          <w:color w:val="auto"/>
          <w:szCs w:val="21"/>
        </w:rPr>
        <w:t>3）响应文件递交截止之日前一年内谈判供应商连续三个月的依法缴纳社保费的缴费凭证复印件</w:t>
      </w:r>
      <w:r>
        <w:rPr>
          <w:rFonts w:hint="eastAsia" w:ascii="宋体" w:hAnsi="宋体"/>
          <w:b/>
          <w:color w:val="auto"/>
          <w:szCs w:val="21"/>
        </w:rPr>
        <w:t>；</w:t>
      </w:r>
      <w:r>
        <w:rPr>
          <w:rFonts w:hint="eastAsia" w:ascii="宋体" w:hAnsi="宋体"/>
          <w:color w:val="auto"/>
          <w:szCs w:val="21"/>
        </w:rPr>
        <w:t>无缴费记录的，应提供由谈判供应商所在地社保等相关部门出具的《依法缴纳或依法免缴社保费证明》复印件；</w:t>
      </w:r>
      <w:r>
        <w:rPr>
          <w:rFonts w:hint="eastAsia" w:ascii="宋体" w:hAnsi="宋体"/>
          <w:b/>
          <w:color w:val="auto"/>
        </w:rPr>
        <w:t>（必须提供，新成立单位按实际提供）</w:t>
      </w:r>
    </w:p>
    <w:p w14:paraId="058637BE">
      <w:pPr>
        <w:spacing w:line="400" w:lineRule="exact"/>
        <w:ind w:firstLine="420" w:firstLineChars="200"/>
        <w:rPr>
          <w:rFonts w:hint="eastAsia" w:ascii="宋体" w:hAnsi="宋体"/>
          <w:color w:val="auto"/>
          <w:szCs w:val="21"/>
        </w:rPr>
      </w:pPr>
      <w:r>
        <w:rPr>
          <w:rFonts w:hint="eastAsia" w:ascii="宋体" w:hAnsi="宋体"/>
          <w:color w:val="auto"/>
          <w:szCs w:val="21"/>
        </w:rPr>
        <w:t>4）财务状况报告（</w:t>
      </w:r>
      <w:r>
        <w:rPr>
          <w:rFonts w:hint="eastAsia" w:ascii="宋体" w:hAnsi="宋体"/>
          <w:color w:val="auto"/>
          <w:szCs w:val="21"/>
          <w:u w:val="single"/>
        </w:rPr>
        <w:t>2025年</w:t>
      </w:r>
      <w:r>
        <w:rPr>
          <w:rFonts w:hint="eastAsia" w:ascii="宋体" w:hAnsi="宋体"/>
          <w:color w:val="auto"/>
          <w:szCs w:val="21"/>
        </w:rPr>
        <w:t xml:space="preserve">财务报表复印件）或者银行出具的资信证明，或者中国人民银行征信中心出具的信用报告（企业竞标的提供企业信用报告，自然人竞标的提供个人信用报告）；供应商属于成立时间在规定年度之后的法人或其他组织，只需提供响应文件提交截止时间前一个月的财务状况报告（表）或银行出具的资信证明或者中国人民银行征信中心出具的企业信用报告；资信证明应在有效期内，未注明有效期的，银行出具时间至响应文件提交截止时间不超过一年）。 </w:t>
      </w:r>
      <w:r>
        <w:rPr>
          <w:rFonts w:hint="eastAsia" w:ascii="宋体" w:hAnsi="宋体"/>
          <w:b/>
          <w:color w:val="auto"/>
          <w:szCs w:val="21"/>
        </w:rPr>
        <w:t>[格式自拟，必须提供</w:t>
      </w:r>
      <w:r>
        <w:rPr>
          <w:rFonts w:hAnsi="宋体"/>
          <w:b/>
          <w:color w:val="auto"/>
        </w:rPr>
        <w:t>]</w:t>
      </w:r>
      <w:r>
        <w:rPr>
          <w:rFonts w:hint="eastAsia" w:ascii="宋体" w:hAnsi="宋体"/>
          <w:color w:val="auto"/>
          <w:szCs w:val="21"/>
        </w:rPr>
        <w:t xml:space="preserve"> </w:t>
      </w:r>
    </w:p>
    <w:p w14:paraId="09151C31">
      <w:pPr>
        <w:snapToGrid w:val="0"/>
        <w:spacing w:line="360" w:lineRule="exact"/>
        <w:ind w:firstLine="411" w:firstLineChars="196"/>
        <w:jc w:val="left"/>
        <w:rPr>
          <w:rFonts w:hint="eastAsia" w:ascii="宋体" w:hAnsi="宋体"/>
          <w:color w:val="auto"/>
          <w:szCs w:val="21"/>
        </w:rPr>
      </w:pPr>
      <w:r>
        <w:rPr>
          <w:rFonts w:hint="eastAsia" w:ascii="宋体" w:hAnsi="宋体"/>
          <w:color w:val="auto"/>
          <w:szCs w:val="21"/>
        </w:rPr>
        <w:t>5）</w:t>
      </w:r>
      <w:r>
        <w:rPr>
          <w:rFonts w:ascii="宋体" w:hAnsi="宋体"/>
          <w:bCs/>
          <w:color w:val="auto"/>
          <w:szCs w:val="21"/>
        </w:rPr>
        <w:t>具</w:t>
      </w:r>
      <w:r>
        <w:rPr>
          <w:rFonts w:ascii="宋体" w:hAnsi="宋体"/>
          <w:color w:val="auto"/>
          <w:szCs w:val="21"/>
        </w:rPr>
        <w:t>备履行合同所必需的设备和专业技术能力的证明材料</w:t>
      </w:r>
      <w:r>
        <w:rPr>
          <w:rFonts w:hint="eastAsia" w:ascii="宋体" w:hAnsi="宋体" w:cs="宋体"/>
          <w:color w:val="auto"/>
          <w:kern w:val="0"/>
          <w:szCs w:val="21"/>
        </w:rPr>
        <w:t>；</w:t>
      </w:r>
      <w:r>
        <w:rPr>
          <w:rFonts w:hint="eastAsia" w:ascii="宋体" w:hAnsi="宋体"/>
          <w:b/>
          <w:color w:val="auto"/>
          <w:szCs w:val="21"/>
        </w:rPr>
        <w:t>[格式自拟，必须提供]</w:t>
      </w:r>
    </w:p>
    <w:p w14:paraId="09E72A33">
      <w:pPr>
        <w:wordWrap w:val="0"/>
        <w:snapToGrid w:val="0"/>
        <w:spacing w:line="360" w:lineRule="exact"/>
        <w:ind w:firstLine="411" w:firstLineChars="196"/>
        <w:jc w:val="left"/>
        <w:rPr>
          <w:rFonts w:hint="eastAsia" w:ascii="宋体" w:hAnsi="宋体"/>
          <w:b/>
          <w:color w:val="auto"/>
          <w:szCs w:val="21"/>
        </w:rPr>
      </w:pPr>
      <w:r>
        <w:rPr>
          <w:rFonts w:hint="eastAsia" w:ascii="宋体" w:hAnsi="宋体"/>
          <w:color w:val="auto"/>
          <w:szCs w:val="21"/>
        </w:rPr>
        <w:t>6）</w:t>
      </w:r>
      <w:r>
        <w:rPr>
          <w:rFonts w:ascii="宋体" w:hAnsi="宋体" w:cs="宋体"/>
          <w:color w:val="auto"/>
          <w:kern w:val="0"/>
          <w:szCs w:val="21"/>
        </w:rPr>
        <w:t>参加政府采购活动前</w:t>
      </w:r>
      <w:r>
        <w:rPr>
          <w:rFonts w:hint="eastAsia" w:ascii="宋体" w:hAnsi="宋体" w:cs="宋体"/>
          <w:color w:val="auto"/>
          <w:kern w:val="0"/>
          <w:szCs w:val="21"/>
        </w:rPr>
        <w:t>三</w:t>
      </w:r>
      <w:r>
        <w:rPr>
          <w:rFonts w:ascii="宋体" w:hAnsi="宋体" w:cs="宋体"/>
          <w:color w:val="auto"/>
          <w:kern w:val="0"/>
          <w:szCs w:val="21"/>
        </w:rPr>
        <w:t>年内在经营活动中没有重大违法记录和不良信用记录的书面声明</w:t>
      </w:r>
      <w:r>
        <w:rPr>
          <w:rFonts w:hint="eastAsia" w:ascii="Arial" w:hAnsi="Arial" w:cs="Arial"/>
          <w:color w:val="auto"/>
          <w:kern w:val="0"/>
          <w:sz w:val="24"/>
        </w:rPr>
        <w:t>；</w:t>
      </w:r>
      <w:r>
        <w:rPr>
          <w:rFonts w:hint="eastAsia" w:ascii="宋体" w:hAnsi="宋体"/>
          <w:b/>
          <w:color w:val="auto"/>
          <w:szCs w:val="21"/>
        </w:rPr>
        <w:t>[格式自拟，必须提供]</w:t>
      </w:r>
    </w:p>
    <w:p w14:paraId="044AA90D">
      <w:pPr>
        <w:wordWrap w:val="0"/>
        <w:snapToGrid w:val="0"/>
        <w:spacing w:line="360" w:lineRule="exact"/>
        <w:ind w:firstLine="413" w:firstLineChars="196"/>
        <w:jc w:val="left"/>
        <w:rPr>
          <w:rFonts w:hint="eastAsia" w:ascii="宋体" w:hAnsi="宋体"/>
          <w:b/>
          <w:color w:val="auto"/>
          <w:szCs w:val="21"/>
        </w:rPr>
      </w:pPr>
      <w:r>
        <w:rPr>
          <w:rFonts w:hint="eastAsia" w:ascii="宋体" w:hAnsi="宋体"/>
          <w:b/>
          <w:color w:val="auto"/>
          <w:szCs w:val="21"/>
        </w:rPr>
        <w:t>注：采购人或采购代理机构在资格审查结束前对供应商进行信用查询</w:t>
      </w:r>
    </w:p>
    <w:p w14:paraId="3F43F813">
      <w:pPr>
        <w:wordWrap w:val="0"/>
        <w:snapToGrid w:val="0"/>
        <w:spacing w:line="360" w:lineRule="exact"/>
        <w:ind w:firstLine="413" w:firstLineChars="196"/>
        <w:jc w:val="left"/>
        <w:rPr>
          <w:rFonts w:hint="eastAsia" w:ascii="宋体" w:hAnsi="宋体"/>
          <w:b/>
          <w:color w:val="auto"/>
          <w:szCs w:val="21"/>
        </w:rPr>
      </w:pPr>
      <w:r>
        <w:rPr>
          <w:rFonts w:hint="eastAsia" w:ascii="宋体" w:hAnsi="宋体"/>
          <w:b/>
          <w:color w:val="auto"/>
          <w:szCs w:val="21"/>
        </w:rPr>
        <w:t>查询渠道：“信用中国”网站(www.creditchina.gov.cn) 、中国政府采购网(www.ccgp.gov.cn)</w:t>
      </w:r>
    </w:p>
    <w:p w14:paraId="2D90BE36">
      <w:pPr>
        <w:wordWrap w:val="0"/>
        <w:snapToGrid w:val="0"/>
        <w:spacing w:line="360" w:lineRule="exact"/>
        <w:ind w:firstLine="413" w:firstLineChars="196"/>
        <w:jc w:val="left"/>
        <w:rPr>
          <w:rFonts w:hint="eastAsia" w:ascii="宋体" w:hAnsi="宋体"/>
          <w:b/>
          <w:color w:val="auto"/>
          <w:szCs w:val="21"/>
        </w:rPr>
      </w:pPr>
      <w:r>
        <w:rPr>
          <w:rFonts w:hint="eastAsia" w:ascii="宋体" w:hAnsi="宋体"/>
          <w:b/>
          <w:color w:val="auto"/>
          <w:szCs w:val="21"/>
        </w:rPr>
        <w:t>查询截止时间：资格审查结束前。</w:t>
      </w:r>
    </w:p>
    <w:p w14:paraId="24DDEA59">
      <w:pPr>
        <w:wordWrap w:val="0"/>
        <w:snapToGrid w:val="0"/>
        <w:spacing w:line="360" w:lineRule="exact"/>
        <w:ind w:firstLine="413" w:firstLineChars="196"/>
        <w:jc w:val="left"/>
        <w:rPr>
          <w:rFonts w:hint="eastAsia" w:ascii="宋体" w:hAnsi="宋体"/>
          <w:b/>
          <w:color w:val="auto"/>
          <w:szCs w:val="21"/>
        </w:rPr>
      </w:pPr>
      <w:r>
        <w:rPr>
          <w:rFonts w:hint="eastAsia" w:ascii="宋体" w:hAnsi="宋体"/>
          <w:b/>
          <w:color w:val="auto"/>
          <w:szCs w:val="21"/>
        </w:rPr>
        <w:t>查询记录和证据留存方式：在查询网站中直接打印查询记录，打印材料作为评审资料保存。</w:t>
      </w:r>
    </w:p>
    <w:p w14:paraId="70740BCE">
      <w:pPr>
        <w:spacing w:line="400" w:lineRule="exact"/>
        <w:ind w:firstLine="422" w:firstLineChars="200"/>
        <w:rPr>
          <w:rFonts w:hint="eastAsia" w:ascii="宋体" w:hAnsi="宋体"/>
          <w:b/>
          <w:color w:val="auto"/>
          <w:szCs w:val="21"/>
        </w:rPr>
      </w:pPr>
      <w:r>
        <w:rPr>
          <w:rFonts w:hint="eastAsia" w:ascii="宋体" w:hAnsi="宋体"/>
          <w:b/>
          <w:color w:val="auto"/>
          <w:szCs w:val="21"/>
        </w:rPr>
        <w:t>信用信息使用规则：对在“信用中国”网站(www.creditchina.gov.cn) 、中国政府采购网(www.ccgp.gov.cn)被列入失信被执行人、重大税收违法失信主体、政府采购严重违法失信行为记录名单及其他不符合《中华人民共和国政府采购法》第二十二条规定条件的供应商，将拒绝其参与政府采购活动。</w:t>
      </w:r>
    </w:p>
    <w:p w14:paraId="2EF5D5DF">
      <w:pPr>
        <w:pStyle w:val="22"/>
        <w:snapToGrid w:val="0"/>
        <w:spacing w:line="380" w:lineRule="exact"/>
        <w:ind w:firstLine="420" w:firstLineChars="200"/>
        <w:jc w:val="left"/>
        <w:rPr>
          <w:rFonts w:hint="eastAsia" w:cs="宋体"/>
          <w:b/>
          <w:color w:val="auto"/>
        </w:rPr>
      </w:pPr>
      <w:r>
        <w:rPr>
          <w:rFonts w:hint="eastAsia" w:cs="宋体"/>
          <w:bCs/>
          <w:color w:val="auto"/>
        </w:rPr>
        <w:t>7）</w:t>
      </w:r>
      <w:r>
        <w:rPr>
          <w:rFonts w:hint="eastAsia" w:cs="宋体"/>
          <w:color w:val="auto"/>
        </w:rPr>
        <w:t>供应商直接控股、管理关系信息表（格式后附）；</w:t>
      </w:r>
      <w:r>
        <w:rPr>
          <w:rFonts w:hint="eastAsia"/>
          <w:color w:val="auto"/>
        </w:rPr>
        <w:t>（格式见第四章附件一）</w:t>
      </w:r>
      <w:r>
        <w:rPr>
          <w:rFonts w:hint="eastAsia"/>
          <w:b/>
          <w:color w:val="auto"/>
        </w:rPr>
        <w:t xml:space="preserve">[必须提供] </w:t>
      </w:r>
    </w:p>
    <w:p w14:paraId="281AA58E">
      <w:pPr>
        <w:spacing w:line="380" w:lineRule="exact"/>
        <w:ind w:firstLine="420" w:firstLineChars="200"/>
        <w:rPr>
          <w:rFonts w:hint="eastAsia" w:hAnsi="宋体"/>
          <w:b/>
          <w:color w:val="auto"/>
        </w:rPr>
      </w:pPr>
      <w:r>
        <w:rPr>
          <w:rFonts w:hint="eastAsia" w:ascii="宋体" w:hAnsi="宋体" w:cs="宋体"/>
          <w:color w:val="auto"/>
          <w:szCs w:val="21"/>
        </w:rPr>
        <w:t>8）供应商参加本项目无围标串标行为的承诺。</w:t>
      </w:r>
      <w:r>
        <w:rPr>
          <w:rFonts w:hint="eastAsia" w:ascii="宋体" w:hAnsi="宋体"/>
          <w:color w:val="auto"/>
          <w:szCs w:val="21"/>
        </w:rPr>
        <w:t>（格式见第四章附件二）</w:t>
      </w:r>
      <w:r>
        <w:rPr>
          <w:rFonts w:hint="eastAsia" w:hAnsi="宋体"/>
          <w:b/>
          <w:color w:val="auto"/>
        </w:rPr>
        <w:t xml:space="preserve">[必须提供] </w:t>
      </w:r>
    </w:p>
    <w:p w14:paraId="214DEE63">
      <w:pPr>
        <w:spacing w:line="400" w:lineRule="exact"/>
        <w:ind w:firstLine="422" w:firstLineChars="200"/>
        <w:rPr>
          <w:rFonts w:hint="eastAsia" w:ascii="宋体" w:hAnsi="宋体"/>
          <w:b/>
          <w:color w:val="auto"/>
          <w:szCs w:val="21"/>
        </w:rPr>
      </w:pPr>
    </w:p>
    <w:p w14:paraId="45BF0F7A">
      <w:pPr>
        <w:spacing w:line="400" w:lineRule="exact"/>
        <w:ind w:firstLine="422" w:firstLineChars="200"/>
        <w:rPr>
          <w:rFonts w:hint="eastAsia" w:ascii="宋体" w:hAnsi="宋体"/>
          <w:color w:val="auto"/>
          <w:szCs w:val="21"/>
        </w:rPr>
      </w:pPr>
      <w:r>
        <w:rPr>
          <w:rFonts w:hint="eastAsia" w:ascii="宋体" w:hAnsi="宋体"/>
          <w:b/>
          <w:color w:val="auto"/>
          <w:szCs w:val="21"/>
        </w:rPr>
        <w:t>6.8.2商务技术文件</w:t>
      </w:r>
    </w:p>
    <w:p w14:paraId="4DC1880C">
      <w:pPr>
        <w:spacing w:line="400" w:lineRule="exact"/>
        <w:ind w:firstLine="420" w:firstLineChars="200"/>
        <w:rPr>
          <w:rFonts w:hint="eastAsia" w:ascii="宋体" w:hAnsi="宋体"/>
          <w:color w:val="auto"/>
          <w:szCs w:val="21"/>
        </w:rPr>
      </w:pPr>
      <w:r>
        <w:rPr>
          <w:rFonts w:hint="eastAsia" w:ascii="宋体" w:hAnsi="宋体"/>
          <w:color w:val="auto"/>
          <w:szCs w:val="21"/>
        </w:rPr>
        <w:t>1）报价表；（格式见第四章附件三）</w:t>
      </w:r>
      <w:r>
        <w:rPr>
          <w:rFonts w:hint="eastAsia" w:ascii="宋体" w:hAnsi="宋体"/>
          <w:b/>
          <w:color w:val="auto"/>
          <w:szCs w:val="21"/>
        </w:rPr>
        <w:t>[必须提供]</w:t>
      </w:r>
    </w:p>
    <w:p w14:paraId="148D0E34">
      <w:pPr>
        <w:spacing w:line="400" w:lineRule="exact"/>
        <w:ind w:firstLine="420" w:firstLineChars="200"/>
        <w:rPr>
          <w:rFonts w:hint="eastAsia" w:ascii="宋体" w:hAnsi="宋体"/>
          <w:color w:val="auto"/>
          <w:szCs w:val="21"/>
        </w:rPr>
      </w:pPr>
      <w:r>
        <w:rPr>
          <w:rFonts w:hint="eastAsia" w:ascii="宋体" w:hAnsi="宋体"/>
          <w:color w:val="auto"/>
          <w:szCs w:val="21"/>
        </w:rPr>
        <w:t>2）谈判书及竞标声明书；（格式见第四章附件四）</w:t>
      </w:r>
      <w:r>
        <w:rPr>
          <w:rFonts w:hint="eastAsia" w:ascii="宋体" w:hAnsi="宋体"/>
          <w:b/>
          <w:color w:val="auto"/>
          <w:szCs w:val="21"/>
        </w:rPr>
        <w:t>[必须提供]</w:t>
      </w:r>
    </w:p>
    <w:p w14:paraId="02668C34">
      <w:pPr>
        <w:spacing w:line="400" w:lineRule="exact"/>
        <w:ind w:firstLine="420" w:firstLineChars="200"/>
        <w:rPr>
          <w:rFonts w:hint="eastAsia" w:ascii="宋体" w:hAnsi="宋体"/>
          <w:color w:val="auto"/>
          <w:szCs w:val="21"/>
        </w:rPr>
      </w:pPr>
      <w:r>
        <w:rPr>
          <w:rFonts w:hint="eastAsia" w:ascii="宋体" w:hAnsi="宋体"/>
          <w:color w:val="auto"/>
          <w:szCs w:val="21"/>
        </w:rPr>
        <w:t>3）商务、技术响应、偏离情况说明表；（格式见第四章附件五）</w:t>
      </w:r>
      <w:r>
        <w:rPr>
          <w:rFonts w:hint="eastAsia" w:ascii="宋体" w:hAnsi="宋体"/>
          <w:b/>
          <w:color w:val="auto"/>
          <w:szCs w:val="21"/>
        </w:rPr>
        <w:t>[必须提供]</w:t>
      </w:r>
    </w:p>
    <w:p w14:paraId="331D59EB">
      <w:pPr>
        <w:snapToGrid w:val="0"/>
        <w:spacing w:line="360" w:lineRule="exact"/>
        <w:ind w:firstLine="411" w:firstLineChars="196"/>
        <w:jc w:val="left"/>
        <w:rPr>
          <w:rFonts w:hint="eastAsia" w:ascii="宋体" w:hAnsi="宋体"/>
          <w:color w:val="auto"/>
          <w:szCs w:val="21"/>
        </w:rPr>
      </w:pPr>
      <w:r>
        <w:rPr>
          <w:rFonts w:hint="eastAsia" w:ascii="宋体" w:hAnsi="宋体"/>
          <w:color w:val="auto"/>
          <w:szCs w:val="21"/>
        </w:rPr>
        <w:t>4）法定代表人身份证正、反面复印件；</w:t>
      </w:r>
      <w:r>
        <w:rPr>
          <w:rFonts w:hint="eastAsia" w:ascii="宋体" w:hAnsi="宋体"/>
          <w:b/>
          <w:color w:val="auto"/>
          <w:szCs w:val="21"/>
        </w:rPr>
        <w:t>[必须提供]</w:t>
      </w:r>
      <w:r>
        <w:rPr>
          <w:rFonts w:hint="eastAsia" w:ascii="宋体" w:hAnsi="宋体"/>
          <w:color w:val="auto"/>
          <w:szCs w:val="21"/>
        </w:rPr>
        <w:t xml:space="preserve"> </w:t>
      </w:r>
    </w:p>
    <w:p w14:paraId="080F5A9A">
      <w:pPr>
        <w:spacing w:line="400" w:lineRule="exact"/>
        <w:ind w:firstLine="420" w:firstLineChars="200"/>
        <w:rPr>
          <w:rFonts w:hint="eastAsia" w:ascii="宋体" w:hAnsi="宋体" w:cs="宋体"/>
          <w:color w:val="auto"/>
          <w:kern w:val="0"/>
          <w:szCs w:val="21"/>
        </w:rPr>
      </w:pPr>
      <w:r>
        <w:rPr>
          <w:rFonts w:hint="eastAsia" w:ascii="宋体" w:hAnsi="宋体"/>
          <w:color w:val="auto"/>
          <w:szCs w:val="21"/>
        </w:rPr>
        <w:t>5）法定代表人授权委托书</w:t>
      </w:r>
      <w:r>
        <w:rPr>
          <w:rFonts w:hint="eastAsia" w:hAnsi="宋体"/>
          <w:color w:val="auto"/>
        </w:rPr>
        <w:t>和委托代理人身份证正、反面复印件</w:t>
      </w:r>
      <w:r>
        <w:rPr>
          <w:rFonts w:hint="eastAsia" w:ascii="宋体" w:hAnsi="宋体"/>
          <w:color w:val="auto"/>
          <w:szCs w:val="21"/>
        </w:rPr>
        <w:t>（格式见第四章附件六）</w:t>
      </w:r>
      <w:r>
        <w:rPr>
          <w:rFonts w:hint="eastAsia" w:hAnsi="宋体"/>
          <w:b/>
          <w:color w:val="auto"/>
        </w:rPr>
        <w:t>[委托代理时</w:t>
      </w:r>
      <w:r>
        <w:rPr>
          <w:rFonts w:hint="eastAsia" w:hAnsi="宋体"/>
          <w:b/>
          <w:bCs/>
          <w:color w:val="auto"/>
        </w:rPr>
        <w:t>必须提供</w:t>
      </w:r>
      <w:r>
        <w:rPr>
          <w:rFonts w:hint="eastAsia" w:hAnsi="宋体"/>
          <w:color w:val="auto"/>
        </w:rPr>
        <w:t>]</w:t>
      </w:r>
      <w:r>
        <w:rPr>
          <w:rFonts w:hint="eastAsia" w:ascii="宋体" w:hAnsi="宋体"/>
          <w:color w:val="auto"/>
          <w:szCs w:val="21"/>
        </w:rPr>
        <w:t xml:space="preserve">； </w:t>
      </w:r>
    </w:p>
    <w:p w14:paraId="50138256">
      <w:pPr>
        <w:spacing w:line="400" w:lineRule="exact"/>
        <w:ind w:firstLine="420" w:firstLineChars="200"/>
        <w:rPr>
          <w:rFonts w:hint="eastAsia" w:hAnsi="宋体"/>
          <w:b/>
          <w:color w:val="auto"/>
        </w:rPr>
      </w:pPr>
      <w:r>
        <w:rPr>
          <w:rFonts w:hint="eastAsia" w:ascii="宋体" w:hAnsi="宋体"/>
          <w:color w:val="auto"/>
          <w:szCs w:val="21"/>
        </w:rPr>
        <w:t>6）谈判保证金的提交凭证；</w:t>
      </w:r>
      <w:r>
        <w:rPr>
          <w:rFonts w:hint="eastAsia" w:hAnsi="宋体"/>
          <w:b/>
          <w:color w:val="auto"/>
        </w:rPr>
        <w:t>[必须提供]</w:t>
      </w:r>
    </w:p>
    <w:p w14:paraId="177C0685">
      <w:pPr>
        <w:spacing w:line="400" w:lineRule="exact"/>
        <w:ind w:firstLine="420" w:firstLineChars="200"/>
        <w:rPr>
          <w:rFonts w:hint="eastAsia" w:ascii="宋体" w:hAnsi="宋体"/>
          <w:color w:val="auto"/>
          <w:szCs w:val="21"/>
        </w:rPr>
      </w:pPr>
      <w:r>
        <w:rPr>
          <w:rFonts w:hint="eastAsia" w:ascii="宋体" w:hAnsi="宋体"/>
          <w:color w:val="auto"/>
          <w:szCs w:val="21"/>
        </w:rPr>
        <w:t>7）本采购项目《采购需求》中要求必须提交的材料；</w:t>
      </w:r>
      <w:r>
        <w:rPr>
          <w:rFonts w:hint="eastAsia" w:hAnsi="宋体"/>
          <w:b/>
          <w:color w:val="auto"/>
        </w:rPr>
        <w:t>[</w:t>
      </w:r>
      <w:r>
        <w:rPr>
          <w:rFonts w:hint="eastAsia" w:ascii="宋体" w:hAnsi="宋体"/>
          <w:b/>
          <w:color w:val="auto"/>
          <w:szCs w:val="21"/>
        </w:rPr>
        <w:t>如有要求，则</w:t>
      </w:r>
      <w:r>
        <w:rPr>
          <w:rFonts w:hint="eastAsia" w:hAnsi="宋体"/>
          <w:b/>
          <w:color w:val="auto"/>
        </w:rPr>
        <w:t>必须提供]</w:t>
      </w:r>
    </w:p>
    <w:p w14:paraId="0C12D7AA">
      <w:pPr>
        <w:spacing w:line="400" w:lineRule="exact"/>
        <w:ind w:firstLine="420" w:firstLineChars="200"/>
        <w:rPr>
          <w:rFonts w:hint="eastAsia" w:ascii="宋体" w:hAnsi="宋体"/>
          <w:b/>
          <w:color w:val="auto"/>
          <w:szCs w:val="21"/>
        </w:rPr>
      </w:pPr>
      <w:r>
        <w:rPr>
          <w:rFonts w:hint="eastAsia" w:ascii="宋体" w:hAnsi="宋体"/>
          <w:color w:val="auto"/>
          <w:szCs w:val="21"/>
        </w:rPr>
        <w:t>8）具备法律、行政法规规定的其他条件的证明材料；</w:t>
      </w:r>
      <w:r>
        <w:rPr>
          <w:rFonts w:hint="eastAsia" w:hAnsi="宋体"/>
          <w:b/>
          <w:color w:val="auto"/>
        </w:rPr>
        <w:t>[</w:t>
      </w:r>
      <w:r>
        <w:rPr>
          <w:rFonts w:hint="eastAsia" w:ascii="宋体" w:hAnsi="宋体"/>
          <w:b/>
          <w:color w:val="auto"/>
          <w:szCs w:val="21"/>
        </w:rPr>
        <w:t>如有要求，则</w:t>
      </w:r>
      <w:r>
        <w:rPr>
          <w:rFonts w:hint="eastAsia" w:hAnsi="宋体"/>
          <w:b/>
          <w:color w:val="auto"/>
        </w:rPr>
        <w:t>必须提供]</w:t>
      </w:r>
    </w:p>
    <w:p w14:paraId="49E842D7">
      <w:pPr>
        <w:spacing w:line="400" w:lineRule="exact"/>
        <w:ind w:firstLine="420" w:firstLineChars="200"/>
        <w:rPr>
          <w:rFonts w:hint="eastAsia" w:ascii="宋体" w:hAnsi="宋体"/>
          <w:b/>
          <w:color w:val="auto"/>
          <w:szCs w:val="21"/>
        </w:rPr>
      </w:pPr>
      <w:r>
        <w:rPr>
          <w:rFonts w:hint="eastAsia" w:ascii="宋体" w:hAnsi="宋体"/>
          <w:color w:val="auto"/>
          <w:szCs w:val="21"/>
        </w:rPr>
        <w:t>9）售后服务承诺书（内容可以是提供的切实可行的售后服务和优惠承诺）；[格式自拟]</w:t>
      </w:r>
    </w:p>
    <w:p w14:paraId="6E5900C7">
      <w:pPr>
        <w:spacing w:line="400" w:lineRule="exact"/>
        <w:ind w:firstLine="420" w:firstLineChars="200"/>
        <w:rPr>
          <w:rFonts w:hint="eastAsia" w:ascii="宋体" w:hAnsi="宋体"/>
          <w:color w:val="auto"/>
          <w:szCs w:val="21"/>
        </w:rPr>
      </w:pPr>
      <w:r>
        <w:rPr>
          <w:rFonts w:hint="eastAsia" w:ascii="宋体" w:hAnsi="宋体"/>
          <w:color w:val="auto"/>
          <w:szCs w:val="21"/>
        </w:rPr>
        <w:t>10）生产、销售许可证；</w:t>
      </w:r>
    </w:p>
    <w:p w14:paraId="677FC7DA">
      <w:pPr>
        <w:spacing w:line="400" w:lineRule="exact"/>
        <w:ind w:firstLine="420" w:firstLineChars="200"/>
        <w:rPr>
          <w:rFonts w:hint="eastAsia" w:ascii="宋体" w:hAnsi="宋体"/>
          <w:color w:val="auto"/>
          <w:szCs w:val="21"/>
        </w:rPr>
      </w:pPr>
      <w:r>
        <w:rPr>
          <w:rFonts w:hint="eastAsia" w:ascii="宋体" w:hAnsi="宋体"/>
          <w:color w:val="auto"/>
          <w:szCs w:val="21"/>
        </w:rPr>
        <w:t>11）货物认证、检测报告、鉴定证书等；</w:t>
      </w:r>
    </w:p>
    <w:p w14:paraId="2C22F640">
      <w:pPr>
        <w:spacing w:line="400" w:lineRule="exact"/>
        <w:ind w:firstLine="420" w:firstLineChars="200"/>
        <w:rPr>
          <w:rFonts w:hint="eastAsia" w:ascii="宋体" w:hAnsi="宋体"/>
          <w:color w:val="auto"/>
          <w:szCs w:val="21"/>
        </w:rPr>
      </w:pPr>
      <w:r>
        <w:rPr>
          <w:rFonts w:hint="eastAsia" w:ascii="宋体" w:hAnsi="宋体"/>
          <w:color w:val="auto"/>
          <w:szCs w:val="21"/>
        </w:rPr>
        <w:t>12）货物名称、型号、规格、数量、性能、内部配置、使用原材料，引进新技术、新工艺、新材料等情况。</w:t>
      </w:r>
    </w:p>
    <w:p w14:paraId="544DB8FC">
      <w:pPr>
        <w:spacing w:line="400" w:lineRule="exact"/>
        <w:ind w:firstLine="420" w:firstLineChars="200"/>
        <w:rPr>
          <w:rFonts w:hint="eastAsia" w:ascii="宋体" w:hAnsi="宋体"/>
          <w:color w:val="auto"/>
          <w:szCs w:val="21"/>
        </w:rPr>
      </w:pPr>
      <w:r>
        <w:rPr>
          <w:rFonts w:hint="eastAsia" w:ascii="宋体" w:hAnsi="宋体"/>
          <w:color w:val="auto"/>
          <w:szCs w:val="21"/>
        </w:rPr>
        <w:t>13）供应商认为需要提供的其他材料。</w:t>
      </w:r>
    </w:p>
    <w:p w14:paraId="44BE7D2E">
      <w:pPr>
        <w:spacing w:line="380" w:lineRule="exact"/>
        <w:ind w:firstLine="420" w:firstLineChars="200"/>
        <w:rPr>
          <w:rFonts w:hint="eastAsia" w:ascii="宋体" w:hAnsi="宋体"/>
          <w:b/>
          <w:color w:val="auto"/>
          <w:szCs w:val="21"/>
        </w:rPr>
      </w:pPr>
      <w:r>
        <w:rPr>
          <w:rFonts w:hint="eastAsia" w:ascii="宋体" w:hAnsi="宋体"/>
          <w:bCs/>
          <w:color w:val="auto"/>
          <w:szCs w:val="21"/>
        </w:rPr>
        <w:t>14）</w:t>
      </w:r>
      <w:r>
        <w:rPr>
          <w:rFonts w:hint="eastAsia" w:ascii="宋体"/>
          <w:bCs/>
          <w:color w:val="auto"/>
          <w:szCs w:val="21"/>
        </w:rPr>
        <w:t>中</w:t>
      </w:r>
      <w:r>
        <w:rPr>
          <w:rFonts w:hint="eastAsia" w:ascii="宋体"/>
          <w:color w:val="auto"/>
          <w:szCs w:val="21"/>
        </w:rPr>
        <w:t>小企业声明函</w:t>
      </w:r>
      <w:r>
        <w:rPr>
          <w:rFonts w:hint="eastAsia" w:ascii="宋体" w:hAnsi="宋体"/>
          <w:color w:val="auto"/>
          <w:szCs w:val="21"/>
        </w:rPr>
        <w:t>。</w:t>
      </w:r>
      <w:r>
        <w:rPr>
          <w:rFonts w:hint="eastAsia" w:ascii="宋体" w:hAnsi="宋体"/>
          <w:b/>
          <w:color w:val="auto"/>
          <w:szCs w:val="21"/>
        </w:rPr>
        <w:t>（按最新相关政策执行，格式见第四章附件七，如有请提供</w:t>
      </w:r>
      <w:r>
        <w:rPr>
          <w:rFonts w:hint="eastAsia"/>
          <w:b/>
          <w:bCs/>
          <w:color w:val="auto"/>
        </w:rPr>
        <w:t>）</w:t>
      </w:r>
    </w:p>
    <w:p w14:paraId="5AD51B2F">
      <w:pPr>
        <w:spacing w:line="400" w:lineRule="exact"/>
        <w:ind w:firstLine="420" w:firstLineChars="200"/>
        <w:rPr>
          <w:rFonts w:hint="eastAsia" w:ascii="宋体" w:hAnsi="宋体"/>
          <w:bCs/>
          <w:color w:val="auto"/>
          <w:szCs w:val="21"/>
        </w:rPr>
      </w:pPr>
      <w:r>
        <w:rPr>
          <w:rFonts w:hint="eastAsia" w:ascii="宋体" w:hAnsi="宋体"/>
          <w:bCs/>
          <w:color w:val="auto"/>
          <w:szCs w:val="21"/>
        </w:rPr>
        <w:t>15）</w:t>
      </w:r>
      <w:r>
        <w:rPr>
          <w:rFonts w:hint="eastAsia" w:ascii="宋体" w:hAnsi="宋体" w:cs="宋体"/>
          <w:color w:val="auto"/>
          <w:szCs w:val="21"/>
        </w:rPr>
        <w:t>本国产品适用政府采购</w:t>
      </w:r>
      <w:r>
        <w:rPr>
          <w:rFonts w:hint="eastAsia"/>
          <w:color w:val="auto"/>
        </w:rPr>
        <w:t>政策相关资料</w:t>
      </w:r>
      <w:r>
        <w:rPr>
          <w:rFonts w:hint="eastAsia"/>
          <w:b/>
          <w:bCs/>
          <w:color w:val="auto"/>
        </w:rPr>
        <w:t>（格式见第四章附件八，如有请提供）</w:t>
      </w:r>
    </w:p>
    <w:p w14:paraId="3C80D33C">
      <w:pPr>
        <w:spacing w:line="400" w:lineRule="exact"/>
        <w:ind w:firstLine="422" w:firstLineChars="200"/>
        <w:rPr>
          <w:rFonts w:hint="eastAsia" w:ascii="宋体" w:hAnsi="宋体"/>
          <w:b/>
          <w:color w:val="auto"/>
          <w:szCs w:val="21"/>
        </w:rPr>
      </w:pPr>
      <w:r>
        <w:rPr>
          <w:rFonts w:hint="eastAsia" w:ascii="宋体" w:hAnsi="宋体"/>
          <w:b/>
          <w:color w:val="auto"/>
          <w:szCs w:val="21"/>
        </w:rPr>
        <w:t>三、报价要求</w:t>
      </w:r>
    </w:p>
    <w:p w14:paraId="3534739F">
      <w:pPr>
        <w:spacing w:line="400" w:lineRule="exact"/>
        <w:ind w:firstLine="420" w:firstLineChars="200"/>
        <w:rPr>
          <w:rFonts w:hint="eastAsia" w:ascii="宋体" w:hAnsi="宋体"/>
          <w:color w:val="auto"/>
          <w:szCs w:val="21"/>
        </w:rPr>
      </w:pPr>
      <w:r>
        <w:rPr>
          <w:rFonts w:hint="eastAsia" w:ascii="宋体" w:hAnsi="宋体"/>
          <w:color w:val="auto"/>
          <w:szCs w:val="21"/>
        </w:rPr>
        <w:t>7.1对于本文件中未列明，而谈判供应商认为必需的费用也需列入总报价。在合同实施时，采购人将不予支付成交供应商没有列入的项目费用，并认为此项目的费用已包括在总报价中。</w:t>
      </w:r>
    </w:p>
    <w:p w14:paraId="384477E6">
      <w:pPr>
        <w:spacing w:line="400" w:lineRule="exact"/>
        <w:ind w:firstLine="420" w:firstLineChars="200"/>
        <w:rPr>
          <w:rFonts w:hint="eastAsia" w:ascii="宋体" w:hAnsi="宋体"/>
          <w:color w:val="auto"/>
          <w:szCs w:val="21"/>
        </w:rPr>
      </w:pPr>
      <w:r>
        <w:rPr>
          <w:rFonts w:hint="eastAsia" w:ascii="宋体" w:hAnsi="宋体"/>
          <w:color w:val="auto"/>
          <w:szCs w:val="21"/>
        </w:rPr>
        <w:t>7.2成交供应商负责本项目所需货物的制造、运输、售后服务等全部工作。</w:t>
      </w:r>
    </w:p>
    <w:p w14:paraId="35B883EE">
      <w:pPr>
        <w:pStyle w:val="22"/>
        <w:spacing w:line="420" w:lineRule="exact"/>
        <w:ind w:firstLine="420"/>
        <w:rPr>
          <w:rFonts w:hint="eastAsia"/>
          <w:color w:val="auto"/>
        </w:rPr>
      </w:pPr>
      <w:r>
        <w:rPr>
          <w:rFonts w:hint="eastAsia"/>
          <w:color w:val="auto"/>
        </w:rPr>
        <w:t>7.3谈判供应商应在报价表上标明单价和总价。大写金额和小写金额不一致的，以大写金额为准；总价金额与按单价汇总金额不一致的，以单价金额计算结果为准；单价金额小数点有明显错位的，应以总价为准，并修改单价；对不同文字文本竞争性谈判响应文件的解释发生异议的，以中文文本为准。除上述原因以外，如果因谈判供应商原因引起的报价失误，并在谈判时被接受，其后果由谈判供应商自负。</w:t>
      </w:r>
    </w:p>
    <w:p w14:paraId="02A9FEFB">
      <w:pPr>
        <w:spacing w:line="400" w:lineRule="exact"/>
        <w:ind w:firstLine="422" w:firstLineChars="200"/>
        <w:rPr>
          <w:b/>
          <w:color w:val="auto"/>
        </w:rPr>
      </w:pPr>
      <w:r>
        <w:rPr>
          <w:rFonts w:hint="eastAsia" w:ascii="宋体" w:hAnsi="宋体" w:cs="Courier New"/>
          <w:b/>
          <w:color w:val="auto"/>
          <w:szCs w:val="21"/>
        </w:rPr>
        <w:t>7.4</w:t>
      </w:r>
      <w:r>
        <w:rPr>
          <w:rFonts w:hint="eastAsia"/>
          <w:b/>
          <w:color w:val="auto"/>
        </w:rPr>
        <w:t>竞标报价：供应商必须就所竞项目的全部内容作完整唯一报价，漏项报价的或有选择的或有条件的报价，其响应文件将视为无效。</w:t>
      </w:r>
    </w:p>
    <w:p w14:paraId="4EA79B87">
      <w:pPr>
        <w:spacing w:line="400" w:lineRule="exact"/>
        <w:ind w:firstLine="422" w:firstLineChars="200"/>
        <w:rPr>
          <w:rFonts w:hint="eastAsia" w:ascii="宋体" w:hAnsi="宋体" w:cs="宋体"/>
          <w:b/>
          <w:bCs/>
          <w:color w:val="auto"/>
          <w:szCs w:val="21"/>
        </w:rPr>
      </w:pPr>
      <w:r>
        <w:rPr>
          <w:rFonts w:hint="eastAsia" w:ascii="宋体" w:hAnsi="宋体" w:cs="宋体"/>
          <w:b/>
          <w:bCs/>
          <w:color w:val="auto"/>
          <w:szCs w:val="21"/>
        </w:rPr>
        <w:t>▲7.5异常低价审查：政府采购评审中出现下列情形之一的，谈判小组应当启动异常低价竞标审查程序：</w:t>
      </w:r>
    </w:p>
    <w:p w14:paraId="0F067AAA">
      <w:pPr>
        <w:spacing w:line="400" w:lineRule="exact"/>
        <w:ind w:firstLine="422" w:firstLineChars="200"/>
        <w:rPr>
          <w:rFonts w:hint="eastAsia" w:ascii="宋体" w:hAnsi="宋体" w:cs="宋体"/>
          <w:b/>
          <w:bCs/>
          <w:color w:val="auto"/>
          <w:szCs w:val="21"/>
        </w:rPr>
      </w:pPr>
      <w:r>
        <w:rPr>
          <w:rFonts w:hint="eastAsia" w:ascii="宋体" w:hAnsi="宋体" w:cs="宋体"/>
          <w:b/>
          <w:bCs/>
          <w:color w:val="auto"/>
          <w:szCs w:val="21"/>
        </w:rPr>
        <w:t>（1）竞标报价低于全部通过符合性审查供应商竞标报价平均值50%的，即竞标报价&lt;全部通过符合性审查供应商竞标报价平均值×50%；</w:t>
      </w:r>
    </w:p>
    <w:p w14:paraId="069C9677">
      <w:pPr>
        <w:spacing w:line="400" w:lineRule="exact"/>
        <w:ind w:firstLine="422" w:firstLineChars="200"/>
        <w:rPr>
          <w:rFonts w:hint="eastAsia" w:ascii="宋体" w:hAnsi="宋体" w:cs="宋体"/>
          <w:b/>
          <w:bCs/>
          <w:color w:val="auto"/>
          <w:szCs w:val="21"/>
        </w:rPr>
      </w:pPr>
      <w:r>
        <w:rPr>
          <w:rFonts w:hint="eastAsia" w:ascii="宋体" w:hAnsi="宋体" w:cs="宋体"/>
          <w:b/>
          <w:bCs/>
          <w:color w:val="auto"/>
          <w:szCs w:val="21"/>
        </w:rPr>
        <w:t>（2）竞标报价低于通过符合性审查的次低报价供应商竞标报价50%的，即竞标报价&lt;通过符合性审查的次低报价供应商竞标报价×50%；</w:t>
      </w:r>
    </w:p>
    <w:p w14:paraId="40450A61">
      <w:pPr>
        <w:spacing w:line="400" w:lineRule="exact"/>
        <w:ind w:firstLine="422" w:firstLineChars="200"/>
        <w:rPr>
          <w:rFonts w:hint="eastAsia" w:ascii="宋体" w:hAnsi="宋体" w:cs="宋体"/>
          <w:b/>
          <w:bCs/>
          <w:color w:val="auto"/>
          <w:szCs w:val="21"/>
        </w:rPr>
      </w:pPr>
      <w:r>
        <w:rPr>
          <w:rFonts w:hint="eastAsia" w:ascii="宋体" w:hAnsi="宋体" w:cs="宋体"/>
          <w:b/>
          <w:bCs/>
          <w:color w:val="auto"/>
          <w:szCs w:val="21"/>
        </w:rPr>
        <w:t>（3）竞标报价低于采购项目最高限价45%的，即竞标报价&lt;采购项目最高限价×45%；</w:t>
      </w:r>
    </w:p>
    <w:p w14:paraId="33ABF917">
      <w:pPr>
        <w:spacing w:line="400" w:lineRule="exact"/>
        <w:ind w:firstLine="422" w:firstLineChars="200"/>
        <w:rPr>
          <w:rFonts w:hint="eastAsia" w:ascii="宋体" w:hAnsi="宋体" w:cs="宋体"/>
          <w:b/>
          <w:bCs/>
          <w:color w:val="auto"/>
          <w:szCs w:val="21"/>
        </w:rPr>
      </w:pPr>
      <w:r>
        <w:rPr>
          <w:rFonts w:hint="eastAsia" w:ascii="宋体" w:hAnsi="宋体" w:cs="宋体"/>
          <w:b/>
          <w:bCs/>
          <w:color w:val="auto"/>
          <w:szCs w:val="21"/>
        </w:rPr>
        <w:t>（4）谈判小组基于专业判断，认为供应商报价过低，有可能影响产品质量或者不能诚信履约的其他情形。</w:t>
      </w:r>
    </w:p>
    <w:p w14:paraId="677FB6A1">
      <w:pPr>
        <w:spacing w:line="400" w:lineRule="exact"/>
        <w:ind w:firstLine="422" w:firstLineChars="200"/>
        <w:rPr>
          <w:rFonts w:hint="eastAsia" w:ascii="宋体" w:hAnsi="宋体" w:cs="宋体"/>
          <w:b/>
          <w:bCs/>
          <w:color w:val="auto"/>
          <w:szCs w:val="21"/>
        </w:rPr>
      </w:pPr>
      <w:r>
        <w:rPr>
          <w:rFonts w:hint="eastAsia" w:ascii="宋体" w:hAnsi="宋体" w:cs="宋体"/>
          <w:b/>
          <w:bCs/>
          <w:color w:val="auto"/>
          <w:szCs w:val="21"/>
        </w:rPr>
        <w:t>7.6谈判小组启动异常低价投标审查后，属于前述第（1）项至第（4）项情形的，应当要求相关供应商在评审现场合理的时间内对竞标价格作出解释，提供项目具体成本测算等与报价合理性相关的书面说明及必要的证明材料，包括但不限于原材料成本、人工成本、制造费用等，给予相关供应商的合理时间一般不少于30分钟。其中，属于第3项情形，供应商已随响应文件一并提交相关书面说明及必要的证明材料的，在评审现场可不再重复提交。</w:t>
      </w:r>
    </w:p>
    <w:p w14:paraId="298E1F13">
      <w:pPr>
        <w:spacing w:line="400" w:lineRule="exact"/>
        <w:ind w:firstLine="422" w:firstLineChars="200"/>
        <w:rPr>
          <w:rFonts w:hint="eastAsia" w:ascii="宋体" w:hAnsi="宋体" w:cs="Courier New"/>
          <w:b/>
          <w:color w:val="auto"/>
          <w:szCs w:val="21"/>
        </w:rPr>
      </w:pPr>
      <w:r>
        <w:rPr>
          <w:rFonts w:hint="eastAsia" w:ascii="宋体" w:hAnsi="宋体" w:cs="宋体"/>
          <w:b/>
          <w:bCs/>
          <w:color w:val="auto"/>
          <w:szCs w:val="21"/>
        </w:rPr>
        <w:t>谈判小组依据专业经验，参考同类项目中标（成交）价格、类似产品市场价格水平、行业人工费用标准、国家有关部门指导行业协会发布的行业平均成本等情况，对报价合理性进行判断。竞标供应商不能提供书面说明、证明材料，或者提供的书面说明、证明材料不能证明其报价合理性的，谈判小组应当将其作为无效竞标处理。</w:t>
      </w:r>
    </w:p>
    <w:p w14:paraId="4C4AD48C">
      <w:pPr>
        <w:spacing w:line="400" w:lineRule="exact"/>
        <w:ind w:firstLine="422" w:firstLineChars="200"/>
        <w:rPr>
          <w:rFonts w:hint="eastAsia" w:ascii="宋体" w:hAnsi="宋体" w:cs="Courier New"/>
          <w:b/>
          <w:color w:val="auto"/>
          <w:szCs w:val="21"/>
        </w:rPr>
      </w:pPr>
      <w:r>
        <w:rPr>
          <w:rFonts w:hint="eastAsia" w:ascii="宋体" w:hAnsi="宋体" w:cs="Courier New"/>
          <w:b/>
          <w:color w:val="auto"/>
          <w:szCs w:val="21"/>
        </w:rPr>
        <w:t>四、</w:t>
      </w:r>
      <w:r>
        <w:rPr>
          <w:rFonts w:hint="eastAsia" w:ascii="宋体" w:hAnsi="宋体" w:cs="宋体"/>
          <w:b/>
          <w:bCs/>
          <w:color w:val="auto"/>
        </w:rPr>
        <w:t>竞争性谈判响应文件的</w:t>
      </w:r>
      <w:r>
        <w:rPr>
          <w:rFonts w:hint="eastAsia" w:ascii="宋体" w:hAnsi="宋体"/>
          <w:b/>
          <w:bCs/>
          <w:color w:val="auto"/>
        </w:rPr>
        <w:t>上传、提交、修改、撤回和解密</w:t>
      </w:r>
    </w:p>
    <w:p w14:paraId="6DC8E4FC">
      <w:pPr>
        <w:spacing w:line="400" w:lineRule="exact"/>
        <w:ind w:firstLine="420" w:firstLineChars="200"/>
        <w:rPr>
          <w:rFonts w:hint="eastAsia" w:ascii="宋体" w:hAnsi="宋体" w:cs="Courier New"/>
          <w:color w:val="auto"/>
          <w:szCs w:val="21"/>
        </w:rPr>
      </w:pPr>
      <w:r>
        <w:rPr>
          <w:rFonts w:hint="eastAsia" w:ascii="宋体" w:hAnsi="宋体" w:cs="Courier New"/>
          <w:color w:val="auto"/>
          <w:szCs w:val="21"/>
        </w:rPr>
        <w:t xml:space="preserve">8. </w:t>
      </w:r>
      <w:r>
        <w:rPr>
          <w:rFonts w:hint="eastAsia" w:ascii="宋体" w:hAnsi="宋体" w:cs="宋体"/>
          <w:color w:val="auto"/>
        </w:rPr>
        <w:t>竞争性谈判响应文件的</w:t>
      </w:r>
      <w:r>
        <w:rPr>
          <w:rFonts w:hint="eastAsia" w:ascii="宋体" w:hAnsi="宋体"/>
          <w:color w:val="auto"/>
        </w:rPr>
        <w:t>上传和提交：</w:t>
      </w:r>
      <w:r>
        <w:rPr>
          <w:rFonts w:hint="eastAsia" w:hAnsi="宋体"/>
          <w:color w:val="auto"/>
        </w:rPr>
        <w:t>见须知前附表。</w:t>
      </w:r>
    </w:p>
    <w:p w14:paraId="4F05877D">
      <w:pPr>
        <w:spacing w:line="400" w:lineRule="exact"/>
        <w:ind w:firstLine="420" w:firstLineChars="200"/>
        <w:rPr>
          <w:rFonts w:hint="eastAsia" w:ascii="宋体" w:hAnsi="宋体" w:cs="Courier New"/>
          <w:color w:val="auto"/>
          <w:szCs w:val="21"/>
        </w:rPr>
      </w:pPr>
      <w:r>
        <w:rPr>
          <w:rFonts w:hint="eastAsia" w:ascii="宋体" w:hAnsi="宋体" w:cs="Courier New"/>
          <w:color w:val="auto"/>
          <w:szCs w:val="21"/>
        </w:rPr>
        <w:t>9. 竞争性谈判响应文件的修改、撤回和解密：供应商应当在截止时间前完成响应文件的上传、提交，并可以补充、修改或者撤回响应文件。补充或者修改响应文件的，应当先行撤回原文件，补充、修改后重新上传、提交。截止时间前未完成上传、提交的，视为撤回响应文件。截止时间后提交的响应文件，“政府采购云平台”将予以拒收。截止时间后，供应商不得撤回、修改响应文件。</w:t>
      </w:r>
    </w:p>
    <w:p w14:paraId="222BAEA3">
      <w:pPr>
        <w:spacing w:line="400" w:lineRule="exact"/>
        <w:ind w:firstLine="420" w:firstLineChars="200"/>
        <w:rPr>
          <w:rFonts w:hint="eastAsia" w:ascii="宋体" w:hAnsi="宋体" w:cs="Courier New"/>
          <w:color w:val="auto"/>
          <w:szCs w:val="21"/>
        </w:rPr>
      </w:pPr>
      <w:r>
        <w:rPr>
          <w:rFonts w:hint="eastAsia" w:ascii="宋体" w:hAnsi="宋体" w:cs="Courier New"/>
          <w:color w:val="auto"/>
          <w:szCs w:val="21"/>
        </w:rPr>
        <w:t>电子加密响应文件的解密：见须知前附表。</w:t>
      </w:r>
    </w:p>
    <w:p w14:paraId="00D77018">
      <w:pPr>
        <w:spacing w:line="400" w:lineRule="exact"/>
        <w:ind w:firstLine="422" w:firstLineChars="200"/>
        <w:rPr>
          <w:rFonts w:hint="eastAsia" w:ascii="宋体" w:hAnsi="宋体"/>
          <w:b/>
          <w:color w:val="auto"/>
          <w:szCs w:val="21"/>
        </w:rPr>
      </w:pPr>
      <w:r>
        <w:rPr>
          <w:rFonts w:hint="eastAsia" w:ascii="宋体" w:hAnsi="宋体"/>
          <w:b/>
          <w:color w:val="auto"/>
          <w:szCs w:val="21"/>
        </w:rPr>
        <w:t>五、谈判保证金</w:t>
      </w:r>
    </w:p>
    <w:p w14:paraId="63F40A21">
      <w:pPr>
        <w:spacing w:line="400" w:lineRule="exact"/>
        <w:ind w:firstLine="420" w:firstLineChars="200"/>
        <w:rPr>
          <w:rFonts w:hint="eastAsia" w:ascii="宋体" w:hAnsi="宋体"/>
          <w:b/>
          <w:color w:val="auto"/>
          <w:szCs w:val="21"/>
        </w:rPr>
      </w:pPr>
      <w:r>
        <w:rPr>
          <w:rFonts w:hint="eastAsia" w:ascii="宋体" w:hAnsi="宋体"/>
          <w:color w:val="auto"/>
          <w:szCs w:val="21"/>
        </w:rPr>
        <w:t>10.1</w:t>
      </w:r>
      <w:r>
        <w:rPr>
          <w:rFonts w:hint="eastAsia" w:hAnsi="宋体"/>
          <w:color w:val="auto"/>
        </w:rPr>
        <w:t>保证金应用人民币，</w:t>
      </w:r>
      <w:r>
        <w:rPr>
          <w:rFonts w:hint="eastAsia" w:ascii="宋体" w:hAnsi="宋体"/>
          <w:bCs/>
          <w:color w:val="auto"/>
          <w:szCs w:val="21"/>
        </w:rPr>
        <w:t>具体金额详见谈判供应商须知前附表。</w:t>
      </w:r>
    </w:p>
    <w:p w14:paraId="243583C9">
      <w:pPr>
        <w:spacing w:line="400" w:lineRule="exact"/>
        <w:ind w:firstLine="420" w:firstLineChars="200"/>
        <w:rPr>
          <w:rFonts w:hint="eastAsia" w:ascii="宋体" w:hAnsi="宋体"/>
          <w:b/>
          <w:color w:val="auto"/>
          <w:szCs w:val="21"/>
        </w:rPr>
      </w:pPr>
      <w:r>
        <w:rPr>
          <w:rFonts w:hint="eastAsia" w:ascii="宋体"/>
          <w:color w:val="auto"/>
          <w:szCs w:val="21"/>
        </w:rPr>
        <w:t>10.2</w:t>
      </w:r>
      <w:r>
        <w:rPr>
          <w:rFonts w:hint="eastAsia" w:hAnsi="宋体"/>
          <w:color w:val="auto"/>
        </w:rPr>
        <w:t>保证金交纳方式：</w:t>
      </w:r>
      <w:r>
        <w:rPr>
          <w:rFonts w:hint="eastAsia" w:ascii="宋体" w:hAnsi="宋体"/>
          <w:color w:val="auto"/>
          <w:szCs w:val="21"/>
        </w:rPr>
        <w:t>银行转账、支票、汇票、本票或者银行、保险机构出具的保函</w:t>
      </w:r>
      <w:r>
        <w:rPr>
          <w:rFonts w:hint="eastAsia" w:ascii="宋体" w:hAnsi="宋体" w:cs="宋体"/>
          <w:color w:val="auto"/>
          <w:kern w:val="0"/>
          <w:szCs w:val="21"/>
        </w:rPr>
        <w:t>等非现金形式。</w:t>
      </w:r>
    </w:p>
    <w:p w14:paraId="340D7543">
      <w:pPr>
        <w:spacing w:line="400" w:lineRule="exact"/>
        <w:ind w:firstLine="420" w:firstLineChars="200"/>
        <w:rPr>
          <w:rFonts w:hint="eastAsia" w:ascii="宋体" w:hAnsi="宋体"/>
          <w:b/>
          <w:color w:val="auto"/>
          <w:szCs w:val="21"/>
        </w:rPr>
      </w:pPr>
      <w:r>
        <w:rPr>
          <w:rFonts w:hint="eastAsia" w:ascii="宋体"/>
          <w:color w:val="auto"/>
          <w:szCs w:val="21"/>
        </w:rPr>
        <w:t>10.3</w:t>
      </w:r>
      <w:r>
        <w:rPr>
          <w:rFonts w:hint="eastAsia" w:hAnsi="宋体"/>
          <w:color w:val="auto"/>
        </w:rPr>
        <w:t>办理保证金手续时，请务必在银行相关票据（非现金）或凭证的用途或空白栏上注明采购项目名称及采购项目编号、分标号（如有），以免耽误竞争性谈判。</w:t>
      </w:r>
    </w:p>
    <w:p w14:paraId="03584A82">
      <w:pPr>
        <w:spacing w:line="400" w:lineRule="exact"/>
        <w:ind w:firstLine="420" w:firstLineChars="200"/>
        <w:rPr>
          <w:rFonts w:hint="eastAsia" w:hAnsi="宋体"/>
          <w:color w:val="auto"/>
        </w:rPr>
      </w:pPr>
      <w:r>
        <w:rPr>
          <w:rFonts w:hint="eastAsia" w:ascii="宋体" w:hAnsi="宋体"/>
          <w:color w:val="auto"/>
          <w:szCs w:val="21"/>
        </w:rPr>
        <w:t>10.4</w:t>
      </w:r>
      <w:r>
        <w:rPr>
          <w:rFonts w:hint="eastAsia" w:ascii="宋体" w:hAnsi="宋体"/>
          <w:color w:val="auto"/>
        </w:rPr>
        <w:t>保证金相关事宜：</w:t>
      </w:r>
      <w:r>
        <w:rPr>
          <w:rFonts w:hint="eastAsia" w:ascii="宋体" w:hAnsi="宋体"/>
          <w:color w:val="auto"/>
          <w:szCs w:val="21"/>
        </w:rPr>
        <w:t>财务室电话：0771-3147550</w:t>
      </w:r>
    </w:p>
    <w:p w14:paraId="6D2F156C">
      <w:pPr>
        <w:spacing w:line="400" w:lineRule="exact"/>
        <w:ind w:firstLine="420" w:firstLineChars="200"/>
        <w:rPr>
          <w:rFonts w:hint="eastAsia" w:hAnsi="宋体"/>
          <w:color w:val="auto"/>
        </w:rPr>
      </w:pPr>
      <w:r>
        <w:rPr>
          <w:rFonts w:hint="eastAsia" w:ascii="宋体" w:hAnsi="宋体"/>
          <w:color w:val="auto"/>
          <w:szCs w:val="21"/>
        </w:rPr>
        <w:t>10.5</w:t>
      </w:r>
      <w:r>
        <w:rPr>
          <w:rFonts w:hint="eastAsia" w:hAnsi="宋体"/>
          <w:color w:val="auto"/>
        </w:rPr>
        <w:t>未成交谈判供应商的保证金，将在成交通知书发出后5个工作日内予以退还，不计利息。成交供应商</w:t>
      </w:r>
      <w:r>
        <w:rPr>
          <w:rFonts w:hint="eastAsia" w:ascii="宋体" w:hAnsi="宋体"/>
          <w:color w:val="auto"/>
          <w:szCs w:val="21"/>
        </w:rPr>
        <w:t>的保证金在合同签订后5个工作日内退还（</w:t>
      </w:r>
      <w:r>
        <w:rPr>
          <w:rFonts w:hint="eastAsia" w:hAnsi="宋体"/>
          <w:color w:val="auto"/>
        </w:rPr>
        <w:t>合同签订后送达至广西中吉银工程项目管理有限公司</w:t>
      </w:r>
      <w:r>
        <w:rPr>
          <w:rFonts w:hint="eastAsia" w:ascii="宋体" w:hAnsi="宋体"/>
          <w:color w:val="auto"/>
          <w:szCs w:val="21"/>
        </w:rPr>
        <w:t>），不计利息。</w:t>
      </w:r>
    </w:p>
    <w:p w14:paraId="4255B2EA">
      <w:pPr>
        <w:widowControl/>
        <w:spacing w:line="380" w:lineRule="exact"/>
        <w:ind w:firstLine="420" w:firstLineChars="200"/>
        <w:jc w:val="left"/>
        <w:rPr>
          <w:rFonts w:hint="eastAsia" w:hAnsi="宋体"/>
          <w:color w:val="auto"/>
        </w:rPr>
      </w:pPr>
      <w:r>
        <w:rPr>
          <w:rFonts w:hint="eastAsia" w:ascii="宋体" w:hAnsi="宋体"/>
          <w:color w:val="auto"/>
          <w:szCs w:val="21"/>
        </w:rPr>
        <w:t>10.6</w:t>
      </w:r>
      <w:r>
        <w:rPr>
          <w:rFonts w:hint="eastAsia" w:hAnsi="宋体"/>
          <w:color w:val="auto"/>
        </w:rPr>
        <w:t>对未按本竞争性谈判文件要求交纳保证金的</w:t>
      </w:r>
      <w:r>
        <w:rPr>
          <w:rFonts w:hint="eastAsia" w:ascii="宋体" w:hAnsi="宋体"/>
          <w:color w:val="auto"/>
          <w:szCs w:val="21"/>
        </w:rPr>
        <w:t>竞争性谈判</w:t>
      </w:r>
      <w:r>
        <w:rPr>
          <w:rFonts w:hint="eastAsia" w:ascii="宋体" w:hAnsi="宋体"/>
          <w:color w:val="auto"/>
        </w:rPr>
        <w:t>响应文件</w:t>
      </w:r>
      <w:r>
        <w:rPr>
          <w:rFonts w:hint="eastAsia" w:hAnsi="宋体"/>
          <w:color w:val="auto"/>
        </w:rPr>
        <w:t>，</w:t>
      </w:r>
      <w:r>
        <w:rPr>
          <w:rFonts w:hint="eastAsia" w:ascii="宋体" w:hAnsi="宋体"/>
          <w:color w:val="auto"/>
        </w:rPr>
        <w:t>将会在评审中按照无效</w:t>
      </w:r>
      <w:r>
        <w:rPr>
          <w:rFonts w:hint="eastAsia" w:ascii="宋体" w:hAnsi="宋体"/>
          <w:color w:val="auto"/>
          <w:szCs w:val="21"/>
        </w:rPr>
        <w:t>竞争性谈判</w:t>
      </w:r>
      <w:r>
        <w:rPr>
          <w:rFonts w:hint="eastAsia" w:ascii="宋体" w:hAnsi="宋体"/>
          <w:color w:val="auto"/>
        </w:rPr>
        <w:t>响应文件处理</w:t>
      </w:r>
      <w:r>
        <w:rPr>
          <w:rFonts w:hint="eastAsia" w:hAnsi="宋体"/>
          <w:color w:val="auto"/>
        </w:rPr>
        <w:t>。（说明：评审时，谈判小组将以本公司财务室编制的《项目保证金到账信息表》作为评审依据）</w:t>
      </w:r>
    </w:p>
    <w:p w14:paraId="6CBD9D63">
      <w:pPr>
        <w:snapToGrid w:val="0"/>
        <w:spacing w:line="360" w:lineRule="exact"/>
        <w:ind w:firstLine="411" w:firstLineChars="196"/>
        <w:jc w:val="left"/>
        <w:rPr>
          <w:rFonts w:hint="eastAsia" w:ascii="宋体" w:hAnsi="宋体"/>
          <w:b/>
          <w:bCs/>
          <w:color w:val="auto"/>
          <w:szCs w:val="21"/>
        </w:rPr>
      </w:pPr>
      <w:r>
        <w:rPr>
          <w:rFonts w:hint="eastAsia" w:ascii="宋体" w:hAnsi="宋体"/>
          <w:bCs/>
          <w:color w:val="auto"/>
          <w:szCs w:val="21"/>
        </w:rPr>
        <w:t>10.7</w:t>
      </w:r>
      <w:r>
        <w:rPr>
          <w:rFonts w:hint="eastAsia" w:ascii="宋体" w:hAnsi="宋体" w:cs="宋体"/>
          <w:color w:val="auto"/>
          <w:kern w:val="0"/>
          <w:szCs w:val="21"/>
        </w:rPr>
        <w:t>供应商为联合体的，可以由联合体中的一方或者多方共同交纳保证金，其交纳的保证金对联合体各方均具有约束力。</w:t>
      </w:r>
    </w:p>
    <w:p w14:paraId="414BCBC3">
      <w:pPr>
        <w:tabs>
          <w:tab w:val="left" w:pos="975"/>
        </w:tabs>
        <w:snapToGrid w:val="0"/>
        <w:spacing w:line="360" w:lineRule="exact"/>
        <w:ind w:firstLine="413" w:firstLineChars="196"/>
        <w:jc w:val="left"/>
        <w:rPr>
          <w:rFonts w:hint="eastAsia" w:ascii="宋体" w:hAnsi="宋体"/>
          <w:b/>
          <w:bCs/>
          <w:color w:val="auto"/>
          <w:szCs w:val="21"/>
        </w:rPr>
      </w:pPr>
      <w:r>
        <w:rPr>
          <w:rFonts w:hint="eastAsia" w:ascii="宋体" w:hAnsi="宋体"/>
          <w:b/>
          <w:bCs/>
          <w:color w:val="auto"/>
          <w:szCs w:val="21"/>
        </w:rPr>
        <w:t>10.8谈判供应商有下列情形之一的，保证金将不予退还：</w:t>
      </w:r>
    </w:p>
    <w:p w14:paraId="13D4C7CB">
      <w:pPr>
        <w:tabs>
          <w:tab w:val="left" w:pos="975"/>
        </w:tabs>
        <w:snapToGrid w:val="0"/>
        <w:spacing w:line="360" w:lineRule="exact"/>
        <w:ind w:firstLine="411" w:firstLineChars="196"/>
        <w:jc w:val="left"/>
        <w:rPr>
          <w:rFonts w:hint="eastAsia" w:ascii="宋体" w:hAnsi="宋体" w:cs="宋体"/>
          <w:color w:val="auto"/>
          <w:kern w:val="0"/>
          <w:szCs w:val="21"/>
        </w:rPr>
      </w:pPr>
      <w:r>
        <w:rPr>
          <w:rFonts w:hint="eastAsia" w:ascii="宋体" w:hAnsi="宋体" w:cs="宋体"/>
          <w:color w:val="auto"/>
          <w:kern w:val="0"/>
          <w:szCs w:val="21"/>
        </w:rPr>
        <w:t>1）谈判供应商在提交竞争性谈判响应文件截止时间后撤回竞争性谈判响应文件的（在提交最后报价之前退出谈判的情况除外）；</w:t>
      </w:r>
    </w:p>
    <w:p w14:paraId="650162F4">
      <w:pPr>
        <w:tabs>
          <w:tab w:val="left" w:pos="975"/>
        </w:tabs>
        <w:snapToGrid w:val="0"/>
        <w:spacing w:line="360" w:lineRule="exact"/>
        <w:ind w:firstLine="411" w:firstLineChars="196"/>
        <w:jc w:val="left"/>
        <w:rPr>
          <w:rFonts w:hint="eastAsia" w:ascii="宋体" w:hAnsi="宋体" w:cs="宋体"/>
          <w:color w:val="auto"/>
          <w:kern w:val="0"/>
          <w:szCs w:val="21"/>
        </w:rPr>
      </w:pPr>
      <w:r>
        <w:rPr>
          <w:rFonts w:hint="eastAsia" w:ascii="宋体" w:hAnsi="宋体" w:cs="宋体"/>
          <w:color w:val="auto"/>
          <w:kern w:val="0"/>
          <w:szCs w:val="21"/>
        </w:rPr>
        <w:t>2）谈判供应商在竞争性谈判响应文件中提供虚假材料的；</w:t>
      </w:r>
    </w:p>
    <w:p w14:paraId="013E0AED">
      <w:pPr>
        <w:tabs>
          <w:tab w:val="left" w:pos="975"/>
        </w:tabs>
        <w:snapToGrid w:val="0"/>
        <w:spacing w:line="360" w:lineRule="exact"/>
        <w:ind w:firstLine="315" w:firstLineChars="150"/>
        <w:jc w:val="left"/>
        <w:rPr>
          <w:rFonts w:hint="eastAsia" w:ascii="宋体" w:hAnsi="宋体" w:cs="宋体"/>
          <w:color w:val="auto"/>
          <w:kern w:val="0"/>
          <w:szCs w:val="21"/>
        </w:rPr>
      </w:pPr>
      <w:r>
        <w:rPr>
          <w:rFonts w:hint="eastAsia" w:ascii="宋体" w:hAnsi="宋体" w:cs="宋体"/>
          <w:color w:val="auto"/>
          <w:kern w:val="0"/>
          <w:szCs w:val="21"/>
        </w:rPr>
        <w:t xml:space="preserve"> 3）除因不可抗力或竞争性谈判文件认可的情形以外，成交供应商不与采购人签订合同的；</w:t>
      </w:r>
    </w:p>
    <w:p w14:paraId="4435E93C">
      <w:pPr>
        <w:tabs>
          <w:tab w:val="left" w:pos="975"/>
        </w:tabs>
        <w:snapToGrid w:val="0"/>
        <w:spacing w:line="360" w:lineRule="exact"/>
        <w:ind w:firstLine="411" w:firstLineChars="196"/>
        <w:jc w:val="left"/>
        <w:rPr>
          <w:rFonts w:hint="eastAsia" w:ascii="宋体" w:hAnsi="宋体" w:cs="宋体"/>
          <w:color w:val="auto"/>
          <w:kern w:val="0"/>
          <w:szCs w:val="21"/>
        </w:rPr>
      </w:pPr>
      <w:r>
        <w:rPr>
          <w:rFonts w:hint="eastAsia" w:ascii="宋体" w:hAnsi="宋体" w:cs="宋体"/>
          <w:color w:val="auto"/>
          <w:kern w:val="0"/>
          <w:szCs w:val="21"/>
        </w:rPr>
        <w:t>4）谈判供应商与采购人、其他供应商或者采购代理机构恶意串通的。</w:t>
      </w:r>
    </w:p>
    <w:p w14:paraId="6341730B">
      <w:pPr>
        <w:tabs>
          <w:tab w:val="left" w:pos="975"/>
        </w:tabs>
        <w:snapToGrid w:val="0"/>
        <w:spacing w:line="360" w:lineRule="exact"/>
        <w:ind w:firstLine="411" w:firstLineChars="196"/>
        <w:jc w:val="left"/>
        <w:rPr>
          <w:rFonts w:hint="eastAsia" w:ascii="宋体" w:hAnsi="宋体" w:cs="宋体"/>
          <w:color w:val="auto"/>
          <w:kern w:val="0"/>
          <w:szCs w:val="21"/>
        </w:rPr>
      </w:pPr>
      <w:r>
        <w:rPr>
          <w:rFonts w:hint="eastAsia" w:ascii="宋体" w:hAnsi="宋体" w:cs="宋体"/>
          <w:color w:val="auto"/>
          <w:kern w:val="0"/>
          <w:szCs w:val="21"/>
        </w:rPr>
        <w:t>5）法律法规规定的其他情形。</w:t>
      </w:r>
    </w:p>
    <w:p w14:paraId="60E766E7">
      <w:pPr>
        <w:tabs>
          <w:tab w:val="left" w:pos="975"/>
        </w:tabs>
        <w:snapToGrid w:val="0"/>
        <w:spacing w:line="360" w:lineRule="exact"/>
        <w:ind w:firstLine="413" w:firstLineChars="196"/>
        <w:jc w:val="left"/>
        <w:rPr>
          <w:rFonts w:hint="eastAsia" w:hAnsi="宋体"/>
          <w:b/>
          <w:color w:val="auto"/>
        </w:rPr>
      </w:pPr>
      <w:r>
        <w:rPr>
          <w:rFonts w:hint="eastAsia" w:ascii="宋体" w:hAnsi="宋体"/>
          <w:b/>
          <w:bCs/>
          <w:color w:val="auto"/>
          <w:szCs w:val="21"/>
        </w:rPr>
        <w:t>注：</w:t>
      </w:r>
      <w:r>
        <w:rPr>
          <w:rFonts w:hint="eastAsia" w:ascii="宋体" w:hAnsi="宋体" w:cs="宋体"/>
          <w:b/>
          <w:color w:val="auto"/>
          <w:kern w:val="0"/>
          <w:szCs w:val="21"/>
        </w:rPr>
        <w:t>谈判供应商</w:t>
      </w:r>
      <w:r>
        <w:rPr>
          <w:rFonts w:hint="eastAsia" w:hAnsi="宋体"/>
          <w:b/>
          <w:color w:val="auto"/>
        </w:rPr>
        <w:t>已经被推荐为第一成交候选人后撤回</w:t>
      </w:r>
      <w:r>
        <w:rPr>
          <w:rFonts w:hint="eastAsia" w:ascii="宋体" w:hAnsi="宋体"/>
          <w:b/>
          <w:color w:val="auto"/>
          <w:szCs w:val="21"/>
        </w:rPr>
        <w:t>竞争性谈判</w:t>
      </w:r>
      <w:r>
        <w:rPr>
          <w:rFonts w:hint="eastAsia" w:ascii="宋体" w:hAnsi="宋体" w:cs="宋体"/>
          <w:b/>
          <w:color w:val="auto"/>
          <w:kern w:val="0"/>
          <w:szCs w:val="21"/>
        </w:rPr>
        <w:t>响应文件</w:t>
      </w:r>
      <w:r>
        <w:rPr>
          <w:rFonts w:hint="eastAsia" w:hAnsi="宋体"/>
          <w:b/>
          <w:color w:val="auto"/>
        </w:rPr>
        <w:t>或</w:t>
      </w:r>
      <w:r>
        <w:rPr>
          <w:rFonts w:hint="eastAsia" w:ascii="宋体" w:hAnsi="宋体" w:cs="宋体"/>
          <w:b/>
          <w:color w:val="auto"/>
          <w:kern w:val="0"/>
          <w:szCs w:val="21"/>
        </w:rPr>
        <w:t>拒绝签订政府采购合同的</w:t>
      </w:r>
      <w:r>
        <w:rPr>
          <w:rFonts w:hint="eastAsia" w:hAnsi="宋体"/>
          <w:b/>
          <w:color w:val="auto"/>
        </w:rPr>
        <w:t>，</w:t>
      </w:r>
      <w:r>
        <w:rPr>
          <w:rFonts w:hint="eastAsia"/>
          <w:b/>
          <w:color w:val="auto"/>
        </w:rPr>
        <w:t>其保证金将不予退还，并上缴国库，给采购人造成损失的，还应当赔偿损失，并作为不良行为记录在案</w:t>
      </w:r>
      <w:r>
        <w:rPr>
          <w:rFonts w:hint="eastAsia" w:hAnsi="宋体"/>
          <w:b/>
          <w:color w:val="auto"/>
        </w:rPr>
        <w:t>。</w:t>
      </w:r>
    </w:p>
    <w:p w14:paraId="28639A10">
      <w:pPr>
        <w:tabs>
          <w:tab w:val="left" w:pos="975"/>
        </w:tabs>
        <w:snapToGrid w:val="0"/>
        <w:spacing w:line="360" w:lineRule="exact"/>
        <w:ind w:firstLine="413" w:firstLineChars="196"/>
        <w:jc w:val="left"/>
        <w:rPr>
          <w:b/>
          <w:color w:val="auto"/>
        </w:rPr>
      </w:pPr>
      <w:r>
        <w:rPr>
          <w:rFonts w:hint="eastAsia" w:ascii="宋体" w:hAnsi="宋体"/>
          <w:b/>
          <w:color w:val="auto"/>
          <w:szCs w:val="21"/>
        </w:rPr>
        <w:t>六</w:t>
      </w:r>
      <w:r>
        <w:rPr>
          <w:rFonts w:hint="eastAsia"/>
          <w:b/>
          <w:color w:val="auto"/>
        </w:rPr>
        <w:t>、谈判程序</w:t>
      </w:r>
      <w:r>
        <w:rPr>
          <w:rFonts w:hint="eastAsia" w:ascii="宋体" w:hAnsi="宋体"/>
          <w:b/>
          <w:color w:val="auto"/>
          <w:szCs w:val="21"/>
        </w:rPr>
        <w:t>及</w:t>
      </w:r>
      <w:r>
        <w:rPr>
          <w:rFonts w:hint="eastAsia"/>
          <w:b/>
          <w:color w:val="auto"/>
        </w:rPr>
        <w:t>评标方法</w:t>
      </w:r>
    </w:p>
    <w:p w14:paraId="101A321B">
      <w:pPr>
        <w:tabs>
          <w:tab w:val="left" w:pos="975"/>
        </w:tabs>
        <w:snapToGrid w:val="0"/>
        <w:spacing w:line="360" w:lineRule="exact"/>
        <w:ind w:firstLine="411" w:firstLineChars="196"/>
        <w:jc w:val="left"/>
        <w:rPr>
          <w:color w:val="auto"/>
        </w:rPr>
      </w:pPr>
      <w:r>
        <w:rPr>
          <w:rFonts w:hint="eastAsia"/>
          <w:color w:val="auto"/>
        </w:rPr>
        <w:t>（一）在谈判正式开始前由谈判小组对竞争性谈判文件进行确认，认可竞争性谈判文件的内容符合法律法规的规定、不存在歧视性或排他性内容。</w:t>
      </w:r>
    </w:p>
    <w:p w14:paraId="5800E490">
      <w:pPr>
        <w:tabs>
          <w:tab w:val="left" w:pos="975"/>
        </w:tabs>
        <w:snapToGrid w:val="0"/>
        <w:spacing w:line="360" w:lineRule="exact"/>
        <w:ind w:firstLine="411" w:firstLineChars="196"/>
        <w:jc w:val="left"/>
        <w:rPr>
          <w:color w:val="auto"/>
        </w:rPr>
      </w:pPr>
      <w:r>
        <w:rPr>
          <w:rFonts w:hint="eastAsia"/>
          <w:color w:val="auto"/>
        </w:rPr>
        <w:t>（二）竞争性谈判响应文件无效的情形：</w:t>
      </w:r>
    </w:p>
    <w:p w14:paraId="354D4F57">
      <w:pPr>
        <w:tabs>
          <w:tab w:val="left" w:pos="975"/>
        </w:tabs>
        <w:snapToGrid w:val="0"/>
        <w:spacing w:line="360" w:lineRule="exact"/>
        <w:ind w:firstLine="411" w:firstLineChars="196"/>
        <w:jc w:val="left"/>
        <w:rPr>
          <w:color w:val="auto"/>
        </w:rPr>
      </w:pPr>
      <w:r>
        <w:rPr>
          <w:rFonts w:hint="eastAsia"/>
          <w:color w:val="auto"/>
        </w:rPr>
        <w:t>1.未实质性响应竞争性谈判文件的竞争性谈判响应文件按无效处理。</w:t>
      </w:r>
    </w:p>
    <w:p w14:paraId="71E98D13">
      <w:pPr>
        <w:tabs>
          <w:tab w:val="left" w:pos="975"/>
        </w:tabs>
        <w:snapToGrid w:val="0"/>
        <w:spacing w:line="360" w:lineRule="exact"/>
        <w:ind w:firstLine="411" w:firstLineChars="196"/>
        <w:jc w:val="left"/>
        <w:rPr>
          <w:color w:val="auto"/>
        </w:rPr>
      </w:pPr>
      <w:r>
        <w:rPr>
          <w:rFonts w:hint="eastAsia"/>
          <w:color w:val="auto"/>
        </w:rPr>
        <w:t>2.有下列情形之一的视为供应商相互串通参与谈判活动，竞争性谈判响应文件将被视为无效：</w:t>
      </w:r>
    </w:p>
    <w:p w14:paraId="27D61541">
      <w:pPr>
        <w:tabs>
          <w:tab w:val="left" w:pos="975"/>
        </w:tabs>
        <w:snapToGrid w:val="0"/>
        <w:spacing w:line="360" w:lineRule="exact"/>
        <w:ind w:firstLine="411" w:firstLineChars="196"/>
        <w:jc w:val="left"/>
        <w:rPr>
          <w:color w:val="auto"/>
        </w:rPr>
      </w:pPr>
      <w:r>
        <w:rPr>
          <w:rFonts w:hint="eastAsia"/>
          <w:color w:val="auto"/>
        </w:rPr>
        <w:t>（1）不同供应商的竞争性谈判响应文件由同一单位或者个人编制；或不同供应商报名的IP地址一致的；</w:t>
      </w:r>
    </w:p>
    <w:p w14:paraId="5AFA221F">
      <w:pPr>
        <w:tabs>
          <w:tab w:val="left" w:pos="975"/>
        </w:tabs>
        <w:snapToGrid w:val="0"/>
        <w:spacing w:line="360" w:lineRule="exact"/>
        <w:ind w:firstLine="411" w:firstLineChars="196"/>
        <w:jc w:val="left"/>
        <w:rPr>
          <w:color w:val="auto"/>
        </w:rPr>
      </w:pPr>
      <w:r>
        <w:rPr>
          <w:rFonts w:hint="eastAsia"/>
          <w:color w:val="auto"/>
        </w:rPr>
        <w:t>（2）不同供应商委托同一单位或者个人办理谈判活动事宜；</w:t>
      </w:r>
    </w:p>
    <w:p w14:paraId="48FBF25A">
      <w:pPr>
        <w:tabs>
          <w:tab w:val="left" w:pos="975"/>
        </w:tabs>
        <w:snapToGrid w:val="0"/>
        <w:spacing w:line="360" w:lineRule="exact"/>
        <w:ind w:firstLine="411" w:firstLineChars="196"/>
        <w:jc w:val="left"/>
        <w:rPr>
          <w:color w:val="auto"/>
        </w:rPr>
      </w:pPr>
      <w:r>
        <w:rPr>
          <w:rFonts w:hint="eastAsia"/>
          <w:color w:val="auto"/>
        </w:rPr>
        <w:t>（3）不同的供应商的竞争性谈判响应文件载明的项目管理员为同一个人；</w:t>
      </w:r>
    </w:p>
    <w:p w14:paraId="048D408A">
      <w:pPr>
        <w:tabs>
          <w:tab w:val="left" w:pos="975"/>
        </w:tabs>
        <w:snapToGrid w:val="0"/>
        <w:spacing w:line="360" w:lineRule="exact"/>
        <w:ind w:firstLine="411" w:firstLineChars="196"/>
        <w:jc w:val="left"/>
        <w:rPr>
          <w:color w:val="auto"/>
        </w:rPr>
      </w:pPr>
      <w:r>
        <w:rPr>
          <w:rFonts w:hint="eastAsia"/>
          <w:color w:val="auto"/>
        </w:rPr>
        <w:t>（4）不同供应商的竞争性谈判响应文件异常一致或谈判报价呈规律性差异；</w:t>
      </w:r>
    </w:p>
    <w:p w14:paraId="39F19971">
      <w:pPr>
        <w:tabs>
          <w:tab w:val="left" w:pos="975"/>
        </w:tabs>
        <w:snapToGrid w:val="0"/>
        <w:spacing w:line="360" w:lineRule="exact"/>
        <w:ind w:firstLine="411" w:firstLineChars="196"/>
        <w:jc w:val="left"/>
        <w:rPr>
          <w:color w:val="auto"/>
        </w:rPr>
      </w:pPr>
      <w:r>
        <w:rPr>
          <w:rFonts w:hint="eastAsia"/>
          <w:color w:val="auto"/>
        </w:rPr>
        <w:t>（5）不同供应商的竞争性谈判响应文件相互混装；</w:t>
      </w:r>
    </w:p>
    <w:p w14:paraId="04985D72">
      <w:pPr>
        <w:tabs>
          <w:tab w:val="left" w:pos="975"/>
        </w:tabs>
        <w:snapToGrid w:val="0"/>
        <w:spacing w:line="360" w:lineRule="exact"/>
        <w:ind w:firstLine="411" w:firstLineChars="196"/>
        <w:jc w:val="left"/>
        <w:rPr>
          <w:color w:val="auto"/>
        </w:rPr>
      </w:pPr>
      <w:r>
        <w:rPr>
          <w:rFonts w:hint="eastAsia"/>
          <w:color w:val="auto"/>
        </w:rPr>
        <w:t>（6）不同供应商的保证金从同一单位或者个人账户转出。</w:t>
      </w:r>
    </w:p>
    <w:p w14:paraId="64458646">
      <w:pPr>
        <w:tabs>
          <w:tab w:val="left" w:pos="975"/>
        </w:tabs>
        <w:snapToGrid w:val="0"/>
        <w:spacing w:line="360" w:lineRule="exact"/>
        <w:ind w:firstLine="411" w:firstLineChars="196"/>
        <w:jc w:val="left"/>
        <w:rPr>
          <w:color w:val="auto"/>
        </w:rPr>
      </w:pPr>
      <w:r>
        <w:rPr>
          <w:rFonts w:hint="eastAsia"/>
          <w:color w:val="auto"/>
        </w:rPr>
        <w:t>3.有下列情形的视为关联供应商参加同一合同项下政府采购活动，竞争性谈判响应文件将被视为无效：</w:t>
      </w:r>
    </w:p>
    <w:p w14:paraId="5A3D1D8B">
      <w:pPr>
        <w:tabs>
          <w:tab w:val="left" w:pos="975"/>
        </w:tabs>
        <w:snapToGrid w:val="0"/>
        <w:spacing w:line="360" w:lineRule="exact"/>
        <w:ind w:firstLine="411" w:firstLineChars="196"/>
        <w:jc w:val="left"/>
        <w:rPr>
          <w:color w:val="auto"/>
        </w:rPr>
      </w:pPr>
      <w:r>
        <w:rPr>
          <w:rFonts w:hint="eastAsia"/>
          <w:color w:val="auto"/>
        </w:rPr>
        <w:t>单位负责人为同一人或者存在直接控股、管理关系的不同供应商，参加同一合同项下政府采购活动。</w:t>
      </w:r>
    </w:p>
    <w:p w14:paraId="75A34FD5">
      <w:pPr>
        <w:tabs>
          <w:tab w:val="left" w:pos="975"/>
        </w:tabs>
        <w:snapToGrid w:val="0"/>
        <w:spacing w:line="360" w:lineRule="exact"/>
        <w:ind w:firstLine="413" w:firstLineChars="196"/>
        <w:jc w:val="left"/>
        <w:rPr>
          <w:b/>
          <w:color w:val="auto"/>
        </w:rPr>
      </w:pPr>
      <w:r>
        <w:rPr>
          <w:rFonts w:hint="eastAsia"/>
          <w:b/>
          <w:color w:val="auto"/>
        </w:rPr>
        <w:t>4. 其他竞标无效的情形：</w:t>
      </w:r>
    </w:p>
    <w:p w14:paraId="153AA5A1">
      <w:pPr>
        <w:tabs>
          <w:tab w:val="left" w:pos="975"/>
        </w:tabs>
        <w:snapToGrid w:val="0"/>
        <w:spacing w:line="360" w:lineRule="exact"/>
        <w:ind w:firstLine="413" w:firstLineChars="196"/>
        <w:jc w:val="left"/>
        <w:rPr>
          <w:b/>
          <w:color w:val="auto"/>
        </w:rPr>
      </w:pPr>
      <w:r>
        <w:rPr>
          <w:rFonts w:hint="eastAsia"/>
          <w:b/>
          <w:color w:val="auto"/>
        </w:rPr>
        <w:t>（1）竞争性谈判响应文件未按竞争性谈判文件要求签署或CA电子签章的；</w:t>
      </w:r>
    </w:p>
    <w:p w14:paraId="05F0BFB9">
      <w:pPr>
        <w:tabs>
          <w:tab w:val="left" w:pos="975"/>
        </w:tabs>
        <w:snapToGrid w:val="0"/>
        <w:spacing w:line="360" w:lineRule="exact"/>
        <w:ind w:firstLine="413" w:firstLineChars="196"/>
        <w:jc w:val="left"/>
        <w:rPr>
          <w:b/>
          <w:color w:val="auto"/>
        </w:rPr>
      </w:pPr>
      <w:r>
        <w:rPr>
          <w:rFonts w:hint="eastAsia"/>
          <w:b/>
          <w:color w:val="auto"/>
        </w:rPr>
        <w:t>（2）供应商提交两份或两份以上内容不同的竞争性谈判响应文件；</w:t>
      </w:r>
    </w:p>
    <w:p w14:paraId="7FF7D274">
      <w:pPr>
        <w:tabs>
          <w:tab w:val="left" w:pos="975"/>
        </w:tabs>
        <w:snapToGrid w:val="0"/>
        <w:spacing w:line="360" w:lineRule="exact"/>
        <w:ind w:firstLine="413" w:firstLineChars="196"/>
        <w:jc w:val="left"/>
        <w:rPr>
          <w:b/>
          <w:color w:val="auto"/>
        </w:rPr>
      </w:pPr>
      <w:r>
        <w:rPr>
          <w:rFonts w:hint="eastAsia"/>
          <w:b/>
          <w:color w:val="auto"/>
        </w:rPr>
        <w:t>（3）谈判供应商在线制作竞争性谈判响应文件时填写的报价金额与解密后“电子加密响应文件”中《报价表》填写的金额不一致并拒绝按采购文件要求接受调整的；</w:t>
      </w:r>
    </w:p>
    <w:p w14:paraId="61519976">
      <w:pPr>
        <w:tabs>
          <w:tab w:val="left" w:pos="975"/>
        </w:tabs>
        <w:snapToGrid w:val="0"/>
        <w:spacing w:line="360" w:lineRule="exact"/>
        <w:ind w:firstLine="413" w:firstLineChars="196"/>
        <w:jc w:val="left"/>
        <w:rPr>
          <w:color w:val="auto"/>
        </w:rPr>
      </w:pPr>
      <w:r>
        <w:rPr>
          <w:rFonts w:hint="eastAsia"/>
          <w:b/>
          <w:color w:val="auto"/>
        </w:rPr>
        <w:t>（4）法律、法规和采购文件规定的其他无效情形（或出现重大偏差）。</w:t>
      </w:r>
      <w:r>
        <w:rPr>
          <w:color w:val="auto"/>
        </w:rPr>
        <w:t xml:space="preserve">  </w:t>
      </w:r>
    </w:p>
    <w:p w14:paraId="12791E4F">
      <w:pPr>
        <w:tabs>
          <w:tab w:val="left" w:pos="975"/>
        </w:tabs>
        <w:snapToGrid w:val="0"/>
        <w:spacing w:line="360" w:lineRule="exact"/>
        <w:ind w:firstLine="411" w:firstLineChars="196"/>
        <w:jc w:val="left"/>
        <w:rPr>
          <w:color w:val="auto"/>
        </w:rPr>
      </w:pPr>
      <w:r>
        <w:rPr>
          <w:rFonts w:hint="eastAsia" w:ascii="宋体" w:hAnsi="宋体" w:cs="宋体"/>
          <w:color w:val="auto"/>
          <w:kern w:val="0"/>
          <w:szCs w:val="21"/>
        </w:rPr>
        <w:t>5.</w:t>
      </w:r>
      <w:r>
        <w:rPr>
          <w:rFonts w:hint="eastAsia"/>
          <w:color w:val="auto"/>
        </w:rPr>
        <w:t xml:space="preserve"> 被拒绝的响应文件为无效。</w:t>
      </w:r>
    </w:p>
    <w:p w14:paraId="4B8C7964">
      <w:pPr>
        <w:tabs>
          <w:tab w:val="left" w:pos="975"/>
        </w:tabs>
        <w:snapToGrid w:val="0"/>
        <w:spacing w:line="360" w:lineRule="exact"/>
        <w:ind w:firstLine="413" w:firstLineChars="196"/>
        <w:jc w:val="left"/>
        <w:rPr>
          <w:rFonts w:hint="eastAsia" w:ascii="宋体" w:hAnsi="宋体" w:cs="宋体"/>
          <w:b/>
          <w:color w:val="auto"/>
          <w:kern w:val="0"/>
          <w:szCs w:val="21"/>
        </w:rPr>
      </w:pPr>
      <w:r>
        <w:rPr>
          <w:rFonts w:hint="eastAsia" w:ascii="宋体" w:hAnsi="宋体" w:cs="宋体"/>
          <w:b/>
          <w:color w:val="auto"/>
          <w:kern w:val="0"/>
          <w:szCs w:val="21"/>
        </w:rPr>
        <w:t>谈判供应商竞争性谈判响应文件无效的，谈判小组应当告知有关供应商。</w:t>
      </w:r>
    </w:p>
    <w:p w14:paraId="6719D01C">
      <w:pPr>
        <w:spacing w:line="380" w:lineRule="exact"/>
        <w:ind w:firstLine="420" w:firstLineChars="200"/>
        <w:rPr>
          <w:rFonts w:hint="eastAsia" w:ascii="宋体" w:hAnsi="宋体"/>
          <w:color w:val="auto"/>
          <w:szCs w:val="21"/>
        </w:rPr>
      </w:pPr>
      <w:r>
        <w:rPr>
          <w:rFonts w:hint="eastAsia" w:ascii="宋体" w:hAnsi="宋体"/>
          <w:color w:val="auto"/>
          <w:szCs w:val="21"/>
        </w:rPr>
        <w:t>（三）谈判</w:t>
      </w:r>
    </w:p>
    <w:p w14:paraId="6451B9C1">
      <w:pPr>
        <w:spacing w:line="380" w:lineRule="exact"/>
        <w:ind w:firstLine="420" w:firstLineChars="200"/>
        <w:rPr>
          <w:rFonts w:hint="eastAsia" w:ascii="宋体" w:hAnsi="宋体"/>
          <w:color w:val="auto"/>
          <w:szCs w:val="21"/>
        </w:rPr>
      </w:pPr>
      <w:r>
        <w:rPr>
          <w:rFonts w:hint="eastAsia" w:ascii="宋体" w:hAnsi="宋体"/>
          <w:color w:val="auto"/>
          <w:szCs w:val="21"/>
        </w:rPr>
        <w:t>11.1第一轮谈判</w:t>
      </w:r>
    </w:p>
    <w:p w14:paraId="2E501D6C">
      <w:pPr>
        <w:widowControl/>
        <w:tabs>
          <w:tab w:val="left" w:pos="540"/>
        </w:tabs>
        <w:spacing w:line="360" w:lineRule="exact"/>
        <w:ind w:firstLine="420" w:firstLineChars="200"/>
        <w:jc w:val="left"/>
        <w:rPr>
          <w:rFonts w:hint="eastAsia" w:ascii="宋体" w:hAnsi="宋体"/>
          <w:color w:val="auto"/>
          <w:szCs w:val="21"/>
        </w:rPr>
      </w:pPr>
      <w:r>
        <w:rPr>
          <w:rFonts w:hint="eastAsia" w:ascii="宋体" w:hAnsi="宋体"/>
          <w:color w:val="auto"/>
          <w:szCs w:val="21"/>
        </w:rPr>
        <w:t>（一）谈判准备</w:t>
      </w:r>
    </w:p>
    <w:p w14:paraId="528578D2">
      <w:pPr>
        <w:widowControl/>
        <w:tabs>
          <w:tab w:val="left" w:pos="540"/>
        </w:tabs>
        <w:spacing w:line="360" w:lineRule="exact"/>
        <w:ind w:firstLine="420" w:firstLineChars="200"/>
        <w:jc w:val="left"/>
        <w:rPr>
          <w:rFonts w:hint="eastAsia" w:ascii="宋体" w:hAnsi="宋体"/>
          <w:color w:val="auto"/>
          <w:szCs w:val="21"/>
        </w:rPr>
      </w:pPr>
      <w:r>
        <w:rPr>
          <w:rFonts w:hint="eastAsia" w:ascii="宋体" w:hAnsi="宋体"/>
          <w:color w:val="auto"/>
          <w:szCs w:val="21"/>
        </w:rPr>
        <w:t>本公司将在规定的时间和地点进行电子谈判，谈判供应商的法定代表人或其委托代理人应做好谈判准备，准时在线参加电子谈判会议，随时关注谈判进度。</w:t>
      </w:r>
    </w:p>
    <w:p w14:paraId="65790028">
      <w:pPr>
        <w:widowControl/>
        <w:tabs>
          <w:tab w:val="left" w:pos="540"/>
        </w:tabs>
        <w:spacing w:line="360" w:lineRule="exact"/>
        <w:ind w:firstLine="420" w:firstLineChars="200"/>
        <w:jc w:val="left"/>
        <w:rPr>
          <w:rFonts w:hint="eastAsia" w:ascii="宋体" w:hAnsi="宋体"/>
          <w:color w:val="auto"/>
          <w:szCs w:val="21"/>
        </w:rPr>
      </w:pPr>
      <w:r>
        <w:rPr>
          <w:rFonts w:hint="eastAsia" w:ascii="宋体" w:hAnsi="宋体"/>
          <w:color w:val="auto"/>
          <w:szCs w:val="21"/>
        </w:rPr>
        <w:t>（二） 第一轮谈判程序：</w:t>
      </w:r>
    </w:p>
    <w:p w14:paraId="6E07DFA3">
      <w:pPr>
        <w:widowControl/>
        <w:tabs>
          <w:tab w:val="left" w:pos="540"/>
        </w:tabs>
        <w:spacing w:line="360" w:lineRule="exact"/>
        <w:ind w:firstLine="420" w:firstLineChars="200"/>
        <w:jc w:val="left"/>
        <w:rPr>
          <w:rFonts w:hint="eastAsia" w:ascii="宋体" w:hAnsi="宋体"/>
          <w:color w:val="auto"/>
          <w:szCs w:val="21"/>
        </w:rPr>
      </w:pPr>
      <w:r>
        <w:rPr>
          <w:rFonts w:hint="eastAsia" w:ascii="宋体" w:hAnsi="宋体"/>
          <w:color w:val="auto"/>
          <w:szCs w:val="21"/>
        </w:rPr>
        <w:t>1.谈判会由本公司主持，主持人宣布谈判会议开始；</w:t>
      </w:r>
    </w:p>
    <w:p w14:paraId="3F1B59A4">
      <w:pPr>
        <w:widowControl/>
        <w:tabs>
          <w:tab w:val="left" w:pos="540"/>
        </w:tabs>
        <w:spacing w:line="360" w:lineRule="exact"/>
        <w:ind w:firstLine="420" w:firstLineChars="200"/>
        <w:jc w:val="left"/>
        <w:rPr>
          <w:rFonts w:hint="eastAsia" w:ascii="宋体" w:hAnsi="宋体"/>
          <w:color w:val="auto"/>
          <w:szCs w:val="21"/>
        </w:rPr>
      </w:pPr>
      <w:r>
        <w:rPr>
          <w:rFonts w:hint="eastAsia" w:ascii="宋体" w:hAnsi="宋体"/>
          <w:color w:val="auto"/>
          <w:szCs w:val="21"/>
        </w:rPr>
        <w:t xml:space="preserve">2.主持人介绍参加谈判会的人员名单； </w:t>
      </w:r>
    </w:p>
    <w:p w14:paraId="174AB1F0">
      <w:pPr>
        <w:widowControl/>
        <w:tabs>
          <w:tab w:val="left" w:pos="540"/>
        </w:tabs>
        <w:spacing w:line="360" w:lineRule="exact"/>
        <w:ind w:firstLine="420" w:firstLineChars="200"/>
        <w:jc w:val="left"/>
        <w:rPr>
          <w:rFonts w:hint="eastAsia" w:ascii="宋体" w:hAnsi="宋体"/>
          <w:color w:val="auto"/>
          <w:szCs w:val="21"/>
        </w:rPr>
      </w:pPr>
      <w:r>
        <w:rPr>
          <w:rFonts w:hint="eastAsia" w:ascii="宋体" w:hAnsi="宋体"/>
          <w:color w:val="auto"/>
          <w:szCs w:val="21"/>
        </w:rPr>
        <w:t>3.主持人宣布谈判会议纪律及评审期间的有关事项；告知应当回避的情形,提请有关人员回避；</w:t>
      </w:r>
    </w:p>
    <w:p w14:paraId="2798F0FF">
      <w:pPr>
        <w:widowControl/>
        <w:tabs>
          <w:tab w:val="left" w:pos="540"/>
        </w:tabs>
        <w:spacing w:line="360" w:lineRule="exact"/>
        <w:ind w:firstLine="420" w:firstLineChars="200"/>
        <w:jc w:val="left"/>
        <w:rPr>
          <w:rFonts w:hint="eastAsia" w:ascii="宋体" w:hAnsi="宋体"/>
          <w:color w:val="auto"/>
          <w:szCs w:val="21"/>
        </w:rPr>
      </w:pPr>
      <w:r>
        <w:rPr>
          <w:rFonts w:hint="eastAsia" w:ascii="宋体" w:hAnsi="宋体"/>
          <w:color w:val="auto"/>
          <w:szCs w:val="21"/>
        </w:rPr>
        <w:t>4.谈判及评审程序</w:t>
      </w:r>
    </w:p>
    <w:p w14:paraId="316231F1">
      <w:pPr>
        <w:widowControl/>
        <w:tabs>
          <w:tab w:val="left" w:pos="540"/>
        </w:tabs>
        <w:spacing w:line="360" w:lineRule="exact"/>
        <w:ind w:firstLine="420" w:firstLineChars="200"/>
        <w:jc w:val="left"/>
        <w:rPr>
          <w:rFonts w:hint="eastAsia" w:ascii="宋体" w:hAnsi="宋体"/>
          <w:color w:val="auto"/>
          <w:szCs w:val="21"/>
        </w:rPr>
      </w:pPr>
      <w:r>
        <w:rPr>
          <w:rFonts w:hint="eastAsia" w:ascii="宋体" w:hAnsi="宋体"/>
          <w:color w:val="auto"/>
          <w:szCs w:val="21"/>
        </w:rPr>
        <w:t>（1）在谈判开始时间截止后30分钟内由各供应商自行对谈判响应文件进行解密；</w:t>
      </w:r>
    </w:p>
    <w:p w14:paraId="1F22B315">
      <w:pPr>
        <w:widowControl/>
        <w:tabs>
          <w:tab w:val="left" w:pos="540"/>
        </w:tabs>
        <w:spacing w:line="360" w:lineRule="exact"/>
        <w:ind w:firstLine="420" w:firstLineChars="200"/>
        <w:jc w:val="left"/>
        <w:rPr>
          <w:rFonts w:hint="eastAsia" w:ascii="宋体" w:hAnsi="宋体"/>
          <w:color w:val="auto"/>
          <w:szCs w:val="21"/>
        </w:rPr>
      </w:pPr>
      <w:r>
        <w:rPr>
          <w:rFonts w:hint="eastAsia" w:ascii="宋体" w:hAnsi="宋体"/>
          <w:color w:val="auto"/>
          <w:szCs w:val="21"/>
        </w:rPr>
        <w:t>（2）由谈判小组进行资格审查和符合性审查，审查结束后，在线通知无效谈判供应商谈判响应文件无效理由，有效谈判供应商进入谈判程序。</w:t>
      </w:r>
    </w:p>
    <w:p w14:paraId="113CFFE1">
      <w:pPr>
        <w:widowControl/>
        <w:tabs>
          <w:tab w:val="left" w:pos="540"/>
        </w:tabs>
        <w:spacing w:line="360" w:lineRule="exact"/>
        <w:ind w:firstLine="420" w:firstLineChars="200"/>
        <w:jc w:val="left"/>
        <w:rPr>
          <w:rFonts w:hint="eastAsia" w:ascii="宋体" w:hAnsi="宋体"/>
          <w:color w:val="auto"/>
          <w:szCs w:val="21"/>
        </w:rPr>
      </w:pPr>
      <w:r>
        <w:rPr>
          <w:rFonts w:hint="eastAsia" w:ascii="宋体" w:hAnsi="宋体"/>
          <w:color w:val="auto"/>
          <w:szCs w:val="21"/>
        </w:rPr>
        <w:t>（3）系统对各供应商的商务技术进行汇总；</w:t>
      </w:r>
    </w:p>
    <w:p w14:paraId="6C3106A5">
      <w:pPr>
        <w:widowControl/>
        <w:tabs>
          <w:tab w:val="left" w:pos="540"/>
        </w:tabs>
        <w:spacing w:line="360" w:lineRule="exact"/>
        <w:ind w:firstLine="420" w:firstLineChars="200"/>
        <w:jc w:val="left"/>
        <w:rPr>
          <w:rFonts w:hint="eastAsia" w:ascii="宋体" w:hAnsi="宋体"/>
          <w:color w:val="auto"/>
          <w:szCs w:val="21"/>
        </w:rPr>
      </w:pPr>
      <w:r>
        <w:rPr>
          <w:rFonts w:hint="eastAsia" w:ascii="宋体" w:hAnsi="宋体"/>
          <w:color w:val="auto"/>
          <w:szCs w:val="21"/>
        </w:rPr>
        <w:t>（4）谈判小组所有成员应当集中与单一供应商分别进行在线谈判，并给予所有参加谈判的供应商平等的谈判机会。</w:t>
      </w:r>
    </w:p>
    <w:p w14:paraId="2FD8D2B7">
      <w:pPr>
        <w:widowControl/>
        <w:tabs>
          <w:tab w:val="left" w:pos="540"/>
        </w:tabs>
        <w:spacing w:line="360" w:lineRule="exact"/>
        <w:ind w:firstLine="420" w:firstLineChars="200"/>
        <w:jc w:val="left"/>
        <w:rPr>
          <w:rFonts w:hint="eastAsia" w:ascii="宋体" w:hAnsi="宋体"/>
          <w:color w:val="auto"/>
          <w:szCs w:val="21"/>
        </w:rPr>
      </w:pPr>
      <w:r>
        <w:rPr>
          <w:rFonts w:hint="eastAsia" w:ascii="宋体" w:hAnsi="宋体"/>
          <w:color w:val="auto"/>
          <w:szCs w:val="21"/>
        </w:rPr>
        <w:t>（5）当谈判小组一致确定供应商的竞争性谈判响应文件能够详细列明采购标的技术、服务要求且符合竞争性谈判文件要求，无需再谈判的，谈判小组按竞争性谈判文件设定的11.4、11.6程序和评标方法确定成交候选供应商。第一轮谈判后竞争性谈判文件有实质性变动或仍需谈判的，谈判小组对竞争性谈判文件变动或提出谈判意见后进行第二轮谈判。</w:t>
      </w:r>
    </w:p>
    <w:p w14:paraId="2C188A2D">
      <w:pPr>
        <w:widowControl/>
        <w:tabs>
          <w:tab w:val="left" w:pos="540"/>
        </w:tabs>
        <w:spacing w:line="360" w:lineRule="exact"/>
        <w:ind w:firstLine="420" w:firstLineChars="200"/>
        <w:jc w:val="left"/>
        <w:rPr>
          <w:rFonts w:hint="eastAsia" w:ascii="宋体" w:hAnsi="宋体"/>
          <w:color w:val="auto"/>
          <w:szCs w:val="21"/>
        </w:rPr>
      </w:pPr>
      <w:r>
        <w:rPr>
          <w:rFonts w:hint="eastAsia" w:ascii="宋体" w:hAnsi="宋体"/>
          <w:color w:val="auto"/>
          <w:szCs w:val="21"/>
        </w:rPr>
        <w:t>11.2竞争性谈判文件变动</w:t>
      </w:r>
    </w:p>
    <w:p w14:paraId="4479B611">
      <w:pPr>
        <w:widowControl/>
        <w:tabs>
          <w:tab w:val="left" w:pos="540"/>
        </w:tabs>
        <w:spacing w:line="360" w:lineRule="exact"/>
        <w:ind w:firstLine="420" w:firstLineChars="200"/>
        <w:jc w:val="left"/>
        <w:rPr>
          <w:rFonts w:hint="eastAsia" w:ascii="宋体" w:hAnsi="宋体"/>
          <w:color w:val="auto"/>
          <w:szCs w:val="21"/>
        </w:rPr>
      </w:pPr>
      <w:r>
        <w:rPr>
          <w:rFonts w:hint="eastAsia" w:ascii="宋体" w:hAnsi="宋体"/>
          <w:color w:val="auto"/>
          <w:szCs w:val="21"/>
        </w:rPr>
        <w:t>第一轮谈判结束后，由谈判小组组长主持，根据竞争性谈判文件和谈判情况结合第一轮谈判整体情况，可以对竞争性谈判文件采购需求中已事先明确的可能实质性变动采购需求中的技术、服务要求以及合同草案条款进行统一变动，但不得变动竞争性谈判文件中的其他内容。实质性变动的内容，须经采购人代表确认。</w:t>
      </w:r>
    </w:p>
    <w:p w14:paraId="0C4A7C3A">
      <w:pPr>
        <w:widowControl/>
        <w:tabs>
          <w:tab w:val="left" w:pos="540"/>
        </w:tabs>
        <w:spacing w:line="360" w:lineRule="exact"/>
        <w:ind w:firstLine="420" w:firstLineChars="200"/>
        <w:jc w:val="left"/>
        <w:rPr>
          <w:rFonts w:hint="eastAsia" w:ascii="宋体" w:hAnsi="宋体"/>
          <w:color w:val="auto"/>
          <w:szCs w:val="21"/>
        </w:rPr>
      </w:pPr>
      <w:r>
        <w:rPr>
          <w:rFonts w:hint="eastAsia" w:ascii="宋体" w:hAnsi="宋体"/>
          <w:color w:val="auto"/>
          <w:szCs w:val="21"/>
        </w:rPr>
        <w:t>对竞争性谈判文件作出的实质性变动是竞争性谈判文件的有效组成部分，谈判小组应当在询标规定时间内及时通知所有参加谈判的供应商，并要求供应商做出响应（需盖CA电子签章）。</w:t>
      </w:r>
    </w:p>
    <w:p w14:paraId="208C6C94">
      <w:pPr>
        <w:widowControl/>
        <w:tabs>
          <w:tab w:val="left" w:pos="540"/>
        </w:tabs>
        <w:spacing w:line="360" w:lineRule="exact"/>
        <w:ind w:firstLine="420" w:firstLineChars="200"/>
        <w:jc w:val="left"/>
        <w:rPr>
          <w:rFonts w:hint="eastAsia" w:ascii="宋体" w:hAnsi="宋体"/>
          <w:color w:val="auto"/>
          <w:szCs w:val="21"/>
        </w:rPr>
      </w:pPr>
      <w:r>
        <w:rPr>
          <w:rFonts w:hint="eastAsia" w:ascii="宋体" w:hAnsi="宋体" w:cs="宋体"/>
          <w:color w:val="auto"/>
          <w:kern w:val="0"/>
          <w:szCs w:val="21"/>
        </w:rPr>
        <w:t>11.3第二轮谈判</w:t>
      </w:r>
    </w:p>
    <w:p w14:paraId="462E2363">
      <w:pPr>
        <w:widowControl/>
        <w:tabs>
          <w:tab w:val="left" w:pos="540"/>
        </w:tabs>
        <w:spacing w:line="360" w:lineRule="exact"/>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谈判小组集中就重新提交的响应材料或谈判小组提出的谈判意见与单一响应供应商分别进行在线谈判。</w:t>
      </w:r>
    </w:p>
    <w:p w14:paraId="73105A96">
      <w:pPr>
        <w:widowControl/>
        <w:tabs>
          <w:tab w:val="left" w:pos="540"/>
        </w:tabs>
        <w:spacing w:line="360" w:lineRule="exact"/>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谈判后，在询标规定时间内供应商根据谈判小组统一整理的谈判记录要求做出承诺（需盖CA电子签章）。</w:t>
      </w:r>
    </w:p>
    <w:p w14:paraId="55703396">
      <w:pPr>
        <w:widowControl/>
        <w:tabs>
          <w:tab w:val="left" w:pos="540"/>
        </w:tabs>
        <w:spacing w:line="360" w:lineRule="exact"/>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当谈判小组一致确定供应商的竞争性谈判响应文件能够详细列明采购标的技术、服务要求且符合竞争性谈判文件要求，无需再谈判的，谈判小组按竞争性谈判文件设定的11.4、11.6程序和评标方法确定成交候选供应商。第二轮谈判后竞争性谈判文件仍有实质性变动的或仍需谈判的，谈判小组对竞争性谈判文件变动或提出谈判意见后进行第三轮谈判。以此类推。</w:t>
      </w:r>
    </w:p>
    <w:p w14:paraId="4C77EE83">
      <w:pPr>
        <w:widowControl/>
        <w:tabs>
          <w:tab w:val="left" w:pos="540"/>
        </w:tabs>
        <w:spacing w:line="360" w:lineRule="exact"/>
        <w:ind w:firstLine="422" w:firstLineChars="200"/>
        <w:jc w:val="left"/>
        <w:rPr>
          <w:rFonts w:hint="eastAsia" w:ascii="宋体" w:hAnsi="宋体"/>
          <w:color w:val="auto"/>
          <w:szCs w:val="21"/>
        </w:rPr>
      </w:pPr>
      <w:r>
        <w:rPr>
          <w:rFonts w:hint="eastAsia" w:ascii="宋体" w:hAnsi="宋体"/>
          <w:b/>
          <w:color w:val="auto"/>
          <w:szCs w:val="21"/>
        </w:rPr>
        <w:t>特别说明：如遇“广西政府采购云平台”电子化开标或评审程序调整的，按调整后程序执行。</w:t>
      </w:r>
    </w:p>
    <w:p w14:paraId="3005FC72">
      <w:pPr>
        <w:widowControl/>
        <w:tabs>
          <w:tab w:val="left" w:pos="540"/>
        </w:tabs>
        <w:spacing w:line="360" w:lineRule="exact"/>
        <w:ind w:firstLine="420" w:firstLineChars="200"/>
        <w:jc w:val="left"/>
        <w:rPr>
          <w:rFonts w:hint="eastAsia" w:ascii="宋体" w:hAnsi="宋体"/>
          <w:color w:val="auto"/>
          <w:szCs w:val="21"/>
        </w:rPr>
      </w:pPr>
      <w:r>
        <w:rPr>
          <w:rFonts w:hint="eastAsia" w:ascii="宋体" w:hAnsi="宋体"/>
          <w:color w:val="auto"/>
          <w:szCs w:val="21"/>
        </w:rPr>
        <w:t>谈判评审在严格保密的情况下进行，谈判的任何一方不得透露与谈判有关的其他供应商的技术资料、价格和其他信息。</w:t>
      </w:r>
    </w:p>
    <w:p w14:paraId="70B2679F">
      <w:pPr>
        <w:widowControl/>
        <w:tabs>
          <w:tab w:val="left" w:pos="540"/>
        </w:tabs>
        <w:spacing w:line="360" w:lineRule="exact"/>
        <w:ind w:firstLine="420" w:firstLineChars="200"/>
        <w:jc w:val="left"/>
        <w:rPr>
          <w:rFonts w:hint="eastAsia" w:ascii="宋体" w:hAnsi="宋体"/>
          <w:color w:val="auto"/>
          <w:szCs w:val="21"/>
        </w:rPr>
      </w:pPr>
      <w:r>
        <w:rPr>
          <w:rFonts w:hint="eastAsia" w:ascii="宋体" w:hAnsi="宋体"/>
          <w:color w:val="auto"/>
          <w:szCs w:val="21"/>
        </w:rPr>
        <w:t>电子谈判过程中需要供应商在线确认的所有内容，供应商不予确认的应说明理由，超过规定时间未确认的，将被视为放弃确认或者无异议。</w:t>
      </w:r>
    </w:p>
    <w:p w14:paraId="073E202C">
      <w:pPr>
        <w:widowControl/>
        <w:tabs>
          <w:tab w:val="left" w:pos="540"/>
        </w:tabs>
        <w:spacing w:line="360" w:lineRule="exact"/>
        <w:ind w:firstLine="420" w:firstLineChars="200"/>
        <w:jc w:val="left"/>
        <w:rPr>
          <w:rFonts w:hint="eastAsia" w:ascii="宋体" w:hAnsi="宋体"/>
          <w:color w:val="auto"/>
          <w:szCs w:val="21"/>
        </w:rPr>
      </w:pPr>
      <w:r>
        <w:rPr>
          <w:rFonts w:hint="eastAsia" w:ascii="宋体" w:hAnsi="宋体"/>
          <w:color w:val="auto"/>
          <w:szCs w:val="21"/>
        </w:rPr>
        <w:t>澄清问题的形式：对响应文件中含义不明确、同类问题表述不一致或者有明显文字和计算错误的内容，谈判小组可要求供应商作出必要的澄清、说明或者纠正，供应商应在询标规定时间内进行澄清或说明（需盖CA电子签章），并不得超出采购文件的范围或者改变谈判响应文件的实质性内容。</w:t>
      </w:r>
    </w:p>
    <w:p w14:paraId="7564F08D">
      <w:pPr>
        <w:widowControl/>
        <w:tabs>
          <w:tab w:val="left" w:pos="540"/>
        </w:tabs>
        <w:spacing w:line="360" w:lineRule="exact"/>
        <w:ind w:firstLine="420" w:firstLineChars="200"/>
        <w:jc w:val="left"/>
        <w:rPr>
          <w:rFonts w:hint="eastAsia" w:ascii="宋体" w:hAnsi="宋体"/>
          <w:color w:val="auto"/>
          <w:szCs w:val="21"/>
        </w:rPr>
      </w:pPr>
      <w:r>
        <w:rPr>
          <w:rFonts w:hint="eastAsia" w:ascii="宋体" w:hAnsi="宋体"/>
          <w:color w:val="auto"/>
          <w:szCs w:val="21"/>
        </w:rPr>
        <w:t>11.4最后报价及成交候选供应商推荐</w:t>
      </w:r>
    </w:p>
    <w:p w14:paraId="3C6D56BF">
      <w:pPr>
        <w:widowControl/>
        <w:tabs>
          <w:tab w:val="left" w:pos="540"/>
        </w:tabs>
        <w:spacing w:line="360" w:lineRule="exact"/>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谈判结束后，谈判小组要求所有继续参加谈判的供应商在规定时间内在线提交最后报价。继续参加谈判的供应商作最后报价，由其法定代表人(负责人)或授权代表盖CA电子签章后提交。</w:t>
      </w:r>
    </w:p>
    <w:p w14:paraId="49A5AB3D">
      <w:pPr>
        <w:widowControl/>
        <w:tabs>
          <w:tab w:val="left" w:pos="540"/>
        </w:tabs>
        <w:spacing w:line="360" w:lineRule="exact"/>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谈判小组从质量和服务均能满足竞争性谈判文件实质性响应要求的供应商中，按照最后报价由低到高的顺序提出3名以上成交候选人，最后报价相同时，由谈判小组根据竞争性谈判响应文件中技术、服务、合同条款情况确定排序，按确定排序由低到高的原则推荐成交候选人，并编写评审报告。最后报价是供应商竞争性谈判响应文件的有效组成部分。</w:t>
      </w:r>
    </w:p>
    <w:p w14:paraId="73A7126E">
      <w:pPr>
        <w:widowControl/>
        <w:tabs>
          <w:tab w:val="left" w:pos="540"/>
        </w:tabs>
        <w:spacing w:line="360" w:lineRule="exact"/>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谈判小组按照少数服从多数的原则推荐成交候选供应商，采购程序继续进行。对评审报告有异议的谈判小组成员，应当明确不同意见并说明理由。谈判小组成员拒绝提出理由的，视为同意评审结果。</w:t>
      </w:r>
    </w:p>
    <w:p w14:paraId="6B7B0CE8">
      <w:pPr>
        <w:widowControl/>
        <w:tabs>
          <w:tab w:val="left" w:pos="540"/>
        </w:tabs>
        <w:spacing w:line="360" w:lineRule="exact"/>
        <w:ind w:firstLine="420" w:firstLineChars="200"/>
        <w:jc w:val="left"/>
        <w:rPr>
          <w:rFonts w:hint="eastAsia" w:ascii="宋体" w:hAnsi="宋体"/>
          <w:color w:val="auto"/>
          <w:szCs w:val="21"/>
        </w:rPr>
      </w:pPr>
      <w:r>
        <w:rPr>
          <w:rFonts w:hint="eastAsia" w:ascii="宋体" w:hAnsi="宋体"/>
          <w:color w:val="auto"/>
          <w:szCs w:val="21"/>
        </w:rPr>
        <w:t>11.5在采购过程中符合竞争要求的供应商或者报价未超过采购预算的供应商不足3家的，谈判活动终止。</w:t>
      </w:r>
    </w:p>
    <w:p w14:paraId="6AAAFF5D">
      <w:pPr>
        <w:widowControl/>
        <w:tabs>
          <w:tab w:val="left" w:pos="540"/>
        </w:tabs>
        <w:spacing w:line="360" w:lineRule="exact"/>
        <w:ind w:firstLine="420" w:firstLineChars="200"/>
        <w:jc w:val="left"/>
        <w:rPr>
          <w:rFonts w:hint="eastAsia" w:ascii="宋体" w:hAnsi="宋体"/>
          <w:color w:val="auto"/>
        </w:rPr>
      </w:pPr>
      <w:r>
        <w:rPr>
          <w:rFonts w:hint="eastAsia" w:ascii="宋体" w:hAnsi="宋体"/>
          <w:color w:val="auto"/>
          <w:szCs w:val="21"/>
        </w:rPr>
        <w:t>11.6</w:t>
      </w:r>
      <w:r>
        <w:rPr>
          <w:rFonts w:hint="eastAsia"/>
          <w:color w:val="auto"/>
        </w:rPr>
        <w:t>本采购</w:t>
      </w:r>
      <w:r>
        <w:rPr>
          <w:rFonts w:hint="eastAsia" w:ascii="宋体" w:hAnsi="宋体"/>
          <w:color w:val="auto"/>
        </w:rPr>
        <w:t>项目的评审依据为竞争性谈判文件和竞争性谈判响应文件，采用的评标方法为</w:t>
      </w:r>
      <w:r>
        <w:rPr>
          <w:rFonts w:hint="eastAsia" w:ascii="宋体" w:hAnsi="宋体"/>
          <w:b/>
          <w:color w:val="auto"/>
        </w:rPr>
        <w:t>最低评标价法</w:t>
      </w:r>
      <w:r>
        <w:rPr>
          <w:rFonts w:hint="eastAsia" w:ascii="宋体" w:hAnsi="宋体"/>
          <w:color w:val="auto"/>
        </w:rPr>
        <w:t>。</w:t>
      </w:r>
    </w:p>
    <w:p w14:paraId="3D137FF5">
      <w:pPr>
        <w:widowControl/>
        <w:tabs>
          <w:tab w:val="left" w:pos="540"/>
        </w:tabs>
        <w:spacing w:line="360" w:lineRule="exact"/>
        <w:ind w:firstLine="420" w:firstLineChars="200"/>
        <w:jc w:val="left"/>
        <w:rPr>
          <w:rFonts w:hint="eastAsia" w:ascii="宋体" w:hAnsi="宋体"/>
          <w:color w:val="auto"/>
        </w:rPr>
      </w:pPr>
      <w:r>
        <w:rPr>
          <w:rFonts w:hint="eastAsia" w:ascii="宋体" w:hAnsi="宋体"/>
          <w:color w:val="auto"/>
        </w:rPr>
        <w:t>11.7可中止电子交易活动的情形</w:t>
      </w:r>
    </w:p>
    <w:p w14:paraId="3020A66F">
      <w:pPr>
        <w:widowControl/>
        <w:tabs>
          <w:tab w:val="left" w:pos="540"/>
        </w:tabs>
        <w:spacing w:line="360" w:lineRule="exact"/>
        <w:ind w:firstLine="420" w:firstLineChars="200"/>
        <w:jc w:val="left"/>
        <w:rPr>
          <w:rFonts w:hint="eastAsia" w:ascii="宋体" w:hAnsi="宋体"/>
          <w:color w:val="auto"/>
        </w:rPr>
      </w:pPr>
      <w:r>
        <w:rPr>
          <w:rFonts w:hint="eastAsia" w:ascii="宋体" w:hAnsi="宋体"/>
          <w:color w:val="auto"/>
        </w:rPr>
        <w:t>采购过程中出现以下情形，导致电子交易平台无法正常运行，或者无法保证电子交易的公平、公正和安全时，本公司可中止电子标活动：</w:t>
      </w:r>
    </w:p>
    <w:p w14:paraId="6F9DAE4A">
      <w:pPr>
        <w:widowControl/>
        <w:tabs>
          <w:tab w:val="left" w:pos="540"/>
        </w:tabs>
        <w:spacing w:line="360" w:lineRule="exact"/>
        <w:ind w:firstLine="420" w:firstLineChars="200"/>
        <w:jc w:val="left"/>
        <w:rPr>
          <w:rFonts w:hint="eastAsia" w:ascii="宋体" w:hAnsi="宋体"/>
          <w:color w:val="auto"/>
        </w:rPr>
      </w:pPr>
      <w:r>
        <w:rPr>
          <w:rFonts w:hint="eastAsia" w:ascii="宋体" w:hAnsi="宋体"/>
          <w:color w:val="auto"/>
        </w:rPr>
        <w:t>(1)电子交易平台发生故障而无法登录访问的；</w:t>
      </w:r>
    </w:p>
    <w:p w14:paraId="0F342F0B">
      <w:pPr>
        <w:widowControl/>
        <w:tabs>
          <w:tab w:val="left" w:pos="540"/>
        </w:tabs>
        <w:spacing w:line="360" w:lineRule="exact"/>
        <w:ind w:firstLine="420" w:firstLineChars="200"/>
        <w:jc w:val="left"/>
        <w:rPr>
          <w:rFonts w:hint="eastAsia" w:ascii="宋体" w:hAnsi="宋体"/>
          <w:color w:val="auto"/>
        </w:rPr>
      </w:pPr>
      <w:r>
        <w:rPr>
          <w:rFonts w:hint="eastAsia" w:ascii="宋体" w:hAnsi="宋体"/>
          <w:color w:val="auto"/>
        </w:rPr>
        <w:t>(2)电子交易平台应用或数据库出现错误，不能进行正常操作的；</w:t>
      </w:r>
    </w:p>
    <w:p w14:paraId="5FFD6AAC">
      <w:pPr>
        <w:widowControl/>
        <w:tabs>
          <w:tab w:val="left" w:pos="540"/>
        </w:tabs>
        <w:spacing w:line="360" w:lineRule="exact"/>
        <w:ind w:firstLine="420" w:firstLineChars="200"/>
        <w:jc w:val="left"/>
        <w:rPr>
          <w:rFonts w:hint="eastAsia" w:ascii="宋体" w:hAnsi="宋体"/>
          <w:color w:val="auto"/>
        </w:rPr>
      </w:pPr>
      <w:r>
        <w:rPr>
          <w:rFonts w:hint="eastAsia" w:ascii="宋体" w:hAnsi="宋体"/>
          <w:color w:val="auto"/>
        </w:rPr>
        <w:t>(3)电子交易平台发现严重安全漏洞，有潜在泄密危险的；</w:t>
      </w:r>
    </w:p>
    <w:p w14:paraId="17F232BC">
      <w:pPr>
        <w:widowControl/>
        <w:tabs>
          <w:tab w:val="left" w:pos="540"/>
        </w:tabs>
        <w:spacing w:line="360" w:lineRule="exact"/>
        <w:ind w:firstLine="420" w:firstLineChars="200"/>
        <w:jc w:val="left"/>
        <w:rPr>
          <w:rFonts w:hint="eastAsia" w:ascii="宋体" w:hAnsi="宋体"/>
          <w:color w:val="auto"/>
        </w:rPr>
      </w:pPr>
      <w:r>
        <w:rPr>
          <w:rFonts w:hint="eastAsia" w:ascii="宋体" w:hAnsi="宋体"/>
          <w:color w:val="auto"/>
        </w:rPr>
        <w:t>(4)病毒发作导致不能进行正常操作的；</w:t>
      </w:r>
    </w:p>
    <w:p w14:paraId="41911F81">
      <w:pPr>
        <w:widowControl/>
        <w:tabs>
          <w:tab w:val="left" w:pos="540"/>
        </w:tabs>
        <w:spacing w:line="360" w:lineRule="exact"/>
        <w:ind w:firstLine="420" w:firstLineChars="200"/>
        <w:jc w:val="left"/>
        <w:rPr>
          <w:rFonts w:hint="eastAsia" w:ascii="宋体" w:hAnsi="宋体"/>
          <w:color w:val="auto"/>
        </w:rPr>
      </w:pPr>
      <w:r>
        <w:rPr>
          <w:rFonts w:hint="eastAsia" w:ascii="宋体" w:hAnsi="宋体"/>
          <w:color w:val="auto"/>
        </w:rPr>
        <w:t>(5)其他无法保证电子交易的公平、公正和安全的情况。</w:t>
      </w:r>
    </w:p>
    <w:p w14:paraId="77725D18">
      <w:pPr>
        <w:widowControl/>
        <w:tabs>
          <w:tab w:val="left" w:pos="540"/>
        </w:tabs>
        <w:spacing w:line="360" w:lineRule="exact"/>
        <w:ind w:firstLine="420" w:firstLineChars="200"/>
        <w:jc w:val="left"/>
        <w:rPr>
          <w:rFonts w:hint="eastAsia" w:ascii="宋体" w:hAnsi="宋体"/>
          <w:color w:val="auto"/>
        </w:rPr>
      </w:pPr>
      <w:r>
        <w:rPr>
          <w:rFonts w:hint="eastAsia" w:ascii="宋体" w:hAnsi="宋体"/>
          <w:color w:val="auto"/>
        </w:rPr>
        <w:t>出现前款规定情形，不影响采购公平、公正性的，本公司待上述情形消除后继续组织电子交易活动；影响或可能影响采购公平、公正性的，重新组织采购活动。</w:t>
      </w:r>
    </w:p>
    <w:p w14:paraId="796A5BA0">
      <w:pPr>
        <w:widowControl/>
        <w:tabs>
          <w:tab w:val="left" w:pos="540"/>
        </w:tabs>
        <w:spacing w:line="360" w:lineRule="exact"/>
        <w:ind w:firstLine="422" w:firstLineChars="200"/>
        <w:jc w:val="left"/>
        <w:rPr>
          <w:rFonts w:hint="eastAsia" w:ascii="宋体" w:hAnsi="宋体"/>
          <w:b/>
          <w:color w:val="auto"/>
          <w:szCs w:val="21"/>
        </w:rPr>
      </w:pPr>
      <w:r>
        <w:rPr>
          <w:rFonts w:hint="eastAsia" w:ascii="宋体" w:hAnsi="宋体"/>
          <w:b/>
          <w:color w:val="auto"/>
          <w:szCs w:val="21"/>
        </w:rPr>
        <w:t>七、确定成交供应商办法</w:t>
      </w:r>
    </w:p>
    <w:p w14:paraId="0049F759">
      <w:pPr>
        <w:widowControl/>
        <w:tabs>
          <w:tab w:val="left" w:pos="540"/>
        </w:tabs>
        <w:spacing w:line="360" w:lineRule="exact"/>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12.</w:t>
      </w:r>
      <w:r>
        <w:rPr>
          <w:rFonts w:ascii="宋体" w:hAnsi="宋体" w:cs="宋体"/>
          <w:color w:val="auto"/>
          <w:kern w:val="0"/>
          <w:szCs w:val="21"/>
        </w:rPr>
        <w:t>根据以下原则确定成交供应商：</w:t>
      </w:r>
      <w:r>
        <w:rPr>
          <w:rFonts w:hint="eastAsia" w:ascii="宋体" w:hAnsi="宋体" w:cs="宋体"/>
          <w:color w:val="auto"/>
          <w:kern w:val="0"/>
          <w:szCs w:val="21"/>
        </w:rPr>
        <w:t>质量和服务均能满足</w:t>
      </w:r>
      <w:r>
        <w:rPr>
          <w:rFonts w:hint="eastAsia"/>
          <w:color w:val="auto"/>
        </w:rPr>
        <w:t>竞争性谈判文件</w:t>
      </w:r>
      <w:r>
        <w:rPr>
          <w:rFonts w:hint="eastAsia" w:ascii="宋体" w:hAnsi="宋体" w:cs="宋体"/>
          <w:color w:val="auto"/>
          <w:kern w:val="0"/>
          <w:szCs w:val="21"/>
        </w:rPr>
        <w:t>实质性响应要求的供应商中</w:t>
      </w:r>
      <w:r>
        <w:rPr>
          <w:rFonts w:ascii="宋体" w:hAnsi="宋体" w:cs="宋体"/>
          <w:color w:val="auto"/>
          <w:kern w:val="0"/>
          <w:szCs w:val="21"/>
        </w:rPr>
        <w:t>按</w:t>
      </w:r>
      <w:r>
        <w:rPr>
          <w:rFonts w:hint="eastAsia" w:ascii="宋体" w:hAnsi="宋体" w:cs="宋体"/>
          <w:color w:val="auto"/>
          <w:kern w:val="0"/>
          <w:szCs w:val="21"/>
        </w:rPr>
        <w:t>最后</w:t>
      </w:r>
      <w:r>
        <w:rPr>
          <w:rFonts w:ascii="宋体" w:hAnsi="宋体" w:cs="宋体"/>
          <w:color w:val="auto"/>
          <w:kern w:val="0"/>
          <w:szCs w:val="21"/>
        </w:rPr>
        <w:t>报价</w:t>
      </w:r>
      <w:r>
        <w:rPr>
          <w:rFonts w:hint="eastAsia" w:ascii="宋体" w:hAnsi="宋体" w:cs="宋体"/>
          <w:color w:val="auto"/>
          <w:kern w:val="0"/>
          <w:szCs w:val="21"/>
        </w:rPr>
        <w:t>/评审报价</w:t>
      </w:r>
      <w:r>
        <w:rPr>
          <w:rFonts w:ascii="宋体" w:hAnsi="宋体" w:cs="宋体"/>
          <w:color w:val="auto"/>
          <w:kern w:val="0"/>
          <w:szCs w:val="21"/>
        </w:rPr>
        <w:t>最低的原则确定成交供应商</w:t>
      </w:r>
      <w:r>
        <w:rPr>
          <w:rFonts w:hint="eastAsia" w:ascii="宋体" w:hAnsi="宋体" w:cs="宋体"/>
          <w:color w:val="auto"/>
          <w:kern w:val="0"/>
          <w:szCs w:val="21"/>
        </w:rPr>
        <w:t>。</w:t>
      </w:r>
    </w:p>
    <w:p w14:paraId="30A2CC4D">
      <w:pPr>
        <w:widowControl/>
        <w:tabs>
          <w:tab w:val="left" w:pos="540"/>
        </w:tabs>
        <w:spacing w:line="360" w:lineRule="exact"/>
        <w:ind w:firstLine="422" w:firstLineChars="200"/>
        <w:jc w:val="left"/>
        <w:rPr>
          <w:rFonts w:hint="eastAsia" w:hAnsi="宋体"/>
          <w:b/>
          <w:color w:val="auto"/>
        </w:rPr>
      </w:pPr>
      <w:r>
        <w:rPr>
          <w:rFonts w:hint="eastAsia" w:hAnsi="宋体"/>
          <w:b/>
          <w:color w:val="auto"/>
        </w:rPr>
        <w:t>八、成交结果公告</w:t>
      </w:r>
    </w:p>
    <w:p w14:paraId="70847DF0">
      <w:pPr>
        <w:widowControl/>
        <w:tabs>
          <w:tab w:val="left" w:pos="540"/>
        </w:tabs>
        <w:spacing w:line="360" w:lineRule="exact"/>
        <w:ind w:firstLine="420" w:firstLineChars="200"/>
        <w:jc w:val="left"/>
        <w:rPr>
          <w:rFonts w:hint="eastAsia" w:hAnsi="宋体"/>
          <w:color w:val="auto"/>
        </w:rPr>
      </w:pPr>
      <w:r>
        <w:rPr>
          <w:rFonts w:hint="eastAsia" w:ascii="宋体" w:hAnsi="宋体" w:cs="宋体"/>
          <w:color w:val="auto"/>
          <w:kern w:val="0"/>
          <w:szCs w:val="21"/>
        </w:rPr>
        <w:t>13.1</w:t>
      </w:r>
      <w:r>
        <w:rPr>
          <w:rFonts w:hint="eastAsia" w:hAnsi="宋体"/>
          <w:color w:val="auto"/>
        </w:rPr>
        <w:t>采购代理机构在评审结束后2个工作日内将谈判评审报告送采购人确认，</w:t>
      </w:r>
      <w:r>
        <w:rPr>
          <w:rFonts w:hint="eastAsia" w:hAnsi="宋体" w:cs="宋体"/>
          <w:color w:val="auto"/>
          <w:kern w:val="0"/>
        </w:rPr>
        <w:t>采购人</w:t>
      </w:r>
      <w:r>
        <w:rPr>
          <w:rFonts w:hint="eastAsia" w:hAnsi="宋体"/>
          <w:color w:val="auto"/>
        </w:rPr>
        <w:t>确认后，成交结果公告将在财政部门指定的政府采购信息发布媒体上发布，</w:t>
      </w:r>
      <w:r>
        <w:rPr>
          <w:rFonts w:hint="eastAsia" w:hAnsi="宋体" w:cs="宋体"/>
          <w:color w:val="auto"/>
          <w:kern w:val="0"/>
        </w:rPr>
        <w:t>同时向成交供应商发出成交通知书</w:t>
      </w:r>
      <w:r>
        <w:rPr>
          <w:rFonts w:hint="eastAsia" w:hAnsi="宋体"/>
          <w:color w:val="auto"/>
        </w:rPr>
        <w:t>。</w:t>
      </w:r>
    </w:p>
    <w:p w14:paraId="25E051DB">
      <w:pPr>
        <w:pStyle w:val="22"/>
        <w:spacing w:line="360" w:lineRule="exact"/>
        <w:ind w:left="105" w:firstLine="315"/>
        <w:rPr>
          <w:rFonts w:hint="eastAsia"/>
          <w:bCs/>
          <w:color w:val="auto"/>
        </w:rPr>
      </w:pPr>
      <w:r>
        <w:rPr>
          <w:rFonts w:hint="eastAsia"/>
          <w:color w:val="auto"/>
        </w:rPr>
        <w:t>13.2谈判供应商</w:t>
      </w:r>
      <w:r>
        <w:rPr>
          <w:rFonts w:hint="eastAsia" w:cs="宋体"/>
          <w:color w:val="auto"/>
          <w:kern w:val="0"/>
        </w:rPr>
        <w:t>认为采购过程、成交结果使自己的权益受到损害的</w:t>
      </w:r>
      <w:r>
        <w:rPr>
          <w:rFonts w:hint="eastAsia"/>
          <w:color w:val="auto"/>
        </w:rPr>
        <w:t>，</w:t>
      </w:r>
      <w:r>
        <w:rPr>
          <w:rFonts w:hint="eastAsia" w:cs="宋体"/>
          <w:color w:val="auto"/>
          <w:kern w:val="0"/>
        </w:rPr>
        <w:t>可以在成交结果公告期限届满之日起</w:t>
      </w:r>
      <w:r>
        <w:rPr>
          <w:rFonts w:hint="eastAsia"/>
          <w:bCs/>
          <w:color w:val="auto"/>
        </w:rPr>
        <w:t>七个工作日内以书面形式向采购代理机构提出质疑</w:t>
      </w:r>
      <w:r>
        <w:rPr>
          <w:rFonts w:hint="eastAsia"/>
          <w:color w:val="auto"/>
        </w:rPr>
        <w:t>，供应商在法定质疑期内必须一次性提出针对同一采购程序环节的质疑</w:t>
      </w:r>
      <w:r>
        <w:rPr>
          <w:rFonts w:hint="eastAsia"/>
          <w:bCs/>
          <w:color w:val="auto"/>
        </w:rPr>
        <w:t>。采购代理机构将在收到</w:t>
      </w:r>
      <w:r>
        <w:rPr>
          <w:rFonts w:hint="eastAsia"/>
          <w:color w:val="auto"/>
        </w:rPr>
        <w:t>谈判供应商</w:t>
      </w:r>
      <w:r>
        <w:rPr>
          <w:rFonts w:hint="eastAsia"/>
          <w:bCs/>
          <w:color w:val="auto"/>
        </w:rPr>
        <w:t>的书面质疑后七个工作日内做出答复，但答复的内容不得涉及商业秘密。</w:t>
      </w:r>
    </w:p>
    <w:p w14:paraId="29B1072A">
      <w:pPr>
        <w:pStyle w:val="22"/>
        <w:spacing w:line="360" w:lineRule="exact"/>
        <w:ind w:firstLine="420"/>
        <w:rPr>
          <w:rFonts w:hint="eastAsia"/>
          <w:bCs/>
          <w:color w:val="auto"/>
        </w:rPr>
      </w:pPr>
      <w:r>
        <w:rPr>
          <w:rFonts w:hint="eastAsia"/>
          <w:color w:val="auto"/>
        </w:rPr>
        <w:t>13.3</w:t>
      </w:r>
      <w:r>
        <w:rPr>
          <w:rFonts w:hint="eastAsia"/>
          <w:bCs/>
          <w:color w:val="auto"/>
        </w:rPr>
        <w:t>质疑</w:t>
      </w:r>
      <w:r>
        <w:rPr>
          <w:rFonts w:hint="eastAsia"/>
          <w:color w:val="auto"/>
        </w:rPr>
        <w:t>谈判供应商</w:t>
      </w:r>
      <w:r>
        <w:rPr>
          <w:rFonts w:hint="eastAsia"/>
          <w:bCs/>
          <w:color w:val="auto"/>
        </w:rPr>
        <w:t>必须首先经过质疑程序，在对采购代理机构的答复不满意或者采购代理机构未在规定的时间内做出答复的，可以在答复期满后十五个工作日内书面向本级政府采购监督管理部门投诉。</w:t>
      </w:r>
    </w:p>
    <w:p w14:paraId="076CB07A">
      <w:pPr>
        <w:snapToGrid w:val="0"/>
        <w:spacing w:line="360" w:lineRule="exact"/>
        <w:ind w:firstLine="420" w:firstLineChars="200"/>
        <w:rPr>
          <w:rFonts w:hint="eastAsia" w:ascii="宋体" w:hAnsi="宋体" w:cs="Courier New"/>
          <w:bCs/>
          <w:color w:val="auto"/>
          <w:szCs w:val="21"/>
        </w:rPr>
      </w:pPr>
      <w:r>
        <w:rPr>
          <w:rFonts w:hint="eastAsia" w:ascii="宋体" w:hAnsi="宋体" w:cs="Courier New"/>
          <w:bCs/>
          <w:color w:val="auto"/>
          <w:szCs w:val="21"/>
        </w:rPr>
        <w:t>接收质疑函方式：以书面形式。</w:t>
      </w:r>
    </w:p>
    <w:p w14:paraId="6FBAE01B">
      <w:pPr>
        <w:snapToGrid w:val="0"/>
        <w:spacing w:line="360" w:lineRule="exact"/>
        <w:ind w:firstLine="420" w:firstLineChars="200"/>
        <w:rPr>
          <w:rFonts w:hint="eastAsia" w:ascii="宋体" w:hAnsi="宋体" w:cs="Courier New"/>
          <w:bCs/>
          <w:color w:val="auto"/>
          <w:szCs w:val="21"/>
        </w:rPr>
      </w:pPr>
      <w:r>
        <w:rPr>
          <w:rFonts w:hint="eastAsia" w:ascii="宋体" w:hAnsi="宋体" w:cs="Courier New"/>
          <w:bCs/>
          <w:color w:val="auto"/>
          <w:szCs w:val="21"/>
        </w:rPr>
        <w:t>质疑联系部门及联系方式：广西中吉银工程项目管理有限公司，联系电话：0771-3120820，通讯地址：广西中吉银工程项目管理有限公司（南宁市青秀区民族大道159号凤岭·新新家园A区2栋15层）</w:t>
      </w:r>
    </w:p>
    <w:p w14:paraId="6F3456F4">
      <w:pPr>
        <w:pStyle w:val="22"/>
        <w:spacing w:line="360" w:lineRule="exact"/>
        <w:ind w:firstLine="420" w:firstLineChars="200"/>
        <w:rPr>
          <w:rFonts w:hint="eastAsia"/>
          <w:bCs/>
          <w:color w:val="auto"/>
        </w:rPr>
      </w:pPr>
      <w:r>
        <w:rPr>
          <w:rFonts w:hint="eastAsia"/>
          <w:bCs/>
          <w:color w:val="auto"/>
        </w:rPr>
        <w:t>业务时间：工作日每天上午8时30分到12时00分，下午15时00分到18时00分。</w:t>
      </w:r>
    </w:p>
    <w:p w14:paraId="45F8C541">
      <w:pPr>
        <w:pStyle w:val="22"/>
        <w:spacing w:line="360" w:lineRule="exact"/>
        <w:ind w:firstLine="420"/>
        <w:rPr>
          <w:rFonts w:hint="eastAsia"/>
          <w:b/>
          <w:color w:val="auto"/>
        </w:rPr>
      </w:pPr>
      <w:r>
        <w:rPr>
          <w:rFonts w:hint="eastAsia"/>
          <w:b/>
          <w:color w:val="auto"/>
        </w:rPr>
        <w:t>九、签订合同</w:t>
      </w:r>
    </w:p>
    <w:p w14:paraId="73B416C4">
      <w:pPr>
        <w:pStyle w:val="22"/>
        <w:spacing w:line="360" w:lineRule="exact"/>
        <w:ind w:firstLine="420"/>
        <w:rPr>
          <w:rFonts w:hint="eastAsia"/>
          <w:color w:val="auto"/>
        </w:rPr>
      </w:pPr>
      <w:r>
        <w:rPr>
          <w:rFonts w:hint="eastAsia"/>
          <w:color w:val="auto"/>
        </w:rPr>
        <w:t>14.1成交供应商自成交通知书发出之日起</w:t>
      </w:r>
      <w:r>
        <w:rPr>
          <w:rFonts w:hint="eastAsia"/>
          <w:b/>
          <w:color w:val="auto"/>
        </w:rPr>
        <w:t>25日</w:t>
      </w:r>
      <w:r>
        <w:rPr>
          <w:rFonts w:hint="eastAsia"/>
          <w:color w:val="auto"/>
        </w:rPr>
        <w:t>内与采购人签订合同。</w:t>
      </w:r>
    </w:p>
    <w:p w14:paraId="5EDA5A55">
      <w:pPr>
        <w:pStyle w:val="22"/>
        <w:spacing w:line="360" w:lineRule="exact"/>
        <w:ind w:firstLine="420"/>
        <w:rPr>
          <w:rFonts w:hint="eastAsia" w:cs="宋体"/>
          <w:color w:val="auto"/>
          <w:kern w:val="0"/>
        </w:rPr>
      </w:pPr>
      <w:r>
        <w:rPr>
          <w:rFonts w:hint="eastAsia"/>
          <w:color w:val="auto"/>
        </w:rPr>
        <w:t>14.2</w:t>
      </w:r>
      <w:r>
        <w:rPr>
          <w:rFonts w:hint="eastAsia" w:cs="宋体"/>
          <w:color w:val="auto"/>
          <w:kern w:val="0"/>
        </w:rPr>
        <w:t>成交供应商拒绝签订政府采购合同的</w:t>
      </w:r>
      <w:r>
        <w:rPr>
          <w:rFonts w:hint="eastAsia"/>
          <w:color w:val="auto"/>
        </w:rPr>
        <w:t>，采购人可以根据谈判评审报告确定成交供应商之后排名第一的成交候选人</w:t>
      </w:r>
      <w:r>
        <w:rPr>
          <w:rFonts w:hint="eastAsia" w:cs="宋体"/>
          <w:color w:val="auto"/>
          <w:kern w:val="0"/>
        </w:rPr>
        <w:t>作为</w:t>
      </w:r>
      <w:r>
        <w:rPr>
          <w:rFonts w:hint="eastAsia"/>
          <w:color w:val="auto"/>
        </w:rPr>
        <w:t>成交供应商</w:t>
      </w:r>
      <w:r>
        <w:rPr>
          <w:rFonts w:hint="eastAsia" w:cs="宋体"/>
          <w:color w:val="auto"/>
          <w:kern w:val="0"/>
        </w:rPr>
        <w:t>并签订政府采购合同，也可以重新开展采购活动。拒绝签订政府采购合同的成交供应商不得参加对该项目重新开展的采购活动。</w:t>
      </w:r>
    </w:p>
    <w:p w14:paraId="79C855E7">
      <w:pPr>
        <w:pStyle w:val="22"/>
        <w:spacing w:line="360" w:lineRule="exact"/>
        <w:ind w:firstLine="420"/>
        <w:rPr>
          <w:rFonts w:hint="eastAsia"/>
          <w:b/>
          <w:color w:val="auto"/>
        </w:rPr>
      </w:pPr>
      <w:r>
        <w:rPr>
          <w:rFonts w:hint="eastAsia"/>
          <w:b/>
          <w:color w:val="auto"/>
        </w:rPr>
        <w:t>14.3</w:t>
      </w:r>
      <w:r>
        <w:rPr>
          <w:rFonts w:hint="eastAsia" w:cs="宋体"/>
          <w:b/>
          <w:color w:val="auto"/>
          <w:kern w:val="0"/>
        </w:rPr>
        <w:t>成交供应商拒绝签订政府采购合同的</w:t>
      </w:r>
      <w:r>
        <w:rPr>
          <w:rFonts w:hint="eastAsia"/>
          <w:b/>
          <w:color w:val="auto"/>
        </w:rPr>
        <w:t>，其保证金将不予退还，并上缴国库，给采购人造成损失的，还应当赔偿损失，并作为不良行为记录在案。</w:t>
      </w:r>
    </w:p>
    <w:p w14:paraId="159475C2">
      <w:pPr>
        <w:pStyle w:val="22"/>
        <w:spacing w:line="360" w:lineRule="exact"/>
        <w:ind w:firstLine="420"/>
        <w:rPr>
          <w:rFonts w:hint="eastAsia"/>
          <w:b/>
          <w:color w:val="auto"/>
        </w:rPr>
      </w:pPr>
      <w:r>
        <w:rPr>
          <w:rFonts w:hint="eastAsia"/>
          <w:b/>
          <w:color w:val="auto"/>
        </w:rPr>
        <w:t>14.4履约保证金</w:t>
      </w:r>
    </w:p>
    <w:p w14:paraId="7B764A3F">
      <w:pPr>
        <w:pStyle w:val="22"/>
        <w:spacing w:line="360" w:lineRule="exact"/>
        <w:ind w:firstLine="420"/>
        <w:rPr>
          <w:rFonts w:hint="eastAsia"/>
          <w:color w:val="auto"/>
        </w:rPr>
      </w:pPr>
      <w:r>
        <w:rPr>
          <w:rFonts w:hint="eastAsia"/>
          <w:color w:val="auto"/>
        </w:rPr>
        <w:t>1.成交供应商须于签订合同前按本项目关于履约保证金的规定进行办理。否则，不予签订合同。</w:t>
      </w:r>
    </w:p>
    <w:p w14:paraId="040B4AA0">
      <w:pPr>
        <w:pStyle w:val="22"/>
        <w:spacing w:line="360" w:lineRule="exact"/>
        <w:ind w:firstLine="420"/>
        <w:rPr>
          <w:rFonts w:hint="eastAsia"/>
          <w:color w:val="auto"/>
        </w:rPr>
      </w:pPr>
      <w:r>
        <w:rPr>
          <w:rFonts w:hint="eastAsia"/>
          <w:color w:val="auto"/>
        </w:rPr>
        <w:t>2.签订合同后，如成交供应商不按双方签订的合同规定履约，则没收其全部履约保证金，履约保证金不足以赔偿损失的，按实际损失赔偿。</w:t>
      </w:r>
    </w:p>
    <w:p w14:paraId="403A99CB">
      <w:pPr>
        <w:pStyle w:val="22"/>
        <w:spacing w:line="360" w:lineRule="exact"/>
        <w:ind w:firstLine="420"/>
        <w:rPr>
          <w:rFonts w:hint="eastAsia"/>
          <w:color w:val="auto"/>
        </w:rPr>
      </w:pPr>
      <w:r>
        <w:rPr>
          <w:rFonts w:hint="eastAsia"/>
          <w:color w:val="auto"/>
        </w:rPr>
        <w:t>3.在履约保证金退还日期前，若成交供应商的开户名称、开户银行、账号有变动的，请以书面形式通知履约保证金收取机构，否则由此产生的后果由成交供应商自负。</w:t>
      </w:r>
    </w:p>
    <w:p w14:paraId="232AC708">
      <w:pPr>
        <w:pStyle w:val="22"/>
        <w:spacing w:line="360" w:lineRule="exact"/>
        <w:ind w:firstLine="420"/>
        <w:rPr>
          <w:rFonts w:hint="eastAsia"/>
          <w:b/>
          <w:color w:val="auto"/>
        </w:rPr>
      </w:pPr>
      <w:r>
        <w:rPr>
          <w:rFonts w:hint="eastAsia"/>
          <w:b/>
          <w:color w:val="auto"/>
        </w:rPr>
        <w:t>十、适用法律</w:t>
      </w:r>
    </w:p>
    <w:p w14:paraId="3B223FEB">
      <w:pPr>
        <w:pStyle w:val="22"/>
        <w:spacing w:line="360" w:lineRule="exact"/>
        <w:ind w:firstLine="420"/>
        <w:rPr>
          <w:rFonts w:hint="eastAsia"/>
          <w:color w:val="auto"/>
        </w:rPr>
      </w:pPr>
      <w:r>
        <w:rPr>
          <w:rFonts w:hint="eastAsia"/>
          <w:color w:val="auto"/>
        </w:rPr>
        <w:t>15.采购当事人的一切活动均适用于《中华人民共和国政府采购法》及相关规定。最终谈判结束后，谈判小组不得再与谈判供应商进行任何形式的商谈。</w:t>
      </w:r>
    </w:p>
    <w:p w14:paraId="2BFAF530">
      <w:pPr>
        <w:spacing w:line="360" w:lineRule="exact"/>
        <w:ind w:firstLine="422" w:firstLineChars="200"/>
        <w:rPr>
          <w:rFonts w:hint="eastAsia" w:ascii="宋体" w:hAnsi="宋体"/>
          <w:b/>
          <w:color w:val="auto"/>
          <w:szCs w:val="21"/>
        </w:rPr>
      </w:pPr>
      <w:r>
        <w:rPr>
          <w:rFonts w:hint="eastAsia" w:ascii="宋体" w:hAnsi="宋体"/>
          <w:b/>
          <w:color w:val="auto"/>
          <w:szCs w:val="21"/>
        </w:rPr>
        <w:t>十一、其他事项</w:t>
      </w:r>
    </w:p>
    <w:p w14:paraId="559CEB9B">
      <w:pPr>
        <w:spacing w:line="360" w:lineRule="exact"/>
        <w:ind w:firstLine="422" w:firstLineChars="200"/>
        <w:rPr>
          <w:rFonts w:hint="eastAsia" w:ascii="宋体" w:hAnsi="宋体" w:cs="Courier New"/>
          <w:b/>
          <w:color w:val="auto"/>
          <w:szCs w:val="21"/>
        </w:rPr>
      </w:pPr>
      <w:r>
        <w:rPr>
          <w:rFonts w:hint="eastAsia" w:ascii="宋体" w:hAnsi="宋体" w:cs="Courier New"/>
          <w:b/>
          <w:color w:val="auto"/>
          <w:szCs w:val="21"/>
        </w:rPr>
        <w:t>16.1成交服务费</w:t>
      </w:r>
    </w:p>
    <w:p w14:paraId="000789DB">
      <w:pPr>
        <w:spacing w:line="360" w:lineRule="exact"/>
        <w:ind w:firstLine="420" w:firstLineChars="200"/>
        <w:rPr>
          <w:rFonts w:hint="eastAsia" w:hAnsi="宋体"/>
          <w:color w:val="auto"/>
        </w:rPr>
      </w:pPr>
      <w:r>
        <w:rPr>
          <w:rFonts w:hint="eastAsia" w:hAnsi="宋体"/>
          <w:color w:val="auto"/>
        </w:rPr>
        <w:t>（1）代理服务费参照原国家发展计划委员会《招标代理服务费管理暂行办法》（计价格〔2002〕1980号）收费标准向成交供应商收取，具体详见“供应商须知前附表”，供应商为联合体的，可以由联合体中的一方或者多方共同交纳代理服务费</w:t>
      </w:r>
    </w:p>
    <w:p w14:paraId="3C40434B">
      <w:pPr>
        <w:spacing w:line="360" w:lineRule="exact"/>
        <w:ind w:firstLine="420" w:firstLineChars="200"/>
        <w:rPr>
          <w:rFonts w:hint="eastAsia" w:hAnsi="宋体"/>
          <w:color w:val="auto"/>
        </w:rPr>
      </w:pPr>
      <w:r>
        <w:rPr>
          <w:rFonts w:hint="eastAsia" w:hAnsi="宋体"/>
          <w:color w:val="auto"/>
        </w:rPr>
        <w:t>（2）代理服务收费标准</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2"/>
        <w:gridCol w:w="1659"/>
        <w:gridCol w:w="1532"/>
        <w:gridCol w:w="1546"/>
      </w:tblGrid>
      <w:tr w14:paraId="5DFC2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Borders>
              <w:tl2br w:val="single" w:color="auto" w:sz="4" w:space="0"/>
            </w:tcBorders>
          </w:tcPr>
          <w:p w14:paraId="08625896">
            <w:pPr>
              <w:rPr>
                <w:color w:val="auto"/>
                <w:szCs w:val="21"/>
              </w:rPr>
            </w:pPr>
            <w:r>
              <w:rPr>
                <w:rFonts w:hint="eastAsia"/>
                <w:color w:val="auto"/>
                <w:szCs w:val="21"/>
              </w:rPr>
              <w:t xml:space="preserve">               费率</w:t>
            </w:r>
          </w:p>
          <w:p w14:paraId="3FED266B">
            <w:pPr>
              <w:rPr>
                <w:color w:val="auto"/>
                <w:szCs w:val="21"/>
              </w:rPr>
            </w:pPr>
            <w:r>
              <w:rPr>
                <w:rFonts w:hint="eastAsia"/>
                <w:color w:val="auto"/>
                <w:szCs w:val="21"/>
              </w:rPr>
              <w:t>中标金额</w:t>
            </w:r>
          </w:p>
        </w:tc>
        <w:tc>
          <w:tcPr>
            <w:tcW w:w="1659" w:type="dxa"/>
            <w:vAlign w:val="center"/>
          </w:tcPr>
          <w:p w14:paraId="07E7ABFE">
            <w:pPr>
              <w:ind w:firstLine="105" w:firstLineChars="50"/>
              <w:jc w:val="center"/>
              <w:rPr>
                <w:color w:val="auto"/>
                <w:szCs w:val="21"/>
              </w:rPr>
            </w:pPr>
            <w:r>
              <w:rPr>
                <w:rFonts w:hint="eastAsia"/>
                <w:color w:val="auto"/>
                <w:szCs w:val="21"/>
              </w:rPr>
              <w:t>货物招标</w:t>
            </w:r>
          </w:p>
        </w:tc>
        <w:tc>
          <w:tcPr>
            <w:tcW w:w="1532" w:type="dxa"/>
            <w:vAlign w:val="center"/>
          </w:tcPr>
          <w:p w14:paraId="5DBDEFEF">
            <w:pPr>
              <w:jc w:val="center"/>
              <w:rPr>
                <w:color w:val="auto"/>
                <w:szCs w:val="21"/>
              </w:rPr>
            </w:pPr>
            <w:r>
              <w:rPr>
                <w:rFonts w:hint="eastAsia"/>
                <w:color w:val="auto"/>
                <w:szCs w:val="21"/>
              </w:rPr>
              <w:t>服务招标</w:t>
            </w:r>
          </w:p>
        </w:tc>
        <w:tc>
          <w:tcPr>
            <w:tcW w:w="1546" w:type="dxa"/>
            <w:vAlign w:val="center"/>
          </w:tcPr>
          <w:p w14:paraId="5AAA9AA9">
            <w:pPr>
              <w:jc w:val="center"/>
              <w:rPr>
                <w:color w:val="auto"/>
                <w:szCs w:val="21"/>
              </w:rPr>
            </w:pPr>
            <w:r>
              <w:rPr>
                <w:rFonts w:hint="eastAsia"/>
                <w:color w:val="auto"/>
                <w:szCs w:val="21"/>
              </w:rPr>
              <w:t>工程招标</w:t>
            </w:r>
          </w:p>
        </w:tc>
      </w:tr>
      <w:tr w14:paraId="5E43E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2CBFCD0A">
            <w:pPr>
              <w:rPr>
                <w:color w:val="auto"/>
                <w:szCs w:val="21"/>
              </w:rPr>
            </w:pPr>
            <w:r>
              <w:rPr>
                <w:rFonts w:hint="eastAsia"/>
                <w:color w:val="auto"/>
                <w:szCs w:val="21"/>
              </w:rPr>
              <w:t>100万元以下</w:t>
            </w:r>
          </w:p>
        </w:tc>
        <w:tc>
          <w:tcPr>
            <w:tcW w:w="1659" w:type="dxa"/>
          </w:tcPr>
          <w:p w14:paraId="5529BE64">
            <w:pPr>
              <w:rPr>
                <w:color w:val="auto"/>
                <w:szCs w:val="21"/>
              </w:rPr>
            </w:pPr>
            <w:r>
              <w:rPr>
                <w:rFonts w:hint="eastAsia" w:ascii="宋体" w:hAnsi="宋体" w:cs="宋体"/>
                <w:color w:val="auto"/>
                <w:kern w:val="0"/>
                <w:szCs w:val="21"/>
              </w:rPr>
              <w:t xml:space="preserve">  </w:t>
            </w:r>
            <w:r>
              <w:rPr>
                <w:rFonts w:ascii="宋体" w:hAnsi="宋体" w:cs="宋体"/>
                <w:color w:val="auto"/>
                <w:kern w:val="0"/>
                <w:szCs w:val="21"/>
              </w:rPr>
              <w:t xml:space="preserve">1.5% </w:t>
            </w:r>
            <w:r>
              <w:rPr>
                <w:rFonts w:hint="eastAsia" w:ascii="宋体" w:hAnsi="宋体" w:cs="宋体"/>
                <w:color w:val="auto"/>
                <w:kern w:val="0"/>
                <w:szCs w:val="21"/>
              </w:rPr>
              <w:t xml:space="preserve">          </w:t>
            </w:r>
            <w:r>
              <w:rPr>
                <w:rFonts w:ascii="宋体" w:hAnsi="宋体" w:cs="宋体"/>
                <w:color w:val="auto"/>
                <w:kern w:val="0"/>
                <w:szCs w:val="21"/>
              </w:rPr>
              <w:t xml:space="preserve"> </w:t>
            </w:r>
            <w:r>
              <w:rPr>
                <w:rFonts w:hint="eastAsia" w:ascii="宋体" w:hAnsi="宋体" w:cs="宋体"/>
                <w:color w:val="auto"/>
                <w:kern w:val="0"/>
                <w:szCs w:val="21"/>
              </w:rPr>
              <w:t xml:space="preserve">    </w:t>
            </w:r>
          </w:p>
        </w:tc>
        <w:tc>
          <w:tcPr>
            <w:tcW w:w="1532" w:type="dxa"/>
          </w:tcPr>
          <w:p w14:paraId="3D79E04A">
            <w:pPr>
              <w:ind w:firstLine="210" w:firstLineChars="100"/>
              <w:rPr>
                <w:color w:val="auto"/>
                <w:szCs w:val="21"/>
              </w:rPr>
            </w:pPr>
            <w:r>
              <w:rPr>
                <w:rFonts w:ascii="宋体" w:hAnsi="宋体" w:cs="宋体"/>
                <w:color w:val="auto"/>
                <w:kern w:val="0"/>
                <w:szCs w:val="21"/>
              </w:rPr>
              <w:t>1.5%</w:t>
            </w:r>
          </w:p>
        </w:tc>
        <w:tc>
          <w:tcPr>
            <w:tcW w:w="1546" w:type="dxa"/>
          </w:tcPr>
          <w:p w14:paraId="079E482F">
            <w:pPr>
              <w:ind w:firstLine="210" w:firstLineChars="100"/>
              <w:rPr>
                <w:color w:val="auto"/>
                <w:szCs w:val="21"/>
              </w:rPr>
            </w:pPr>
            <w:r>
              <w:rPr>
                <w:rFonts w:ascii="宋体" w:hAnsi="宋体" w:cs="宋体"/>
                <w:color w:val="auto"/>
                <w:kern w:val="0"/>
                <w:szCs w:val="21"/>
              </w:rPr>
              <w:t xml:space="preserve">1.0% </w:t>
            </w:r>
          </w:p>
        </w:tc>
      </w:tr>
      <w:tr w14:paraId="754B7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6E665B97">
            <w:pPr>
              <w:rPr>
                <w:color w:val="auto"/>
                <w:szCs w:val="21"/>
              </w:rPr>
            </w:pPr>
            <w:r>
              <w:rPr>
                <w:rFonts w:hint="eastAsia"/>
                <w:color w:val="auto"/>
                <w:szCs w:val="21"/>
              </w:rPr>
              <w:t>10</w:t>
            </w:r>
            <w:r>
              <w:rPr>
                <w:rFonts w:hint="eastAsia" w:ascii="宋体" w:hAnsi="宋体"/>
                <w:color w:val="auto"/>
                <w:szCs w:val="21"/>
              </w:rPr>
              <w:t>0～</w:t>
            </w:r>
            <w:r>
              <w:rPr>
                <w:rFonts w:hint="eastAsia"/>
                <w:color w:val="auto"/>
                <w:szCs w:val="21"/>
              </w:rPr>
              <w:t>500万元</w:t>
            </w:r>
          </w:p>
        </w:tc>
        <w:tc>
          <w:tcPr>
            <w:tcW w:w="1659" w:type="dxa"/>
          </w:tcPr>
          <w:p w14:paraId="67D4A019">
            <w:pPr>
              <w:ind w:firstLine="210" w:firstLineChars="100"/>
              <w:rPr>
                <w:color w:val="auto"/>
                <w:szCs w:val="21"/>
              </w:rPr>
            </w:pPr>
            <w:r>
              <w:rPr>
                <w:rFonts w:ascii="宋体" w:hAnsi="宋体" w:cs="宋体"/>
                <w:color w:val="auto"/>
                <w:kern w:val="0"/>
                <w:szCs w:val="21"/>
              </w:rPr>
              <w:t xml:space="preserve">1.1% </w:t>
            </w:r>
            <w:r>
              <w:rPr>
                <w:rFonts w:hint="eastAsia" w:ascii="宋体" w:hAnsi="宋体" w:cs="宋体"/>
                <w:color w:val="auto"/>
                <w:kern w:val="0"/>
                <w:szCs w:val="21"/>
              </w:rPr>
              <w:t xml:space="preserve">                </w:t>
            </w:r>
          </w:p>
        </w:tc>
        <w:tc>
          <w:tcPr>
            <w:tcW w:w="1532" w:type="dxa"/>
          </w:tcPr>
          <w:p w14:paraId="630EBCD1">
            <w:pPr>
              <w:ind w:firstLine="210" w:firstLineChars="100"/>
              <w:rPr>
                <w:color w:val="auto"/>
                <w:szCs w:val="21"/>
              </w:rPr>
            </w:pPr>
            <w:r>
              <w:rPr>
                <w:rFonts w:ascii="宋体" w:hAnsi="宋体" w:cs="宋体"/>
                <w:color w:val="auto"/>
                <w:kern w:val="0"/>
                <w:szCs w:val="21"/>
              </w:rPr>
              <w:t>0.8%</w:t>
            </w:r>
          </w:p>
        </w:tc>
        <w:tc>
          <w:tcPr>
            <w:tcW w:w="1546" w:type="dxa"/>
          </w:tcPr>
          <w:p w14:paraId="476E80AE">
            <w:pPr>
              <w:ind w:firstLine="210" w:firstLineChars="100"/>
              <w:rPr>
                <w:color w:val="auto"/>
                <w:szCs w:val="21"/>
              </w:rPr>
            </w:pPr>
            <w:r>
              <w:rPr>
                <w:rFonts w:ascii="宋体" w:hAnsi="宋体" w:cs="宋体"/>
                <w:color w:val="auto"/>
                <w:kern w:val="0"/>
                <w:szCs w:val="21"/>
              </w:rPr>
              <w:t xml:space="preserve">0.7% </w:t>
            </w:r>
          </w:p>
        </w:tc>
      </w:tr>
      <w:tr w14:paraId="74AE9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6BF382C0">
            <w:pPr>
              <w:rPr>
                <w:color w:val="auto"/>
                <w:szCs w:val="21"/>
              </w:rPr>
            </w:pPr>
            <w:r>
              <w:rPr>
                <w:rFonts w:hint="eastAsia"/>
                <w:color w:val="auto"/>
                <w:szCs w:val="21"/>
              </w:rPr>
              <w:t>50</w:t>
            </w:r>
            <w:r>
              <w:rPr>
                <w:rFonts w:hint="eastAsia" w:ascii="宋体" w:hAnsi="宋体"/>
                <w:color w:val="auto"/>
                <w:szCs w:val="21"/>
              </w:rPr>
              <w:t>0～</w:t>
            </w:r>
            <w:r>
              <w:rPr>
                <w:rFonts w:hint="eastAsia"/>
                <w:color w:val="auto"/>
                <w:szCs w:val="21"/>
              </w:rPr>
              <w:t>1000万元</w:t>
            </w:r>
          </w:p>
        </w:tc>
        <w:tc>
          <w:tcPr>
            <w:tcW w:w="1659" w:type="dxa"/>
          </w:tcPr>
          <w:p w14:paraId="77EBFA8E">
            <w:pPr>
              <w:rPr>
                <w:color w:val="auto"/>
                <w:szCs w:val="21"/>
              </w:rPr>
            </w:pPr>
            <w:r>
              <w:rPr>
                <w:rFonts w:hint="eastAsia" w:ascii="宋体" w:hAnsi="宋体" w:cs="宋体"/>
                <w:color w:val="auto"/>
                <w:kern w:val="0"/>
                <w:szCs w:val="21"/>
              </w:rPr>
              <w:t xml:space="preserve">  </w:t>
            </w:r>
            <w:r>
              <w:rPr>
                <w:rFonts w:ascii="宋体" w:hAnsi="宋体" w:cs="宋体"/>
                <w:color w:val="auto"/>
                <w:kern w:val="0"/>
                <w:szCs w:val="21"/>
              </w:rPr>
              <w:t xml:space="preserve">0.8% </w:t>
            </w:r>
            <w:r>
              <w:rPr>
                <w:rFonts w:hint="eastAsia" w:ascii="宋体" w:hAnsi="宋体" w:cs="宋体"/>
                <w:color w:val="auto"/>
                <w:kern w:val="0"/>
                <w:szCs w:val="21"/>
              </w:rPr>
              <w:t xml:space="preserve">               </w:t>
            </w:r>
          </w:p>
        </w:tc>
        <w:tc>
          <w:tcPr>
            <w:tcW w:w="1532" w:type="dxa"/>
          </w:tcPr>
          <w:p w14:paraId="32F80EB3">
            <w:pPr>
              <w:ind w:firstLine="210" w:firstLineChars="100"/>
              <w:rPr>
                <w:color w:val="auto"/>
                <w:szCs w:val="21"/>
              </w:rPr>
            </w:pPr>
            <w:r>
              <w:rPr>
                <w:rFonts w:ascii="宋体" w:hAnsi="宋体" w:cs="宋体"/>
                <w:color w:val="auto"/>
                <w:kern w:val="0"/>
                <w:szCs w:val="21"/>
              </w:rPr>
              <w:t>0.45%</w:t>
            </w:r>
          </w:p>
        </w:tc>
        <w:tc>
          <w:tcPr>
            <w:tcW w:w="1546" w:type="dxa"/>
          </w:tcPr>
          <w:p w14:paraId="7158BF44">
            <w:pPr>
              <w:ind w:firstLine="210" w:firstLineChars="100"/>
              <w:rPr>
                <w:color w:val="auto"/>
                <w:szCs w:val="21"/>
              </w:rPr>
            </w:pPr>
            <w:r>
              <w:rPr>
                <w:rFonts w:ascii="宋体" w:hAnsi="宋体" w:cs="宋体"/>
                <w:color w:val="auto"/>
                <w:kern w:val="0"/>
                <w:szCs w:val="21"/>
              </w:rPr>
              <w:t>0.55%</w:t>
            </w:r>
          </w:p>
        </w:tc>
      </w:tr>
      <w:tr w14:paraId="7DD26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68D19893">
            <w:pPr>
              <w:rPr>
                <w:color w:val="auto"/>
                <w:szCs w:val="21"/>
              </w:rPr>
            </w:pPr>
            <w:r>
              <w:rPr>
                <w:rFonts w:hint="eastAsia"/>
                <w:color w:val="auto"/>
                <w:szCs w:val="21"/>
              </w:rPr>
              <w:t>100</w:t>
            </w:r>
            <w:r>
              <w:rPr>
                <w:rFonts w:hint="eastAsia" w:ascii="宋体" w:hAnsi="宋体"/>
                <w:color w:val="auto"/>
                <w:szCs w:val="21"/>
              </w:rPr>
              <w:t>0～</w:t>
            </w:r>
            <w:r>
              <w:rPr>
                <w:rFonts w:hint="eastAsia"/>
                <w:color w:val="auto"/>
                <w:szCs w:val="21"/>
              </w:rPr>
              <w:t>5000万元</w:t>
            </w:r>
          </w:p>
        </w:tc>
        <w:tc>
          <w:tcPr>
            <w:tcW w:w="1659" w:type="dxa"/>
          </w:tcPr>
          <w:p w14:paraId="4BD73005">
            <w:pPr>
              <w:ind w:firstLine="210" w:firstLineChars="100"/>
              <w:rPr>
                <w:color w:val="auto"/>
                <w:szCs w:val="21"/>
              </w:rPr>
            </w:pPr>
            <w:r>
              <w:rPr>
                <w:rFonts w:ascii="宋体" w:hAnsi="宋体" w:cs="宋体"/>
                <w:color w:val="auto"/>
                <w:kern w:val="0"/>
                <w:szCs w:val="21"/>
              </w:rPr>
              <w:t xml:space="preserve">0.5% </w:t>
            </w:r>
            <w:r>
              <w:rPr>
                <w:rFonts w:hint="eastAsia" w:ascii="宋体" w:hAnsi="宋体" w:cs="宋体"/>
                <w:color w:val="auto"/>
                <w:kern w:val="0"/>
                <w:szCs w:val="21"/>
              </w:rPr>
              <w:t xml:space="preserve">               </w:t>
            </w:r>
          </w:p>
        </w:tc>
        <w:tc>
          <w:tcPr>
            <w:tcW w:w="1532" w:type="dxa"/>
          </w:tcPr>
          <w:p w14:paraId="195A09E2">
            <w:pPr>
              <w:ind w:firstLine="210" w:firstLineChars="100"/>
              <w:rPr>
                <w:color w:val="auto"/>
                <w:szCs w:val="21"/>
              </w:rPr>
            </w:pPr>
            <w:r>
              <w:rPr>
                <w:rFonts w:ascii="宋体" w:hAnsi="宋体" w:cs="宋体"/>
                <w:color w:val="auto"/>
                <w:kern w:val="0"/>
                <w:szCs w:val="21"/>
              </w:rPr>
              <w:t>0.25%</w:t>
            </w:r>
          </w:p>
        </w:tc>
        <w:tc>
          <w:tcPr>
            <w:tcW w:w="1546" w:type="dxa"/>
          </w:tcPr>
          <w:p w14:paraId="2E39E351">
            <w:pPr>
              <w:ind w:firstLine="210" w:firstLineChars="100"/>
              <w:rPr>
                <w:color w:val="auto"/>
                <w:szCs w:val="21"/>
              </w:rPr>
            </w:pPr>
            <w:r>
              <w:rPr>
                <w:rFonts w:ascii="宋体" w:hAnsi="宋体" w:cs="宋体"/>
                <w:color w:val="auto"/>
                <w:kern w:val="0"/>
                <w:szCs w:val="21"/>
              </w:rPr>
              <w:t xml:space="preserve">0.35% </w:t>
            </w:r>
          </w:p>
        </w:tc>
      </w:tr>
      <w:tr w14:paraId="57C92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0BD79C7E">
            <w:pPr>
              <w:rPr>
                <w:rFonts w:hint="eastAsia" w:ascii="宋体" w:hAnsi="宋体"/>
                <w:color w:val="auto"/>
                <w:szCs w:val="21"/>
              </w:rPr>
            </w:pPr>
            <w:r>
              <w:rPr>
                <w:rFonts w:hint="eastAsia" w:ascii="宋体" w:hAnsi="宋体"/>
                <w:color w:val="auto"/>
                <w:szCs w:val="21"/>
              </w:rPr>
              <w:t>5000万元～1亿元</w:t>
            </w:r>
          </w:p>
        </w:tc>
        <w:tc>
          <w:tcPr>
            <w:tcW w:w="1659" w:type="dxa"/>
          </w:tcPr>
          <w:p w14:paraId="699B4F09">
            <w:pPr>
              <w:ind w:firstLine="210" w:firstLineChars="100"/>
              <w:rPr>
                <w:rFonts w:hint="eastAsia" w:ascii="宋体" w:hAnsi="宋体"/>
                <w:color w:val="auto"/>
                <w:szCs w:val="21"/>
              </w:rPr>
            </w:pPr>
            <w:r>
              <w:rPr>
                <w:rFonts w:ascii="宋体" w:hAnsi="宋体" w:cs="宋体"/>
                <w:color w:val="auto"/>
                <w:kern w:val="0"/>
                <w:szCs w:val="21"/>
              </w:rPr>
              <w:t xml:space="preserve">0.25% </w:t>
            </w:r>
            <w:r>
              <w:rPr>
                <w:rFonts w:hint="eastAsia" w:ascii="宋体" w:hAnsi="宋体" w:cs="宋体"/>
                <w:color w:val="auto"/>
                <w:kern w:val="0"/>
                <w:szCs w:val="21"/>
              </w:rPr>
              <w:t xml:space="preserve">      </w:t>
            </w:r>
            <w:r>
              <w:rPr>
                <w:rFonts w:ascii="宋体" w:hAnsi="宋体" w:cs="宋体"/>
                <w:color w:val="auto"/>
                <w:kern w:val="0"/>
                <w:szCs w:val="21"/>
              </w:rPr>
              <w:t xml:space="preserve"> </w:t>
            </w:r>
            <w:r>
              <w:rPr>
                <w:rFonts w:hint="eastAsia" w:ascii="宋体" w:hAnsi="宋体" w:cs="宋体"/>
                <w:color w:val="auto"/>
                <w:kern w:val="0"/>
                <w:szCs w:val="21"/>
              </w:rPr>
              <w:t xml:space="preserve">         </w:t>
            </w:r>
          </w:p>
        </w:tc>
        <w:tc>
          <w:tcPr>
            <w:tcW w:w="1532" w:type="dxa"/>
          </w:tcPr>
          <w:p w14:paraId="0633EE21">
            <w:pPr>
              <w:ind w:firstLine="210" w:firstLineChars="100"/>
              <w:rPr>
                <w:rFonts w:hint="eastAsia" w:ascii="宋体" w:hAnsi="宋体"/>
                <w:color w:val="auto"/>
                <w:szCs w:val="21"/>
              </w:rPr>
            </w:pPr>
            <w:r>
              <w:rPr>
                <w:rFonts w:ascii="宋体" w:hAnsi="宋体" w:cs="宋体"/>
                <w:color w:val="auto"/>
                <w:kern w:val="0"/>
                <w:szCs w:val="21"/>
              </w:rPr>
              <w:t>0.1%</w:t>
            </w:r>
          </w:p>
        </w:tc>
        <w:tc>
          <w:tcPr>
            <w:tcW w:w="1546" w:type="dxa"/>
          </w:tcPr>
          <w:p w14:paraId="11432402">
            <w:pPr>
              <w:ind w:firstLine="210" w:firstLineChars="100"/>
              <w:rPr>
                <w:rFonts w:hint="eastAsia" w:ascii="宋体" w:hAnsi="宋体"/>
                <w:color w:val="auto"/>
                <w:szCs w:val="21"/>
              </w:rPr>
            </w:pPr>
            <w:r>
              <w:rPr>
                <w:rFonts w:ascii="宋体" w:hAnsi="宋体" w:cs="宋体"/>
                <w:color w:val="auto"/>
                <w:kern w:val="0"/>
                <w:szCs w:val="21"/>
              </w:rPr>
              <w:t>0.2%</w:t>
            </w:r>
          </w:p>
        </w:tc>
      </w:tr>
      <w:tr w14:paraId="49C1F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5AF01FD7">
            <w:pPr>
              <w:rPr>
                <w:rFonts w:hint="eastAsia" w:ascii="宋体" w:hAnsi="宋体"/>
                <w:color w:val="auto"/>
                <w:szCs w:val="21"/>
              </w:rPr>
            </w:pPr>
            <w:r>
              <w:rPr>
                <w:rFonts w:hint="eastAsia" w:ascii="宋体" w:hAnsi="宋体"/>
                <w:color w:val="auto"/>
                <w:szCs w:val="21"/>
              </w:rPr>
              <w:t>1～5亿元</w:t>
            </w:r>
          </w:p>
        </w:tc>
        <w:tc>
          <w:tcPr>
            <w:tcW w:w="1659" w:type="dxa"/>
          </w:tcPr>
          <w:p w14:paraId="4902740A">
            <w:pPr>
              <w:ind w:firstLine="210" w:firstLineChars="100"/>
              <w:rPr>
                <w:rFonts w:hint="eastAsia" w:ascii="宋体" w:hAnsi="宋体"/>
                <w:color w:val="auto"/>
                <w:szCs w:val="21"/>
              </w:rPr>
            </w:pPr>
            <w:r>
              <w:rPr>
                <w:rFonts w:hint="eastAsia" w:ascii="宋体" w:hAnsi="宋体"/>
                <w:color w:val="auto"/>
                <w:szCs w:val="21"/>
              </w:rPr>
              <w:t>0.05%</w:t>
            </w:r>
          </w:p>
        </w:tc>
        <w:tc>
          <w:tcPr>
            <w:tcW w:w="1532" w:type="dxa"/>
          </w:tcPr>
          <w:p w14:paraId="7E2A83EA">
            <w:pPr>
              <w:rPr>
                <w:rFonts w:hint="eastAsia" w:ascii="宋体" w:hAnsi="宋体"/>
                <w:color w:val="auto"/>
                <w:szCs w:val="21"/>
              </w:rPr>
            </w:pPr>
            <w:r>
              <w:rPr>
                <w:rFonts w:hint="eastAsia" w:ascii="宋体" w:hAnsi="宋体"/>
                <w:color w:val="auto"/>
                <w:szCs w:val="21"/>
              </w:rPr>
              <w:t xml:space="preserve">  0.05%</w:t>
            </w:r>
          </w:p>
        </w:tc>
        <w:tc>
          <w:tcPr>
            <w:tcW w:w="1546" w:type="dxa"/>
          </w:tcPr>
          <w:p w14:paraId="40139182">
            <w:pPr>
              <w:rPr>
                <w:rFonts w:hint="eastAsia" w:ascii="宋体" w:hAnsi="宋体"/>
                <w:color w:val="auto"/>
                <w:szCs w:val="21"/>
              </w:rPr>
            </w:pPr>
            <w:r>
              <w:rPr>
                <w:rFonts w:hint="eastAsia" w:ascii="宋体" w:hAnsi="宋体"/>
                <w:color w:val="auto"/>
                <w:szCs w:val="21"/>
              </w:rPr>
              <w:t xml:space="preserve">  0.05%</w:t>
            </w:r>
          </w:p>
        </w:tc>
      </w:tr>
      <w:tr w14:paraId="24E8E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31662867">
            <w:pPr>
              <w:rPr>
                <w:rFonts w:hint="eastAsia" w:ascii="宋体" w:hAnsi="宋体"/>
                <w:color w:val="auto"/>
                <w:szCs w:val="21"/>
              </w:rPr>
            </w:pPr>
            <w:r>
              <w:rPr>
                <w:rFonts w:hint="eastAsia" w:ascii="宋体" w:hAnsi="宋体"/>
                <w:color w:val="auto"/>
                <w:szCs w:val="21"/>
              </w:rPr>
              <w:t>5～10亿元</w:t>
            </w:r>
          </w:p>
        </w:tc>
        <w:tc>
          <w:tcPr>
            <w:tcW w:w="1659" w:type="dxa"/>
          </w:tcPr>
          <w:p w14:paraId="3728C738">
            <w:pPr>
              <w:ind w:firstLine="105" w:firstLineChars="50"/>
              <w:rPr>
                <w:rFonts w:hint="eastAsia" w:ascii="宋体" w:hAnsi="宋体"/>
                <w:color w:val="auto"/>
                <w:szCs w:val="21"/>
              </w:rPr>
            </w:pPr>
            <w:r>
              <w:rPr>
                <w:rFonts w:hint="eastAsia" w:ascii="宋体" w:hAnsi="宋体"/>
                <w:color w:val="auto"/>
                <w:szCs w:val="21"/>
              </w:rPr>
              <w:t>0.035%</w:t>
            </w:r>
          </w:p>
        </w:tc>
        <w:tc>
          <w:tcPr>
            <w:tcW w:w="1532" w:type="dxa"/>
          </w:tcPr>
          <w:p w14:paraId="326F73FB">
            <w:pPr>
              <w:rPr>
                <w:rFonts w:hint="eastAsia" w:ascii="宋体" w:hAnsi="宋体"/>
                <w:color w:val="auto"/>
                <w:szCs w:val="21"/>
              </w:rPr>
            </w:pPr>
            <w:r>
              <w:rPr>
                <w:rFonts w:hint="eastAsia" w:ascii="宋体" w:hAnsi="宋体"/>
                <w:color w:val="auto"/>
                <w:szCs w:val="21"/>
              </w:rPr>
              <w:t xml:space="preserve">  0.035%</w:t>
            </w:r>
          </w:p>
        </w:tc>
        <w:tc>
          <w:tcPr>
            <w:tcW w:w="1546" w:type="dxa"/>
          </w:tcPr>
          <w:p w14:paraId="78C12658">
            <w:pPr>
              <w:ind w:firstLine="105" w:firstLineChars="50"/>
              <w:rPr>
                <w:rFonts w:hint="eastAsia" w:ascii="宋体" w:hAnsi="宋体"/>
                <w:color w:val="auto"/>
                <w:szCs w:val="21"/>
              </w:rPr>
            </w:pPr>
            <w:r>
              <w:rPr>
                <w:rFonts w:hint="eastAsia" w:ascii="宋体" w:hAnsi="宋体"/>
                <w:color w:val="auto"/>
                <w:szCs w:val="21"/>
              </w:rPr>
              <w:t>0.035%</w:t>
            </w:r>
          </w:p>
        </w:tc>
      </w:tr>
      <w:tr w14:paraId="19DC5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15E7F84A">
            <w:pPr>
              <w:rPr>
                <w:rFonts w:hint="eastAsia" w:ascii="宋体" w:hAnsi="宋体"/>
                <w:color w:val="auto"/>
                <w:szCs w:val="21"/>
              </w:rPr>
            </w:pPr>
            <w:r>
              <w:rPr>
                <w:rFonts w:hint="eastAsia" w:ascii="宋体" w:hAnsi="宋体"/>
                <w:color w:val="auto"/>
                <w:szCs w:val="21"/>
              </w:rPr>
              <w:t>10～50亿元</w:t>
            </w:r>
          </w:p>
        </w:tc>
        <w:tc>
          <w:tcPr>
            <w:tcW w:w="1659" w:type="dxa"/>
          </w:tcPr>
          <w:p w14:paraId="7F2CE162">
            <w:pPr>
              <w:ind w:firstLine="105" w:firstLineChars="50"/>
              <w:rPr>
                <w:rFonts w:hint="eastAsia" w:ascii="宋体" w:hAnsi="宋体"/>
                <w:color w:val="auto"/>
                <w:szCs w:val="21"/>
              </w:rPr>
            </w:pPr>
            <w:r>
              <w:rPr>
                <w:rFonts w:hint="eastAsia" w:ascii="宋体" w:hAnsi="宋体"/>
                <w:color w:val="auto"/>
                <w:szCs w:val="21"/>
              </w:rPr>
              <w:t>0.008%</w:t>
            </w:r>
          </w:p>
        </w:tc>
        <w:tc>
          <w:tcPr>
            <w:tcW w:w="1532" w:type="dxa"/>
          </w:tcPr>
          <w:p w14:paraId="77CF56C6">
            <w:pPr>
              <w:ind w:firstLine="210" w:firstLineChars="100"/>
              <w:rPr>
                <w:rFonts w:hint="eastAsia" w:ascii="宋体" w:hAnsi="宋体"/>
                <w:color w:val="auto"/>
                <w:szCs w:val="21"/>
              </w:rPr>
            </w:pPr>
            <w:r>
              <w:rPr>
                <w:rFonts w:hint="eastAsia" w:ascii="宋体" w:hAnsi="宋体"/>
                <w:color w:val="auto"/>
                <w:szCs w:val="21"/>
              </w:rPr>
              <w:t>0.008%</w:t>
            </w:r>
          </w:p>
        </w:tc>
        <w:tc>
          <w:tcPr>
            <w:tcW w:w="1546" w:type="dxa"/>
          </w:tcPr>
          <w:p w14:paraId="6840D29A">
            <w:pPr>
              <w:ind w:firstLine="105" w:firstLineChars="50"/>
              <w:rPr>
                <w:rFonts w:hint="eastAsia" w:ascii="宋体" w:hAnsi="宋体"/>
                <w:color w:val="auto"/>
                <w:szCs w:val="21"/>
              </w:rPr>
            </w:pPr>
            <w:r>
              <w:rPr>
                <w:rFonts w:hint="eastAsia" w:ascii="宋体" w:hAnsi="宋体"/>
                <w:color w:val="auto"/>
                <w:szCs w:val="21"/>
              </w:rPr>
              <w:t>0.008%</w:t>
            </w:r>
          </w:p>
        </w:tc>
      </w:tr>
      <w:tr w14:paraId="25021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34AA79C6">
            <w:pPr>
              <w:rPr>
                <w:rFonts w:hint="eastAsia" w:ascii="宋体" w:hAnsi="宋体"/>
                <w:color w:val="auto"/>
                <w:szCs w:val="21"/>
              </w:rPr>
            </w:pPr>
            <w:r>
              <w:rPr>
                <w:rFonts w:hint="eastAsia" w:ascii="宋体" w:hAnsi="宋体"/>
                <w:color w:val="auto"/>
                <w:szCs w:val="21"/>
              </w:rPr>
              <w:t>50～100亿元</w:t>
            </w:r>
          </w:p>
        </w:tc>
        <w:tc>
          <w:tcPr>
            <w:tcW w:w="1659" w:type="dxa"/>
          </w:tcPr>
          <w:p w14:paraId="0B0E687D">
            <w:pPr>
              <w:rPr>
                <w:rFonts w:hint="eastAsia" w:ascii="宋体" w:hAnsi="宋体"/>
                <w:color w:val="auto"/>
                <w:szCs w:val="21"/>
              </w:rPr>
            </w:pPr>
            <w:r>
              <w:rPr>
                <w:rFonts w:hint="eastAsia" w:ascii="宋体" w:hAnsi="宋体"/>
                <w:color w:val="auto"/>
                <w:szCs w:val="21"/>
              </w:rPr>
              <w:t xml:space="preserve"> 0.006%</w:t>
            </w:r>
          </w:p>
        </w:tc>
        <w:tc>
          <w:tcPr>
            <w:tcW w:w="1532" w:type="dxa"/>
          </w:tcPr>
          <w:p w14:paraId="42CB48CB">
            <w:pPr>
              <w:ind w:firstLine="210" w:firstLineChars="100"/>
              <w:rPr>
                <w:rFonts w:hint="eastAsia" w:ascii="宋体" w:hAnsi="宋体"/>
                <w:color w:val="auto"/>
                <w:szCs w:val="21"/>
              </w:rPr>
            </w:pPr>
            <w:r>
              <w:rPr>
                <w:rFonts w:hint="eastAsia" w:ascii="宋体" w:hAnsi="宋体"/>
                <w:color w:val="auto"/>
                <w:szCs w:val="21"/>
              </w:rPr>
              <w:t>0.006%</w:t>
            </w:r>
          </w:p>
        </w:tc>
        <w:tc>
          <w:tcPr>
            <w:tcW w:w="1546" w:type="dxa"/>
          </w:tcPr>
          <w:p w14:paraId="0BB4753B">
            <w:pPr>
              <w:ind w:firstLine="105" w:firstLineChars="50"/>
              <w:rPr>
                <w:rFonts w:hint="eastAsia" w:ascii="宋体" w:hAnsi="宋体"/>
                <w:color w:val="auto"/>
                <w:szCs w:val="21"/>
              </w:rPr>
            </w:pPr>
            <w:r>
              <w:rPr>
                <w:rFonts w:hint="eastAsia" w:ascii="宋体" w:hAnsi="宋体"/>
                <w:color w:val="auto"/>
                <w:szCs w:val="21"/>
              </w:rPr>
              <w:t>0.006%</w:t>
            </w:r>
          </w:p>
        </w:tc>
      </w:tr>
      <w:tr w14:paraId="6AAE2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5C5E867E">
            <w:pPr>
              <w:rPr>
                <w:rFonts w:hint="eastAsia" w:ascii="宋体" w:hAnsi="宋体"/>
                <w:color w:val="auto"/>
                <w:szCs w:val="21"/>
              </w:rPr>
            </w:pPr>
            <w:r>
              <w:rPr>
                <w:rFonts w:hint="eastAsia" w:ascii="宋体" w:hAnsi="宋体"/>
                <w:color w:val="auto"/>
                <w:szCs w:val="21"/>
              </w:rPr>
              <w:t>100亿以上</w:t>
            </w:r>
          </w:p>
        </w:tc>
        <w:tc>
          <w:tcPr>
            <w:tcW w:w="1659" w:type="dxa"/>
          </w:tcPr>
          <w:p w14:paraId="315A8437">
            <w:pPr>
              <w:rPr>
                <w:rFonts w:hint="eastAsia" w:ascii="宋体" w:hAnsi="宋体"/>
                <w:color w:val="auto"/>
                <w:szCs w:val="21"/>
              </w:rPr>
            </w:pPr>
            <w:r>
              <w:rPr>
                <w:rFonts w:hint="eastAsia" w:ascii="宋体" w:hAnsi="宋体"/>
                <w:color w:val="auto"/>
                <w:szCs w:val="21"/>
              </w:rPr>
              <w:t xml:space="preserve"> 0.004%</w:t>
            </w:r>
          </w:p>
        </w:tc>
        <w:tc>
          <w:tcPr>
            <w:tcW w:w="1532" w:type="dxa"/>
          </w:tcPr>
          <w:p w14:paraId="788EEFCB">
            <w:pPr>
              <w:ind w:firstLine="210" w:firstLineChars="100"/>
              <w:rPr>
                <w:rFonts w:hint="eastAsia" w:ascii="宋体" w:hAnsi="宋体"/>
                <w:color w:val="auto"/>
                <w:szCs w:val="21"/>
              </w:rPr>
            </w:pPr>
            <w:r>
              <w:rPr>
                <w:rFonts w:hint="eastAsia" w:ascii="宋体" w:hAnsi="宋体"/>
                <w:color w:val="auto"/>
                <w:szCs w:val="21"/>
              </w:rPr>
              <w:t>0.004%</w:t>
            </w:r>
          </w:p>
        </w:tc>
        <w:tc>
          <w:tcPr>
            <w:tcW w:w="1546" w:type="dxa"/>
          </w:tcPr>
          <w:p w14:paraId="1E923955">
            <w:pPr>
              <w:ind w:firstLine="105" w:firstLineChars="50"/>
              <w:rPr>
                <w:rFonts w:hint="eastAsia" w:ascii="宋体" w:hAnsi="宋体"/>
                <w:color w:val="auto"/>
                <w:szCs w:val="21"/>
              </w:rPr>
            </w:pPr>
            <w:r>
              <w:rPr>
                <w:rFonts w:hint="eastAsia" w:ascii="宋体" w:hAnsi="宋体"/>
                <w:color w:val="auto"/>
                <w:szCs w:val="21"/>
              </w:rPr>
              <w:t>0.004%</w:t>
            </w:r>
          </w:p>
        </w:tc>
      </w:tr>
    </w:tbl>
    <w:p w14:paraId="36CD5ADE">
      <w:pPr>
        <w:spacing w:line="360" w:lineRule="exact"/>
        <w:ind w:firstLine="420" w:firstLineChars="200"/>
        <w:rPr>
          <w:rFonts w:hint="eastAsia" w:ascii="宋体" w:hAnsi="宋体" w:cs="Courier New"/>
          <w:color w:val="auto"/>
          <w:szCs w:val="21"/>
        </w:rPr>
      </w:pPr>
      <w:r>
        <w:rPr>
          <w:rFonts w:hint="eastAsia" w:ascii="宋体" w:hAnsi="宋体" w:cs="Courier New"/>
          <w:color w:val="auto"/>
          <w:szCs w:val="21"/>
        </w:rPr>
        <w:t xml:space="preserve">注： </w:t>
      </w:r>
    </w:p>
    <w:p w14:paraId="7F23CF23">
      <w:pPr>
        <w:spacing w:line="360" w:lineRule="exact"/>
        <w:ind w:firstLine="420" w:firstLineChars="200"/>
        <w:rPr>
          <w:rFonts w:hint="eastAsia" w:ascii="宋体" w:hAnsi="宋体" w:cs="Courier New"/>
          <w:color w:val="auto"/>
          <w:szCs w:val="21"/>
        </w:rPr>
      </w:pPr>
      <w:r>
        <w:rPr>
          <w:rFonts w:hint="eastAsia" w:ascii="宋体" w:hAnsi="宋体" w:cs="Courier New"/>
          <w:color w:val="auto"/>
          <w:szCs w:val="21"/>
        </w:rPr>
        <w:t>（1）按本表费率计算的收费为采购代理的收费基准价格；</w:t>
      </w:r>
    </w:p>
    <w:p w14:paraId="1BCE5F6A">
      <w:pPr>
        <w:spacing w:line="360" w:lineRule="exact"/>
        <w:ind w:firstLine="420" w:firstLineChars="200"/>
        <w:rPr>
          <w:rFonts w:hint="eastAsia" w:ascii="宋体" w:hAnsi="宋体" w:cs="Courier New"/>
          <w:color w:val="auto"/>
          <w:szCs w:val="21"/>
        </w:rPr>
      </w:pPr>
      <w:r>
        <w:rPr>
          <w:rFonts w:hint="eastAsia" w:ascii="宋体" w:hAnsi="宋体" w:cs="Courier New"/>
          <w:color w:val="auto"/>
          <w:szCs w:val="21"/>
        </w:rPr>
        <w:t>（2）采购代理收费按差额定率累进法计算。</w:t>
      </w:r>
    </w:p>
    <w:p w14:paraId="572F15FC">
      <w:pPr>
        <w:spacing w:line="360" w:lineRule="exact"/>
        <w:ind w:firstLine="420" w:firstLineChars="200"/>
        <w:rPr>
          <w:rFonts w:hint="eastAsia" w:ascii="宋体" w:hAnsi="宋体" w:cs="Courier New"/>
          <w:color w:val="auto"/>
          <w:szCs w:val="21"/>
        </w:rPr>
      </w:pPr>
      <w:r>
        <w:rPr>
          <w:rFonts w:hint="eastAsia" w:ascii="宋体" w:hAnsi="宋体" w:cs="Courier New"/>
          <w:color w:val="auto"/>
          <w:szCs w:val="21"/>
        </w:rPr>
        <w:t>例如：某货物采购代理业务成交金额或者暂定价为150万元，计算采购代理收费额如下：</w:t>
      </w:r>
    </w:p>
    <w:p w14:paraId="446B5264">
      <w:pPr>
        <w:spacing w:line="360" w:lineRule="exact"/>
        <w:ind w:firstLine="420" w:firstLineChars="200"/>
        <w:rPr>
          <w:rFonts w:hint="eastAsia" w:ascii="宋体" w:hAnsi="宋体" w:cs="Courier New"/>
          <w:color w:val="auto"/>
          <w:szCs w:val="21"/>
        </w:rPr>
      </w:pPr>
      <w:r>
        <w:rPr>
          <w:rFonts w:hint="eastAsia" w:ascii="宋体" w:hAnsi="宋体" w:cs="Courier New"/>
          <w:color w:val="auto"/>
          <w:szCs w:val="21"/>
        </w:rPr>
        <w:t>100 万元 ×l.5 %＝ 1.5 万元</w:t>
      </w:r>
    </w:p>
    <w:p w14:paraId="6444AB1B">
      <w:pPr>
        <w:spacing w:line="360" w:lineRule="exact"/>
        <w:ind w:firstLine="420" w:firstLineChars="200"/>
        <w:rPr>
          <w:rFonts w:hint="eastAsia" w:ascii="宋体" w:hAnsi="宋体" w:cs="Courier New"/>
          <w:color w:val="auto"/>
          <w:szCs w:val="21"/>
        </w:rPr>
      </w:pPr>
      <w:r>
        <w:rPr>
          <w:rFonts w:hint="eastAsia" w:ascii="宋体" w:hAnsi="宋体" w:cs="Courier New"/>
          <w:color w:val="auto"/>
          <w:szCs w:val="21"/>
        </w:rPr>
        <w:t>（ 150 － 100 ）万元 ×1.1%＝ 0.55 万元</w:t>
      </w:r>
    </w:p>
    <w:p w14:paraId="39651069">
      <w:pPr>
        <w:spacing w:line="360" w:lineRule="exact"/>
        <w:ind w:firstLine="420" w:firstLineChars="200"/>
        <w:rPr>
          <w:rFonts w:hint="eastAsia" w:ascii="宋体" w:hAnsi="宋体" w:cs="Courier New"/>
          <w:color w:val="auto"/>
          <w:szCs w:val="21"/>
        </w:rPr>
      </w:pPr>
      <w:r>
        <w:rPr>
          <w:rFonts w:hint="eastAsia" w:ascii="宋体" w:hAnsi="宋体" w:cs="Courier New"/>
          <w:color w:val="auto"/>
          <w:szCs w:val="21"/>
        </w:rPr>
        <w:t>合计收费＝ 1.5 ＋ 0.55＝ 2.05 （万元）</w:t>
      </w:r>
    </w:p>
    <w:p w14:paraId="753371AB">
      <w:pPr>
        <w:spacing w:line="360" w:lineRule="exact"/>
        <w:ind w:firstLine="420" w:firstLineChars="200"/>
        <w:rPr>
          <w:rFonts w:hint="eastAsia" w:ascii="宋体" w:hAnsi="宋体" w:cs="Courier New"/>
          <w:color w:val="auto"/>
          <w:szCs w:val="21"/>
        </w:rPr>
      </w:pPr>
      <w:r>
        <w:rPr>
          <w:rFonts w:hint="eastAsia" w:ascii="宋体" w:hAnsi="宋体" w:cs="Courier New"/>
          <w:color w:val="auto"/>
          <w:szCs w:val="21"/>
        </w:rPr>
        <w:t>（3）采购代理机构的银行账户：</w:t>
      </w:r>
    </w:p>
    <w:p w14:paraId="519CB20B">
      <w:pPr>
        <w:spacing w:line="360" w:lineRule="exact"/>
        <w:ind w:firstLine="420" w:firstLineChars="200"/>
        <w:rPr>
          <w:rFonts w:hint="eastAsia" w:ascii="宋体" w:hAnsi="宋体" w:cs="Courier New"/>
          <w:color w:val="auto"/>
          <w:szCs w:val="21"/>
        </w:rPr>
      </w:pPr>
      <w:r>
        <w:rPr>
          <w:rFonts w:hint="eastAsia" w:ascii="宋体" w:hAnsi="宋体" w:cs="Courier New"/>
          <w:color w:val="auto"/>
          <w:szCs w:val="21"/>
        </w:rPr>
        <w:t xml:space="preserve">账户名称：广西中吉银工程项目管理有限公司 </w:t>
      </w:r>
    </w:p>
    <w:p w14:paraId="036732D5">
      <w:pPr>
        <w:spacing w:line="360" w:lineRule="exact"/>
        <w:ind w:firstLine="420" w:firstLineChars="200"/>
        <w:rPr>
          <w:rFonts w:hint="eastAsia" w:ascii="宋体" w:hAnsi="宋体" w:cs="Courier New"/>
          <w:color w:val="auto"/>
          <w:szCs w:val="21"/>
        </w:rPr>
      </w:pPr>
      <w:r>
        <w:rPr>
          <w:rFonts w:hint="eastAsia" w:ascii="宋体" w:hAnsi="宋体" w:cs="Courier New"/>
          <w:color w:val="auto"/>
          <w:szCs w:val="21"/>
        </w:rPr>
        <w:t xml:space="preserve">开户银行：中国建设银行股份有限公司南宁盘龙路支行 </w:t>
      </w:r>
    </w:p>
    <w:p w14:paraId="2915B8E6">
      <w:pPr>
        <w:spacing w:line="360" w:lineRule="exact"/>
        <w:ind w:firstLine="420" w:firstLineChars="200"/>
        <w:rPr>
          <w:rFonts w:hint="eastAsia" w:ascii="宋体" w:hAnsi="宋体" w:cs="Courier New"/>
          <w:color w:val="auto"/>
          <w:szCs w:val="21"/>
        </w:rPr>
      </w:pPr>
      <w:r>
        <w:rPr>
          <w:rFonts w:hint="eastAsia" w:ascii="宋体" w:hAnsi="宋体" w:cs="Courier New"/>
          <w:color w:val="auto"/>
          <w:szCs w:val="21"/>
        </w:rPr>
        <w:t xml:space="preserve">银行账号：45050110067300000549 </w:t>
      </w:r>
    </w:p>
    <w:p w14:paraId="416306C7">
      <w:pPr>
        <w:spacing w:line="360" w:lineRule="exact"/>
        <w:ind w:firstLine="420" w:firstLineChars="200"/>
        <w:rPr>
          <w:rFonts w:hint="eastAsia" w:ascii="宋体" w:hAnsi="宋体" w:cs="Courier New"/>
          <w:color w:val="auto"/>
          <w:szCs w:val="21"/>
        </w:rPr>
      </w:pPr>
      <w:r>
        <w:rPr>
          <w:rFonts w:hint="eastAsia" w:ascii="宋体" w:hAnsi="宋体" w:cs="Courier New"/>
          <w:color w:val="auto"/>
          <w:szCs w:val="21"/>
        </w:rPr>
        <w:t>开具代理服务费发票事宜的联系方式：0771-3147550</w:t>
      </w:r>
    </w:p>
    <w:p w14:paraId="0F07D51D">
      <w:pPr>
        <w:spacing w:line="360" w:lineRule="exact"/>
        <w:ind w:firstLine="422" w:firstLineChars="200"/>
        <w:rPr>
          <w:rFonts w:hint="eastAsia" w:hAnsi="宋体"/>
          <w:b/>
          <w:color w:val="auto"/>
        </w:rPr>
      </w:pPr>
      <w:r>
        <w:rPr>
          <w:rFonts w:hint="eastAsia" w:ascii="宋体" w:hAnsi="宋体" w:cs="Courier New"/>
          <w:b/>
          <w:color w:val="auto"/>
          <w:szCs w:val="21"/>
        </w:rPr>
        <w:t>16.2</w:t>
      </w:r>
      <w:r>
        <w:rPr>
          <w:rFonts w:hint="eastAsia" w:hAnsi="宋体"/>
          <w:b/>
          <w:color w:val="auto"/>
        </w:rPr>
        <w:t>解释权</w:t>
      </w:r>
    </w:p>
    <w:p w14:paraId="3A8784B0">
      <w:pPr>
        <w:spacing w:line="360" w:lineRule="exact"/>
        <w:ind w:firstLine="404" w:firstLineChars="200"/>
        <w:rPr>
          <w:rFonts w:hint="eastAsia" w:hAnsi="宋体"/>
          <w:color w:val="auto"/>
          <w:spacing w:val="-4"/>
        </w:rPr>
      </w:pPr>
      <w:r>
        <w:rPr>
          <w:rFonts w:hint="eastAsia" w:hAnsi="宋体"/>
          <w:color w:val="auto"/>
          <w:spacing w:val="-4"/>
        </w:rPr>
        <w:t>本竞争性谈判文件是根据国家有关法律、法规以及政府采购管理的有关规定和参照国际惯例编制，解释权属本采购代理机构。</w:t>
      </w:r>
    </w:p>
    <w:p w14:paraId="7BFA34E4">
      <w:pPr>
        <w:spacing w:line="360" w:lineRule="exact"/>
        <w:ind w:firstLine="422" w:firstLineChars="200"/>
        <w:rPr>
          <w:rFonts w:hint="eastAsia" w:hAnsi="宋体"/>
          <w:b/>
          <w:color w:val="auto"/>
        </w:rPr>
      </w:pPr>
      <w:r>
        <w:rPr>
          <w:rFonts w:hint="eastAsia" w:ascii="宋体" w:hAnsi="宋体" w:cs="Courier New"/>
          <w:b/>
          <w:color w:val="auto"/>
          <w:szCs w:val="21"/>
        </w:rPr>
        <w:t>16.3需要补充的其他内容</w:t>
      </w:r>
    </w:p>
    <w:p w14:paraId="48CC10AE">
      <w:pPr>
        <w:spacing w:line="360" w:lineRule="exact"/>
        <w:ind w:firstLine="404" w:firstLineChars="200"/>
        <w:rPr>
          <w:rFonts w:hint="eastAsia" w:hAnsi="宋体"/>
          <w:color w:val="auto"/>
          <w:spacing w:val="-4"/>
        </w:rPr>
      </w:pPr>
      <w:r>
        <w:rPr>
          <w:rFonts w:hint="eastAsia" w:hAnsi="宋体"/>
          <w:color w:val="auto"/>
          <w:spacing w:val="-4"/>
        </w:rPr>
        <w:t>1、本谈判文件解释规则详见“供应商须知前附表”。</w:t>
      </w:r>
    </w:p>
    <w:p w14:paraId="57A8B4CF">
      <w:pPr>
        <w:spacing w:line="360" w:lineRule="exact"/>
        <w:ind w:firstLine="404" w:firstLineChars="200"/>
        <w:rPr>
          <w:rFonts w:hint="eastAsia" w:hAnsi="宋体"/>
          <w:color w:val="auto"/>
          <w:spacing w:val="-4"/>
        </w:rPr>
      </w:pPr>
      <w:r>
        <w:rPr>
          <w:rFonts w:hint="eastAsia" w:hAnsi="宋体"/>
          <w:color w:val="auto"/>
          <w:spacing w:val="-4"/>
        </w:rPr>
        <w:t>2、其他事项详见“供应商须知前附表”。</w:t>
      </w:r>
    </w:p>
    <w:p w14:paraId="7E2D3B9E">
      <w:pPr>
        <w:spacing w:line="360" w:lineRule="exact"/>
        <w:ind w:firstLine="404" w:firstLineChars="200"/>
        <w:rPr>
          <w:rFonts w:hint="eastAsia" w:hAnsi="宋体"/>
          <w:color w:val="auto"/>
          <w:spacing w:val="-4"/>
        </w:rPr>
      </w:pPr>
      <w:bookmarkStart w:id="35" w:name="_Hlk65857140"/>
      <w:r>
        <w:rPr>
          <w:rFonts w:hint="eastAsia" w:hAnsi="宋体"/>
          <w:color w:val="auto"/>
          <w:spacing w:val="-4"/>
        </w:rPr>
        <w:t>3、本谈判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谈判文件规定的中小企业扶持政策：</w:t>
      </w:r>
    </w:p>
    <w:p w14:paraId="2855151C">
      <w:pPr>
        <w:spacing w:line="360" w:lineRule="exact"/>
        <w:ind w:firstLine="404" w:firstLineChars="200"/>
        <w:rPr>
          <w:rFonts w:hint="eastAsia" w:hAnsi="宋体"/>
          <w:color w:val="auto"/>
          <w:spacing w:val="-4"/>
        </w:rPr>
      </w:pPr>
      <w:r>
        <w:rPr>
          <w:rFonts w:hint="eastAsia" w:hAnsi="宋体"/>
          <w:color w:val="auto"/>
          <w:spacing w:val="-4"/>
        </w:rPr>
        <w:t>（1）在货物采购项目中，货物由中小企业制造，即货物由中小企业生产且使用该中小企业商号或者注册商标，不对其中涉及的工程承建商和服务的承接商作出要求；</w:t>
      </w:r>
    </w:p>
    <w:p w14:paraId="63179E9F">
      <w:pPr>
        <w:spacing w:line="360" w:lineRule="exact"/>
        <w:ind w:firstLine="404" w:firstLineChars="200"/>
        <w:rPr>
          <w:rFonts w:hint="eastAsia" w:hAnsi="宋体"/>
          <w:color w:val="auto"/>
          <w:spacing w:val="-4"/>
        </w:rPr>
      </w:pPr>
      <w:r>
        <w:rPr>
          <w:rFonts w:hint="eastAsia" w:hAnsi="宋体"/>
          <w:color w:val="auto"/>
          <w:spacing w:val="-4"/>
        </w:rPr>
        <w:t>（2）在工程采购项目中，工程由中小企业承建，即工程施工单位为中小企业，不对其中涉及的货物的制造商和服务的承接商作出要求；</w:t>
      </w:r>
    </w:p>
    <w:p w14:paraId="1C2D3698">
      <w:pPr>
        <w:spacing w:line="360" w:lineRule="exact"/>
        <w:ind w:firstLine="404" w:firstLineChars="200"/>
        <w:rPr>
          <w:rFonts w:hint="eastAsia" w:hAnsi="宋体"/>
          <w:color w:val="auto"/>
          <w:spacing w:val="-4"/>
        </w:rPr>
      </w:pPr>
      <w:r>
        <w:rPr>
          <w:rFonts w:hint="eastAsia" w:hAnsi="宋体"/>
          <w:color w:val="auto"/>
          <w:spacing w:val="-4"/>
        </w:rPr>
        <w:t>（3）在服务采购项目中，服务由中小企业承接，即提供服务的人员为中小企业依照《中华人民共和国劳动合同法》订立劳动合同的从业人员，不对其中涉及的货物的制造商和工程承建商作出要求。</w:t>
      </w:r>
    </w:p>
    <w:p w14:paraId="0D94303A">
      <w:pPr>
        <w:spacing w:line="360" w:lineRule="exact"/>
        <w:ind w:firstLine="404" w:firstLineChars="200"/>
        <w:rPr>
          <w:rFonts w:hint="eastAsia" w:hAnsi="宋体"/>
          <w:color w:val="auto"/>
          <w:spacing w:val="-4"/>
        </w:rPr>
      </w:pPr>
      <w:r>
        <w:rPr>
          <w:rFonts w:hint="eastAsia" w:hAnsi="宋体"/>
          <w:color w:val="auto"/>
          <w:spacing w:val="-4"/>
        </w:rPr>
        <w:t>在货物采购项目中，供应商提供的货物既有中小企业制造货物，也有大型企业制造货物的，不享受本谈判文件规定的中小企业扶持政策。以联合体形式参加政府采购活动，联合体各方均为中小企业的，联合体视同中小企业。其中，联合体各方均为小微企业的，联合体视同小微企业。</w:t>
      </w:r>
    </w:p>
    <w:p w14:paraId="1D87DC58">
      <w:pPr>
        <w:spacing w:line="360" w:lineRule="exact"/>
        <w:ind w:firstLine="404" w:firstLineChars="200"/>
        <w:rPr>
          <w:rFonts w:hint="eastAsia" w:hAnsi="宋体"/>
          <w:color w:val="auto"/>
          <w:spacing w:val="-4"/>
        </w:rPr>
        <w:sectPr>
          <w:footerReference r:id="rId4" w:type="default"/>
          <w:pgSz w:w="11906" w:h="16838"/>
          <w:pgMar w:top="1134" w:right="1134" w:bottom="1134" w:left="1134" w:header="720" w:footer="720" w:gutter="0"/>
          <w:pgNumType w:start="1"/>
          <w:cols w:space="720" w:num="1"/>
          <w:docGrid w:type="lines" w:linePitch="331" w:charSpace="0"/>
        </w:sectPr>
      </w:pPr>
      <w:r>
        <w:rPr>
          <w:rFonts w:hint="eastAsia" w:hAnsi="宋体"/>
          <w:color w:val="auto"/>
          <w:spacing w:val="-4"/>
        </w:rPr>
        <w:t>依据本谈判文件规定享受扶持政策获得政府采购合同的，小微企业不得将合同分包给大中型企业，中型企业不得将合同分包给大型企业。</w:t>
      </w:r>
      <w:bookmarkEnd w:id="35"/>
    </w:p>
    <w:p w14:paraId="001CE780">
      <w:pPr>
        <w:snapToGrid w:val="0"/>
        <w:rPr>
          <w:rFonts w:hint="eastAsia" w:ascii="宋体" w:hAnsi="宋体"/>
          <w:color w:val="auto"/>
          <w:kern w:val="0"/>
          <w:sz w:val="32"/>
          <w:szCs w:val="32"/>
        </w:rPr>
      </w:pPr>
      <w:r>
        <w:rPr>
          <w:rFonts w:hint="eastAsia" w:ascii="宋体" w:hAnsi="宋体"/>
          <w:color w:val="auto"/>
          <w:kern w:val="0"/>
          <w:sz w:val="32"/>
          <w:szCs w:val="32"/>
        </w:rPr>
        <w:t>附件1：</w:t>
      </w:r>
    </w:p>
    <w:p w14:paraId="6FE9D092">
      <w:pPr>
        <w:widowControl/>
        <w:shd w:val="clear" w:color="auto" w:fill="FFFFFF"/>
        <w:spacing w:line="720" w:lineRule="auto"/>
        <w:jc w:val="center"/>
        <w:rPr>
          <w:rFonts w:hint="eastAsia" w:ascii="宋体" w:hAnsi="宋体" w:cs="宋体"/>
          <w:color w:val="auto"/>
          <w:kern w:val="0"/>
          <w:sz w:val="32"/>
          <w:szCs w:val="32"/>
        </w:rPr>
      </w:pPr>
      <w:r>
        <w:rPr>
          <w:rFonts w:hint="eastAsia" w:ascii="宋体" w:hAnsi="宋体" w:cs="黑体"/>
          <w:color w:val="auto"/>
          <w:kern w:val="0"/>
          <w:sz w:val="32"/>
          <w:szCs w:val="32"/>
        </w:rPr>
        <w:t>广西壮族自治区政府采购项目合同验收书</w:t>
      </w:r>
      <w:r>
        <w:rPr>
          <w:rFonts w:hint="eastAsia" w:ascii="宋体" w:hAnsi="宋体" w:cs="宋体"/>
          <w:color w:val="auto"/>
          <w:kern w:val="0"/>
          <w:sz w:val="32"/>
          <w:szCs w:val="32"/>
        </w:rPr>
        <w:t>（格式）</w:t>
      </w:r>
    </w:p>
    <w:p w14:paraId="77F35E48">
      <w:pPr>
        <w:widowControl/>
        <w:shd w:val="clear" w:color="auto" w:fill="FFFFFF"/>
        <w:snapToGrid w:val="0"/>
        <w:spacing w:line="380" w:lineRule="exact"/>
        <w:jc w:val="left"/>
        <w:rPr>
          <w:rFonts w:hint="eastAsia" w:ascii="宋体" w:hAnsi="宋体" w:cs="宋体"/>
          <w:color w:val="auto"/>
          <w:kern w:val="0"/>
          <w:szCs w:val="21"/>
        </w:rPr>
      </w:pPr>
      <w:r>
        <w:rPr>
          <w:rFonts w:hint="eastAsia" w:ascii="宋体" w:hAnsi="宋体" w:cs="宋体"/>
          <w:color w:val="auto"/>
          <w:kern w:val="0"/>
          <w:szCs w:val="21"/>
        </w:rPr>
        <w:t xml:space="preserve">    根据政府采购项目（</w:t>
      </w:r>
      <w:r>
        <w:rPr>
          <w:rFonts w:hint="eastAsia" w:ascii="宋体" w:hAnsi="宋体" w:cs="宋体"/>
          <w:color w:val="auto"/>
          <w:kern w:val="0"/>
          <w:szCs w:val="21"/>
          <w:u w:val="single"/>
        </w:rPr>
        <w:t xml:space="preserve">采购合同编号： </w:t>
      </w:r>
      <w:r>
        <w:rPr>
          <w:rFonts w:hint="eastAsia" w:ascii="宋体" w:hAnsi="宋体" w:cs="宋体"/>
          <w:color w:val="auto"/>
          <w:kern w:val="0"/>
          <w:szCs w:val="21"/>
        </w:rPr>
        <w:t>）的约定，我单位对（</w:t>
      </w:r>
      <w:r>
        <w:rPr>
          <w:rFonts w:hint="eastAsia" w:ascii="宋体" w:hAnsi="宋体" w:cs="宋体"/>
          <w:color w:val="auto"/>
          <w:kern w:val="0"/>
          <w:szCs w:val="21"/>
          <w:u w:val="single"/>
        </w:rPr>
        <w:t xml:space="preserve"> 项目名称 </w:t>
      </w:r>
      <w:r>
        <w:rPr>
          <w:rFonts w:hint="eastAsia" w:ascii="宋体" w:hAnsi="宋体" w:cs="宋体"/>
          <w:color w:val="auto"/>
          <w:kern w:val="0"/>
          <w:szCs w:val="21"/>
        </w:rPr>
        <w:t>） 政府采购项目中标（或成交）供应商（</w:t>
      </w:r>
      <w:r>
        <w:rPr>
          <w:rFonts w:hint="eastAsia" w:ascii="宋体" w:hAnsi="宋体" w:cs="宋体"/>
          <w:color w:val="auto"/>
          <w:kern w:val="0"/>
          <w:szCs w:val="21"/>
          <w:u w:val="single"/>
        </w:rPr>
        <w:t xml:space="preserve"> 公司名称 </w:t>
      </w:r>
      <w:r>
        <w:rPr>
          <w:rFonts w:hint="eastAsia" w:ascii="宋体" w:hAnsi="宋体" w:cs="宋体"/>
          <w:color w:val="auto"/>
          <w:kern w:val="0"/>
          <w:szCs w:val="21"/>
        </w:rPr>
        <w:t>） 提供的货物（或工程、服务）进行了验收，验收情况如下：</w:t>
      </w:r>
    </w:p>
    <w:tbl>
      <w:tblPr>
        <w:tblStyle w:val="39"/>
        <w:tblW w:w="0" w:type="auto"/>
        <w:jc w:val="center"/>
        <w:tblLayout w:type="fixed"/>
        <w:tblCellMar>
          <w:top w:w="0" w:type="dxa"/>
          <w:left w:w="0" w:type="dxa"/>
          <w:bottom w:w="0" w:type="dxa"/>
          <w:right w:w="0" w:type="dxa"/>
        </w:tblCellMar>
      </w:tblPr>
      <w:tblGrid>
        <w:gridCol w:w="1497"/>
        <w:gridCol w:w="2159"/>
        <w:gridCol w:w="897"/>
        <w:gridCol w:w="114"/>
        <w:gridCol w:w="2251"/>
        <w:gridCol w:w="200"/>
        <w:gridCol w:w="770"/>
        <w:gridCol w:w="1606"/>
      </w:tblGrid>
      <w:tr w14:paraId="0EE7E964">
        <w:tblPrEx>
          <w:tblCellMar>
            <w:top w:w="0" w:type="dxa"/>
            <w:left w:w="0" w:type="dxa"/>
            <w:bottom w:w="0" w:type="dxa"/>
            <w:right w:w="0" w:type="dxa"/>
          </w:tblCellMar>
        </w:tblPrEx>
        <w:trPr>
          <w:trHeight w:val="523" w:hRule="atLeast"/>
          <w:jc w:val="center"/>
        </w:trPr>
        <w:tc>
          <w:tcPr>
            <w:tcW w:w="3656" w:type="dxa"/>
            <w:gridSpan w:val="2"/>
            <w:tcBorders>
              <w:top w:val="single" w:color="auto" w:sz="8" w:space="0"/>
              <w:left w:val="single" w:color="auto" w:sz="8" w:space="0"/>
              <w:bottom w:val="single" w:color="auto" w:sz="8" w:space="0"/>
              <w:right w:val="single" w:color="auto" w:sz="8" w:space="0"/>
            </w:tcBorders>
            <w:vAlign w:val="center"/>
          </w:tcPr>
          <w:p w14:paraId="4E74F84D">
            <w:pPr>
              <w:widowControl/>
              <w:snapToGrid w:val="0"/>
              <w:spacing w:before="100" w:beforeAutospacing="1" w:after="100" w:afterAutospacing="1" w:line="320" w:lineRule="atLeast"/>
              <w:ind w:firstLine="5"/>
              <w:jc w:val="center"/>
              <w:rPr>
                <w:rFonts w:hint="eastAsia" w:ascii="宋体" w:hAnsi="宋体" w:cs="宋体"/>
                <w:color w:val="auto"/>
                <w:kern w:val="0"/>
                <w:szCs w:val="21"/>
              </w:rPr>
            </w:pPr>
            <w:r>
              <w:rPr>
                <w:rFonts w:ascii="宋体" w:hAnsi="宋体" w:cs="宋体"/>
                <w:color w:val="auto"/>
                <w:kern w:val="0"/>
                <w:szCs w:val="21"/>
              </w:rPr>
              <w:t>验收方式：</w:t>
            </w:r>
          </w:p>
        </w:tc>
        <w:tc>
          <w:tcPr>
            <w:tcW w:w="5838" w:type="dxa"/>
            <w:gridSpan w:val="6"/>
            <w:tcBorders>
              <w:top w:val="single" w:color="auto" w:sz="8" w:space="0"/>
              <w:left w:val="nil"/>
              <w:bottom w:val="single" w:color="auto" w:sz="8" w:space="0"/>
              <w:right w:val="single" w:color="auto" w:sz="8" w:space="0"/>
            </w:tcBorders>
            <w:vAlign w:val="center"/>
          </w:tcPr>
          <w:p w14:paraId="78667D75">
            <w:pPr>
              <w:widowControl/>
              <w:snapToGrid w:val="0"/>
              <w:spacing w:before="100" w:beforeAutospacing="1" w:after="100" w:afterAutospacing="1" w:line="320" w:lineRule="atLeast"/>
              <w:ind w:firstLine="480"/>
              <w:jc w:val="center"/>
              <w:rPr>
                <w:rFonts w:hint="eastAsia" w:ascii="宋体" w:hAnsi="宋体" w:cs="宋体"/>
                <w:color w:val="auto"/>
                <w:kern w:val="0"/>
                <w:szCs w:val="21"/>
              </w:rPr>
            </w:pPr>
            <w:r>
              <w:rPr>
                <w:rFonts w:ascii="宋体" w:hAnsi="宋体" w:cs="宋体"/>
                <w:color w:val="auto"/>
                <w:kern w:val="0"/>
                <w:szCs w:val="21"/>
              </w:rPr>
              <w:t>□自行验收 □委托验收</w:t>
            </w:r>
          </w:p>
        </w:tc>
      </w:tr>
      <w:tr w14:paraId="0C7F0230">
        <w:tblPrEx>
          <w:tblCellMar>
            <w:top w:w="0" w:type="dxa"/>
            <w:left w:w="0" w:type="dxa"/>
            <w:bottom w:w="0" w:type="dxa"/>
            <w:right w:w="0" w:type="dxa"/>
          </w:tblCellMar>
        </w:tblPrEx>
        <w:trPr>
          <w:trHeight w:val="654" w:hRule="atLeast"/>
          <w:jc w:val="center"/>
        </w:trPr>
        <w:tc>
          <w:tcPr>
            <w:tcW w:w="1497" w:type="dxa"/>
            <w:tcBorders>
              <w:top w:val="nil"/>
              <w:left w:val="single" w:color="auto" w:sz="8" w:space="0"/>
              <w:bottom w:val="single" w:color="auto" w:sz="8" w:space="0"/>
              <w:right w:val="single" w:color="auto" w:sz="8" w:space="0"/>
            </w:tcBorders>
            <w:vAlign w:val="center"/>
          </w:tcPr>
          <w:p w14:paraId="71F16CC7">
            <w:pPr>
              <w:widowControl/>
              <w:snapToGrid w:val="0"/>
              <w:spacing w:before="100" w:beforeAutospacing="1" w:after="100" w:afterAutospacing="1" w:line="320" w:lineRule="atLeast"/>
              <w:ind w:firstLine="2"/>
              <w:jc w:val="center"/>
              <w:rPr>
                <w:rFonts w:hint="eastAsia" w:ascii="宋体" w:hAnsi="宋体" w:cs="宋体"/>
                <w:color w:val="auto"/>
                <w:kern w:val="0"/>
                <w:szCs w:val="21"/>
              </w:rPr>
            </w:pPr>
            <w:r>
              <w:rPr>
                <w:rFonts w:ascii="宋体" w:hAnsi="宋体" w:cs="宋体"/>
                <w:color w:val="auto"/>
                <w:kern w:val="0"/>
                <w:szCs w:val="21"/>
              </w:rPr>
              <w:t>序号</w:t>
            </w:r>
          </w:p>
        </w:tc>
        <w:tc>
          <w:tcPr>
            <w:tcW w:w="2159" w:type="dxa"/>
            <w:tcBorders>
              <w:top w:val="nil"/>
              <w:left w:val="nil"/>
              <w:bottom w:val="single" w:color="auto" w:sz="8" w:space="0"/>
              <w:right w:val="single" w:color="auto" w:sz="8" w:space="0"/>
            </w:tcBorders>
            <w:vAlign w:val="center"/>
          </w:tcPr>
          <w:p w14:paraId="55E70B1F">
            <w:pPr>
              <w:widowControl/>
              <w:snapToGrid w:val="0"/>
              <w:spacing w:before="100" w:beforeAutospacing="1" w:after="100" w:afterAutospacing="1" w:line="320" w:lineRule="atLeast"/>
              <w:ind w:firstLine="2"/>
              <w:jc w:val="center"/>
              <w:rPr>
                <w:rFonts w:hint="eastAsia" w:ascii="宋体" w:hAnsi="宋体" w:cs="宋体"/>
                <w:color w:val="auto"/>
                <w:kern w:val="0"/>
                <w:szCs w:val="21"/>
              </w:rPr>
            </w:pPr>
            <w:r>
              <w:rPr>
                <w:rFonts w:ascii="宋体" w:hAnsi="宋体" w:cs="宋体"/>
                <w:color w:val="auto"/>
                <w:kern w:val="0"/>
                <w:szCs w:val="21"/>
              </w:rPr>
              <w:t>名 称</w:t>
            </w:r>
          </w:p>
        </w:tc>
        <w:tc>
          <w:tcPr>
            <w:tcW w:w="3262" w:type="dxa"/>
            <w:gridSpan w:val="3"/>
            <w:tcBorders>
              <w:top w:val="nil"/>
              <w:left w:val="nil"/>
              <w:bottom w:val="single" w:color="auto" w:sz="8" w:space="0"/>
              <w:right w:val="single" w:color="auto" w:sz="8" w:space="0"/>
            </w:tcBorders>
            <w:vAlign w:val="center"/>
          </w:tcPr>
          <w:p w14:paraId="1BA295C8">
            <w:pPr>
              <w:widowControl/>
              <w:snapToGrid w:val="0"/>
              <w:spacing w:before="100" w:beforeAutospacing="1" w:after="100" w:afterAutospacing="1" w:line="320" w:lineRule="atLeast"/>
              <w:ind w:firstLine="2"/>
              <w:jc w:val="center"/>
              <w:rPr>
                <w:rFonts w:hint="eastAsia" w:ascii="宋体" w:hAnsi="宋体" w:cs="宋体"/>
                <w:color w:val="auto"/>
                <w:kern w:val="0"/>
                <w:szCs w:val="21"/>
              </w:rPr>
            </w:pPr>
            <w:r>
              <w:rPr>
                <w:rFonts w:ascii="宋体" w:hAnsi="宋体" w:cs="宋体"/>
                <w:color w:val="auto"/>
                <w:kern w:val="0"/>
                <w:szCs w:val="21"/>
              </w:rPr>
              <w:t>货物型号规格、标准及配置等（或服务内容、标准）</w:t>
            </w:r>
          </w:p>
        </w:tc>
        <w:tc>
          <w:tcPr>
            <w:tcW w:w="970" w:type="dxa"/>
            <w:gridSpan w:val="2"/>
            <w:tcBorders>
              <w:top w:val="nil"/>
              <w:left w:val="nil"/>
              <w:bottom w:val="single" w:color="auto" w:sz="8" w:space="0"/>
              <w:right w:val="single" w:color="auto" w:sz="8" w:space="0"/>
            </w:tcBorders>
            <w:vAlign w:val="center"/>
          </w:tcPr>
          <w:p w14:paraId="4758D440">
            <w:pPr>
              <w:widowControl/>
              <w:snapToGrid w:val="0"/>
              <w:spacing w:before="100" w:beforeAutospacing="1" w:after="100" w:afterAutospacing="1" w:line="320" w:lineRule="atLeast"/>
              <w:jc w:val="center"/>
              <w:rPr>
                <w:rFonts w:hint="eastAsia" w:ascii="宋体" w:hAnsi="宋体" w:cs="宋体"/>
                <w:color w:val="auto"/>
                <w:kern w:val="0"/>
                <w:szCs w:val="21"/>
              </w:rPr>
            </w:pPr>
            <w:r>
              <w:rPr>
                <w:rFonts w:ascii="宋体" w:hAnsi="宋体" w:cs="宋体"/>
                <w:color w:val="auto"/>
                <w:kern w:val="0"/>
                <w:szCs w:val="21"/>
              </w:rPr>
              <w:t>数量</w:t>
            </w:r>
          </w:p>
        </w:tc>
        <w:tc>
          <w:tcPr>
            <w:tcW w:w="1606" w:type="dxa"/>
            <w:tcBorders>
              <w:top w:val="nil"/>
              <w:left w:val="nil"/>
              <w:bottom w:val="single" w:color="auto" w:sz="8" w:space="0"/>
              <w:right w:val="single" w:color="auto" w:sz="8" w:space="0"/>
            </w:tcBorders>
            <w:vAlign w:val="center"/>
          </w:tcPr>
          <w:p w14:paraId="35D376BD">
            <w:pPr>
              <w:widowControl/>
              <w:snapToGrid w:val="0"/>
              <w:spacing w:before="100" w:beforeAutospacing="1" w:after="100" w:afterAutospacing="1" w:line="320" w:lineRule="atLeast"/>
              <w:ind w:firstLine="2"/>
              <w:jc w:val="center"/>
              <w:rPr>
                <w:rFonts w:hint="eastAsia" w:ascii="宋体" w:hAnsi="宋体" w:cs="宋体"/>
                <w:color w:val="auto"/>
                <w:kern w:val="0"/>
                <w:szCs w:val="21"/>
              </w:rPr>
            </w:pPr>
            <w:r>
              <w:rPr>
                <w:rFonts w:ascii="宋体" w:hAnsi="宋体" w:cs="宋体"/>
                <w:color w:val="auto"/>
                <w:kern w:val="0"/>
                <w:szCs w:val="21"/>
              </w:rPr>
              <w:t>金 额</w:t>
            </w:r>
          </w:p>
        </w:tc>
      </w:tr>
      <w:tr w14:paraId="2822C7E6">
        <w:tblPrEx>
          <w:tblCellMar>
            <w:top w:w="0" w:type="dxa"/>
            <w:left w:w="0" w:type="dxa"/>
            <w:bottom w:w="0" w:type="dxa"/>
            <w:right w:w="0" w:type="dxa"/>
          </w:tblCellMar>
        </w:tblPrEx>
        <w:trPr>
          <w:trHeight w:val="513" w:hRule="atLeast"/>
          <w:jc w:val="center"/>
        </w:trPr>
        <w:tc>
          <w:tcPr>
            <w:tcW w:w="1497" w:type="dxa"/>
            <w:tcBorders>
              <w:top w:val="nil"/>
              <w:left w:val="single" w:color="auto" w:sz="8" w:space="0"/>
              <w:bottom w:val="single" w:color="auto" w:sz="8" w:space="0"/>
              <w:right w:val="single" w:color="auto" w:sz="8" w:space="0"/>
            </w:tcBorders>
            <w:vAlign w:val="center"/>
          </w:tcPr>
          <w:p w14:paraId="7F839086">
            <w:pPr>
              <w:widowControl/>
              <w:spacing w:before="100" w:beforeAutospacing="1" w:after="100" w:afterAutospacing="1" w:line="240" w:lineRule="atLeast"/>
              <w:jc w:val="center"/>
              <w:rPr>
                <w:rFonts w:hint="eastAsia" w:ascii="宋体" w:hAnsi="宋体" w:cs="宋体"/>
                <w:color w:val="auto"/>
                <w:kern w:val="0"/>
                <w:szCs w:val="21"/>
              </w:rPr>
            </w:pPr>
          </w:p>
        </w:tc>
        <w:tc>
          <w:tcPr>
            <w:tcW w:w="2159" w:type="dxa"/>
            <w:tcBorders>
              <w:top w:val="nil"/>
              <w:left w:val="nil"/>
              <w:bottom w:val="single" w:color="auto" w:sz="8" w:space="0"/>
              <w:right w:val="single" w:color="auto" w:sz="8" w:space="0"/>
            </w:tcBorders>
            <w:vAlign w:val="center"/>
          </w:tcPr>
          <w:p w14:paraId="754C6182">
            <w:pPr>
              <w:widowControl/>
              <w:spacing w:before="100" w:beforeAutospacing="1" w:after="100" w:afterAutospacing="1" w:line="240" w:lineRule="atLeast"/>
              <w:jc w:val="center"/>
              <w:rPr>
                <w:rFonts w:hint="eastAsia" w:ascii="宋体" w:hAnsi="宋体" w:cs="宋体"/>
                <w:color w:val="auto"/>
                <w:kern w:val="0"/>
                <w:szCs w:val="21"/>
              </w:rPr>
            </w:pPr>
          </w:p>
        </w:tc>
        <w:tc>
          <w:tcPr>
            <w:tcW w:w="3262" w:type="dxa"/>
            <w:gridSpan w:val="3"/>
            <w:tcBorders>
              <w:top w:val="nil"/>
              <w:left w:val="nil"/>
              <w:bottom w:val="single" w:color="auto" w:sz="8" w:space="0"/>
              <w:right w:val="single" w:color="auto" w:sz="8" w:space="0"/>
            </w:tcBorders>
            <w:vAlign w:val="center"/>
          </w:tcPr>
          <w:p w14:paraId="0E45A9BF">
            <w:pPr>
              <w:widowControl/>
              <w:spacing w:before="100" w:beforeAutospacing="1" w:after="100" w:afterAutospacing="1" w:line="240" w:lineRule="atLeast"/>
              <w:jc w:val="center"/>
              <w:rPr>
                <w:rFonts w:hint="eastAsia" w:ascii="宋体" w:hAnsi="宋体" w:cs="宋体"/>
                <w:color w:val="auto"/>
                <w:kern w:val="0"/>
                <w:szCs w:val="21"/>
              </w:rPr>
            </w:pPr>
          </w:p>
        </w:tc>
        <w:tc>
          <w:tcPr>
            <w:tcW w:w="970" w:type="dxa"/>
            <w:gridSpan w:val="2"/>
            <w:tcBorders>
              <w:top w:val="nil"/>
              <w:left w:val="nil"/>
              <w:bottom w:val="single" w:color="auto" w:sz="8" w:space="0"/>
              <w:right w:val="single" w:color="auto" w:sz="8" w:space="0"/>
            </w:tcBorders>
            <w:vAlign w:val="center"/>
          </w:tcPr>
          <w:p w14:paraId="218DBF0F">
            <w:pPr>
              <w:widowControl/>
              <w:spacing w:before="100" w:beforeAutospacing="1" w:after="100" w:afterAutospacing="1" w:line="240" w:lineRule="atLeast"/>
              <w:jc w:val="center"/>
              <w:rPr>
                <w:rFonts w:hint="eastAsia" w:ascii="宋体" w:hAnsi="宋体" w:cs="宋体"/>
                <w:color w:val="auto"/>
                <w:kern w:val="0"/>
                <w:szCs w:val="21"/>
              </w:rPr>
            </w:pPr>
          </w:p>
        </w:tc>
        <w:tc>
          <w:tcPr>
            <w:tcW w:w="1606" w:type="dxa"/>
            <w:tcBorders>
              <w:top w:val="nil"/>
              <w:left w:val="nil"/>
              <w:bottom w:val="single" w:color="auto" w:sz="8" w:space="0"/>
              <w:right w:val="single" w:color="auto" w:sz="8" w:space="0"/>
            </w:tcBorders>
            <w:vAlign w:val="center"/>
          </w:tcPr>
          <w:p w14:paraId="55E75E8A">
            <w:pPr>
              <w:widowControl/>
              <w:spacing w:before="100" w:beforeAutospacing="1" w:after="100" w:afterAutospacing="1" w:line="240" w:lineRule="atLeast"/>
              <w:jc w:val="center"/>
              <w:rPr>
                <w:rFonts w:hint="eastAsia" w:ascii="宋体" w:hAnsi="宋体" w:cs="宋体"/>
                <w:color w:val="auto"/>
                <w:kern w:val="0"/>
                <w:szCs w:val="21"/>
              </w:rPr>
            </w:pPr>
          </w:p>
        </w:tc>
      </w:tr>
      <w:tr w14:paraId="6CF90B00">
        <w:tblPrEx>
          <w:tblCellMar>
            <w:top w:w="0" w:type="dxa"/>
            <w:left w:w="0" w:type="dxa"/>
            <w:bottom w:w="0" w:type="dxa"/>
            <w:right w:w="0" w:type="dxa"/>
          </w:tblCellMar>
        </w:tblPrEx>
        <w:trPr>
          <w:trHeight w:val="513" w:hRule="atLeast"/>
          <w:jc w:val="center"/>
        </w:trPr>
        <w:tc>
          <w:tcPr>
            <w:tcW w:w="1497" w:type="dxa"/>
            <w:tcBorders>
              <w:top w:val="nil"/>
              <w:left w:val="single" w:color="auto" w:sz="8" w:space="0"/>
              <w:bottom w:val="single" w:color="auto" w:sz="8" w:space="0"/>
              <w:right w:val="single" w:color="auto" w:sz="8" w:space="0"/>
            </w:tcBorders>
            <w:vAlign w:val="center"/>
          </w:tcPr>
          <w:p w14:paraId="595B8E62">
            <w:pPr>
              <w:widowControl/>
              <w:spacing w:before="100" w:beforeAutospacing="1" w:after="100" w:afterAutospacing="1" w:line="240" w:lineRule="atLeast"/>
              <w:jc w:val="center"/>
              <w:rPr>
                <w:rFonts w:hint="eastAsia" w:ascii="宋体" w:hAnsi="宋体" w:cs="宋体"/>
                <w:color w:val="auto"/>
                <w:kern w:val="0"/>
                <w:szCs w:val="21"/>
              </w:rPr>
            </w:pPr>
          </w:p>
        </w:tc>
        <w:tc>
          <w:tcPr>
            <w:tcW w:w="2159" w:type="dxa"/>
            <w:tcBorders>
              <w:top w:val="nil"/>
              <w:left w:val="nil"/>
              <w:bottom w:val="single" w:color="auto" w:sz="8" w:space="0"/>
              <w:right w:val="single" w:color="auto" w:sz="8" w:space="0"/>
            </w:tcBorders>
            <w:vAlign w:val="center"/>
          </w:tcPr>
          <w:p w14:paraId="2872188D">
            <w:pPr>
              <w:widowControl/>
              <w:spacing w:before="100" w:beforeAutospacing="1" w:after="100" w:afterAutospacing="1" w:line="240" w:lineRule="atLeast"/>
              <w:jc w:val="center"/>
              <w:rPr>
                <w:rFonts w:hint="eastAsia" w:ascii="宋体" w:hAnsi="宋体" w:cs="宋体"/>
                <w:color w:val="auto"/>
                <w:kern w:val="0"/>
                <w:szCs w:val="21"/>
              </w:rPr>
            </w:pPr>
          </w:p>
        </w:tc>
        <w:tc>
          <w:tcPr>
            <w:tcW w:w="3262" w:type="dxa"/>
            <w:gridSpan w:val="3"/>
            <w:tcBorders>
              <w:top w:val="nil"/>
              <w:left w:val="nil"/>
              <w:bottom w:val="single" w:color="auto" w:sz="8" w:space="0"/>
              <w:right w:val="single" w:color="auto" w:sz="8" w:space="0"/>
            </w:tcBorders>
            <w:vAlign w:val="center"/>
          </w:tcPr>
          <w:p w14:paraId="3C248F9F">
            <w:pPr>
              <w:widowControl/>
              <w:spacing w:before="100" w:beforeAutospacing="1" w:after="100" w:afterAutospacing="1" w:line="240" w:lineRule="atLeast"/>
              <w:jc w:val="center"/>
              <w:rPr>
                <w:rFonts w:hint="eastAsia" w:ascii="宋体" w:hAnsi="宋体" w:cs="宋体"/>
                <w:color w:val="auto"/>
                <w:kern w:val="0"/>
                <w:szCs w:val="21"/>
              </w:rPr>
            </w:pPr>
          </w:p>
        </w:tc>
        <w:tc>
          <w:tcPr>
            <w:tcW w:w="970" w:type="dxa"/>
            <w:gridSpan w:val="2"/>
            <w:tcBorders>
              <w:top w:val="nil"/>
              <w:left w:val="nil"/>
              <w:bottom w:val="single" w:color="auto" w:sz="8" w:space="0"/>
              <w:right w:val="single" w:color="auto" w:sz="8" w:space="0"/>
            </w:tcBorders>
            <w:vAlign w:val="center"/>
          </w:tcPr>
          <w:p w14:paraId="61A69BA7">
            <w:pPr>
              <w:widowControl/>
              <w:spacing w:before="100" w:beforeAutospacing="1" w:after="100" w:afterAutospacing="1" w:line="240" w:lineRule="atLeast"/>
              <w:jc w:val="center"/>
              <w:rPr>
                <w:rFonts w:hint="eastAsia" w:ascii="宋体" w:hAnsi="宋体" w:cs="宋体"/>
                <w:color w:val="auto"/>
                <w:kern w:val="0"/>
                <w:szCs w:val="21"/>
              </w:rPr>
            </w:pPr>
          </w:p>
        </w:tc>
        <w:tc>
          <w:tcPr>
            <w:tcW w:w="1606" w:type="dxa"/>
            <w:tcBorders>
              <w:top w:val="nil"/>
              <w:left w:val="nil"/>
              <w:bottom w:val="single" w:color="auto" w:sz="8" w:space="0"/>
              <w:right w:val="single" w:color="auto" w:sz="8" w:space="0"/>
            </w:tcBorders>
            <w:vAlign w:val="center"/>
          </w:tcPr>
          <w:p w14:paraId="4FAE4E27">
            <w:pPr>
              <w:widowControl/>
              <w:spacing w:before="100" w:beforeAutospacing="1" w:after="100" w:afterAutospacing="1" w:line="240" w:lineRule="atLeast"/>
              <w:jc w:val="center"/>
              <w:rPr>
                <w:rFonts w:hint="eastAsia" w:ascii="宋体" w:hAnsi="宋体" w:cs="宋体"/>
                <w:color w:val="auto"/>
                <w:kern w:val="0"/>
                <w:szCs w:val="21"/>
              </w:rPr>
            </w:pPr>
          </w:p>
        </w:tc>
      </w:tr>
      <w:tr w14:paraId="0CBCF924">
        <w:tblPrEx>
          <w:tblCellMar>
            <w:top w:w="0" w:type="dxa"/>
            <w:left w:w="0" w:type="dxa"/>
            <w:bottom w:w="0" w:type="dxa"/>
            <w:right w:w="0" w:type="dxa"/>
          </w:tblCellMar>
        </w:tblPrEx>
        <w:trPr>
          <w:trHeight w:val="513" w:hRule="atLeast"/>
          <w:jc w:val="center"/>
        </w:trPr>
        <w:tc>
          <w:tcPr>
            <w:tcW w:w="1497" w:type="dxa"/>
            <w:tcBorders>
              <w:top w:val="nil"/>
              <w:left w:val="single" w:color="auto" w:sz="8" w:space="0"/>
              <w:bottom w:val="single" w:color="auto" w:sz="8" w:space="0"/>
              <w:right w:val="single" w:color="auto" w:sz="8" w:space="0"/>
            </w:tcBorders>
            <w:vAlign w:val="center"/>
          </w:tcPr>
          <w:p w14:paraId="2928013A">
            <w:pPr>
              <w:widowControl/>
              <w:spacing w:before="100" w:beforeAutospacing="1" w:after="100" w:afterAutospacing="1" w:line="240" w:lineRule="atLeast"/>
              <w:jc w:val="center"/>
              <w:rPr>
                <w:rFonts w:hint="eastAsia" w:ascii="宋体" w:hAnsi="宋体" w:cs="宋体"/>
                <w:color w:val="auto"/>
                <w:kern w:val="0"/>
                <w:szCs w:val="21"/>
              </w:rPr>
            </w:pPr>
          </w:p>
        </w:tc>
        <w:tc>
          <w:tcPr>
            <w:tcW w:w="2159" w:type="dxa"/>
            <w:tcBorders>
              <w:top w:val="nil"/>
              <w:left w:val="nil"/>
              <w:bottom w:val="single" w:color="auto" w:sz="8" w:space="0"/>
              <w:right w:val="single" w:color="auto" w:sz="8" w:space="0"/>
            </w:tcBorders>
            <w:vAlign w:val="center"/>
          </w:tcPr>
          <w:p w14:paraId="7EC3DC38">
            <w:pPr>
              <w:widowControl/>
              <w:spacing w:before="100" w:beforeAutospacing="1" w:after="100" w:afterAutospacing="1" w:line="240" w:lineRule="atLeast"/>
              <w:jc w:val="center"/>
              <w:rPr>
                <w:rFonts w:hint="eastAsia" w:ascii="宋体" w:hAnsi="宋体" w:cs="宋体"/>
                <w:color w:val="auto"/>
                <w:kern w:val="0"/>
                <w:szCs w:val="21"/>
              </w:rPr>
            </w:pPr>
          </w:p>
        </w:tc>
        <w:tc>
          <w:tcPr>
            <w:tcW w:w="3262" w:type="dxa"/>
            <w:gridSpan w:val="3"/>
            <w:tcBorders>
              <w:top w:val="nil"/>
              <w:left w:val="nil"/>
              <w:bottom w:val="single" w:color="auto" w:sz="8" w:space="0"/>
              <w:right w:val="single" w:color="auto" w:sz="8" w:space="0"/>
            </w:tcBorders>
            <w:vAlign w:val="center"/>
          </w:tcPr>
          <w:p w14:paraId="3AE43B7E">
            <w:pPr>
              <w:widowControl/>
              <w:spacing w:before="100" w:beforeAutospacing="1" w:after="100" w:afterAutospacing="1" w:line="240" w:lineRule="atLeast"/>
              <w:jc w:val="center"/>
              <w:rPr>
                <w:rFonts w:hint="eastAsia" w:ascii="宋体" w:hAnsi="宋体" w:cs="宋体"/>
                <w:color w:val="auto"/>
                <w:kern w:val="0"/>
                <w:szCs w:val="21"/>
              </w:rPr>
            </w:pPr>
          </w:p>
        </w:tc>
        <w:tc>
          <w:tcPr>
            <w:tcW w:w="970" w:type="dxa"/>
            <w:gridSpan w:val="2"/>
            <w:tcBorders>
              <w:top w:val="nil"/>
              <w:left w:val="nil"/>
              <w:bottom w:val="single" w:color="auto" w:sz="8" w:space="0"/>
              <w:right w:val="single" w:color="auto" w:sz="8" w:space="0"/>
            </w:tcBorders>
            <w:vAlign w:val="center"/>
          </w:tcPr>
          <w:p w14:paraId="60CB2105">
            <w:pPr>
              <w:widowControl/>
              <w:spacing w:before="100" w:beforeAutospacing="1" w:after="100" w:afterAutospacing="1" w:line="240" w:lineRule="atLeast"/>
              <w:jc w:val="center"/>
              <w:rPr>
                <w:rFonts w:hint="eastAsia" w:ascii="宋体" w:hAnsi="宋体" w:cs="宋体"/>
                <w:color w:val="auto"/>
                <w:kern w:val="0"/>
                <w:szCs w:val="21"/>
              </w:rPr>
            </w:pPr>
          </w:p>
        </w:tc>
        <w:tc>
          <w:tcPr>
            <w:tcW w:w="1606" w:type="dxa"/>
            <w:tcBorders>
              <w:top w:val="nil"/>
              <w:left w:val="nil"/>
              <w:bottom w:val="single" w:color="auto" w:sz="8" w:space="0"/>
              <w:right w:val="single" w:color="auto" w:sz="8" w:space="0"/>
            </w:tcBorders>
            <w:vAlign w:val="center"/>
          </w:tcPr>
          <w:p w14:paraId="6BBEAB42">
            <w:pPr>
              <w:widowControl/>
              <w:spacing w:before="100" w:beforeAutospacing="1" w:after="100" w:afterAutospacing="1" w:line="240" w:lineRule="atLeast"/>
              <w:jc w:val="center"/>
              <w:rPr>
                <w:rFonts w:hint="eastAsia" w:ascii="宋体" w:hAnsi="宋体" w:cs="宋体"/>
                <w:color w:val="auto"/>
                <w:kern w:val="0"/>
                <w:szCs w:val="21"/>
              </w:rPr>
            </w:pPr>
          </w:p>
        </w:tc>
      </w:tr>
      <w:tr w14:paraId="6AC6FE15">
        <w:tblPrEx>
          <w:tblCellMar>
            <w:top w:w="0" w:type="dxa"/>
            <w:left w:w="0" w:type="dxa"/>
            <w:bottom w:w="0" w:type="dxa"/>
            <w:right w:w="0" w:type="dxa"/>
          </w:tblCellMar>
        </w:tblPrEx>
        <w:trPr>
          <w:trHeight w:val="513" w:hRule="atLeast"/>
          <w:jc w:val="center"/>
        </w:trPr>
        <w:tc>
          <w:tcPr>
            <w:tcW w:w="6918" w:type="dxa"/>
            <w:gridSpan w:val="5"/>
            <w:tcBorders>
              <w:top w:val="nil"/>
              <w:left w:val="single" w:color="auto" w:sz="8" w:space="0"/>
              <w:bottom w:val="single" w:color="auto" w:sz="8" w:space="0"/>
              <w:right w:val="single" w:color="auto" w:sz="8" w:space="0"/>
            </w:tcBorders>
            <w:vAlign w:val="center"/>
          </w:tcPr>
          <w:p w14:paraId="48AE9ECA">
            <w:pPr>
              <w:widowControl/>
              <w:snapToGrid w:val="0"/>
              <w:spacing w:before="100" w:beforeAutospacing="1" w:after="100" w:afterAutospacing="1" w:line="320" w:lineRule="atLeast"/>
              <w:ind w:firstLine="5"/>
              <w:jc w:val="center"/>
              <w:rPr>
                <w:rFonts w:hint="eastAsia" w:ascii="宋体" w:hAnsi="宋体" w:cs="宋体"/>
                <w:color w:val="auto"/>
                <w:kern w:val="0"/>
                <w:szCs w:val="21"/>
              </w:rPr>
            </w:pPr>
            <w:r>
              <w:rPr>
                <w:rFonts w:ascii="宋体" w:hAnsi="宋体" w:cs="宋体"/>
                <w:color w:val="auto"/>
                <w:kern w:val="0"/>
                <w:szCs w:val="21"/>
              </w:rPr>
              <w:t>合 计</w:t>
            </w:r>
          </w:p>
        </w:tc>
        <w:tc>
          <w:tcPr>
            <w:tcW w:w="970" w:type="dxa"/>
            <w:gridSpan w:val="2"/>
            <w:tcBorders>
              <w:top w:val="nil"/>
              <w:left w:val="nil"/>
              <w:bottom w:val="single" w:color="auto" w:sz="8" w:space="0"/>
              <w:right w:val="single" w:color="auto" w:sz="8" w:space="0"/>
            </w:tcBorders>
            <w:vAlign w:val="center"/>
          </w:tcPr>
          <w:p w14:paraId="6E0E7483">
            <w:pPr>
              <w:widowControl/>
              <w:spacing w:before="100" w:beforeAutospacing="1" w:after="100" w:afterAutospacing="1" w:line="240" w:lineRule="atLeast"/>
              <w:jc w:val="center"/>
              <w:rPr>
                <w:rFonts w:hint="eastAsia" w:ascii="宋体" w:hAnsi="宋体" w:cs="宋体"/>
                <w:color w:val="auto"/>
                <w:kern w:val="0"/>
                <w:szCs w:val="21"/>
              </w:rPr>
            </w:pPr>
          </w:p>
        </w:tc>
        <w:tc>
          <w:tcPr>
            <w:tcW w:w="1606" w:type="dxa"/>
            <w:tcBorders>
              <w:top w:val="nil"/>
              <w:left w:val="nil"/>
              <w:bottom w:val="single" w:color="auto" w:sz="8" w:space="0"/>
              <w:right w:val="single" w:color="auto" w:sz="8" w:space="0"/>
            </w:tcBorders>
            <w:vAlign w:val="center"/>
          </w:tcPr>
          <w:p w14:paraId="3B98AA38">
            <w:pPr>
              <w:widowControl/>
              <w:spacing w:before="100" w:beforeAutospacing="1" w:after="100" w:afterAutospacing="1" w:line="240" w:lineRule="atLeast"/>
              <w:jc w:val="center"/>
              <w:rPr>
                <w:rFonts w:hint="eastAsia" w:ascii="宋体" w:hAnsi="宋体" w:cs="宋体"/>
                <w:color w:val="auto"/>
                <w:kern w:val="0"/>
                <w:szCs w:val="21"/>
              </w:rPr>
            </w:pPr>
          </w:p>
        </w:tc>
      </w:tr>
      <w:tr w14:paraId="1593CFFE">
        <w:tblPrEx>
          <w:tblCellMar>
            <w:top w:w="0" w:type="dxa"/>
            <w:left w:w="0" w:type="dxa"/>
            <w:bottom w:w="0" w:type="dxa"/>
            <w:right w:w="0" w:type="dxa"/>
          </w:tblCellMar>
        </w:tblPrEx>
        <w:trPr>
          <w:trHeight w:val="674" w:hRule="atLeast"/>
          <w:jc w:val="center"/>
        </w:trPr>
        <w:tc>
          <w:tcPr>
            <w:tcW w:w="9494" w:type="dxa"/>
            <w:gridSpan w:val="8"/>
            <w:tcBorders>
              <w:top w:val="nil"/>
              <w:left w:val="single" w:color="auto" w:sz="8" w:space="0"/>
              <w:bottom w:val="single" w:color="auto" w:sz="8" w:space="0"/>
              <w:right w:val="single" w:color="auto" w:sz="8" w:space="0"/>
            </w:tcBorders>
            <w:vAlign w:val="center"/>
          </w:tcPr>
          <w:p w14:paraId="6F0E605D">
            <w:pPr>
              <w:widowControl/>
              <w:snapToGrid w:val="0"/>
              <w:spacing w:before="100" w:beforeAutospacing="1" w:after="100" w:afterAutospacing="1" w:line="320" w:lineRule="atLeast"/>
              <w:ind w:firstLine="2"/>
              <w:jc w:val="left"/>
              <w:rPr>
                <w:rFonts w:hint="eastAsia" w:ascii="宋体" w:hAnsi="宋体" w:cs="宋体"/>
                <w:color w:val="auto"/>
                <w:kern w:val="0"/>
                <w:szCs w:val="21"/>
              </w:rPr>
            </w:pPr>
            <w:r>
              <w:rPr>
                <w:rFonts w:ascii="宋体" w:hAnsi="宋体" w:cs="宋体"/>
                <w:color w:val="auto"/>
                <w:kern w:val="0"/>
                <w:szCs w:val="21"/>
              </w:rPr>
              <w:t>合计大写金额： 仟 佰 拾 万 仟 佰 拾 元</w:t>
            </w:r>
          </w:p>
        </w:tc>
      </w:tr>
      <w:tr w14:paraId="0588259A">
        <w:tblPrEx>
          <w:tblCellMar>
            <w:top w:w="0" w:type="dxa"/>
            <w:left w:w="0" w:type="dxa"/>
            <w:bottom w:w="0" w:type="dxa"/>
            <w:right w:w="0" w:type="dxa"/>
          </w:tblCellMar>
        </w:tblPrEx>
        <w:trPr>
          <w:trHeight w:val="674" w:hRule="atLeast"/>
          <w:jc w:val="center"/>
        </w:trPr>
        <w:tc>
          <w:tcPr>
            <w:tcW w:w="1497" w:type="dxa"/>
            <w:tcBorders>
              <w:top w:val="nil"/>
              <w:left w:val="single" w:color="auto" w:sz="8" w:space="0"/>
              <w:bottom w:val="single" w:color="auto" w:sz="8" w:space="0"/>
              <w:right w:val="single" w:color="auto" w:sz="8" w:space="0"/>
            </w:tcBorders>
            <w:vAlign w:val="center"/>
          </w:tcPr>
          <w:p w14:paraId="629EEEA8">
            <w:pPr>
              <w:widowControl/>
              <w:snapToGrid w:val="0"/>
              <w:spacing w:before="100" w:beforeAutospacing="1" w:after="100" w:afterAutospacing="1" w:line="320" w:lineRule="atLeast"/>
              <w:ind w:firstLine="2"/>
              <w:jc w:val="center"/>
              <w:rPr>
                <w:rFonts w:hint="eastAsia" w:ascii="宋体" w:hAnsi="宋体" w:cs="宋体"/>
                <w:color w:val="auto"/>
                <w:kern w:val="0"/>
                <w:szCs w:val="21"/>
              </w:rPr>
            </w:pPr>
            <w:r>
              <w:rPr>
                <w:rFonts w:ascii="宋体" w:hAnsi="宋体" w:cs="宋体"/>
                <w:color w:val="auto"/>
                <w:kern w:val="0"/>
                <w:szCs w:val="21"/>
              </w:rPr>
              <w:t>实际供货日期</w:t>
            </w:r>
          </w:p>
        </w:tc>
        <w:tc>
          <w:tcPr>
            <w:tcW w:w="3056" w:type="dxa"/>
            <w:gridSpan w:val="2"/>
            <w:tcBorders>
              <w:top w:val="nil"/>
              <w:left w:val="nil"/>
              <w:bottom w:val="single" w:color="auto" w:sz="8" w:space="0"/>
              <w:right w:val="single" w:color="auto" w:sz="8" w:space="0"/>
            </w:tcBorders>
            <w:vAlign w:val="center"/>
          </w:tcPr>
          <w:p w14:paraId="06368365">
            <w:pPr>
              <w:widowControl/>
              <w:spacing w:before="100" w:beforeAutospacing="1" w:after="100" w:afterAutospacing="1" w:line="240" w:lineRule="atLeast"/>
              <w:jc w:val="center"/>
              <w:rPr>
                <w:rFonts w:hint="eastAsia" w:ascii="宋体" w:hAnsi="宋体" w:cs="宋体"/>
                <w:color w:val="auto"/>
                <w:kern w:val="0"/>
                <w:szCs w:val="21"/>
              </w:rPr>
            </w:pPr>
          </w:p>
        </w:tc>
        <w:tc>
          <w:tcPr>
            <w:tcW w:w="2565" w:type="dxa"/>
            <w:gridSpan w:val="3"/>
            <w:tcBorders>
              <w:top w:val="nil"/>
              <w:left w:val="nil"/>
              <w:bottom w:val="single" w:color="auto" w:sz="8" w:space="0"/>
              <w:right w:val="single" w:color="auto" w:sz="8" w:space="0"/>
            </w:tcBorders>
            <w:vAlign w:val="center"/>
          </w:tcPr>
          <w:p w14:paraId="745B5D6E">
            <w:pPr>
              <w:widowControl/>
              <w:snapToGrid w:val="0"/>
              <w:spacing w:before="100" w:beforeAutospacing="1" w:after="100" w:afterAutospacing="1" w:line="320" w:lineRule="atLeast"/>
              <w:ind w:firstLine="46"/>
              <w:jc w:val="center"/>
              <w:rPr>
                <w:rFonts w:hint="eastAsia" w:ascii="宋体" w:hAnsi="宋体" w:cs="宋体"/>
                <w:color w:val="auto"/>
                <w:kern w:val="0"/>
                <w:szCs w:val="21"/>
              </w:rPr>
            </w:pPr>
            <w:r>
              <w:rPr>
                <w:rFonts w:ascii="宋体" w:hAnsi="宋体" w:cs="宋体"/>
                <w:color w:val="auto"/>
                <w:kern w:val="0"/>
                <w:szCs w:val="21"/>
              </w:rPr>
              <w:t>合同交货验收日期</w:t>
            </w:r>
          </w:p>
        </w:tc>
        <w:tc>
          <w:tcPr>
            <w:tcW w:w="2376" w:type="dxa"/>
            <w:gridSpan w:val="2"/>
            <w:tcBorders>
              <w:top w:val="nil"/>
              <w:left w:val="nil"/>
              <w:bottom w:val="single" w:color="auto" w:sz="8" w:space="0"/>
              <w:right w:val="single" w:color="auto" w:sz="8" w:space="0"/>
            </w:tcBorders>
            <w:vAlign w:val="center"/>
          </w:tcPr>
          <w:p w14:paraId="701C3773">
            <w:pPr>
              <w:widowControl/>
              <w:spacing w:before="100" w:beforeAutospacing="1" w:after="100" w:afterAutospacing="1" w:line="240" w:lineRule="atLeast"/>
              <w:jc w:val="center"/>
              <w:rPr>
                <w:rFonts w:hint="eastAsia" w:ascii="宋体" w:hAnsi="宋体" w:cs="宋体"/>
                <w:color w:val="auto"/>
                <w:kern w:val="0"/>
                <w:szCs w:val="21"/>
              </w:rPr>
            </w:pPr>
          </w:p>
        </w:tc>
      </w:tr>
      <w:tr w14:paraId="62C92159">
        <w:tblPrEx>
          <w:tblCellMar>
            <w:top w:w="0" w:type="dxa"/>
            <w:left w:w="0" w:type="dxa"/>
            <w:bottom w:w="0" w:type="dxa"/>
            <w:right w:w="0" w:type="dxa"/>
          </w:tblCellMar>
        </w:tblPrEx>
        <w:trPr>
          <w:trHeight w:val="729" w:hRule="atLeast"/>
          <w:jc w:val="center"/>
        </w:trPr>
        <w:tc>
          <w:tcPr>
            <w:tcW w:w="1497" w:type="dxa"/>
            <w:tcBorders>
              <w:top w:val="nil"/>
              <w:left w:val="single" w:color="auto" w:sz="8" w:space="0"/>
              <w:bottom w:val="single" w:color="auto" w:sz="8" w:space="0"/>
              <w:right w:val="single" w:color="auto" w:sz="8" w:space="0"/>
            </w:tcBorders>
            <w:tcMar>
              <w:left w:w="108" w:type="dxa"/>
              <w:right w:w="108" w:type="dxa"/>
            </w:tcMar>
            <w:vAlign w:val="center"/>
          </w:tcPr>
          <w:p w14:paraId="53172AEF">
            <w:pPr>
              <w:widowControl/>
              <w:snapToGrid w:val="0"/>
              <w:spacing w:before="100" w:beforeAutospacing="1" w:after="100" w:afterAutospacing="1" w:line="320" w:lineRule="atLeast"/>
              <w:jc w:val="left"/>
              <w:rPr>
                <w:rFonts w:hint="eastAsia" w:ascii="宋体" w:hAnsi="宋体" w:cs="宋体"/>
                <w:color w:val="auto"/>
                <w:kern w:val="0"/>
                <w:szCs w:val="21"/>
              </w:rPr>
            </w:pPr>
            <w:r>
              <w:rPr>
                <w:rFonts w:ascii="宋体" w:hAnsi="宋体" w:cs="宋体"/>
                <w:color w:val="auto"/>
                <w:kern w:val="0"/>
                <w:szCs w:val="21"/>
              </w:rPr>
              <w:t>验收具体内容</w:t>
            </w:r>
          </w:p>
        </w:tc>
        <w:tc>
          <w:tcPr>
            <w:tcW w:w="7997" w:type="dxa"/>
            <w:gridSpan w:val="7"/>
            <w:tcBorders>
              <w:top w:val="nil"/>
              <w:left w:val="nil"/>
              <w:bottom w:val="single" w:color="auto" w:sz="8" w:space="0"/>
              <w:right w:val="single" w:color="auto" w:sz="8" w:space="0"/>
            </w:tcBorders>
            <w:tcMar>
              <w:left w:w="108" w:type="dxa"/>
              <w:right w:w="108" w:type="dxa"/>
            </w:tcMar>
            <w:vAlign w:val="center"/>
          </w:tcPr>
          <w:p w14:paraId="3AD6F02F">
            <w:pPr>
              <w:widowControl/>
              <w:snapToGrid w:val="0"/>
              <w:spacing w:before="100" w:beforeAutospacing="1" w:after="100" w:afterAutospacing="1" w:line="320" w:lineRule="atLeast"/>
              <w:jc w:val="left"/>
              <w:rPr>
                <w:rFonts w:hint="eastAsia" w:ascii="宋体" w:hAnsi="宋体" w:cs="宋体"/>
                <w:color w:val="auto"/>
                <w:kern w:val="0"/>
                <w:szCs w:val="21"/>
              </w:rPr>
            </w:pPr>
            <w:r>
              <w:rPr>
                <w:rFonts w:ascii="宋体" w:hAnsi="宋体" w:cs="宋体"/>
                <w:color w:val="auto"/>
                <w:kern w:val="0"/>
                <w:szCs w:val="21"/>
              </w:rPr>
              <w:t>（应按采购合同、采购文件、投标响应文件及验收方案等进行验收；并核对中标或者成交供应商在安装调试等方面是否违反合同约定或服务规范要求、提供的质量保证证明材料是否齐全、应有的配件及附件是否达到合同约定等。可附件)</w:t>
            </w:r>
          </w:p>
        </w:tc>
      </w:tr>
      <w:tr w14:paraId="34CB75D5">
        <w:tblPrEx>
          <w:tblCellMar>
            <w:top w:w="0" w:type="dxa"/>
            <w:left w:w="0" w:type="dxa"/>
            <w:bottom w:w="0" w:type="dxa"/>
            <w:right w:w="0" w:type="dxa"/>
          </w:tblCellMar>
        </w:tblPrEx>
        <w:trPr>
          <w:trHeight w:val="1348" w:hRule="atLeast"/>
          <w:jc w:val="center"/>
        </w:trPr>
        <w:tc>
          <w:tcPr>
            <w:tcW w:w="1497" w:type="dxa"/>
            <w:vMerge w:val="restart"/>
            <w:tcBorders>
              <w:top w:val="nil"/>
              <w:left w:val="single" w:color="auto" w:sz="8" w:space="0"/>
              <w:bottom w:val="single" w:color="auto" w:sz="8" w:space="0"/>
              <w:right w:val="single" w:color="auto" w:sz="8" w:space="0"/>
            </w:tcBorders>
            <w:tcMar>
              <w:left w:w="108" w:type="dxa"/>
              <w:right w:w="108" w:type="dxa"/>
            </w:tcMar>
            <w:vAlign w:val="center"/>
          </w:tcPr>
          <w:p w14:paraId="59115136">
            <w:pPr>
              <w:widowControl/>
              <w:spacing w:before="100" w:beforeAutospacing="1" w:after="100" w:afterAutospacing="1" w:line="320" w:lineRule="atLeast"/>
              <w:jc w:val="left"/>
              <w:rPr>
                <w:rFonts w:hint="eastAsia" w:ascii="宋体" w:hAnsi="宋体" w:cs="宋体"/>
                <w:color w:val="auto"/>
                <w:kern w:val="0"/>
                <w:szCs w:val="21"/>
              </w:rPr>
            </w:pPr>
            <w:r>
              <w:rPr>
                <w:rFonts w:ascii="宋体" w:hAnsi="宋体" w:cs="宋体"/>
                <w:color w:val="auto"/>
                <w:kern w:val="0"/>
                <w:szCs w:val="21"/>
              </w:rPr>
              <w:t>验收小组意见</w:t>
            </w:r>
          </w:p>
        </w:tc>
        <w:tc>
          <w:tcPr>
            <w:tcW w:w="7997" w:type="dxa"/>
            <w:gridSpan w:val="7"/>
            <w:tcBorders>
              <w:top w:val="nil"/>
              <w:left w:val="nil"/>
              <w:bottom w:val="single" w:color="auto" w:sz="8" w:space="0"/>
              <w:right w:val="single" w:color="auto" w:sz="8" w:space="0"/>
            </w:tcBorders>
            <w:vAlign w:val="center"/>
          </w:tcPr>
          <w:p w14:paraId="08656474">
            <w:pPr>
              <w:widowControl/>
              <w:spacing w:before="100" w:beforeAutospacing="1" w:after="100" w:afterAutospacing="1" w:line="320" w:lineRule="atLeast"/>
              <w:jc w:val="left"/>
              <w:rPr>
                <w:rFonts w:hint="eastAsia" w:ascii="宋体" w:hAnsi="宋体" w:cs="宋体"/>
                <w:color w:val="auto"/>
                <w:kern w:val="0"/>
                <w:szCs w:val="21"/>
              </w:rPr>
            </w:pPr>
            <w:r>
              <w:rPr>
                <w:rFonts w:ascii="宋体" w:hAnsi="宋体" w:cs="宋体"/>
                <w:color w:val="auto"/>
                <w:kern w:val="0"/>
                <w:szCs w:val="21"/>
              </w:rPr>
              <w:t>验收结论性意见：</w:t>
            </w:r>
          </w:p>
        </w:tc>
      </w:tr>
      <w:tr w14:paraId="1D0D3BD7">
        <w:tblPrEx>
          <w:tblCellMar>
            <w:top w:w="0" w:type="dxa"/>
            <w:left w:w="0" w:type="dxa"/>
            <w:bottom w:w="0" w:type="dxa"/>
            <w:right w:w="0" w:type="dxa"/>
          </w:tblCellMar>
        </w:tblPrEx>
        <w:trPr>
          <w:trHeight w:val="639" w:hRule="atLeast"/>
          <w:jc w:val="center"/>
        </w:trPr>
        <w:tc>
          <w:tcPr>
            <w:tcW w:w="1497" w:type="dxa"/>
            <w:vMerge w:val="continue"/>
            <w:tcBorders>
              <w:top w:val="nil"/>
              <w:left w:val="single" w:color="auto" w:sz="8" w:space="0"/>
              <w:bottom w:val="single" w:color="auto" w:sz="8" w:space="0"/>
              <w:right w:val="single" w:color="auto" w:sz="8" w:space="0"/>
            </w:tcBorders>
            <w:vAlign w:val="center"/>
          </w:tcPr>
          <w:p w14:paraId="7C742EFD">
            <w:pPr>
              <w:rPr>
                <w:rFonts w:hint="eastAsia" w:ascii="宋体" w:hAnsi="宋体"/>
                <w:color w:val="auto"/>
              </w:rPr>
            </w:pPr>
          </w:p>
        </w:tc>
        <w:tc>
          <w:tcPr>
            <w:tcW w:w="7997" w:type="dxa"/>
            <w:gridSpan w:val="7"/>
            <w:tcBorders>
              <w:top w:val="nil"/>
              <w:left w:val="nil"/>
              <w:bottom w:val="single" w:color="auto" w:sz="8" w:space="0"/>
              <w:right w:val="single" w:color="auto" w:sz="8" w:space="0"/>
            </w:tcBorders>
            <w:vAlign w:val="center"/>
          </w:tcPr>
          <w:p w14:paraId="103B8C1C">
            <w:pPr>
              <w:widowControl/>
              <w:spacing w:before="100" w:beforeAutospacing="1" w:after="100" w:afterAutospacing="1" w:line="320" w:lineRule="atLeast"/>
              <w:ind w:firstLine="96"/>
              <w:jc w:val="left"/>
              <w:rPr>
                <w:rFonts w:hint="eastAsia" w:ascii="宋体" w:hAnsi="宋体" w:cs="宋体"/>
                <w:color w:val="auto"/>
                <w:kern w:val="0"/>
                <w:szCs w:val="21"/>
              </w:rPr>
            </w:pPr>
            <w:r>
              <w:rPr>
                <w:rFonts w:ascii="宋体" w:hAnsi="宋体" w:cs="宋体"/>
                <w:color w:val="auto"/>
                <w:kern w:val="0"/>
                <w:szCs w:val="21"/>
              </w:rPr>
              <w:t>有异议的意见和说明理由：</w:t>
            </w:r>
          </w:p>
          <w:p w14:paraId="577ACCBC">
            <w:pPr>
              <w:widowControl/>
              <w:spacing w:before="100" w:beforeAutospacing="1" w:after="100" w:afterAutospacing="1" w:line="320" w:lineRule="atLeast"/>
              <w:jc w:val="left"/>
              <w:rPr>
                <w:rFonts w:hint="eastAsia" w:ascii="宋体" w:hAnsi="宋体" w:cs="宋体"/>
                <w:color w:val="auto"/>
                <w:kern w:val="0"/>
                <w:szCs w:val="21"/>
              </w:rPr>
            </w:pPr>
            <w:r>
              <w:rPr>
                <w:rFonts w:ascii="宋体" w:hAnsi="宋体" w:cs="宋体"/>
                <w:color w:val="auto"/>
                <w:kern w:val="0"/>
                <w:szCs w:val="21"/>
              </w:rPr>
              <w:t>签字：</w:t>
            </w:r>
          </w:p>
        </w:tc>
      </w:tr>
      <w:tr w14:paraId="3ECD11DA">
        <w:tblPrEx>
          <w:tblCellMar>
            <w:top w:w="0" w:type="dxa"/>
            <w:left w:w="0" w:type="dxa"/>
            <w:bottom w:w="0" w:type="dxa"/>
            <w:right w:w="0" w:type="dxa"/>
          </w:tblCellMar>
        </w:tblPrEx>
        <w:trPr>
          <w:trHeight w:val="534" w:hRule="atLeast"/>
          <w:jc w:val="center"/>
        </w:trPr>
        <w:tc>
          <w:tcPr>
            <w:tcW w:w="9494" w:type="dxa"/>
            <w:gridSpan w:val="8"/>
            <w:tcBorders>
              <w:top w:val="nil"/>
              <w:left w:val="single" w:color="auto" w:sz="8" w:space="0"/>
              <w:bottom w:val="single" w:color="auto" w:sz="8" w:space="0"/>
              <w:right w:val="single" w:color="auto" w:sz="8" w:space="0"/>
            </w:tcBorders>
            <w:tcMar>
              <w:left w:w="108" w:type="dxa"/>
              <w:right w:w="108" w:type="dxa"/>
            </w:tcMar>
            <w:vAlign w:val="center"/>
          </w:tcPr>
          <w:p w14:paraId="1FBD5E08">
            <w:pPr>
              <w:widowControl/>
              <w:spacing w:before="100" w:beforeAutospacing="1" w:after="100" w:afterAutospacing="1" w:line="320" w:lineRule="atLeast"/>
              <w:jc w:val="left"/>
              <w:rPr>
                <w:rFonts w:hint="eastAsia" w:ascii="宋体" w:hAnsi="宋体" w:cs="宋体"/>
                <w:color w:val="auto"/>
                <w:kern w:val="0"/>
                <w:szCs w:val="21"/>
              </w:rPr>
            </w:pPr>
            <w:r>
              <w:rPr>
                <w:rFonts w:ascii="宋体" w:hAnsi="宋体" w:cs="宋体"/>
                <w:color w:val="auto"/>
                <w:kern w:val="0"/>
                <w:szCs w:val="21"/>
              </w:rPr>
              <w:t>验收小组成员签字：</w:t>
            </w:r>
          </w:p>
        </w:tc>
      </w:tr>
      <w:tr w14:paraId="7F63E850">
        <w:tblPrEx>
          <w:tblCellMar>
            <w:top w:w="0" w:type="dxa"/>
            <w:left w:w="0" w:type="dxa"/>
            <w:bottom w:w="0" w:type="dxa"/>
            <w:right w:w="0" w:type="dxa"/>
          </w:tblCellMar>
        </w:tblPrEx>
        <w:trPr>
          <w:trHeight w:val="774" w:hRule="atLeast"/>
          <w:jc w:val="center"/>
        </w:trPr>
        <w:tc>
          <w:tcPr>
            <w:tcW w:w="9494" w:type="dxa"/>
            <w:gridSpan w:val="8"/>
            <w:tcBorders>
              <w:top w:val="nil"/>
              <w:left w:val="single" w:color="auto" w:sz="8" w:space="0"/>
              <w:bottom w:val="single" w:color="auto" w:sz="8" w:space="0"/>
              <w:right w:val="single" w:color="auto" w:sz="8" w:space="0"/>
            </w:tcBorders>
            <w:tcMar>
              <w:left w:w="108" w:type="dxa"/>
              <w:right w:w="108" w:type="dxa"/>
            </w:tcMar>
            <w:vAlign w:val="center"/>
          </w:tcPr>
          <w:p w14:paraId="5C32B3D5">
            <w:pPr>
              <w:widowControl/>
              <w:spacing w:before="100" w:beforeAutospacing="1" w:after="100" w:afterAutospacing="1" w:line="320" w:lineRule="atLeast"/>
              <w:jc w:val="left"/>
              <w:rPr>
                <w:rFonts w:hint="eastAsia" w:ascii="宋体" w:hAnsi="宋体" w:cs="宋体"/>
                <w:color w:val="auto"/>
                <w:kern w:val="0"/>
                <w:szCs w:val="21"/>
              </w:rPr>
            </w:pPr>
            <w:r>
              <w:rPr>
                <w:rFonts w:ascii="宋体" w:hAnsi="宋体" w:cs="宋体"/>
                <w:color w:val="auto"/>
                <w:kern w:val="0"/>
                <w:szCs w:val="21"/>
              </w:rPr>
              <w:t>监督人员或其他相关人员签字：</w:t>
            </w:r>
          </w:p>
          <w:p w14:paraId="2029D1D7">
            <w:pPr>
              <w:widowControl/>
              <w:spacing w:before="100" w:beforeAutospacing="1" w:after="100" w:afterAutospacing="1" w:line="320" w:lineRule="atLeast"/>
              <w:ind w:firstLine="74"/>
              <w:jc w:val="left"/>
              <w:rPr>
                <w:rFonts w:hint="eastAsia" w:ascii="宋体" w:hAnsi="宋体" w:cs="宋体"/>
                <w:color w:val="auto"/>
                <w:kern w:val="0"/>
                <w:szCs w:val="21"/>
              </w:rPr>
            </w:pPr>
            <w:r>
              <w:rPr>
                <w:rFonts w:ascii="宋体" w:hAnsi="宋体" w:cs="宋体"/>
                <w:color w:val="auto"/>
                <w:kern w:val="0"/>
                <w:szCs w:val="21"/>
              </w:rPr>
              <w:t>或受邀机构的意见（盖章）：</w:t>
            </w:r>
          </w:p>
        </w:tc>
      </w:tr>
      <w:tr w14:paraId="0E01C54D">
        <w:tblPrEx>
          <w:tblCellMar>
            <w:top w:w="0" w:type="dxa"/>
            <w:left w:w="0" w:type="dxa"/>
            <w:bottom w:w="0" w:type="dxa"/>
            <w:right w:w="0" w:type="dxa"/>
          </w:tblCellMar>
        </w:tblPrEx>
        <w:trPr>
          <w:trHeight w:val="797" w:hRule="atLeast"/>
          <w:jc w:val="center"/>
        </w:trPr>
        <w:tc>
          <w:tcPr>
            <w:tcW w:w="4667" w:type="dxa"/>
            <w:gridSpan w:val="4"/>
            <w:tcBorders>
              <w:top w:val="nil"/>
              <w:left w:val="single" w:color="auto" w:sz="8" w:space="0"/>
              <w:bottom w:val="single" w:color="auto" w:sz="8" w:space="0"/>
              <w:right w:val="nil"/>
            </w:tcBorders>
            <w:tcMar>
              <w:left w:w="108" w:type="dxa"/>
              <w:right w:w="108" w:type="dxa"/>
            </w:tcMar>
            <w:vAlign w:val="center"/>
          </w:tcPr>
          <w:p w14:paraId="36D442A5">
            <w:pPr>
              <w:widowControl/>
              <w:spacing w:before="100" w:beforeAutospacing="1" w:after="100" w:afterAutospacing="1" w:line="320" w:lineRule="atLeast"/>
              <w:ind w:firstLine="74"/>
              <w:jc w:val="left"/>
              <w:rPr>
                <w:rFonts w:hint="eastAsia" w:ascii="宋体" w:hAnsi="宋体" w:cs="宋体"/>
                <w:color w:val="auto"/>
                <w:kern w:val="0"/>
                <w:szCs w:val="21"/>
              </w:rPr>
            </w:pPr>
            <w:r>
              <w:rPr>
                <w:rFonts w:ascii="宋体" w:hAnsi="宋体" w:cs="宋体"/>
                <w:color w:val="auto"/>
                <w:kern w:val="0"/>
                <w:szCs w:val="21"/>
              </w:rPr>
              <w:t>中标或者成交供应商负责人签字或盖章：</w:t>
            </w:r>
          </w:p>
          <w:p w14:paraId="080D77E8">
            <w:pPr>
              <w:widowControl/>
              <w:spacing w:before="100" w:beforeAutospacing="1" w:after="100" w:afterAutospacing="1" w:line="320" w:lineRule="atLeast"/>
              <w:jc w:val="left"/>
              <w:rPr>
                <w:rFonts w:hint="eastAsia" w:ascii="宋体" w:hAnsi="宋体" w:cs="宋体"/>
                <w:color w:val="auto"/>
                <w:kern w:val="0"/>
                <w:szCs w:val="21"/>
              </w:rPr>
            </w:pPr>
            <w:r>
              <w:rPr>
                <w:rFonts w:ascii="宋体" w:hAnsi="宋体" w:cs="宋体"/>
                <w:color w:val="auto"/>
                <w:kern w:val="0"/>
                <w:szCs w:val="21"/>
              </w:rPr>
              <w:t>联系电话： 年 月 日</w:t>
            </w:r>
          </w:p>
        </w:tc>
        <w:tc>
          <w:tcPr>
            <w:tcW w:w="4827" w:type="dxa"/>
            <w:gridSpan w:val="4"/>
            <w:tcBorders>
              <w:top w:val="nil"/>
              <w:left w:val="nil"/>
              <w:bottom w:val="single" w:color="auto" w:sz="8" w:space="0"/>
              <w:right w:val="single" w:color="auto" w:sz="8" w:space="0"/>
            </w:tcBorders>
            <w:vAlign w:val="center"/>
          </w:tcPr>
          <w:p w14:paraId="07BDA918">
            <w:pPr>
              <w:widowControl/>
              <w:spacing w:before="100" w:beforeAutospacing="1" w:after="100" w:afterAutospacing="1" w:line="320" w:lineRule="atLeast"/>
              <w:jc w:val="left"/>
              <w:rPr>
                <w:rFonts w:hint="eastAsia" w:ascii="宋体" w:hAnsi="宋体" w:cs="宋体"/>
                <w:color w:val="auto"/>
                <w:kern w:val="0"/>
                <w:szCs w:val="21"/>
              </w:rPr>
            </w:pPr>
            <w:r>
              <w:rPr>
                <w:rFonts w:ascii="宋体" w:hAnsi="宋体" w:cs="宋体"/>
                <w:color w:val="auto"/>
                <w:kern w:val="0"/>
                <w:szCs w:val="21"/>
              </w:rPr>
              <w:t>采购人或受托机构的意见（盖章）：</w:t>
            </w:r>
          </w:p>
          <w:p w14:paraId="120CBED6">
            <w:pPr>
              <w:widowControl/>
              <w:spacing w:before="100" w:beforeAutospacing="1" w:after="100" w:afterAutospacing="1" w:line="320" w:lineRule="atLeast"/>
              <w:jc w:val="left"/>
              <w:rPr>
                <w:rFonts w:hint="eastAsia" w:ascii="宋体" w:hAnsi="宋体" w:cs="宋体"/>
                <w:color w:val="auto"/>
                <w:kern w:val="0"/>
                <w:szCs w:val="21"/>
              </w:rPr>
            </w:pPr>
            <w:r>
              <w:rPr>
                <w:rFonts w:ascii="宋体" w:hAnsi="宋体" w:cs="宋体"/>
                <w:color w:val="auto"/>
                <w:kern w:val="0"/>
                <w:szCs w:val="21"/>
              </w:rPr>
              <w:t>联系电话： 年 月 日</w:t>
            </w:r>
          </w:p>
        </w:tc>
      </w:tr>
    </w:tbl>
    <w:p w14:paraId="74FADF3B">
      <w:pPr>
        <w:jc w:val="left"/>
        <w:rPr>
          <w:rFonts w:hint="eastAsia" w:ascii="宋体" w:hAnsi="宋体"/>
          <w:color w:val="auto"/>
        </w:rPr>
      </w:pPr>
    </w:p>
    <w:p w14:paraId="5752C67B">
      <w:pPr>
        <w:jc w:val="left"/>
        <w:rPr>
          <w:color w:val="auto"/>
        </w:rPr>
      </w:pPr>
      <w:r>
        <w:rPr>
          <w:rFonts w:ascii="宋体" w:hAnsi="宋体"/>
          <w:color w:val="auto"/>
        </w:rPr>
        <w:br w:type="page"/>
      </w:r>
      <w:r>
        <w:rPr>
          <w:rFonts w:hint="eastAsia" w:ascii="楷体" w:eastAsia="楷体"/>
          <w:color w:val="auto"/>
          <w:kern w:val="0"/>
          <w:sz w:val="32"/>
          <w:szCs w:val="32"/>
        </w:rPr>
        <w:t>附件2：</w:t>
      </w:r>
    </w:p>
    <w:p w14:paraId="1D9533D4">
      <w:pPr>
        <w:jc w:val="center"/>
        <w:rPr>
          <w:rFonts w:ascii="黑体" w:eastAsia="黑体"/>
          <w:color w:val="auto"/>
          <w:sz w:val="32"/>
          <w:szCs w:val="32"/>
        </w:rPr>
      </w:pPr>
      <w:r>
        <w:rPr>
          <w:rFonts w:hint="eastAsia" w:ascii="黑体" w:eastAsia="黑体"/>
          <w:color w:val="auto"/>
          <w:sz w:val="32"/>
          <w:szCs w:val="32"/>
        </w:rPr>
        <w:t>政府采购项目履约保证金退付意见书</w:t>
      </w:r>
      <w:r>
        <w:rPr>
          <w:rFonts w:hint="eastAsia" w:ascii="仿宋" w:eastAsia="仿宋" w:cs="宋体"/>
          <w:color w:val="auto"/>
          <w:kern w:val="0"/>
          <w:sz w:val="32"/>
          <w:szCs w:val="32"/>
        </w:rPr>
        <w:t>（格式）</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8640"/>
      </w:tblGrid>
      <w:tr w14:paraId="42DE8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trPr>
        <w:tc>
          <w:tcPr>
            <w:tcW w:w="1008" w:type="dxa"/>
            <w:vMerge w:val="restart"/>
            <w:vAlign w:val="center"/>
          </w:tcPr>
          <w:p w14:paraId="7FF20901">
            <w:pPr>
              <w:jc w:val="center"/>
              <w:rPr>
                <w:color w:val="auto"/>
                <w:szCs w:val="21"/>
              </w:rPr>
            </w:pPr>
            <w:r>
              <w:rPr>
                <w:rFonts w:hint="eastAsia"/>
                <w:color w:val="auto"/>
                <w:szCs w:val="21"/>
              </w:rPr>
              <w:t>供</w:t>
            </w:r>
          </w:p>
          <w:p w14:paraId="03506606">
            <w:pPr>
              <w:jc w:val="center"/>
              <w:rPr>
                <w:color w:val="auto"/>
                <w:szCs w:val="21"/>
              </w:rPr>
            </w:pPr>
            <w:r>
              <w:rPr>
                <w:rFonts w:hint="eastAsia"/>
                <w:color w:val="auto"/>
                <w:szCs w:val="21"/>
              </w:rPr>
              <w:t>应</w:t>
            </w:r>
          </w:p>
          <w:p w14:paraId="3E66B4FE">
            <w:pPr>
              <w:jc w:val="center"/>
              <w:rPr>
                <w:color w:val="auto"/>
                <w:szCs w:val="21"/>
              </w:rPr>
            </w:pPr>
            <w:r>
              <w:rPr>
                <w:rFonts w:hint="eastAsia"/>
                <w:color w:val="auto"/>
                <w:szCs w:val="21"/>
              </w:rPr>
              <w:t>商</w:t>
            </w:r>
          </w:p>
          <w:p w14:paraId="053A52B0">
            <w:pPr>
              <w:jc w:val="center"/>
              <w:rPr>
                <w:color w:val="auto"/>
                <w:szCs w:val="21"/>
              </w:rPr>
            </w:pPr>
            <w:r>
              <w:rPr>
                <w:rFonts w:hint="eastAsia"/>
                <w:color w:val="auto"/>
                <w:szCs w:val="21"/>
              </w:rPr>
              <w:t>申</w:t>
            </w:r>
          </w:p>
          <w:p w14:paraId="2982EF53">
            <w:pPr>
              <w:jc w:val="center"/>
              <w:rPr>
                <w:color w:val="auto"/>
                <w:szCs w:val="21"/>
              </w:rPr>
            </w:pPr>
            <w:r>
              <w:rPr>
                <w:rFonts w:hint="eastAsia"/>
                <w:color w:val="auto"/>
                <w:szCs w:val="21"/>
              </w:rPr>
              <w:t>请</w:t>
            </w:r>
          </w:p>
        </w:tc>
        <w:tc>
          <w:tcPr>
            <w:tcW w:w="8640" w:type="dxa"/>
            <w:vAlign w:val="center"/>
          </w:tcPr>
          <w:p w14:paraId="1F23FE46">
            <w:pPr>
              <w:rPr>
                <w:color w:val="auto"/>
                <w:szCs w:val="21"/>
              </w:rPr>
            </w:pPr>
            <w:r>
              <w:rPr>
                <w:rFonts w:hint="eastAsia"/>
                <w:color w:val="auto"/>
                <w:szCs w:val="21"/>
              </w:rPr>
              <w:t>项目编号：</w:t>
            </w:r>
          </w:p>
        </w:tc>
      </w:tr>
      <w:tr w14:paraId="65A13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trPr>
        <w:tc>
          <w:tcPr>
            <w:tcW w:w="1008" w:type="dxa"/>
            <w:vMerge w:val="continue"/>
            <w:vAlign w:val="center"/>
          </w:tcPr>
          <w:p w14:paraId="6D533F21">
            <w:pPr>
              <w:rPr>
                <w:color w:val="auto"/>
              </w:rPr>
            </w:pPr>
          </w:p>
        </w:tc>
        <w:tc>
          <w:tcPr>
            <w:tcW w:w="8640" w:type="dxa"/>
            <w:vAlign w:val="center"/>
          </w:tcPr>
          <w:p w14:paraId="2DA9C96E">
            <w:pPr>
              <w:rPr>
                <w:color w:val="auto"/>
                <w:szCs w:val="21"/>
              </w:rPr>
            </w:pPr>
            <w:r>
              <w:rPr>
                <w:rFonts w:hint="eastAsia"/>
                <w:color w:val="auto"/>
                <w:szCs w:val="21"/>
              </w:rPr>
              <w:t>项目名称：</w:t>
            </w:r>
          </w:p>
        </w:tc>
      </w:tr>
      <w:tr w14:paraId="0994E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08" w:type="dxa"/>
            <w:vMerge w:val="continue"/>
          </w:tcPr>
          <w:p w14:paraId="75F7EC40">
            <w:pPr>
              <w:rPr>
                <w:color w:val="auto"/>
              </w:rPr>
            </w:pPr>
          </w:p>
        </w:tc>
        <w:tc>
          <w:tcPr>
            <w:tcW w:w="8640" w:type="dxa"/>
          </w:tcPr>
          <w:p w14:paraId="432F5181">
            <w:pPr>
              <w:rPr>
                <w:color w:val="auto"/>
                <w:szCs w:val="21"/>
              </w:rPr>
            </w:pPr>
            <w:r>
              <w:rPr>
                <w:rFonts w:hint="eastAsia"/>
                <w:color w:val="auto"/>
                <w:szCs w:val="21"/>
              </w:rPr>
              <w:t xml:space="preserve">  </w:t>
            </w:r>
          </w:p>
          <w:p w14:paraId="09569E41">
            <w:pPr>
              <w:spacing w:line="400" w:lineRule="exact"/>
              <w:ind w:firstLine="420" w:firstLineChars="200"/>
              <w:rPr>
                <w:color w:val="auto"/>
                <w:szCs w:val="21"/>
              </w:rPr>
            </w:pPr>
            <w:r>
              <w:rPr>
                <w:rFonts w:hint="eastAsia"/>
                <w:color w:val="auto"/>
                <w:szCs w:val="21"/>
              </w:rPr>
              <w:t>该项目已于</w:t>
            </w:r>
            <w:r>
              <w:rPr>
                <w:rFonts w:hint="eastAsia"/>
                <w:color w:val="auto"/>
                <w:szCs w:val="21"/>
                <w:u w:val="single"/>
              </w:rPr>
              <w:t xml:space="preserve">       </w:t>
            </w:r>
            <w:r>
              <w:rPr>
                <w:rFonts w:hint="eastAsia"/>
                <w:color w:val="auto"/>
                <w:szCs w:val="21"/>
              </w:rPr>
              <w:t>年</w:t>
            </w:r>
            <w:r>
              <w:rPr>
                <w:rFonts w:hint="eastAsia"/>
                <w:color w:val="auto"/>
                <w:szCs w:val="21"/>
                <w:u w:val="single"/>
              </w:rPr>
              <w:t xml:space="preserve">     </w:t>
            </w:r>
            <w:r>
              <w:rPr>
                <w:rFonts w:hint="eastAsia"/>
                <w:color w:val="auto"/>
                <w:szCs w:val="21"/>
              </w:rPr>
              <w:t>月</w:t>
            </w:r>
            <w:r>
              <w:rPr>
                <w:rFonts w:hint="eastAsia"/>
                <w:color w:val="auto"/>
                <w:szCs w:val="21"/>
                <w:u w:val="single"/>
              </w:rPr>
              <w:t xml:space="preserve">     </w:t>
            </w:r>
            <w:r>
              <w:rPr>
                <w:rFonts w:hint="eastAsia"/>
                <w:color w:val="auto"/>
                <w:szCs w:val="21"/>
              </w:rPr>
              <w:t>日验收并交付使用。根据合同规定，该项目的履约保证金期限于</w:t>
            </w:r>
            <w:r>
              <w:rPr>
                <w:rFonts w:hint="eastAsia"/>
                <w:color w:val="auto"/>
                <w:szCs w:val="21"/>
                <w:u w:val="single"/>
              </w:rPr>
              <w:t xml:space="preserve">         </w:t>
            </w:r>
            <w:r>
              <w:rPr>
                <w:rFonts w:hint="eastAsia"/>
                <w:color w:val="auto"/>
                <w:szCs w:val="21"/>
              </w:rPr>
              <w:t>年</w:t>
            </w:r>
            <w:r>
              <w:rPr>
                <w:rFonts w:hint="eastAsia"/>
                <w:color w:val="auto"/>
                <w:szCs w:val="21"/>
                <w:u w:val="single"/>
              </w:rPr>
              <w:t xml:space="preserve">      </w:t>
            </w:r>
            <w:r>
              <w:rPr>
                <w:rFonts w:hint="eastAsia"/>
                <w:color w:val="auto"/>
                <w:szCs w:val="21"/>
              </w:rPr>
              <w:t>月</w:t>
            </w:r>
            <w:r>
              <w:rPr>
                <w:rFonts w:hint="eastAsia"/>
                <w:color w:val="auto"/>
                <w:szCs w:val="21"/>
                <w:u w:val="single"/>
              </w:rPr>
              <w:t xml:space="preserve">       </w:t>
            </w:r>
            <w:r>
              <w:rPr>
                <w:rFonts w:hint="eastAsia"/>
                <w:color w:val="auto"/>
                <w:szCs w:val="21"/>
              </w:rPr>
              <w:t>日已满，请将履约保证金</w:t>
            </w:r>
          </w:p>
          <w:p w14:paraId="5B01D5AA">
            <w:pPr>
              <w:spacing w:line="400" w:lineRule="exact"/>
              <w:rPr>
                <w:color w:val="auto"/>
                <w:szCs w:val="21"/>
              </w:rPr>
            </w:pPr>
            <w:r>
              <w:rPr>
                <w:rFonts w:hint="eastAsia"/>
                <w:color w:val="auto"/>
                <w:szCs w:val="21"/>
                <w:u w:val="single"/>
              </w:rPr>
              <w:t xml:space="preserve">                                        </w:t>
            </w:r>
            <w:r>
              <w:rPr>
                <w:rFonts w:hint="eastAsia"/>
                <w:color w:val="auto"/>
                <w:szCs w:val="21"/>
              </w:rPr>
              <w:t>（大写）¥</w:t>
            </w:r>
            <w:r>
              <w:rPr>
                <w:rFonts w:hint="eastAsia"/>
                <w:color w:val="auto"/>
                <w:szCs w:val="21"/>
                <w:u w:val="single"/>
              </w:rPr>
              <w:t xml:space="preserve">          </w:t>
            </w:r>
            <w:r>
              <w:rPr>
                <w:rFonts w:hint="eastAsia"/>
                <w:color w:val="auto"/>
                <w:szCs w:val="21"/>
              </w:rPr>
              <w:t>（小写）退付到达以下账户。</w:t>
            </w:r>
          </w:p>
          <w:p w14:paraId="706EC17B">
            <w:pPr>
              <w:spacing w:line="400" w:lineRule="exact"/>
              <w:ind w:firstLine="705"/>
              <w:rPr>
                <w:color w:val="auto"/>
                <w:szCs w:val="21"/>
              </w:rPr>
            </w:pPr>
            <w:r>
              <w:rPr>
                <w:rFonts w:hint="eastAsia"/>
                <w:color w:val="auto"/>
                <w:szCs w:val="21"/>
              </w:rPr>
              <w:t>单位名称：</w:t>
            </w:r>
          </w:p>
          <w:p w14:paraId="64018D02">
            <w:pPr>
              <w:spacing w:line="400" w:lineRule="exact"/>
              <w:ind w:firstLine="705"/>
              <w:rPr>
                <w:color w:val="auto"/>
                <w:szCs w:val="21"/>
              </w:rPr>
            </w:pPr>
            <w:r>
              <w:rPr>
                <w:rFonts w:hint="eastAsia"/>
                <w:color w:val="auto"/>
                <w:szCs w:val="21"/>
              </w:rPr>
              <w:t>开户银行：</w:t>
            </w:r>
          </w:p>
          <w:p w14:paraId="2A8B7359">
            <w:pPr>
              <w:spacing w:line="400" w:lineRule="exact"/>
              <w:ind w:firstLine="705"/>
              <w:rPr>
                <w:color w:val="auto"/>
                <w:szCs w:val="21"/>
              </w:rPr>
            </w:pPr>
            <w:r>
              <w:rPr>
                <w:rFonts w:hint="eastAsia"/>
                <w:color w:val="auto"/>
                <w:szCs w:val="21"/>
              </w:rPr>
              <w:t>账   号：</w:t>
            </w:r>
          </w:p>
          <w:p w14:paraId="42D4ED35">
            <w:pPr>
              <w:spacing w:line="400" w:lineRule="exact"/>
              <w:rPr>
                <w:color w:val="auto"/>
                <w:szCs w:val="21"/>
              </w:rPr>
            </w:pPr>
            <w:r>
              <w:rPr>
                <w:rFonts w:hint="eastAsia"/>
                <w:color w:val="auto"/>
                <w:szCs w:val="21"/>
              </w:rPr>
              <w:t>联系人及电话：</w:t>
            </w:r>
          </w:p>
          <w:p w14:paraId="7D9CD5DA">
            <w:pPr>
              <w:spacing w:line="400" w:lineRule="exact"/>
              <w:rPr>
                <w:color w:val="auto"/>
                <w:szCs w:val="21"/>
              </w:rPr>
            </w:pPr>
          </w:p>
          <w:p w14:paraId="04C516F7">
            <w:pPr>
              <w:spacing w:line="520" w:lineRule="exact"/>
              <w:jc w:val="center"/>
              <w:rPr>
                <w:color w:val="auto"/>
                <w:szCs w:val="21"/>
              </w:rPr>
            </w:pPr>
            <w:r>
              <w:rPr>
                <w:rFonts w:hint="eastAsia"/>
                <w:color w:val="auto"/>
                <w:szCs w:val="21"/>
              </w:rPr>
              <w:t xml:space="preserve">                                     供应商签章：</w:t>
            </w:r>
          </w:p>
          <w:p w14:paraId="180EC47F">
            <w:pPr>
              <w:spacing w:line="520" w:lineRule="exact"/>
              <w:jc w:val="center"/>
              <w:rPr>
                <w:color w:val="auto"/>
                <w:szCs w:val="21"/>
              </w:rPr>
            </w:pPr>
            <w:r>
              <w:rPr>
                <w:rFonts w:hint="eastAsia"/>
                <w:color w:val="auto"/>
                <w:szCs w:val="21"/>
              </w:rPr>
              <w:t xml:space="preserve">                           年    月     日</w:t>
            </w:r>
          </w:p>
        </w:tc>
      </w:tr>
      <w:tr w14:paraId="2C825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30D0562F">
            <w:pPr>
              <w:jc w:val="center"/>
              <w:rPr>
                <w:color w:val="auto"/>
                <w:szCs w:val="21"/>
              </w:rPr>
            </w:pPr>
            <w:r>
              <w:rPr>
                <w:rFonts w:hint="eastAsia"/>
                <w:color w:val="auto"/>
                <w:szCs w:val="21"/>
              </w:rPr>
              <w:t>采</w:t>
            </w:r>
          </w:p>
          <w:p w14:paraId="43871700">
            <w:pPr>
              <w:jc w:val="center"/>
              <w:rPr>
                <w:color w:val="auto"/>
                <w:szCs w:val="21"/>
              </w:rPr>
            </w:pPr>
            <w:r>
              <w:rPr>
                <w:rFonts w:hint="eastAsia"/>
                <w:color w:val="auto"/>
                <w:szCs w:val="21"/>
              </w:rPr>
              <w:t>购</w:t>
            </w:r>
          </w:p>
          <w:p w14:paraId="308A313E">
            <w:pPr>
              <w:jc w:val="center"/>
              <w:rPr>
                <w:color w:val="auto"/>
                <w:szCs w:val="21"/>
              </w:rPr>
            </w:pPr>
            <w:r>
              <w:rPr>
                <w:rFonts w:hint="eastAsia"/>
                <w:color w:val="auto"/>
                <w:szCs w:val="21"/>
              </w:rPr>
              <w:t>单</w:t>
            </w:r>
          </w:p>
          <w:p w14:paraId="408FF3FC">
            <w:pPr>
              <w:jc w:val="center"/>
              <w:rPr>
                <w:color w:val="auto"/>
                <w:szCs w:val="21"/>
              </w:rPr>
            </w:pPr>
            <w:r>
              <w:rPr>
                <w:rFonts w:hint="eastAsia"/>
                <w:color w:val="auto"/>
                <w:szCs w:val="21"/>
              </w:rPr>
              <w:t>位</w:t>
            </w:r>
          </w:p>
          <w:p w14:paraId="6D8FE9EE">
            <w:pPr>
              <w:jc w:val="center"/>
              <w:rPr>
                <w:color w:val="auto"/>
                <w:szCs w:val="21"/>
              </w:rPr>
            </w:pPr>
            <w:r>
              <w:rPr>
                <w:rFonts w:hint="eastAsia"/>
                <w:color w:val="auto"/>
                <w:szCs w:val="21"/>
              </w:rPr>
              <w:t>意</w:t>
            </w:r>
          </w:p>
          <w:p w14:paraId="450E3211">
            <w:pPr>
              <w:jc w:val="center"/>
              <w:rPr>
                <w:color w:val="auto"/>
                <w:szCs w:val="21"/>
              </w:rPr>
            </w:pPr>
            <w:r>
              <w:rPr>
                <w:rFonts w:hint="eastAsia"/>
                <w:color w:val="auto"/>
                <w:szCs w:val="21"/>
              </w:rPr>
              <w:t>见</w:t>
            </w:r>
          </w:p>
        </w:tc>
        <w:tc>
          <w:tcPr>
            <w:tcW w:w="8640" w:type="dxa"/>
          </w:tcPr>
          <w:p w14:paraId="4CA39183">
            <w:pPr>
              <w:rPr>
                <w:color w:val="auto"/>
                <w:szCs w:val="21"/>
              </w:rPr>
            </w:pPr>
          </w:p>
          <w:p w14:paraId="3A12388A">
            <w:pPr>
              <w:rPr>
                <w:color w:val="auto"/>
                <w:szCs w:val="21"/>
              </w:rPr>
            </w:pPr>
            <w:r>
              <w:rPr>
                <w:rFonts w:hint="eastAsia"/>
                <w:color w:val="auto"/>
                <w:szCs w:val="21"/>
              </w:rPr>
              <w:t>退付意见：是否同意退付履约保证金及退付金额：</w:t>
            </w:r>
          </w:p>
          <w:p w14:paraId="680FD9D3">
            <w:pPr>
              <w:rPr>
                <w:color w:val="auto"/>
                <w:szCs w:val="21"/>
              </w:rPr>
            </w:pPr>
          </w:p>
          <w:p w14:paraId="43246FBC">
            <w:pPr>
              <w:rPr>
                <w:color w:val="auto"/>
                <w:szCs w:val="21"/>
              </w:rPr>
            </w:pPr>
          </w:p>
          <w:p w14:paraId="67DF5157">
            <w:pPr>
              <w:spacing w:line="520" w:lineRule="exact"/>
              <w:rPr>
                <w:color w:val="auto"/>
                <w:szCs w:val="21"/>
              </w:rPr>
            </w:pPr>
            <w:r>
              <w:rPr>
                <w:rFonts w:hint="eastAsia"/>
                <w:color w:val="auto"/>
                <w:szCs w:val="21"/>
              </w:rPr>
              <w:t>联系人及电话：                                 采购单位签章</w:t>
            </w:r>
          </w:p>
          <w:p w14:paraId="7D4072D5">
            <w:pPr>
              <w:spacing w:line="520" w:lineRule="exact"/>
              <w:jc w:val="center"/>
              <w:rPr>
                <w:color w:val="auto"/>
                <w:szCs w:val="21"/>
              </w:rPr>
            </w:pPr>
            <w:r>
              <w:rPr>
                <w:rFonts w:hint="eastAsia"/>
                <w:color w:val="auto"/>
                <w:szCs w:val="21"/>
              </w:rPr>
              <w:t xml:space="preserve">                                        年    月     日</w:t>
            </w:r>
          </w:p>
        </w:tc>
      </w:tr>
      <w:tr w14:paraId="0DB14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2005BC46">
            <w:pPr>
              <w:jc w:val="center"/>
              <w:rPr>
                <w:color w:val="auto"/>
                <w:szCs w:val="21"/>
              </w:rPr>
            </w:pPr>
            <w:r>
              <w:rPr>
                <w:rFonts w:hint="eastAsia"/>
                <w:color w:val="auto"/>
                <w:szCs w:val="21"/>
              </w:rPr>
              <w:t>财</w:t>
            </w:r>
          </w:p>
          <w:p w14:paraId="17148AC5">
            <w:pPr>
              <w:jc w:val="center"/>
              <w:rPr>
                <w:color w:val="auto"/>
                <w:szCs w:val="21"/>
              </w:rPr>
            </w:pPr>
            <w:r>
              <w:rPr>
                <w:rFonts w:hint="eastAsia"/>
                <w:color w:val="auto"/>
                <w:szCs w:val="21"/>
              </w:rPr>
              <w:t>务</w:t>
            </w:r>
          </w:p>
          <w:p w14:paraId="0A1C6A08">
            <w:pPr>
              <w:jc w:val="center"/>
              <w:rPr>
                <w:color w:val="auto"/>
                <w:szCs w:val="21"/>
              </w:rPr>
            </w:pPr>
            <w:r>
              <w:rPr>
                <w:rFonts w:hint="eastAsia"/>
                <w:color w:val="auto"/>
                <w:szCs w:val="21"/>
              </w:rPr>
              <w:t>部</w:t>
            </w:r>
          </w:p>
          <w:p w14:paraId="7F1C6CCD">
            <w:pPr>
              <w:jc w:val="center"/>
              <w:rPr>
                <w:color w:val="auto"/>
                <w:szCs w:val="21"/>
              </w:rPr>
            </w:pPr>
            <w:r>
              <w:rPr>
                <w:rFonts w:hint="eastAsia"/>
                <w:color w:val="auto"/>
                <w:szCs w:val="21"/>
              </w:rPr>
              <w:t>门</w:t>
            </w:r>
          </w:p>
          <w:p w14:paraId="0086E1A6">
            <w:pPr>
              <w:jc w:val="center"/>
              <w:rPr>
                <w:color w:val="auto"/>
                <w:szCs w:val="21"/>
              </w:rPr>
            </w:pPr>
            <w:r>
              <w:rPr>
                <w:rFonts w:hint="eastAsia"/>
                <w:color w:val="auto"/>
                <w:szCs w:val="21"/>
              </w:rPr>
              <w:t>意</w:t>
            </w:r>
          </w:p>
          <w:p w14:paraId="518B4371">
            <w:pPr>
              <w:jc w:val="center"/>
              <w:rPr>
                <w:color w:val="auto"/>
                <w:szCs w:val="21"/>
              </w:rPr>
            </w:pPr>
            <w:r>
              <w:rPr>
                <w:rFonts w:hint="eastAsia"/>
                <w:color w:val="auto"/>
                <w:szCs w:val="21"/>
              </w:rPr>
              <w:t>见</w:t>
            </w:r>
          </w:p>
        </w:tc>
        <w:tc>
          <w:tcPr>
            <w:tcW w:w="8640" w:type="dxa"/>
          </w:tcPr>
          <w:p w14:paraId="66A73159">
            <w:pPr>
              <w:spacing w:line="640" w:lineRule="exact"/>
              <w:rPr>
                <w:color w:val="auto"/>
                <w:szCs w:val="21"/>
              </w:rPr>
            </w:pPr>
            <w:r>
              <w:rPr>
                <w:rFonts w:hint="eastAsia"/>
                <w:color w:val="auto"/>
                <w:szCs w:val="21"/>
              </w:rPr>
              <w:t>此表于</w:t>
            </w:r>
            <w:r>
              <w:rPr>
                <w:rFonts w:hint="eastAsia"/>
                <w:color w:val="auto"/>
                <w:szCs w:val="21"/>
                <w:u w:val="single"/>
              </w:rPr>
              <w:t xml:space="preserve">     </w:t>
            </w:r>
            <w:r>
              <w:rPr>
                <w:rFonts w:hint="eastAsia"/>
                <w:color w:val="auto"/>
                <w:szCs w:val="21"/>
              </w:rPr>
              <w:t>年</w:t>
            </w:r>
            <w:r>
              <w:rPr>
                <w:rFonts w:hint="eastAsia"/>
                <w:color w:val="auto"/>
                <w:szCs w:val="21"/>
                <w:u w:val="single"/>
              </w:rPr>
              <w:t xml:space="preserve">    </w:t>
            </w:r>
            <w:r>
              <w:rPr>
                <w:rFonts w:hint="eastAsia"/>
                <w:color w:val="auto"/>
                <w:szCs w:val="21"/>
              </w:rPr>
              <w:t xml:space="preserve"> 月 </w:t>
            </w:r>
            <w:r>
              <w:rPr>
                <w:rFonts w:hint="eastAsia"/>
                <w:color w:val="auto"/>
                <w:szCs w:val="21"/>
                <w:u w:val="single"/>
              </w:rPr>
              <w:t xml:space="preserve">   </w:t>
            </w:r>
            <w:r>
              <w:rPr>
                <w:rFonts w:hint="eastAsia"/>
                <w:color w:val="auto"/>
                <w:szCs w:val="21"/>
              </w:rPr>
              <w:t xml:space="preserve"> 日收到。</w:t>
            </w:r>
          </w:p>
          <w:p w14:paraId="371D0CD5">
            <w:pPr>
              <w:spacing w:line="640" w:lineRule="exact"/>
              <w:rPr>
                <w:color w:val="auto"/>
                <w:szCs w:val="21"/>
              </w:rPr>
            </w:pPr>
            <w:r>
              <w:rPr>
                <w:rFonts w:hint="eastAsia"/>
                <w:color w:val="auto"/>
                <w:szCs w:val="21"/>
              </w:rPr>
              <w:t>会计审核：</w:t>
            </w:r>
          </w:p>
          <w:p w14:paraId="708217A0">
            <w:pPr>
              <w:spacing w:line="640" w:lineRule="exact"/>
              <w:rPr>
                <w:color w:val="auto"/>
                <w:szCs w:val="21"/>
              </w:rPr>
            </w:pPr>
            <w:r>
              <w:rPr>
                <w:rFonts w:hint="eastAsia"/>
                <w:color w:val="auto"/>
                <w:szCs w:val="21"/>
              </w:rPr>
              <w:t>财务负责人审核：</w:t>
            </w:r>
          </w:p>
          <w:p w14:paraId="49D14392">
            <w:pPr>
              <w:spacing w:line="640" w:lineRule="exact"/>
              <w:rPr>
                <w:color w:val="auto"/>
                <w:szCs w:val="21"/>
              </w:rPr>
            </w:pPr>
            <w:r>
              <w:rPr>
                <w:rFonts w:hint="eastAsia"/>
                <w:color w:val="auto"/>
                <w:szCs w:val="21"/>
              </w:rPr>
              <w:t>单位负责人签字：</w:t>
            </w:r>
          </w:p>
          <w:p w14:paraId="7C1A07FC">
            <w:pPr>
              <w:spacing w:line="640" w:lineRule="exact"/>
              <w:rPr>
                <w:color w:val="auto"/>
                <w:szCs w:val="21"/>
              </w:rPr>
            </w:pPr>
            <w:r>
              <w:rPr>
                <w:rFonts w:hint="eastAsia"/>
                <w:color w:val="auto"/>
                <w:szCs w:val="21"/>
              </w:rPr>
              <w:t>出纳办理转账日期：</w:t>
            </w:r>
          </w:p>
        </w:tc>
      </w:tr>
    </w:tbl>
    <w:p w14:paraId="65101A1D">
      <w:pPr>
        <w:spacing w:line="380" w:lineRule="exact"/>
        <w:ind w:left="420" w:leftChars="114" w:hanging="181" w:hangingChars="100"/>
        <w:rPr>
          <w:color w:val="auto"/>
        </w:rPr>
      </w:pPr>
      <w:r>
        <w:rPr>
          <w:rFonts w:hint="eastAsia" w:ascii="宋体"/>
          <w:b/>
          <w:bCs/>
          <w:color w:val="auto"/>
          <w:kern w:val="0"/>
          <w:sz w:val="18"/>
        </w:rPr>
        <w:t>注：供应商凭经采购单位审批的退付意见书办理履约保证金退付事宜。</w:t>
      </w:r>
    </w:p>
    <w:p w14:paraId="35C6C1F9">
      <w:pPr>
        <w:jc w:val="left"/>
        <w:rPr>
          <w:rFonts w:ascii="楷体" w:eastAsia="楷体"/>
          <w:color w:val="auto"/>
          <w:kern w:val="0"/>
          <w:sz w:val="32"/>
          <w:szCs w:val="32"/>
        </w:rPr>
      </w:pPr>
      <w:r>
        <w:rPr>
          <w:rFonts w:ascii="宋体" w:hAnsi="宋体"/>
          <w:color w:val="auto"/>
        </w:rPr>
        <w:br w:type="page"/>
      </w:r>
      <w:r>
        <w:rPr>
          <w:rFonts w:hint="eastAsia" w:ascii="楷体" w:eastAsia="楷体"/>
          <w:color w:val="auto"/>
          <w:kern w:val="0"/>
          <w:sz w:val="32"/>
          <w:szCs w:val="32"/>
        </w:rPr>
        <w:t>附件3：</w:t>
      </w:r>
    </w:p>
    <w:p w14:paraId="250C3577">
      <w:pPr>
        <w:spacing w:line="528" w:lineRule="exact"/>
        <w:ind w:firstLine="2000" w:firstLineChars="500"/>
        <w:rPr>
          <w:rFonts w:ascii="Arial Unicode MS" w:hAnsi="Arial Unicode MS" w:eastAsia="Arial Unicode MS" w:cs="Arial Unicode MS"/>
          <w:color w:val="auto"/>
          <w:sz w:val="40"/>
          <w:szCs w:val="40"/>
        </w:rPr>
      </w:pPr>
      <w:r>
        <w:rPr>
          <w:rFonts w:hint="eastAsia" w:ascii="微软雅黑" w:hAnsi="微软雅黑" w:eastAsia="微软雅黑" w:cs="微软雅黑"/>
          <w:color w:val="auto"/>
          <w:sz w:val="40"/>
          <w:szCs w:val="40"/>
        </w:rPr>
        <w:t>节能产品政府采购品目清单</w:t>
      </w:r>
    </w:p>
    <w:tbl>
      <w:tblPr>
        <w:tblStyle w:val="39"/>
        <w:tblW w:w="9220" w:type="dxa"/>
        <w:tblInd w:w="93" w:type="dxa"/>
        <w:tblLayout w:type="autofit"/>
        <w:tblCellMar>
          <w:top w:w="0" w:type="dxa"/>
          <w:left w:w="108" w:type="dxa"/>
          <w:bottom w:w="0" w:type="dxa"/>
          <w:right w:w="108" w:type="dxa"/>
        </w:tblCellMar>
      </w:tblPr>
      <w:tblGrid>
        <w:gridCol w:w="631"/>
        <w:gridCol w:w="1161"/>
        <w:gridCol w:w="1581"/>
        <w:gridCol w:w="1615"/>
        <w:gridCol w:w="4232"/>
      </w:tblGrid>
      <w:tr w14:paraId="5601DDEC">
        <w:tblPrEx>
          <w:tblCellMar>
            <w:top w:w="0" w:type="dxa"/>
            <w:left w:w="108" w:type="dxa"/>
            <w:bottom w:w="0" w:type="dxa"/>
            <w:right w:w="108" w:type="dxa"/>
          </w:tblCellMar>
        </w:tblPrEx>
        <w:trPr>
          <w:trHeight w:val="555" w:hRule="atLeast"/>
        </w:trPr>
        <w:tc>
          <w:tcPr>
            <w:tcW w:w="660" w:type="dxa"/>
            <w:tcBorders>
              <w:top w:val="single" w:color="000000" w:sz="8" w:space="0"/>
              <w:left w:val="single" w:color="000000" w:sz="8" w:space="0"/>
              <w:bottom w:val="single" w:color="000000" w:sz="8" w:space="0"/>
              <w:right w:val="single" w:color="000000" w:sz="8" w:space="0"/>
            </w:tcBorders>
          </w:tcPr>
          <w:p w14:paraId="606BDF0F">
            <w:pPr>
              <w:widowControl/>
              <w:jc w:val="center"/>
              <w:rPr>
                <w:rFonts w:hint="eastAsia" w:ascii="宋体" w:hAnsi="宋体" w:cs="宋体"/>
                <w:b/>
                <w:bCs/>
                <w:color w:val="auto"/>
                <w:kern w:val="0"/>
                <w:szCs w:val="21"/>
              </w:rPr>
            </w:pPr>
            <w:r>
              <w:rPr>
                <w:rFonts w:hint="eastAsia" w:ascii="宋体" w:hAnsi="宋体" w:cs="宋体"/>
                <w:b/>
                <w:bCs/>
                <w:color w:val="auto"/>
                <w:kern w:val="0"/>
                <w:szCs w:val="21"/>
              </w:rPr>
              <w:t>品目序号</w:t>
            </w:r>
          </w:p>
        </w:tc>
        <w:tc>
          <w:tcPr>
            <w:tcW w:w="4020" w:type="dxa"/>
            <w:gridSpan w:val="3"/>
            <w:tcBorders>
              <w:top w:val="single" w:color="000000" w:sz="8" w:space="0"/>
              <w:left w:val="nil"/>
              <w:bottom w:val="single" w:color="000000" w:sz="8" w:space="0"/>
              <w:right w:val="single" w:color="000000" w:sz="8" w:space="0"/>
            </w:tcBorders>
            <w:vAlign w:val="center"/>
          </w:tcPr>
          <w:p w14:paraId="25593192">
            <w:pPr>
              <w:widowControl/>
              <w:jc w:val="center"/>
              <w:rPr>
                <w:rFonts w:hint="eastAsia" w:ascii="宋体" w:hAnsi="宋体" w:cs="宋体"/>
                <w:b/>
                <w:bCs/>
                <w:color w:val="auto"/>
                <w:kern w:val="0"/>
                <w:szCs w:val="21"/>
              </w:rPr>
            </w:pPr>
            <w:r>
              <w:rPr>
                <w:rFonts w:hint="eastAsia" w:ascii="宋体" w:hAnsi="宋体" w:cs="宋体"/>
                <w:b/>
                <w:bCs/>
                <w:color w:val="auto"/>
                <w:kern w:val="0"/>
                <w:szCs w:val="21"/>
              </w:rPr>
              <w:t>名称</w:t>
            </w:r>
          </w:p>
        </w:tc>
        <w:tc>
          <w:tcPr>
            <w:tcW w:w="4540" w:type="dxa"/>
            <w:tcBorders>
              <w:top w:val="single" w:color="000000" w:sz="8" w:space="0"/>
              <w:left w:val="nil"/>
              <w:bottom w:val="single" w:color="000000" w:sz="8" w:space="0"/>
              <w:right w:val="single" w:color="000000" w:sz="8" w:space="0"/>
            </w:tcBorders>
            <w:vAlign w:val="center"/>
          </w:tcPr>
          <w:p w14:paraId="69CF6FD3">
            <w:pPr>
              <w:widowControl/>
              <w:jc w:val="center"/>
              <w:rPr>
                <w:rFonts w:hint="eastAsia" w:ascii="宋体" w:hAnsi="宋体" w:cs="宋体"/>
                <w:b/>
                <w:bCs/>
                <w:color w:val="auto"/>
                <w:kern w:val="0"/>
                <w:szCs w:val="21"/>
              </w:rPr>
            </w:pPr>
            <w:r>
              <w:rPr>
                <w:rFonts w:hint="eastAsia" w:ascii="宋体" w:hAnsi="宋体" w:cs="宋体"/>
                <w:b/>
                <w:bCs/>
                <w:color w:val="auto"/>
                <w:kern w:val="0"/>
                <w:szCs w:val="21"/>
              </w:rPr>
              <w:t>依据的标准</w:t>
            </w:r>
          </w:p>
        </w:tc>
      </w:tr>
      <w:tr w14:paraId="4A49C17A">
        <w:tblPrEx>
          <w:tblCellMar>
            <w:top w:w="0" w:type="dxa"/>
            <w:left w:w="108" w:type="dxa"/>
            <w:bottom w:w="0" w:type="dxa"/>
            <w:right w:w="108" w:type="dxa"/>
          </w:tblCellMar>
        </w:tblPrEx>
        <w:trPr>
          <w:trHeight w:val="495" w:hRule="atLeast"/>
        </w:trPr>
        <w:tc>
          <w:tcPr>
            <w:tcW w:w="660" w:type="dxa"/>
            <w:vMerge w:val="restart"/>
            <w:tcBorders>
              <w:top w:val="nil"/>
              <w:left w:val="single" w:color="000000" w:sz="8" w:space="0"/>
              <w:bottom w:val="single" w:color="000000" w:sz="8" w:space="0"/>
              <w:right w:val="single" w:color="000000" w:sz="8" w:space="0"/>
            </w:tcBorders>
            <w:vAlign w:val="center"/>
          </w:tcPr>
          <w:p w14:paraId="20AB92A2">
            <w:pPr>
              <w:widowControl/>
              <w:jc w:val="center"/>
              <w:rPr>
                <w:rFonts w:hint="eastAsia" w:ascii="宋体" w:hAnsi="宋体" w:cs="宋体"/>
                <w:color w:val="auto"/>
                <w:kern w:val="0"/>
                <w:szCs w:val="21"/>
              </w:rPr>
            </w:pPr>
            <w:r>
              <w:rPr>
                <w:rFonts w:hint="eastAsia" w:ascii="宋体" w:hAnsi="宋体" w:cs="宋体"/>
                <w:color w:val="auto"/>
                <w:kern w:val="0"/>
                <w:szCs w:val="21"/>
              </w:rPr>
              <w:t>1</w:t>
            </w:r>
          </w:p>
        </w:tc>
        <w:tc>
          <w:tcPr>
            <w:tcW w:w="1080" w:type="dxa"/>
            <w:vMerge w:val="restart"/>
            <w:tcBorders>
              <w:top w:val="nil"/>
              <w:left w:val="single" w:color="000000" w:sz="8" w:space="0"/>
              <w:bottom w:val="single" w:color="000000" w:sz="8" w:space="0"/>
              <w:right w:val="single" w:color="000000" w:sz="8" w:space="0"/>
            </w:tcBorders>
            <w:vAlign w:val="center"/>
          </w:tcPr>
          <w:p w14:paraId="712519E7">
            <w:pPr>
              <w:widowControl/>
              <w:jc w:val="center"/>
              <w:rPr>
                <w:rFonts w:hint="eastAsia" w:ascii="宋体" w:hAnsi="宋体" w:cs="宋体"/>
                <w:color w:val="auto"/>
                <w:kern w:val="0"/>
                <w:szCs w:val="21"/>
              </w:rPr>
            </w:pPr>
            <w:r>
              <w:rPr>
                <w:rFonts w:hint="eastAsia" w:ascii="宋体" w:hAnsi="宋体" w:cs="宋体"/>
                <w:color w:val="auto"/>
                <w:kern w:val="0"/>
                <w:szCs w:val="21"/>
              </w:rPr>
              <w:t>A020101计算机设备</w:t>
            </w:r>
          </w:p>
        </w:tc>
        <w:tc>
          <w:tcPr>
            <w:tcW w:w="1320" w:type="dxa"/>
            <w:tcBorders>
              <w:top w:val="nil"/>
              <w:left w:val="nil"/>
              <w:bottom w:val="single" w:color="000000" w:sz="8" w:space="0"/>
              <w:right w:val="single" w:color="000000" w:sz="8" w:space="0"/>
            </w:tcBorders>
            <w:vAlign w:val="center"/>
          </w:tcPr>
          <w:p w14:paraId="375FB6F1">
            <w:pPr>
              <w:widowControl/>
              <w:jc w:val="center"/>
              <w:rPr>
                <w:rFonts w:hint="eastAsia" w:ascii="宋体" w:hAnsi="宋体" w:cs="宋体"/>
                <w:color w:val="auto"/>
                <w:kern w:val="0"/>
                <w:szCs w:val="21"/>
              </w:rPr>
            </w:pPr>
            <w:r>
              <w:rPr>
                <w:rFonts w:hint="eastAsia" w:ascii="宋体" w:hAnsi="宋体" w:cs="宋体"/>
                <w:color w:val="auto"/>
                <w:kern w:val="0"/>
                <w:szCs w:val="21"/>
              </w:rPr>
              <w:t>★A02010104台式计算机</w:t>
            </w:r>
          </w:p>
        </w:tc>
        <w:tc>
          <w:tcPr>
            <w:tcW w:w="1620" w:type="dxa"/>
            <w:tcBorders>
              <w:top w:val="nil"/>
              <w:left w:val="nil"/>
              <w:bottom w:val="single" w:color="000000" w:sz="8" w:space="0"/>
              <w:right w:val="single" w:color="000000" w:sz="8" w:space="0"/>
            </w:tcBorders>
            <w:vAlign w:val="center"/>
          </w:tcPr>
          <w:p w14:paraId="6DFA177C">
            <w:pPr>
              <w:widowControl/>
              <w:jc w:val="center"/>
              <w:rPr>
                <w:rFonts w:hint="eastAsia" w:ascii="宋体" w:hAnsi="宋体" w:cs="宋体"/>
                <w:color w:val="auto"/>
                <w:kern w:val="0"/>
                <w:szCs w:val="21"/>
              </w:rPr>
            </w:pPr>
            <w:r>
              <w:rPr>
                <w:rFonts w:hint="eastAsia" w:ascii="宋体" w:hAnsi="宋体" w:cs="宋体"/>
                <w:color w:val="auto"/>
                <w:kern w:val="0"/>
                <w:szCs w:val="21"/>
              </w:rPr>
              <w:t>　</w:t>
            </w:r>
          </w:p>
        </w:tc>
        <w:tc>
          <w:tcPr>
            <w:tcW w:w="4540" w:type="dxa"/>
            <w:tcBorders>
              <w:top w:val="nil"/>
              <w:left w:val="nil"/>
              <w:bottom w:val="single" w:color="000000" w:sz="8" w:space="0"/>
              <w:right w:val="single" w:color="000000" w:sz="8" w:space="0"/>
            </w:tcBorders>
            <w:vAlign w:val="center"/>
          </w:tcPr>
          <w:p w14:paraId="2E63EB61">
            <w:pPr>
              <w:widowControl/>
              <w:jc w:val="left"/>
              <w:rPr>
                <w:rFonts w:hint="eastAsia" w:ascii="宋体" w:hAnsi="宋体" w:cs="宋体"/>
                <w:color w:val="auto"/>
                <w:kern w:val="0"/>
                <w:szCs w:val="21"/>
              </w:rPr>
            </w:pPr>
            <w:r>
              <w:rPr>
                <w:rFonts w:hint="eastAsia" w:ascii="宋体" w:hAnsi="宋体" w:cs="宋体"/>
                <w:color w:val="auto"/>
                <w:kern w:val="0"/>
                <w:szCs w:val="21"/>
              </w:rPr>
              <w:t>《微型计算机能效限定值及能效等级》（GB28380）</w:t>
            </w:r>
          </w:p>
        </w:tc>
      </w:tr>
      <w:tr w14:paraId="46753B1D">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0A904BFA">
            <w:pPr>
              <w:widowControl/>
              <w:jc w:val="left"/>
              <w:rPr>
                <w:rFonts w:hint="eastAsia" w:ascii="宋体" w:hAnsi="宋体" w:cs="宋体"/>
                <w:color w:val="auto"/>
                <w:kern w:val="0"/>
                <w:szCs w:val="21"/>
              </w:rPr>
            </w:pPr>
          </w:p>
        </w:tc>
        <w:tc>
          <w:tcPr>
            <w:tcW w:w="0" w:type="auto"/>
            <w:vMerge w:val="continue"/>
            <w:tcBorders>
              <w:top w:val="nil"/>
              <w:left w:val="single" w:color="000000" w:sz="8" w:space="0"/>
              <w:bottom w:val="single" w:color="000000" w:sz="8" w:space="0"/>
              <w:right w:val="single" w:color="000000" w:sz="8" w:space="0"/>
            </w:tcBorders>
            <w:vAlign w:val="center"/>
          </w:tcPr>
          <w:p w14:paraId="5CBF6373">
            <w:pPr>
              <w:widowControl/>
              <w:jc w:val="left"/>
              <w:rPr>
                <w:rFonts w:hint="eastAsia" w:ascii="宋体" w:hAnsi="宋体" w:cs="宋体"/>
                <w:color w:val="auto"/>
                <w:kern w:val="0"/>
                <w:szCs w:val="21"/>
              </w:rPr>
            </w:pPr>
          </w:p>
        </w:tc>
        <w:tc>
          <w:tcPr>
            <w:tcW w:w="1320" w:type="dxa"/>
            <w:tcBorders>
              <w:top w:val="nil"/>
              <w:left w:val="nil"/>
              <w:bottom w:val="single" w:color="000000" w:sz="8" w:space="0"/>
              <w:right w:val="single" w:color="000000" w:sz="8" w:space="0"/>
            </w:tcBorders>
            <w:vAlign w:val="center"/>
          </w:tcPr>
          <w:p w14:paraId="3557245F">
            <w:pPr>
              <w:widowControl/>
              <w:jc w:val="center"/>
              <w:rPr>
                <w:rFonts w:hint="eastAsia" w:ascii="宋体" w:hAnsi="宋体" w:cs="宋体"/>
                <w:color w:val="auto"/>
                <w:kern w:val="0"/>
                <w:szCs w:val="21"/>
              </w:rPr>
            </w:pPr>
            <w:r>
              <w:rPr>
                <w:rFonts w:hint="eastAsia" w:ascii="宋体" w:hAnsi="宋体" w:cs="宋体"/>
                <w:color w:val="auto"/>
                <w:kern w:val="0"/>
                <w:szCs w:val="21"/>
              </w:rPr>
              <w:t>★A02010105便携式计算机</w:t>
            </w:r>
          </w:p>
        </w:tc>
        <w:tc>
          <w:tcPr>
            <w:tcW w:w="1620" w:type="dxa"/>
            <w:tcBorders>
              <w:top w:val="nil"/>
              <w:left w:val="nil"/>
              <w:bottom w:val="single" w:color="000000" w:sz="8" w:space="0"/>
              <w:right w:val="single" w:color="000000" w:sz="8" w:space="0"/>
            </w:tcBorders>
            <w:vAlign w:val="center"/>
          </w:tcPr>
          <w:p w14:paraId="6B1B1212">
            <w:pPr>
              <w:widowControl/>
              <w:jc w:val="center"/>
              <w:rPr>
                <w:rFonts w:hint="eastAsia" w:ascii="宋体" w:hAnsi="宋体" w:cs="宋体"/>
                <w:color w:val="auto"/>
                <w:kern w:val="0"/>
                <w:szCs w:val="21"/>
              </w:rPr>
            </w:pPr>
            <w:r>
              <w:rPr>
                <w:rFonts w:hint="eastAsia" w:ascii="宋体" w:hAnsi="宋体" w:cs="宋体"/>
                <w:color w:val="auto"/>
                <w:kern w:val="0"/>
                <w:szCs w:val="21"/>
              </w:rPr>
              <w:t>　</w:t>
            </w:r>
          </w:p>
        </w:tc>
        <w:tc>
          <w:tcPr>
            <w:tcW w:w="4540" w:type="dxa"/>
            <w:tcBorders>
              <w:top w:val="nil"/>
              <w:left w:val="nil"/>
              <w:bottom w:val="single" w:color="000000" w:sz="8" w:space="0"/>
              <w:right w:val="single" w:color="000000" w:sz="8" w:space="0"/>
            </w:tcBorders>
            <w:vAlign w:val="center"/>
          </w:tcPr>
          <w:p w14:paraId="08913A46">
            <w:pPr>
              <w:widowControl/>
              <w:jc w:val="left"/>
              <w:rPr>
                <w:rFonts w:hint="eastAsia" w:ascii="宋体" w:hAnsi="宋体" w:cs="宋体"/>
                <w:color w:val="auto"/>
                <w:kern w:val="0"/>
                <w:szCs w:val="21"/>
              </w:rPr>
            </w:pPr>
            <w:r>
              <w:rPr>
                <w:rFonts w:hint="eastAsia" w:ascii="宋体" w:hAnsi="宋体" w:cs="宋体"/>
                <w:color w:val="auto"/>
                <w:kern w:val="0"/>
                <w:szCs w:val="21"/>
              </w:rPr>
              <w:t>《微型计算机能效限定值及能效等级》（GB28380）</w:t>
            </w:r>
          </w:p>
        </w:tc>
      </w:tr>
      <w:tr w14:paraId="75BD0C56">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vAlign w:val="center"/>
          </w:tcPr>
          <w:p w14:paraId="1A699D68">
            <w:pPr>
              <w:widowControl/>
              <w:jc w:val="left"/>
              <w:rPr>
                <w:rFonts w:hint="eastAsia" w:ascii="宋体" w:hAnsi="宋体" w:cs="宋体"/>
                <w:color w:val="auto"/>
                <w:kern w:val="0"/>
                <w:szCs w:val="21"/>
              </w:rPr>
            </w:pPr>
          </w:p>
        </w:tc>
        <w:tc>
          <w:tcPr>
            <w:tcW w:w="0" w:type="auto"/>
            <w:vMerge w:val="continue"/>
            <w:tcBorders>
              <w:top w:val="nil"/>
              <w:left w:val="single" w:color="000000" w:sz="8" w:space="0"/>
              <w:bottom w:val="single" w:color="000000" w:sz="8" w:space="0"/>
              <w:right w:val="single" w:color="000000" w:sz="8" w:space="0"/>
            </w:tcBorders>
            <w:vAlign w:val="center"/>
          </w:tcPr>
          <w:p w14:paraId="60C85866">
            <w:pPr>
              <w:widowControl/>
              <w:jc w:val="left"/>
              <w:rPr>
                <w:rFonts w:hint="eastAsia" w:ascii="宋体" w:hAnsi="宋体" w:cs="宋体"/>
                <w:color w:val="auto"/>
                <w:kern w:val="0"/>
                <w:szCs w:val="21"/>
              </w:rPr>
            </w:pPr>
          </w:p>
        </w:tc>
        <w:tc>
          <w:tcPr>
            <w:tcW w:w="1320" w:type="dxa"/>
            <w:tcBorders>
              <w:top w:val="nil"/>
              <w:left w:val="nil"/>
              <w:bottom w:val="single" w:color="000000" w:sz="8" w:space="0"/>
              <w:right w:val="single" w:color="000000" w:sz="8" w:space="0"/>
            </w:tcBorders>
            <w:vAlign w:val="center"/>
          </w:tcPr>
          <w:p w14:paraId="00F4350C">
            <w:pPr>
              <w:widowControl/>
              <w:jc w:val="center"/>
              <w:rPr>
                <w:rFonts w:hint="eastAsia" w:ascii="宋体" w:hAnsi="宋体" w:cs="宋体"/>
                <w:color w:val="auto"/>
                <w:kern w:val="0"/>
                <w:szCs w:val="21"/>
              </w:rPr>
            </w:pPr>
            <w:r>
              <w:rPr>
                <w:rFonts w:hint="eastAsia" w:ascii="宋体" w:hAnsi="宋体" w:cs="宋体"/>
                <w:color w:val="auto"/>
                <w:kern w:val="0"/>
                <w:szCs w:val="21"/>
              </w:rPr>
              <w:t>★A02010107平板式微型计算机</w:t>
            </w:r>
          </w:p>
        </w:tc>
        <w:tc>
          <w:tcPr>
            <w:tcW w:w="1620" w:type="dxa"/>
            <w:tcBorders>
              <w:top w:val="nil"/>
              <w:left w:val="nil"/>
              <w:bottom w:val="single" w:color="000000" w:sz="8" w:space="0"/>
              <w:right w:val="single" w:color="000000" w:sz="8" w:space="0"/>
            </w:tcBorders>
            <w:vAlign w:val="center"/>
          </w:tcPr>
          <w:p w14:paraId="33A3C7BB">
            <w:pPr>
              <w:widowControl/>
              <w:jc w:val="center"/>
              <w:rPr>
                <w:rFonts w:hint="eastAsia" w:ascii="宋体" w:hAnsi="宋体" w:cs="宋体"/>
                <w:color w:val="auto"/>
                <w:kern w:val="0"/>
                <w:szCs w:val="21"/>
              </w:rPr>
            </w:pPr>
            <w:r>
              <w:rPr>
                <w:rFonts w:hint="eastAsia" w:ascii="宋体" w:hAnsi="宋体" w:cs="宋体"/>
                <w:color w:val="auto"/>
                <w:kern w:val="0"/>
                <w:szCs w:val="21"/>
              </w:rPr>
              <w:t>　</w:t>
            </w:r>
          </w:p>
        </w:tc>
        <w:tc>
          <w:tcPr>
            <w:tcW w:w="4540" w:type="dxa"/>
            <w:tcBorders>
              <w:top w:val="nil"/>
              <w:left w:val="nil"/>
              <w:bottom w:val="single" w:color="000000" w:sz="8" w:space="0"/>
              <w:right w:val="single" w:color="000000" w:sz="8" w:space="0"/>
            </w:tcBorders>
            <w:vAlign w:val="center"/>
          </w:tcPr>
          <w:p w14:paraId="2D321785">
            <w:pPr>
              <w:widowControl/>
              <w:jc w:val="left"/>
              <w:rPr>
                <w:rFonts w:hint="eastAsia" w:ascii="宋体" w:hAnsi="宋体" w:cs="宋体"/>
                <w:color w:val="auto"/>
                <w:kern w:val="0"/>
                <w:szCs w:val="21"/>
              </w:rPr>
            </w:pPr>
            <w:r>
              <w:rPr>
                <w:rFonts w:hint="eastAsia" w:ascii="宋体" w:hAnsi="宋体" w:cs="宋体"/>
                <w:color w:val="auto"/>
                <w:kern w:val="0"/>
                <w:szCs w:val="21"/>
              </w:rPr>
              <w:t>《微型计算机能效限定值及能效等级》（GB28380）</w:t>
            </w:r>
          </w:p>
        </w:tc>
      </w:tr>
      <w:tr w14:paraId="1C122402">
        <w:tblPrEx>
          <w:tblCellMar>
            <w:top w:w="0" w:type="dxa"/>
            <w:left w:w="108" w:type="dxa"/>
            <w:bottom w:w="0" w:type="dxa"/>
            <w:right w:w="108" w:type="dxa"/>
          </w:tblCellMar>
        </w:tblPrEx>
        <w:trPr>
          <w:trHeight w:val="495" w:hRule="atLeast"/>
        </w:trPr>
        <w:tc>
          <w:tcPr>
            <w:tcW w:w="660" w:type="dxa"/>
            <w:vMerge w:val="restart"/>
            <w:tcBorders>
              <w:top w:val="nil"/>
              <w:left w:val="single" w:color="000000" w:sz="8" w:space="0"/>
              <w:bottom w:val="single" w:color="000000" w:sz="8" w:space="0"/>
              <w:right w:val="single" w:color="000000" w:sz="8" w:space="0"/>
            </w:tcBorders>
            <w:vAlign w:val="center"/>
          </w:tcPr>
          <w:p w14:paraId="708F3E95">
            <w:pPr>
              <w:widowControl/>
              <w:jc w:val="center"/>
              <w:rPr>
                <w:rFonts w:hint="eastAsia" w:ascii="宋体" w:hAnsi="宋体" w:cs="宋体"/>
                <w:color w:val="auto"/>
                <w:kern w:val="0"/>
                <w:szCs w:val="21"/>
              </w:rPr>
            </w:pPr>
            <w:r>
              <w:rPr>
                <w:rFonts w:hint="eastAsia" w:ascii="宋体" w:hAnsi="宋体" w:cs="宋体"/>
                <w:color w:val="auto"/>
                <w:kern w:val="0"/>
                <w:szCs w:val="21"/>
              </w:rPr>
              <w:t>2</w:t>
            </w:r>
          </w:p>
        </w:tc>
        <w:tc>
          <w:tcPr>
            <w:tcW w:w="1080" w:type="dxa"/>
            <w:vMerge w:val="restart"/>
            <w:tcBorders>
              <w:top w:val="nil"/>
              <w:left w:val="single" w:color="000000" w:sz="8" w:space="0"/>
              <w:bottom w:val="single" w:color="000000" w:sz="8" w:space="0"/>
              <w:right w:val="single" w:color="000000" w:sz="8" w:space="0"/>
            </w:tcBorders>
            <w:vAlign w:val="center"/>
          </w:tcPr>
          <w:p w14:paraId="4260BB9C">
            <w:pPr>
              <w:widowControl/>
              <w:jc w:val="center"/>
              <w:rPr>
                <w:rFonts w:hint="eastAsia" w:ascii="宋体" w:hAnsi="宋体" w:cs="宋体"/>
                <w:color w:val="auto"/>
                <w:kern w:val="0"/>
                <w:szCs w:val="21"/>
              </w:rPr>
            </w:pPr>
            <w:r>
              <w:rPr>
                <w:rFonts w:hint="eastAsia" w:ascii="宋体" w:hAnsi="宋体" w:cs="宋体"/>
                <w:color w:val="auto"/>
                <w:kern w:val="0"/>
                <w:szCs w:val="21"/>
              </w:rPr>
              <w:t>A020106输入输出设备</w:t>
            </w:r>
          </w:p>
        </w:tc>
        <w:tc>
          <w:tcPr>
            <w:tcW w:w="1320" w:type="dxa"/>
            <w:vMerge w:val="restart"/>
            <w:tcBorders>
              <w:top w:val="nil"/>
              <w:left w:val="single" w:color="000000" w:sz="8" w:space="0"/>
              <w:bottom w:val="single" w:color="000000" w:sz="8" w:space="0"/>
              <w:right w:val="single" w:color="000000" w:sz="8" w:space="0"/>
            </w:tcBorders>
            <w:vAlign w:val="center"/>
          </w:tcPr>
          <w:p w14:paraId="140A35A7">
            <w:pPr>
              <w:widowControl/>
              <w:jc w:val="center"/>
              <w:rPr>
                <w:rFonts w:hint="eastAsia" w:ascii="宋体" w:hAnsi="宋体" w:cs="宋体"/>
                <w:color w:val="auto"/>
                <w:kern w:val="0"/>
                <w:szCs w:val="21"/>
              </w:rPr>
            </w:pPr>
            <w:r>
              <w:rPr>
                <w:rFonts w:hint="eastAsia" w:ascii="宋体" w:hAnsi="宋体" w:cs="宋体"/>
                <w:color w:val="auto"/>
                <w:kern w:val="0"/>
                <w:szCs w:val="21"/>
              </w:rPr>
              <w:t>A02010601打印设备</w:t>
            </w:r>
          </w:p>
        </w:tc>
        <w:tc>
          <w:tcPr>
            <w:tcW w:w="1620" w:type="dxa"/>
            <w:tcBorders>
              <w:top w:val="nil"/>
              <w:left w:val="nil"/>
              <w:bottom w:val="single" w:color="000000" w:sz="8" w:space="0"/>
              <w:right w:val="single" w:color="000000" w:sz="8" w:space="0"/>
            </w:tcBorders>
            <w:vAlign w:val="center"/>
          </w:tcPr>
          <w:p w14:paraId="66B9034F">
            <w:pPr>
              <w:widowControl/>
              <w:jc w:val="center"/>
              <w:rPr>
                <w:rFonts w:hint="eastAsia" w:ascii="宋体" w:hAnsi="宋体" w:cs="宋体"/>
                <w:color w:val="auto"/>
                <w:kern w:val="0"/>
                <w:szCs w:val="21"/>
              </w:rPr>
            </w:pPr>
            <w:r>
              <w:rPr>
                <w:rFonts w:hint="eastAsia" w:ascii="宋体" w:hAnsi="宋体" w:cs="宋体"/>
                <w:color w:val="auto"/>
                <w:kern w:val="0"/>
                <w:szCs w:val="21"/>
              </w:rPr>
              <w:t>A0201060101喷墨打印机</w:t>
            </w:r>
          </w:p>
        </w:tc>
        <w:tc>
          <w:tcPr>
            <w:tcW w:w="4540" w:type="dxa"/>
            <w:tcBorders>
              <w:top w:val="nil"/>
              <w:left w:val="nil"/>
              <w:bottom w:val="single" w:color="000000" w:sz="8" w:space="0"/>
              <w:right w:val="single" w:color="000000" w:sz="8" w:space="0"/>
            </w:tcBorders>
            <w:vAlign w:val="center"/>
          </w:tcPr>
          <w:p w14:paraId="62C0DE04">
            <w:pPr>
              <w:widowControl/>
              <w:jc w:val="left"/>
              <w:rPr>
                <w:rFonts w:hint="eastAsia" w:ascii="宋体" w:hAnsi="宋体" w:cs="宋体"/>
                <w:color w:val="auto"/>
                <w:kern w:val="0"/>
                <w:szCs w:val="21"/>
              </w:rPr>
            </w:pPr>
            <w:r>
              <w:rPr>
                <w:rFonts w:hint="eastAsia" w:ascii="宋体" w:hAnsi="宋体" w:cs="宋体"/>
                <w:color w:val="auto"/>
                <w:kern w:val="0"/>
                <w:szCs w:val="21"/>
              </w:rPr>
              <w:t>《复印机、打印机和传真机能效限定值及能效等级》（GB21521）</w:t>
            </w:r>
          </w:p>
        </w:tc>
      </w:tr>
      <w:tr w14:paraId="46B2C6A8">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7EFC316C">
            <w:pPr>
              <w:widowControl/>
              <w:jc w:val="left"/>
              <w:rPr>
                <w:rFonts w:hint="eastAsia" w:ascii="宋体" w:hAnsi="宋体" w:cs="宋体"/>
                <w:color w:val="auto"/>
                <w:kern w:val="0"/>
                <w:szCs w:val="21"/>
              </w:rPr>
            </w:pPr>
          </w:p>
        </w:tc>
        <w:tc>
          <w:tcPr>
            <w:tcW w:w="0" w:type="auto"/>
            <w:vMerge w:val="continue"/>
            <w:tcBorders>
              <w:top w:val="nil"/>
              <w:left w:val="single" w:color="000000" w:sz="8" w:space="0"/>
              <w:bottom w:val="single" w:color="000000" w:sz="8" w:space="0"/>
              <w:right w:val="single" w:color="000000" w:sz="8" w:space="0"/>
            </w:tcBorders>
            <w:vAlign w:val="center"/>
          </w:tcPr>
          <w:p w14:paraId="2C00EE20">
            <w:pPr>
              <w:widowControl/>
              <w:jc w:val="left"/>
              <w:rPr>
                <w:rFonts w:hint="eastAsia" w:ascii="宋体" w:hAnsi="宋体" w:cs="宋体"/>
                <w:color w:val="auto"/>
                <w:kern w:val="0"/>
                <w:szCs w:val="21"/>
              </w:rPr>
            </w:pPr>
          </w:p>
        </w:tc>
        <w:tc>
          <w:tcPr>
            <w:tcW w:w="0" w:type="auto"/>
            <w:vMerge w:val="continue"/>
            <w:tcBorders>
              <w:top w:val="nil"/>
              <w:left w:val="single" w:color="000000" w:sz="8" w:space="0"/>
              <w:bottom w:val="single" w:color="000000" w:sz="8" w:space="0"/>
              <w:right w:val="single" w:color="000000" w:sz="8" w:space="0"/>
            </w:tcBorders>
            <w:vAlign w:val="center"/>
          </w:tcPr>
          <w:p w14:paraId="3ABC1F10">
            <w:pPr>
              <w:widowControl/>
              <w:jc w:val="left"/>
              <w:rPr>
                <w:rFonts w:hint="eastAsia" w:ascii="宋体" w:hAnsi="宋体" w:cs="宋体"/>
                <w:color w:val="auto"/>
                <w:kern w:val="0"/>
                <w:szCs w:val="21"/>
              </w:rPr>
            </w:pPr>
          </w:p>
        </w:tc>
        <w:tc>
          <w:tcPr>
            <w:tcW w:w="1620" w:type="dxa"/>
            <w:tcBorders>
              <w:top w:val="nil"/>
              <w:left w:val="nil"/>
              <w:bottom w:val="single" w:color="000000" w:sz="8" w:space="0"/>
              <w:right w:val="single" w:color="000000" w:sz="8" w:space="0"/>
            </w:tcBorders>
            <w:vAlign w:val="center"/>
          </w:tcPr>
          <w:p w14:paraId="5E006FB1">
            <w:pPr>
              <w:widowControl/>
              <w:jc w:val="center"/>
              <w:rPr>
                <w:rFonts w:hint="eastAsia" w:ascii="宋体" w:hAnsi="宋体" w:cs="宋体"/>
                <w:color w:val="auto"/>
                <w:kern w:val="0"/>
                <w:szCs w:val="21"/>
              </w:rPr>
            </w:pPr>
            <w:r>
              <w:rPr>
                <w:rFonts w:hint="eastAsia" w:ascii="宋体" w:hAnsi="宋体" w:cs="宋体"/>
                <w:color w:val="auto"/>
                <w:kern w:val="0"/>
                <w:szCs w:val="21"/>
              </w:rPr>
              <w:t>★A0201060102激光打印机</w:t>
            </w:r>
          </w:p>
        </w:tc>
        <w:tc>
          <w:tcPr>
            <w:tcW w:w="4540" w:type="dxa"/>
            <w:tcBorders>
              <w:top w:val="nil"/>
              <w:left w:val="nil"/>
              <w:bottom w:val="single" w:color="000000" w:sz="8" w:space="0"/>
              <w:right w:val="single" w:color="000000" w:sz="8" w:space="0"/>
            </w:tcBorders>
            <w:vAlign w:val="center"/>
          </w:tcPr>
          <w:p w14:paraId="51C9D30F">
            <w:pPr>
              <w:widowControl/>
              <w:jc w:val="left"/>
              <w:rPr>
                <w:rFonts w:hint="eastAsia" w:ascii="宋体" w:hAnsi="宋体" w:cs="宋体"/>
                <w:color w:val="auto"/>
                <w:kern w:val="0"/>
                <w:szCs w:val="21"/>
              </w:rPr>
            </w:pPr>
            <w:r>
              <w:rPr>
                <w:rFonts w:hint="eastAsia" w:ascii="宋体" w:hAnsi="宋体" w:cs="宋体"/>
                <w:color w:val="auto"/>
                <w:kern w:val="0"/>
                <w:szCs w:val="21"/>
              </w:rPr>
              <w:t>《复印机、打印机和传真机能效限定值及能效等级》（GB21521）</w:t>
            </w:r>
          </w:p>
        </w:tc>
      </w:tr>
      <w:tr w14:paraId="0BD9BC9B">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537BFD90">
            <w:pPr>
              <w:widowControl/>
              <w:jc w:val="left"/>
              <w:rPr>
                <w:rFonts w:hint="eastAsia" w:ascii="宋体" w:hAnsi="宋体" w:cs="宋体"/>
                <w:color w:val="auto"/>
                <w:kern w:val="0"/>
                <w:szCs w:val="21"/>
              </w:rPr>
            </w:pPr>
          </w:p>
        </w:tc>
        <w:tc>
          <w:tcPr>
            <w:tcW w:w="0" w:type="auto"/>
            <w:vMerge w:val="continue"/>
            <w:tcBorders>
              <w:top w:val="nil"/>
              <w:left w:val="single" w:color="000000" w:sz="8" w:space="0"/>
              <w:bottom w:val="single" w:color="000000" w:sz="8" w:space="0"/>
              <w:right w:val="single" w:color="000000" w:sz="8" w:space="0"/>
            </w:tcBorders>
            <w:vAlign w:val="center"/>
          </w:tcPr>
          <w:p w14:paraId="56BB51AE">
            <w:pPr>
              <w:widowControl/>
              <w:jc w:val="left"/>
              <w:rPr>
                <w:rFonts w:hint="eastAsia" w:ascii="宋体" w:hAnsi="宋体" w:cs="宋体"/>
                <w:color w:val="auto"/>
                <w:kern w:val="0"/>
                <w:szCs w:val="21"/>
              </w:rPr>
            </w:pPr>
          </w:p>
        </w:tc>
        <w:tc>
          <w:tcPr>
            <w:tcW w:w="0" w:type="auto"/>
            <w:vMerge w:val="continue"/>
            <w:tcBorders>
              <w:top w:val="nil"/>
              <w:left w:val="single" w:color="000000" w:sz="8" w:space="0"/>
              <w:bottom w:val="single" w:color="000000" w:sz="8" w:space="0"/>
              <w:right w:val="single" w:color="000000" w:sz="8" w:space="0"/>
            </w:tcBorders>
            <w:vAlign w:val="center"/>
          </w:tcPr>
          <w:p w14:paraId="6B396E47">
            <w:pPr>
              <w:widowControl/>
              <w:jc w:val="left"/>
              <w:rPr>
                <w:rFonts w:hint="eastAsia" w:ascii="宋体" w:hAnsi="宋体" w:cs="宋体"/>
                <w:color w:val="auto"/>
                <w:kern w:val="0"/>
                <w:szCs w:val="21"/>
              </w:rPr>
            </w:pPr>
          </w:p>
        </w:tc>
        <w:tc>
          <w:tcPr>
            <w:tcW w:w="1620" w:type="dxa"/>
            <w:tcBorders>
              <w:top w:val="nil"/>
              <w:left w:val="nil"/>
              <w:bottom w:val="single" w:color="000000" w:sz="8" w:space="0"/>
              <w:right w:val="single" w:color="000000" w:sz="8" w:space="0"/>
            </w:tcBorders>
            <w:vAlign w:val="center"/>
          </w:tcPr>
          <w:p w14:paraId="1548937B">
            <w:pPr>
              <w:widowControl/>
              <w:jc w:val="center"/>
              <w:rPr>
                <w:rFonts w:hint="eastAsia" w:ascii="宋体" w:hAnsi="宋体" w:cs="宋体"/>
                <w:color w:val="auto"/>
                <w:kern w:val="0"/>
                <w:szCs w:val="21"/>
              </w:rPr>
            </w:pPr>
            <w:r>
              <w:rPr>
                <w:rFonts w:hint="eastAsia" w:ascii="宋体" w:hAnsi="宋体" w:cs="宋体"/>
                <w:color w:val="auto"/>
                <w:kern w:val="0"/>
                <w:szCs w:val="21"/>
              </w:rPr>
              <w:t>★A0201060104针式打印机</w:t>
            </w:r>
          </w:p>
        </w:tc>
        <w:tc>
          <w:tcPr>
            <w:tcW w:w="4540" w:type="dxa"/>
            <w:tcBorders>
              <w:top w:val="nil"/>
              <w:left w:val="nil"/>
              <w:bottom w:val="single" w:color="000000" w:sz="8" w:space="0"/>
              <w:right w:val="single" w:color="000000" w:sz="8" w:space="0"/>
            </w:tcBorders>
            <w:vAlign w:val="center"/>
          </w:tcPr>
          <w:p w14:paraId="1C4E8890">
            <w:pPr>
              <w:widowControl/>
              <w:jc w:val="left"/>
              <w:rPr>
                <w:rFonts w:hint="eastAsia" w:ascii="宋体" w:hAnsi="宋体" w:cs="宋体"/>
                <w:color w:val="auto"/>
                <w:kern w:val="0"/>
                <w:szCs w:val="21"/>
              </w:rPr>
            </w:pPr>
            <w:r>
              <w:rPr>
                <w:rFonts w:hint="eastAsia" w:ascii="宋体" w:hAnsi="宋体" w:cs="宋体"/>
                <w:color w:val="auto"/>
                <w:kern w:val="0"/>
                <w:szCs w:val="21"/>
              </w:rPr>
              <w:t>《复印机、打印机和传真机能效限定值及能效等级》（GB21521）</w:t>
            </w:r>
          </w:p>
        </w:tc>
      </w:tr>
      <w:tr w14:paraId="35B7AD63">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3B2533F1">
            <w:pPr>
              <w:widowControl/>
              <w:jc w:val="left"/>
              <w:rPr>
                <w:rFonts w:hint="eastAsia" w:ascii="宋体" w:hAnsi="宋体" w:cs="宋体"/>
                <w:color w:val="auto"/>
                <w:kern w:val="0"/>
                <w:szCs w:val="21"/>
              </w:rPr>
            </w:pPr>
          </w:p>
        </w:tc>
        <w:tc>
          <w:tcPr>
            <w:tcW w:w="0" w:type="auto"/>
            <w:vMerge w:val="continue"/>
            <w:tcBorders>
              <w:top w:val="nil"/>
              <w:left w:val="single" w:color="000000" w:sz="8" w:space="0"/>
              <w:bottom w:val="single" w:color="000000" w:sz="8" w:space="0"/>
              <w:right w:val="single" w:color="000000" w:sz="8" w:space="0"/>
            </w:tcBorders>
            <w:vAlign w:val="center"/>
          </w:tcPr>
          <w:p w14:paraId="1D466FC8">
            <w:pPr>
              <w:widowControl/>
              <w:jc w:val="left"/>
              <w:rPr>
                <w:rFonts w:hint="eastAsia" w:ascii="宋体" w:hAnsi="宋体" w:cs="宋体"/>
                <w:color w:val="auto"/>
                <w:kern w:val="0"/>
                <w:szCs w:val="21"/>
              </w:rPr>
            </w:pPr>
          </w:p>
        </w:tc>
        <w:tc>
          <w:tcPr>
            <w:tcW w:w="1320" w:type="dxa"/>
            <w:tcBorders>
              <w:top w:val="nil"/>
              <w:left w:val="nil"/>
              <w:bottom w:val="single" w:color="000000" w:sz="8" w:space="0"/>
              <w:right w:val="single" w:color="000000" w:sz="8" w:space="0"/>
            </w:tcBorders>
            <w:vAlign w:val="center"/>
          </w:tcPr>
          <w:p w14:paraId="323B0D38">
            <w:pPr>
              <w:widowControl/>
              <w:jc w:val="center"/>
              <w:rPr>
                <w:rFonts w:hint="eastAsia" w:ascii="宋体" w:hAnsi="宋体" w:cs="宋体"/>
                <w:color w:val="auto"/>
                <w:kern w:val="0"/>
                <w:szCs w:val="21"/>
              </w:rPr>
            </w:pPr>
            <w:r>
              <w:rPr>
                <w:rFonts w:hint="eastAsia" w:ascii="宋体" w:hAnsi="宋体" w:cs="宋体"/>
                <w:color w:val="auto"/>
                <w:kern w:val="0"/>
                <w:szCs w:val="21"/>
              </w:rPr>
              <w:t>A02010604显示设备</w:t>
            </w:r>
          </w:p>
        </w:tc>
        <w:tc>
          <w:tcPr>
            <w:tcW w:w="1620" w:type="dxa"/>
            <w:tcBorders>
              <w:top w:val="nil"/>
              <w:left w:val="nil"/>
              <w:bottom w:val="single" w:color="000000" w:sz="8" w:space="0"/>
              <w:right w:val="single" w:color="000000" w:sz="8" w:space="0"/>
            </w:tcBorders>
            <w:vAlign w:val="center"/>
          </w:tcPr>
          <w:p w14:paraId="1E76F4B6">
            <w:pPr>
              <w:widowControl/>
              <w:jc w:val="center"/>
              <w:rPr>
                <w:rFonts w:hint="eastAsia" w:ascii="宋体" w:hAnsi="宋体" w:cs="宋体"/>
                <w:color w:val="auto"/>
                <w:kern w:val="0"/>
                <w:szCs w:val="21"/>
              </w:rPr>
            </w:pPr>
            <w:r>
              <w:rPr>
                <w:rFonts w:hint="eastAsia" w:ascii="宋体" w:hAnsi="宋体" w:cs="宋体"/>
                <w:color w:val="auto"/>
                <w:kern w:val="0"/>
                <w:szCs w:val="21"/>
              </w:rPr>
              <w:t>★A0201060401液晶显示器</w:t>
            </w:r>
          </w:p>
        </w:tc>
        <w:tc>
          <w:tcPr>
            <w:tcW w:w="4540" w:type="dxa"/>
            <w:tcBorders>
              <w:top w:val="nil"/>
              <w:left w:val="nil"/>
              <w:bottom w:val="single" w:color="000000" w:sz="8" w:space="0"/>
              <w:right w:val="single" w:color="000000" w:sz="8" w:space="0"/>
            </w:tcBorders>
            <w:vAlign w:val="center"/>
          </w:tcPr>
          <w:p w14:paraId="5496BC03">
            <w:pPr>
              <w:widowControl/>
              <w:jc w:val="left"/>
              <w:rPr>
                <w:rFonts w:hint="eastAsia" w:ascii="宋体" w:hAnsi="宋体" w:cs="宋体"/>
                <w:color w:val="auto"/>
                <w:kern w:val="0"/>
                <w:szCs w:val="21"/>
              </w:rPr>
            </w:pPr>
            <w:r>
              <w:rPr>
                <w:rFonts w:hint="eastAsia" w:ascii="宋体" w:hAnsi="宋体" w:cs="宋体"/>
                <w:color w:val="auto"/>
                <w:kern w:val="0"/>
                <w:szCs w:val="21"/>
              </w:rPr>
              <w:t>《计算机显示器能效限定值及能效等级》（GB21520）</w:t>
            </w:r>
          </w:p>
        </w:tc>
      </w:tr>
      <w:tr w14:paraId="73C941A7">
        <w:tblPrEx>
          <w:tblCellMar>
            <w:top w:w="0" w:type="dxa"/>
            <w:left w:w="108" w:type="dxa"/>
            <w:bottom w:w="0" w:type="dxa"/>
            <w:right w:w="108" w:type="dxa"/>
          </w:tblCellMar>
        </w:tblPrEx>
        <w:trPr>
          <w:trHeight w:val="975" w:hRule="atLeast"/>
        </w:trPr>
        <w:tc>
          <w:tcPr>
            <w:tcW w:w="0" w:type="auto"/>
            <w:vMerge w:val="continue"/>
            <w:tcBorders>
              <w:top w:val="nil"/>
              <w:left w:val="single" w:color="000000" w:sz="8" w:space="0"/>
              <w:bottom w:val="single" w:color="000000" w:sz="8" w:space="0"/>
              <w:right w:val="single" w:color="000000" w:sz="8" w:space="0"/>
            </w:tcBorders>
            <w:vAlign w:val="center"/>
          </w:tcPr>
          <w:p w14:paraId="628370D3">
            <w:pPr>
              <w:widowControl/>
              <w:jc w:val="left"/>
              <w:rPr>
                <w:rFonts w:hint="eastAsia" w:ascii="宋体" w:hAnsi="宋体" w:cs="宋体"/>
                <w:color w:val="auto"/>
                <w:kern w:val="0"/>
                <w:szCs w:val="21"/>
              </w:rPr>
            </w:pPr>
          </w:p>
        </w:tc>
        <w:tc>
          <w:tcPr>
            <w:tcW w:w="0" w:type="auto"/>
            <w:vMerge w:val="continue"/>
            <w:tcBorders>
              <w:top w:val="nil"/>
              <w:left w:val="single" w:color="000000" w:sz="8" w:space="0"/>
              <w:bottom w:val="single" w:color="000000" w:sz="8" w:space="0"/>
              <w:right w:val="single" w:color="000000" w:sz="8" w:space="0"/>
            </w:tcBorders>
            <w:vAlign w:val="center"/>
          </w:tcPr>
          <w:p w14:paraId="678C41E4">
            <w:pPr>
              <w:widowControl/>
              <w:jc w:val="left"/>
              <w:rPr>
                <w:rFonts w:hint="eastAsia" w:ascii="宋体" w:hAnsi="宋体" w:cs="宋体"/>
                <w:color w:val="auto"/>
                <w:kern w:val="0"/>
                <w:szCs w:val="21"/>
              </w:rPr>
            </w:pPr>
          </w:p>
        </w:tc>
        <w:tc>
          <w:tcPr>
            <w:tcW w:w="1320" w:type="dxa"/>
            <w:tcBorders>
              <w:top w:val="nil"/>
              <w:left w:val="nil"/>
              <w:bottom w:val="single" w:color="000000" w:sz="8" w:space="0"/>
              <w:right w:val="single" w:color="000000" w:sz="8" w:space="0"/>
            </w:tcBorders>
            <w:vAlign w:val="center"/>
          </w:tcPr>
          <w:p w14:paraId="0AC8AF9B">
            <w:pPr>
              <w:widowControl/>
              <w:jc w:val="center"/>
              <w:rPr>
                <w:rFonts w:hint="eastAsia" w:ascii="宋体" w:hAnsi="宋体" w:cs="宋体"/>
                <w:color w:val="auto"/>
                <w:kern w:val="0"/>
                <w:szCs w:val="21"/>
              </w:rPr>
            </w:pPr>
            <w:r>
              <w:rPr>
                <w:rFonts w:hint="eastAsia" w:ascii="宋体" w:hAnsi="宋体" w:cs="宋体"/>
                <w:color w:val="auto"/>
                <w:kern w:val="0"/>
                <w:szCs w:val="21"/>
              </w:rPr>
              <w:t>A02010609图形图像输入设备</w:t>
            </w:r>
          </w:p>
        </w:tc>
        <w:tc>
          <w:tcPr>
            <w:tcW w:w="1620" w:type="dxa"/>
            <w:tcBorders>
              <w:top w:val="nil"/>
              <w:left w:val="nil"/>
              <w:bottom w:val="single" w:color="000000" w:sz="8" w:space="0"/>
              <w:right w:val="single" w:color="000000" w:sz="8" w:space="0"/>
            </w:tcBorders>
            <w:vAlign w:val="center"/>
          </w:tcPr>
          <w:p w14:paraId="500596BD">
            <w:pPr>
              <w:widowControl/>
              <w:jc w:val="center"/>
              <w:rPr>
                <w:rFonts w:hint="eastAsia" w:ascii="宋体" w:hAnsi="宋体" w:cs="宋体"/>
                <w:color w:val="auto"/>
                <w:kern w:val="0"/>
                <w:szCs w:val="21"/>
              </w:rPr>
            </w:pPr>
            <w:r>
              <w:rPr>
                <w:rFonts w:hint="eastAsia" w:ascii="宋体" w:hAnsi="宋体" w:cs="宋体"/>
                <w:color w:val="auto"/>
                <w:kern w:val="0"/>
                <w:szCs w:val="21"/>
              </w:rPr>
              <w:t>A0201060901扫描仪</w:t>
            </w:r>
          </w:p>
        </w:tc>
        <w:tc>
          <w:tcPr>
            <w:tcW w:w="4540" w:type="dxa"/>
            <w:tcBorders>
              <w:top w:val="nil"/>
              <w:left w:val="nil"/>
              <w:bottom w:val="single" w:color="000000" w:sz="8" w:space="0"/>
              <w:right w:val="single" w:color="000000" w:sz="8" w:space="0"/>
            </w:tcBorders>
            <w:vAlign w:val="center"/>
          </w:tcPr>
          <w:p w14:paraId="0174AACE">
            <w:pPr>
              <w:widowControl/>
              <w:jc w:val="left"/>
              <w:rPr>
                <w:rFonts w:hint="eastAsia" w:ascii="宋体" w:hAnsi="宋体" w:cs="宋体"/>
                <w:color w:val="auto"/>
                <w:kern w:val="0"/>
                <w:szCs w:val="21"/>
              </w:rPr>
            </w:pPr>
            <w:r>
              <w:rPr>
                <w:rFonts w:hint="eastAsia" w:ascii="宋体" w:hAnsi="宋体" w:cs="宋体"/>
                <w:color w:val="auto"/>
                <w:kern w:val="0"/>
                <w:szCs w:val="21"/>
              </w:rPr>
              <w:t>参照《复印机、打印机和传真机能效限定值及能效等级》（GB21521中打印速度为15页/分的针式打印机相关要求中打印速度为15页/分的针式打印机相关要求</w:t>
            </w:r>
          </w:p>
        </w:tc>
      </w:tr>
      <w:tr w14:paraId="68C3A3A9">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vAlign w:val="center"/>
          </w:tcPr>
          <w:p w14:paraId="0AE892F1">
            <w:pPr>
              <w:widowControl/>
              <w:jc w:val="center"/>
              <w:rPr>
                <w:rFonts w:hint="eastAsia" w:ascii="宋体" w:hAnsi="宋体" w:cs="宋体"/>
                <w:color w:val="auto"/>
                <w:kern w:val="0"/>
                <w:szCs w:val="21"/>
              </w:rPr>
            </w:pPr>
            <w:r>
              <w:rPr>
                <w:rFonts w:hint="eastAsia" w:ascii="宋体" w:hAnsi="宋体" w:cs="宋体"/>
                <w:color w:val="auto"/>
                <w:kern w:val="0"/>
                <w:szCs w:val="21"/>
              </w:rPr>
              <w:t>3</w:t>
            </w:r>
          </w:p>
        </w:tc>
        <w:tc>
          <w:tcPr>
            <w:tcW w:w="1080" w:type="dxa"/>
            <w:tcBorders>
              <w:top w:val="nil"/>
              <w:left w:val="nil"/>
              <w:bottom w:val="single" w:color="000000" w:sz="8" w:space="0"/>
              <w:right w:val="single" w:color="000000" w:sz="8" w:space="0"/>
            </w:tcBorders>
            <w:vAlign w:val="center"/>
          </w:tcPr>
          <w:p w14:paraId="1759DC87">
            <w:pPr>
              <w:widowControl/>
              <w:jc w:val="center"/>
              <w:rPr>
                <w:rFonts w:hint="eastAsia" w:ascii="宋体" w:hAnsi="宋体" w:cs="宋体"/>
                <w:color w:val="auto"/>
                <w:kern w:val="0"/>
                <w:szCs w:val="21"/>
              </w:rPr>
            </w:pPr>
            <w:r>
              <w:rPr>
                <w:rFonts w:hint="eastAsia" w:ascii="宋体" w:hAnsi="宋体" w:cs="宋体"/>
                <w:color w:val="auto"/>
                <w:kern w:val="0"/>
                <w:szCs w:val="21"/>
              </w:rPr>
              <w:t>A020202投影仪</w:t>
            </w:r>
          </w:p>
        </w:tc>
        <w:tc>
          <w:tcPr>
            <w:tcW w:w="1320" w:type="dxa"/>
            <w:tcBorders>
              <w:top w:val="nil"/>
              <w:left w:val="nil"/>
              <w:bottom w:val="single" w:color="000000" w:sz="8" w:space="0"/>
              <w:right w:val="single" w:color="000000" w:sz="8" w:space="0"/>
            </w:tcBorders>
            <w:vAlign w:val="center"/>
          </w:tcPr>
          <w:p w14:paraId="6D6DEAA0">
            <w:pPr>
              <w:widowControl/>
              <w:jc w:val="center"/>
              <w:rPr>
                <w:rFonts w:hint="eastAsia" w:ascii="宋体" w:hAnsi="宋体" w:cs="宋体"/>
                <w:color w:val="auto"/>
                <w:kern w:val="0"/>
                <w:szCs w:val="21"/>
              </w:rPr>
            </w:pPr>
            <w:r>
              <w:rPr>
                <w:rFonts w:hint="eastAsia" w:ascii="宋体" w:hAnsi="宋体" w:cs="宋体"/>
                <w:color w:val="auto"/>
                <w:kern w:val="0"/>
                <w:szCs w:val="21"/>
              </w:rPr>
              <w:t>　</w:t>
            </w:r>
          </w:p>
        </w:tc>
        <w:tc>
          <w:tcPr>
            <w:tcW w:w="1620" w:type="dxa"/>
            <w:tcBorders>
              <w:top w:val="nil"/>
              <w:left w:val="nil"/>
              <w:bottom w:val="single" w:color="000000" w:sz="8" w:space="0"/>
              <w:right w:val="single" w:color="000000" w:sz="8" w:space="0"/>
            </w:tcBorders>
            <w:vAlign w:val="center"/>
          </w:tcPr>
          <w:p w14:paraId="2CCEF62F">
            <w:pPr>
              <w:widowControl/>
              <w:jc w:val="center"/>
              <w:rPr>
                <w:rFonts w:hint="eastAsia" w:ascii="宋体" w:hAnsi="宋体" w:cs="宋体"/>
                <w:color w:val="auto"/>
                <w:kern w:val="0"/>
                <w:szCs w:val="21"/>
              </w:rPr>
            </w:pPr>
            <w:r>
              <w:rPr>
                <w:rFonts w:hint="eastAsia" w:ascii="宋体" w:hAnsi="宋体" w:cs="宋体"/>
                <w:color w:val="auto"/>
                <w:kern w:val="0"/>
                <w:szCs w:val="21"/>
              </w:rPr>
              <w:t>　</w:t>
            </w:r>
          </w:p>
        </w:tc>
        <w:tc>
          <w:tcPr>
            <w:tcW w:w="4540" w:type="dxa"/>
            <w:tcBorders>
              <w:top w:val="nil"/>
              <w:left w:val="nil"/>
              <w:bottom w:val="single" w:color="000000" w:sz="8" w:space="0"/>
              <w:right w:val="single" w:color="000000" w:sz="8" w:space="0"/>
            </w:tcBorders>
            <w:vAlign w:val="center"/>
          </w:tcPr>
          <w:p w14:paraId="1AC73EDF">
            <w:pPr>
              <w:widowControl/>
              <w:jc w:val="left"/>
              <w:rPr>
                <w:rFonts w:hint="eastAsia" w:ascii="宋体" w:hAnsi="宋体" w:cs="宋体"/>
                <w:color w:val="auto"/>
                <w:kern w:val="0"/>
                <w:szCs w:val="21"/>
              </w:rPr>
            </w:pPr>
            <w:r>
              <w:rPr>
                <w:rFonts w:hint="eastAsia" w:ascii="宋体" w:hAnsi="宋体" w:cs="宋体"/>
                <w:color w:val="auto"/>
                <w:kern w:val="0"/>
                <w:szCs w:val="21"/>
              </w:rPr>
              <w:t>《投影机能效限定值及能效等级》（GB32028）</w:t>
            </w:r>
          </w:p>
        </w:tc>
      </w:tr>
      <w:tr w14:paraId="11E6D0A6">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vAlign w:val="center"/>
          </w:tcPr>
          <w:p w14:paraId="346A8281">
            <w:pPr>
              <w:widowControl/>
              <w:jc w:val="center"/>
              <w:rPr>
                <w:rFonts w:hint="eastAsia" w:ascii="宋体" w:hAnsi="宋体" w:cs="宋体"/>
                <w:color w:val="auto"/>
                <w:kern w:val="0"/>
                <w:szCs w:val="21"/>
              </w:rPr>
            </w:pPr>
            <w:r>
              <w:rPr>
                <w:rFonts w:hint="eastAsia" w:ascii="宋体" w:hAnsi="宋体" w:cs="宋体"/>
                <w:color w:val="auto"/>
                <w:kern w:val="0"/>
                <w:szCs w:val="21"/>
              </w:rPr>
              <w:t>4</w:t>
            </w:r>
          </w:p>
        </w:tc>
        <w:tc>
          <w:tcPr>
            <w:tcW w:w="1080" w:type="dxa"/>
            <w:tcBorders>
              <w:top w:val="nil"/>
              <w:left w:val="nil"/>
              <w:bottom w:val="single" w:color="000000" w:sz="8" w:space="0"/>
              <w:right w:val="single" w:color="000000" w:sz="8" w:space="0"/>
            </w:tcBorders>
            <w:vAlign w:val="center"/>
          </w:tcPr>
          <w:p w14:paraId="751D6F38">
            <w:pPr>
              <w:widowControl/>
              <w:jc w:val="center"/>
              <w:rPr>
                <w:rFonts w:hint="eastAsia" w:ascii="宋体" w:hAnsi="宋体" w:cs="宋体"/>
                <w:color w:val="auto"/>
                <w:kern w:val="0"/>
                <w:szCs w:val="21"/>
              </w:rPr>
            </w:pPr>
            <w:r>
              <w:rPr>
                <w:rFonts w:hint="eastAsia" w:ascii="宋体" w:hAnsi="宋体" w:cs="宋体"/>
                <w:color w:val="auto"/>
                <w:kern w:val="0"/>
                <w:szCs w:val="21"/>
              </w:rPr>
              <w:t>A020204多功能一体机</w:t>
            </w:r>
          </w:p>
        </w:tc>
        <w:tc>
          <w:tcPr>
            <w:tcW w:w="1320" w:type="dxa"/>
            <w:tcBorders>
              <w:top w:val="nil"/>
              <w:left w:val="nil"/>
              <w:bottom w:val="single" w:color="000000" w:sz="8" w:space="0"/>
              <w:right w:val="single" w:color="000000" w:sz="8" w:space="0"/>
            </w:tcBorders>
            <w:vAlign w:val="center"/>
          </w:tcPr>
          <w:p w14:paraId="0540A7D1">
            <w:pPr>
              <w:widowControl/>
              <w:jc w:val="center"/>
              <w:rPr>
                <w:rFonts w:hint="eastAsia" w:ascii="宋体" w:hAnsi="宋体" w:cs="宋体"/>
                <w:color w:val="auto"/>
                <w:kern w:val="0"/>
                <w:szCs w:val="21"/>
              </w:rPr>
            </w:pPr>
            <w:r>
              <w:rPr>
                <w:rFonts w:hint="eastAsia" w:ascii="宋体" w:hAnsi="宋体" w:cs="宋体"/>
                <w:color w:val="auto"/>
                <w:kern w:val="0"/>
                <w:szCs w:val="21"/>
              </w:rPr>
              <w:t>　</w:t>
            </w:r>
          </w:p>
        </w:tc>
        <w:tc>
          <w:tcPr>
            <w:tcW w:w="1620" w:type="dxa"/>
            <w:tcBorders>
              <w:top w:val="nil"/>
              <w:left w:val="nil"/>
              <w:bottom w:val="single" w:color="000000" w:sz="8" w:space="0"/>
              <w:right w:val="single" w:color="000000" w:sz="8" w:space="0"/>
            </w:tcBorders>
            <w:vAlign w:val="center"/>
          </w:tcPr>
          <w:p w14:paraId="1C72A2C4">
            <w:pPr>
              <w:widowControl/>
              <w:jc w:val="center"/>
              <w:rPr>
                <w:rFonts w:hint="eastAsia" w:ascii="宋体" w:hAnsi="宋体" w:cs="宋体"/>
                <w:color w:val="auto"/>
                <w:kern w:val="0"/>
                <w:szCs w:val="21"/>
              </w:rPr>
            </w:pPr>
            <w:r>
              <w:rPr>
                <w:rFonts w:hint="eastAsia" w:ascii="宋体" w:hAnsi="宋体" w:cs="宋体"/>
                <w:color w:val="auto"/>
                <w:kern w:val="0"/>
                <w:szCs w:val="21"/>
              </w:rPr>
              <w:t>　</w:t>
            </w:r>
          </w:p>
        </w:tc>
        <w:tc>
          <w:tcPr>
            <w:tcW w:w="4540" w:type="dxa"/>
            <w:tcBorders>
              <w:top w:val="nil"/>
              <w:left w:val="nil"/>
              <w:bottom w:val="single" w:color="000000" w:sz="8" w:space="0"/>
              <w:right w:val="single" w:color="000000" w:sz="8" w:space="0"/>
            </w:tcBorders>
            <w:vAlign w:val="center"/>
          </w:tcPr>
          <w:p w14:paraId="74DB08A0">
            <w:pPr>
              <w:widowControl/>
              <w:jc w:val="left"/>
              <w:rPr>
                <w:rFonts w:hint="eastAsia" w:ascii="宋体" w:hAnsi="宋体" w:cs="宋体"/>
                <w:color w:val="auto"/>
                <w:kern w:val="0"/>
                <w:szCs w:val="21"/>
              </w:rPr>
            </w:pPr>
            <w:r>
              <w:rPr>
                <w:rFonts w:hint="eastAsia" w:ascii="宋体" w:hAnsi="宋体" w:cs="宋体"/>
                <w:color w:val="auto"/>
                <w:kern w:val="0"/>
                <w:szCs w:val="21"/>
              </w:rPr>
              <w:t>《复印机、打印机和传真机能效限定值及能效等级》（GB21521）</w:t>
            </w:r>
          </w:p>
        </w:tc>
      </w:tr>
      <w:tr w14:paraId="5A2C80E7">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vAlign w:val="center"/>
          </w:tcPr>
          <w:p w14:paraId="5EDF20C8">
            <w:pPr>
              <w:widowControl/>
              <w:jc w:val="center"/>
              <w:rPr>
                <w:rFonts w:hint="eastAsia" w:ascii="宋体" w:hAnsi="宋体" w:cs="宋体"/>
                <w:color w:val="auto"/>
                <w:kern w:val="0"/>
                <w:szCs w:val="21"/>
              </w:rPr>
            </w:pPr>
            <w:r>
              <w:rPr>
                <w:rFonts w:hint="eastAsia" w:ascii="宋体" w:hAnsi="宋体" w:cs="宋体"/>
                <w:color w:val="auto"/>
                <w:kern w:val="0"/>
                <w:szCs w:val="21"/>
              </w:rPr>
              <w:t>5</w:t>
            </w:r>
          </w:p>
        </w:tc>
        <w:tc>
          <w:tcPr>
            <w:tcW w:w="1080" w:type="dxa"/>
            <w:tcBorders>
              <w:top w:val="nil"/>
              <w:left w:val="nil"/>
              <w:bottom w:val="single" w:color="000000" w:sz="8" w:space="0"/>
              <w:right w:val="single" w:color="000000" w:sz="8" w:space="0"/>
            </w:tcBorders>
            <w:vAlign w:val="center"/>
          </w:tcPr>
          <w:p w14:paraId="30F98681">
            <w:pPr>
              <w:widowControl/>
              <w:jc w:val="center"/>
              <w:rPr>
                <w:rFonts w:hint="eastAsia" w:ascii="宋体" w:hAnsi="宋体" w:cs="宋体"/>
                <w:color w:val="auto"/>
                <w:kern w:val="0"/>
                <w:szCs w:val="21"/>
              </w:rPr>
            </w:pPr>
            <w:r>
              <w:rPr>
                <w:rFonts w:hint="eastAsia" w:ascii="宋体" w:hAnsi="宋体" w:cs="宋体"/>
                <w:color w:val="auto"/>
                <w:kern w:val="0"/>
                <w:szCs w:val="21"/>
              </w:rPr>
              <w:t>A020519泵</w:t>
            </w:r>
          </w:p>
        </w:tc>
        <w:tc>
          <w:tcPr>
            <w:tcW w:w="1320" w:type="dxa"/>
            <w:tcBorders>
              <w:top w:val="nil"/>
              <w:left w:val="nil"/>
              <w:bottom w:val="single" w:color="000000" w:sz="8" w:space="0"/>
              <w:right w:val="single" w:color="000000" w:sz="8" w:space="0"/>
            </w:tcBorders>
            <w:vAlign w:val="center"/>
          </w:tcPr>
          <w:p w14:paraId="6FA9C147">
            <w:pPr>
              <w:widowControl/>
              <w:jc w:val="center"/>
              <w:rPr>
                <w:rFonts w:hint="eastAsia" w:ascii="宋体" w:hAnsi="宋体" w:cs="宋体"/>
                <w:color w:val="auto"/>
                <w:kern w:val="0"/>
                <w:szCs w:val="21"/>
              </w:rPr>
            </w:pPr>
            <w:r>
              <w:rPr>
                <w:rFonts w:hint="eastAsia" w:ascii="宋体" w:hAnsi="宋体" w:cs="宋体"/>
                <w:color w:val="auto"/>
                <w:kern w:val="0"/>
                <w:szCs w:val="21"/>
              </w:rPr>
              <w:t>A02051901离心泵</w:t>
            </w:r>
          </w:p>
        </w:tc>
        <w:tc>
          <w:tcPr>
            <w:tcW w:w="1620" w:type="dxa"/>
            <w:tcBorders>
              <w:top w:val="nil"/>
              <w:left w:val="nil"/>
              <w:bottom w:val="single" w:color="000000" w:sz="8" w:space="0"/>
              <w:right w:val="single" w:color="000000" w:sz="8" w:space="0"/>
            </w:tcBorders>
            <w:vAlign w:val="center"/>
          </w:tcPr>
          <w:p w14:paraId="5E68A665">
            <w:pPr>
              <w:widowControl/>
              <w:jc w:val="center"/>
              <w:rPr>
                <w:rFonts w:hint="eastAsia" w:ascii="宋体" w:hAnsi="宋体" w:cs="宋体"/>
                <w:color w:val="auto"/>
                <w:kern w:val="0"/>
                <w:szCs w:val="21"/>
              </w:rPr>
            </w:pPr>
            <w:r>
              <w:rPr>
                <w:rFonts w:hint="eastAsia" w:ascii="宋体" w:hAnsi="宋体" w:cs="宋体"/>
                <w:color w:val="auto"/>
                <w:kern w:val="0"/>
                <w:szCs w:val="21"/>
              </w:rPr>
              <w:t>　</w:t>
            </w:r>
          </w:p>
        </w:tc>
        <w:tc>
          <w:tcPr>
            <w:tcW w:w="4540" w:type="dxa"/>
            <w:tcBorders>
              <w:top w:val="nil"/>
              <w:left w:val="nil"/>
              <w:bottom w:val="single" w:color="000000" w:sz="8" w:space="0"/>
              <w:right w:val="single" w:color="000000" w:sz="8" w:space="0"/>
            </w:tcBorders>
            <w:vAlign w:val="center"/>
          </w:tcPr>
          <w:p w14:paraId="6FC45637">
            <w:pPr>
              <w:widowControl/>
              <w:jc w:val="left"/>
              <w:rPr>
                <w:rFonts w:hint="eastAsia" w:ascii="宋体" w:hAnsi="宋体" w:cs="宋体"/>
                <w:color w:val="auto"/>
                <w:kern w:val="0"/>
                <w:szCs w:val="21"/>
              </w:rPr>
            </w:pPr>
            <w:r>
              <w:rPr>
                <w:rFonts w:hint="eastAsia" w:ascii="宋体" w:hAnsi="宋体" w:cs="宋体"/>
                <w:color w:val="auto"/>
                <w:kern w:val="0"/>
                <w:szCs w:val="21"/>
              </w:rPr>
              <w:t>《清水离心泵能效限定值及节能评价值》（GB19762）</w:t>
            </w:r>
          </w:p>
        </w:tc>
      </w:tr>
      <w:tr w14:paraId="78FCC8C8">
        <w:tblPrEx>
          <w:tblCellMar>
            <w:top w:w="0" w:type="dxa"/>
            <w:left w:w="108" w:type="dxa"/>
            <w:bottom w:w="0" w:type="dxa"/>
            <w:right w:w="108" w:type="dxa"/>
          </w:tblCellMar>
        </w:tblPrEx>
        <w:trPr>
          <w:trHeight w:val="735" w:hRule="atLeast"/>
        </w:trPr>
        <w:tc>
          <w:tcPr>
            <w:tcW w:w="660" w:type="dxa"/>
            <w:vMerge w:val="restart"/>
            <w:tcBorders>
              <w:top w:val="nil"/>
              <w:left w:val="single" w:color="000000" w:sz="8" w:space="0"/>
              <w:bottom w:val="single" w:color="000000" w:sz="8" w:space="0"/>
              <w:right w:val="single" w:color="000000" w:sz="8" w:space="0"/>
            </w:tcBorders>
            <w:vAlign w:val="center"/>
          </w:tcPr>
          <w:p w14:paraId="785A00BF">
            <w:pPr>
              <w:widowControl/>
              <w:jc w:val="center"/>
              <w:rPr>
                <w:rFonts w:hint="eastAsia" w:ascii="宋体" w:hAnsi="宋体" w:cs="宋体"/>
                <w:color w:val="auto"/>
                <w:kern w:val="0"/>
                <w:szCs w:val="21"/>
              </w:rPr>
            </w:pPr>
            <w:r>
              <w:rPr>
                <w:rFonts w:hint="eastAsia" w:ascii="宋体" w:hAnsi="宋体" w:cs="宋体"/>
                <w:color w:val="auto"/>
                <w:kern w:val="0"/>
                <w:szCs w:val="21"/>
              </w:rPr>
              <w:t>6</w:t>
            </w:r>
          </w:p>
        </w:tc>
        <w:tc>
          <w:tcPr>
            <w:tcW w:w="1080" w:type="dxa"/>
            <w:vMerge w:val="restart"/>
            <w:tcBorders>
              <w:top w:val="nil"/>
              <w:left w:val="single" w:color="000000" w:sz="8" w:space="0"/>
              <w:bottom w:val="single" w:color="000000" w:sz="8" w:space="0"/>
              <w:right w:val="single" w:color="000000" w:sz="8" w:space="0"/>
            </w:tcBorders>
            <w:vAlign w:val="center"/>
          </w:tcPr>
          <w:p w14:paraId="2FDB8FA1">
            <w:pPr>
              <w:widowControl/>
              <w:jc w:val="center"/>
              <w:rPr>
                <w:rFonts w:hint="eastAsia" w:ascii="宋体" w:hAnsi="宋体" w:cs="宋体"/>
                <w:color w:val="auto"/>
                <w:kern w:val="0"/>
                <w:szCs w:val="21"/>
              </w:rPr>
            </w:pPr>
            <w:r>
              <w:rPr>
                <w:rFonts w:hint="eastAsia" w:ascii="宋体" w:hAnsi="宋体" w:cs="宋体"/>
                <w:color w:val="auto"/>
                <w:kern w:val="0"/>
                <w:szCs w:val="21"/>
              </w:rPr>
              <w:t>A020523制冷空调设备</w:t>
            </w:r>
          </w:p>
        </w:tc>
        <w:tc>
          <w:tcPr>
            <w:tcW w:w="1320" w:type="dxa"/>
            <w:vMerge w:val="restart"/>
            <w:tcBorders>
              <w:top w:val="nil"/>
              <w:left w:val="single" w:color="000000" w:sz="8" w:space="0"/>
              <w:bottom w:val="single" w:color="000000" w:sz="8" w:space="0"/>
              <w:right w:val="single" w:color="000000" w:sz="8" w:space="0"/>
            </w:tcBorders>
            <w:vAlign w:val="center"/>
          </w:tcPr>
          <w:p w14:paraId="1521F13A">
            <w:pPr>
              <w:widowControl/>
              <w:jc w:val="center"/>
              <w:rPr>
                <w:rFonts w:hint="eastAsia" w:ascii="宋体" w:hAnsi="宋体" w:cs="宋体"/>
                <w:color w:val="auto"/>
                <w:kern w:val="0"/>
                <w:szCs w:val="21"/>
              </w:rPr>
            </w:pPr>
            <w:r>
              <w:rPr>
                <w:rFonts w:hint="eastAsia" w:ascii="宋体" w:hAnsi="宋体" w:cs="宋体"/>
                <w:color w:val="auto"/>
                <w:kern w:val="0"/>
                <w:szCs w:val="21"/>
              </w:rPr>
              <w:t>★A02052301制冷压缩机</w:t>
            </w:r>
          </w:p>
        </w:tc>
        <w:tc>
          <w:tcPr>
            <w:tcW w:w="1620" w:type="dxa"/>
            <w:tcBorders>
              <w:top w:val="nil"/>
              <w:left w:val="nil"/>
              <w:bottom w:val="single" w:color="000000" w:sz="8" w:space="0"/>
              <w:right w:val="single" w:color="000000" w:sz="8" w:space="0"/>
            </w:tcBorders>
            <w:vAlign w:val="center"/>
          </w:tcPr>
          <w:p w14:paraId="522FFA76">
            <w:pPr>
              <w:widowControl/>
              <w:jc w:val="center"/>
              <w:rPr>
                <w:rFonts w:hint="eastAsia" w:ascii="宋体" w:hAnsi="宋体" w:cs="宋体"/>
                <w:color w:val="auto"/>
                <w:kern w:val="0"/>
                <w:szCs w:val="21"/>
              </w:rPr>
            </w:pPr>
            <w:r>
              <w:rPr>
                <w:rFonts w:hint="eastAsia" w:ascii="宋体" w:hAnsi="宋体" w:cs="宋体"/>
                <w:color w:val="auto"/>
                <w:kern w:val="0"/>
                <w:szCs w:val="21"/>
              </w:rPr>
              <w:t>冷水机组</w:t>
            </w:r>
          </w:p>
        </w:tc>
        <w:tc>
          <w:tcPr>
            <w:tcW w:w="4540" w:type="dxa"/>
            <w:tcBorders>
              <w:top w:val="nil"/>
              <w:left w:val="nil"/>
              <w:bottom w:val="single" w:color="000000" w:sz="8" w:space="0"/>
              <w:right w:val="single" w:color="000000" w:sz="8" w:space="0"/>
            </w:tcBorders>
            <w:vAlign w:val="center"/>
          </w:tcPr>
          <w:p w14:paraId="15A86A25">
            <w:pPr>
              <w:widowControl/>
              <w:jc w:val="left"/>
              <w:rPr>
                <w:rFonts w:hint="eastAsia" w:ascii="宋体" w:hAnsi="宋体" w:cs="宋体"/>
                <w:color w:val="auto"/>
                <w:kern w:val="0"/>
                <w:szCs w:val="21"/>
              </w:rPr>
            </w:pPr>
            <w:r>
              <w:rPr>
                <w:rFonts w:hint="eastAsia" w:ascii="宋体" w:hAnsi="宋体" w:cs="宋体"/>
                <w:color w:val="auto"/>
                <w:kern w:val="0"/>
                <w:szCs w:val="21"/>
              </w:rPr>
              <w:t>《冷水机组能效限定值及能效等级》（GB19577），《低环境温度空气源热泵（冷水）机组能效限定值及能效等级》（GB37480）</w:t>
            </w:r>
          </w:p>
        </w:tc>
      </w:tr>
      <w:tr w14:paraId="597B76C8">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14AF9B77">
            <w:pPr>
              <w:widowControl/>
              <w:jc w:val="left"/>
              <w:rPr>
                <w:rFonts w:hint="eastAsia" w:ascii="宋体" w:hAnsi="宋体" w:cs="宋体"/>
                <w:color w:val="auto"/>
                <w:kern w:val="0"/>
                <w:szCs w:val="21"/>
              </w:rPr>
            </w:pPr>
          </w:p>
        </w:tc>
        <w:tc>
          <w:tcPr>
            <w:tcW w:w="0" w:type="auto"/>
            <w:vMerge w:val="continue"/>
            <w:tcBorders>
              <w:top w:val="nil"/>
              <w:left w:val="single" w:color="000000" w:sz="8" w:space="0"/>
              <w:bottom w:val="single" w:color="000000" w:sz="8" w:space="0"/>
              <w:right w:val="single" w:color="000000" w:sz="8" w:space="0"/>
            </w:tcBorders>
            <w:vAlign w:val="center"/>
          </w:tcPr>
          <w:p w14:paraId="2FEBF2FB">
            <w:pPr>
              <w:widowControl/>
              <w:jc w:val="left"/>
              <w:rPr>
                <w:rFonts w:hint="eastAsia" w:ascii="宋体" w:hAnsi="宋体" w:cs="宋体"/>
                <w:color w:val="auto"/>
                <w:kern w:val="0"/>
                <w:szCs w:val="21"/>
              </w:rPr>
            </w:pPr>
          </w:p>
        </w:tc>
        <w:tc>
          <w:tcPr>
            <w:tcW w:w="0" w:type="auto"/>
            <w:vMerge w:val="continue"/>
            <w:tcBorders>
              <w:top w:val="nil"/>
              <w:left w:val="single" w:color="000000" w:sz="8" w:space="0"/>
              <w:bottom w:val="single" w:color="000000" w:sz="8" w:space="0"/>
              <w:right w:val="single" w:color="000000" w:sz="8" w:space="0"/>
            </w:tcBorders>
            <w:vAlign w:val="center"/>
          </w:tcPr>
          <w:p w14:paraId="09D55D5B">
            <w:pPr>
              <w:widowControl/>
              <w:jc w:val="left"/>
              <w:rPr>
                <w:rFonts w:hint="eastAsia" w:ascii="宋体" w:hAnsi="宋体" w:cs="宋体"/>
                <w:color w:val="auto"/>
                <w:kern w:val="0"/>
                <w:szCs w:val="21"/>
              </w:rPr>
            </w:pPr>
          </w:p>
        </w:tc>
        <w:tc>
          <w:tcPr>
            <w:tcW w:w="1620" w:type="dxa"/>
            <w:tcBorders>
              <w:top w:val="nil"/>
              <w:left w:val="nil"/>
              <w:bottom w:val="single" w:color="000000" w:sz="8" w:space="0"/>
              <w:right w:val="single" w:color="000000" w:sz="8" w:space="0"/>
            </w:tcBorders>
            <w:vAlign w:val="center"/>
          </w:tcPr>
          <w:p w14:paraId="596B1B30">
            <w:pPr>
              <w:widowControl/>
              <w:jc w:val="center"/>
              <w:rPr>
                <w:rFonts w:hint="eastAsia" w:ascii="宋体" w:hAnsi="宋体" w:cs="宋体"/>
                <w:color w:val="auto"/>
                <w:kern w:val="0"/>
                <w:szCs w:val="21"/>
              </w:rPr>
            </w:pPr>
            <w:r>
              <w:rPr>
                <w:rFonts w:hint="eastAsia" w:ascii="宋体" w:hAnsi="宋体" w:cs="宋体"/>
                <w:color w:val="auto"/>
                <w:kern w:val="0"/>
                <w:szCs w:val="21"/>
              </w:rPr>
              <w:t>水源热泵机组</w:t>
            </w:r>
          </w:p>
        </w:tc>
        <w:tc>
          <w:tcPr>
            <w:tcW w:w="4540" w:type="dxa"/>
            <w:tcBorders>
              <w:top w:val="nil"/>
              <w:left w:val="nil"/>
              <w:bottom w:val="single" w:color="000000" w:sz="8" w:space="0"/>
              <w:right w:val="single" w:color="000000" w:sz="8" w:space="0"/>
            </w:tcBorders>
            <w:vAlign w:val="center"/>
          </w:tcPr>
          <w:p w14:paraId="7CFEE3F0">
            <w:pPr>
              <w:widowControl/>
              <w:jc w:val="left"/>
              <w:rPr>
                <w:rFonts w:hint="eastAsia" w:ascii="宋体" w:hAnsi="宋体" w:cs="宋体"/>
                <w:color w:val="auto"/>
                <w:kern w:val="0"/>
                <w:szCs w:val="21"/>
              </w:rPr>
            </w:pPr>
            <w:r>
              <w:rPr>
                <w:rFonts w:hint="eastAsia" w:ascii="宋体" w:hAnsi="宋体" w:cs="宋体"/>
                <w:color w:val="auto"/>
                <w:kern w:val="0"/>
                <w:szCs w:val="21"/>
              </w:rPr>
              <w:t>《水（地）源热泵机组能效限定值及能效等级》（GB30721）</w:t>
            </w:r>
          </w:p>
        </w:tc>
      </w:tr>
      <w:tr w14:paraId="6499049F">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7088B596">
            <w:pPr>
              <w:widowControl/>
              <w:jc w:val="left"/>
              <w:rPr>
                <w:rFonts w:hint="eastAsia" w:ascii="宋体" w:hAnsi="宋体" w:cs="宋体"/>
                <w:color w:val="auto"/>
                <w:kern w:val="0"/>
                <w:szCs w:val="21"/>
              </w:rPr>
            </w:pPr>
          </w:p>
        </w:tc>
        <w:tc>
          <w:tcPr>
            <w:tcW w:w="0" w:type="auto"/>
            <w:vMerge w:val="continue"/>
            <w:tcBorders>
              <w:top w:val="nil"/>
              <w:left w:val="single" w:color="000000" w:sz="8" w:space="0"/>
              <w:bottom w:val="single" w:color="000000" w:sz="8" w:space="0"/>
              <w:right w:val="single" w:color="000000" w:sz="8" w:space="0"/>
            </w:tcBorders>
            <w:vAlign w:val="center"/>
          </w:tcPr>
          <w:p w14:paraId="47AB4104">
            <w:pPr>
              <w:widowControl/>
              <w:jc w:val="left"/>
              <w:rPr>
                <w:rFonts w:hint="eastAsia" w:ascii="宋体" w:hAnsi="宋体" w:cs="宋体"/>
                <w:color w:val="auto"/>
                <w:kern w:val="0"/>
                <w:szCs w:val="21"/>
              </w:rPr>
            </w:pPr>
          </w:p>
        </w:tc>
        <w:tc>
          <w:tcPr>
            <w:tcW w:w="0" w:type="auto"/>
            <w:vMerge w:val="continue"/>
            <w:tcBorders>
              <w:top w:val="nil"/>
              <w:left w:val="single" w:color="000000" w:sz="8" w:space="0"/>
              <w:bottom w:val="single" w:color="000000" w:sz="8" w:space="0"/>
              <w:right w:val="single" w:color="000000" w:sz="8" w:space="0"/>
            </w:tcBorders>
            <w:vAlign w:val="center"/>
          </w:tcPr>
          <w:p w14:paraId="0FEA044F">
            <w:pPr>
              <w:widowControl/>
              <w:jc w:val="left"/>
              <w:rPr>
                <w:rFonts w:hint="eastAsia" w:ascii="宋体" w:hAnsi="宋体" w:cs="宋体"/>
                <w:color w:val="auto"/>
                <w:kern w:val="0"/>
                <w:szCs w:val="21"/>
              </w:rPr>
            </w:pPr>
          </w:p>
        </w:tc>
        <w:tc>
          <w:tcPr>
            <w:tcW w:w="1620" w:type="dxa"/>
            <w:tcBorders>
              <w:top w:val="nil"/>
              <w:left w:val="nil"/>
              <w:bottom w:val="single" w:color="000000" w:sz="8" w:space="0"/>
              <w:right w:val="single" w:color="000000" w:sz="8" w:space="0"/>
            </w:tcBorders>
            <w:vAlign w:val="center"/>
          </w:tcPr>
          <w:p w14:paraId="1FB3F39D">
            <w:pPr>
              <w:widowControl/>
              <w:jc w:val="center"/>
              <w:rPr>
                <w:rFonts w:hint="eastAsia" w:ascii="宋体" w:hAnsi="宋体" w:cs="宋体"/>
                <w:color w:val="auto"/>
                <w:kern w:val="0"/>
                <w:szCs w:val="21"/>
              </w:rPr>
            </w:pPr>
            <w:r>
              <w:rPr>
                <w:rFonts w:hint="eastAsia" w:ascii="宋体" w:hAnsi="宋体" w:cs="宋体"/>
                <w:color w:val="auto"/>
                <w:kern w:val="0"/>
                <w:szCs w:val="21"/>
              </w:rPr>
              <w:t>溴化锂吸收式冷水机组</w:t>
            </w:r>
          </w:p>
        </w:tc>
        <w:tc>
          <w:tcPr>
            <w:tcW w:w="4540" w:type="dxa"/>
            <w:tcBorders>
              <w:top w:val="nil"/>
              <w:left w:val="nil"/>
              <w:bottom w:val="single" w:color="000000" w:sz="8" w:space="0"/>
              <w:right w:val="single" w:color="000000" w:sz="8" w:space="0"/>
            </w:tcBorders>
            <w:vAlign w:val="center"/>
          </w:tcPr>
          <w:p w14:paraId="55958841">
            <w:pPr>
              <w:widowControl/>
              <w:jc w:val="left"/>
              <w:rPr>
                <w:rFonts w:hint="eastAsia" w:ascii="宋体" w:hAnsi="宋体" w:cs="宋体"/>
                <w:color w:val="auto"/>
                <w:kern w:val="0"/>
                <w:szCs w:val="21"/>
              </w:rPr>
            </w:pPr>
            <w:r>
              <w:rPr>
                <w:rFonts w:hint="eastAsia" w:ascii="宋体" w:hAnsi="宋体" w:cs="宋体"/>
                <w:color w:val="auto"/>
                <w:kern w:val="0"/>
                <w:szCs w:val="21"/>
              </w:rPr>
              <w:t>《溴化锂吸收式冷水机组能效限定值及能效等级》（GB29540）</w:t>
            </w:r>
          </w:p>
        </w:tc>
      </w:tr>
      <w:tr w14:paraId="222E053C">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vAlign w:val="center"/>
          </w:tcPr>
          <w:p w14:paraId="5D532DE3">
            <w:pPr>
              <w:widowControl/>
              <w:jc w:val="left"/>
              <w:rPr>
                <w:rFonts w:hint="eastAsia" w:ascii="宋体" w:hAnsi="宋体" w:cs="宋体"/>
                <w:color w:val="auto"/>
                <w:kern w:val="0"/>
                <w:szCs w:val="21"/>
              </w:rPr>
            </w:pPr>
          </w:p>
        </w:tc>
        <w:tc>
          <w:tcPr>
            <w:tcW w:w="0" w:type="auto"/>
            <w:vMerge w:val="continue"/>
            <w:tcBorders>
              <w:top w:val="nil"/>
              <w:left w:val="single" w:color="000000" w:sz="8" w:space="0"/>
              <w:bottom w:val="single" w:color="000000" w:sz="8" w:space="0"/>
              <w:right w:val="single" w:color="000000" w:sz="8" w:space="0"/>
            </w:tcBorders>
            <w:vAlign w:val="center"/>
          </w:tcPr>
          <w:p w14:paraId="5B144D68">
            <w:pPr>
              <w:widowControl/>
              <w:jc w:val="left"/>
              <w:rPr>
                <w:rFonts w:hint="eastAsia" w:ascii="宋体" w:hAnsi="宋体" w:cs="宋体"/>
                <w:color w:val="auto"/>
                <w:kern w:val="0"/>
                <w:szCs w:val="21"/>
              </w:rPr>
            </w:pPr>
          </w:p>
        </w:tc>
        <w:tc>
          <w:tcPr>
            <w:tcW w:w="1320" w:type="dxa"/>
            <w:vMerge w:val="restart"/>
            <w:tcBorders>
              <w:top w:val="nil"/>
              <w:left w:val="single" w:color="000000" w:sz="8" w:space="0"/>
              <w:bottom w:val="single" w:color="000000" w:sz="8" w:space="0"/>
              <w:right w:val="single" w:color="000000" w:sz="8" w:space="0"/>
            </w:tcBorders>
            <w:vAlign w:val="center"/>
          </w:tcPr>
          <w:p w14:paraId="34EA76DC">
            <w:pPr>
              <w:widowControl/>
              <w:jc w:val="center"/>
              <w:rPr>
                <w:rFonts w:hint="eastAsia" w:ascii="宋体" w:hAnsi="宋体" w:cs="宋体"/>
                <w:color w:val="auto"/>
                <w:kern w:val="0"/>
                <w:szCs w:val="21"/>
              </w:rPr>
            </w:pPr>
            <w:r>
              <w:rPr>
                <w:rFonts w:hint="eastAsia" w:ascii="宋体" w:hAnsi="宋体" w:cs="宋体"/>
                <w:color w:val="auto"/>
                <w:kern w:val="0"/>
                <w:szCs w:val="21"/>
              </w:rPr>
              <w:t>★A02052305空调机组</w:t>
            </w:r>
          </w:p>
        </w:tc>
        <w:tc>
          <w:tcPr>
            <w:tcW w:w="1620" w:type="dxa"/>
            <w:tcBorders>
              <w:top w:val="nil"/>
              <w:left w:val="nil"/>
              <w:bottom w:val="single" w:color="000000" w:sz="8" w:space="0"/>
              <w:right w:val="single" w:color="000000" w:sz="8" w:space="0"/>
            </w:tcBorders>
            <w:vAlign w:val="center"/>
          </w:tcPr>
          <w:p w14:paraId="21DE94DD">
            <w:pPr>
              <w:widowControl/>
              <w:jc w:val="center"/>
              <w:rPr>
                <w:rFonts w:hint="eastAsia" w:ascii="宋体" w:hAnsi="宋体" w:cs="宋体"/>
                <w:color w:val="auto"/>
                <w:kern w:val="0"/>
                <w:szCs w:val="21"/>
              </w:rPr>
            </w:pPr>
            <w:r>
              <w:rPr>
                <w:rFonts w:hint="eastAsia" w:ascii="宋体" w:hAnsi="宋体" w:cs="宋体"/>
                <w:color w:val="auto"/>
                <w:kern w:val="0"/>
                <w:szCs w:val="21"/>
              </w:rPr>
              <w:t>多联式空调（热泵）机组(制冷量&gt;14000W)</w:t>
            </w:r>
          </w:p>
        </w:tc>
        <w:tc>
          <w:tcPr>
            <w:tcW w:w="4540" w:type="dxa"/>
            <w:tcBorders>
              <w:top w:val="nil"/>
              <w:left w:val="nil"/>
              <w:bottom w:val="single" w:color="000000" w:sz="8" w:space="0"/>
              <w:right w:val="single" w:color="000000" w:sz="8" w:space="0"/>
            </w:tcBorders>
            <w:vAlign w:val="center"/>
          </w:tcPr>
          <w:p w14:paraId="7301ABF0">
            <w:pPr>
              <w:widowControl/>
              <w:jc w:val="left"/>
              <w:rPr>
                <w:rFonts w:hint="eastAsia" w:ascii="宋体" w:hAnsi="宋体" w:cs="宋体"/>
                <w:color w:val="auto"/>
                <w:kern w:val="0"/>
                <w:szCs w:val="21"/>
              </w:rPr>
            </w:pPr>
            <w:r>
              <w:rPr>
                <w:rFonts w:hint="eastAsia" w:ascii="宋体" w:hAnsi="宋体" w:cs="宋体"/>
                <w:color w:val="auto"/>
                <w:kern w:val="0"/>
                <w:szCs w:val="21"/>
              </w:rPr>
              <w:t>《多联式空调（热泵）机组能效限定值及能源效率等级》（GB21454）</w:t>
            </w:r>
          </w:p>
        </w:tc>
      </w:tr>
      <w:tr w14:paraId="3DB51A74">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vAlign w:val="center"/>
          </w:tcPr>
          <w:p w14:paraId="5A8B89C4">
            <w:pPr>
              <w:widowControl/>
              <w:jc w:val="left"/>
              <w:rPr>
                <w:rFonts w:hint="eastAsia" w:ascii="宋体" w:hAnsi="宋体" w:cs="宋体"/>
                <w:color w:val="auto"/>
                <w:kern w:val="0"/>
                <w:szCs w:val="21"/>
              </w:rPr>
            </w:pPr>
          </w:p>
        </w:tc>
        <w:tc>
          <w:tcPr>
            <w:tcW w:w="0" w:type="auto"/>
            <w:vMerge w:val="continue"/>
            <w:tcBorders>
              <w:top w:val="nil"/>
              <w:left w:val="single" w:color="000000" w:sz="8" w:space="0"/>
              <w:bottom w:val="single" w:color="000000" w:sz="8" w:space="0"/>
              <w:right w:val="single" w:color="000000" w:sz="8" w:space="0"/>
            </w:tcBorders>
            <w:vAlign w:val="center"/>
          </w:tcPr>
          <w:p w14:paraId="3630FC2B">
            <w:pPr>
              <w:widowControl/>
              <w:jc w:val="left"/>
              <w:rPr>
                <w:rFonts w:hint="eastAsia" w:ascii="宋体" w:hAnsi="宋体" w:cs="宋体"/>
                <w:color w:val="auto"/>
                <w:kern w:val="0"/>
                <w:szCs w:val="21"/>
              </w:rPr>
            </w:pPr>
          </w:p>
        </w:tc>
        <w:tc>
          <w:tcPr>
            <w:tcW w:w="0" w:type="auto"/>
            <w:vMerge w:val="continue"/>
            <w:tcBorders>
              <w:top w:val="nil"/>
              <w:left w:val="single" w:color="000000" w:sz="8" w:space="0"/>
              <w:bottom w:val="single" w:color="000000" w:sz="8" w:space="0"/>
              <w:right w:val="single" w:color="000000" w:sz="8" w:space="0"/>
            </w:tcBorders>
            <w:vAlign w:val="center"/>
          </w:tcPr>
          <w:p w14:paraId="1046E0E8">
            <w:pPr>
              <w:widowControl/>
              <w:jc w:val="left"/>
              <w:rPr>
                <w:rFonts w:hint="eastAsia" w:ascii="宋体" w:hAnsi="宋体" w:cs="宋体"/>
                <w:color w:val="auto"/>
                <w:kern w:val="0"/>
                <w:szCs w:val="21"/>
              </w:rPr>
            </w:pPr>
          </w:p>
        </w:tc>
        <w:tc>
          <w:tcPr>
            <w:tcW w:w="1620" w:type="dxa"/>
            <w:tcBorders>
              <w:top w:val="nil"/>
              <w:left w:val="nil"/>
              <w:bottom w:val="single" w:color="000000" w:sz="8" w:space="0"/>
              <w:right w:val="single" w:color="000000" w:sz="8" w:space="0"/>
            </w:tcBorders>
            <w:vAlign w:val="center"/>
          </w:tcPr>
          <w:p w14:paraId="0A2ECB3F">
            <w:pPr>
              <w:widowControl/>
              <w:jc w:val="center"/>
              <w:rPr>
                <w:rFonts w:hint="eastAsia" w:ascii="宋体" w:hAnsi="宋体" w:cs="宋体"/>
                <w:color w:val="auto"/>
                <w:kern w:val="0"/>
                <w:szCs w:val="21"/>
              </w:rPr>
            </w:pPr>
            <w:r>
              <w:rPr>
                <w:rFonts w:hint="eastAsia" w:ascii="宋体" w:hAnsi="宋体" w:cs="宋体"/>
                <w:color w:val="auto"/>
                <w:kern w:val="0"/>
                <w:szCs w:val="21"/>
              </w:rPr>
              <w:t>单元式空气调节机(制冷量&gt;14000W</w:t>
            </w:r>
          </w:p>
        </w:tc>
        <w:tc>
          <w:tcPr>
            <w:tcW w:w="4540" w:type="dxa"/>
            <w:tcBorders>
              <w:top w:val="nil"/>
              <w:left w:val="nil"/>
              <w:bottom w:val="single" w:color="000000" w:sz="8" w:space="0"/>
              <w:right w:val="single" w:color="000000" w:sz="8" w:space="0"/>
            </w:tcBorders>
            <w:vAlign w:val="center"/>
          </w:tcPr>
          <w:p w14:paraId="4037F4BF">
            <w:pPr>
              <w:widowControl/>
              <w:jc w:val="left"/>
              <w:rPr>
                <w:rFonts w:hint="eastAsia" w:ascii="宋体" w:hAnsi="宋体" w:cs="宋体"/>
                <w:color w:val="auto"/>
                <w:kern w:val="0"/>
                <w:szCs w:val="21"/>
              </w:rPr>
            </w:pPr>
            <w:r>
              <w:rPr>
                <w:rFonts w:hint="eastAsia" w:ascii="宋体" w:hAnsi="宋体" w:cs="宋体"/>
                <w:color w:val="auto"/>
                <w:kern w:val="0"/>
                <w:szCs w:val="21"/>
              </w:rPr>
              <w:t>《单元式空气调节机能效限定值及能效等级》（GB19576）《风管送风式空调机组能效限定值及能效等级》（GB37479）</w:t>
            </w:r>
          </w:p>
        </w:tc>
      </w:tr>
      <w:tr w14:paraId="65AAA715">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vAlign w:val="center"/>
          </w:tcPr>
          <w:p w14:paraId="67C4B086">
            <w:pPr>
              <w:widowControl/>
              <w:jc w:val="left"/>
              <w:rPr>
                <w:rFonts w:hint="eastAsia" w:ascii="宋体" w:hAnsi="宋体" w:cs="宋体"/>
                <w:color w:val="auto"/>
                <w:kern w:val="0"/>
                <w:szCs w:val="21"/>
              </w:rPr>
            </w:pPr>
          </w:p>
        </w:tc>
        <w:tc>
          <w:tcPr>
            <w:tcW w:w="0" w:type="auto"/>
            <w:vMerge w:val="continue"/>
            <w:tcBorders>
              <w:top w:val="nil"/>
              <w:left w:val="single" w:color="000000" w:sz="8" w:space="0"/>
              <w:bottom w:val="single" w:color="000000" w:sz="8" w:space="0"/>
              <w:right w:val="single" w:color="000000" w:sz="8" w:space="0"/>
            </w:tcBorders>
            <w:vAlign w:val="center"/>
          </w:tcPr>
          <w:p w14:paraId="7FB50374">
            <w:pPr>
              <w:widowControl/>
              <w:jc w:val="left"/>
              <w:rPr>
                <w:rFonts w:hint="eastAsia" w:ascii="宋体" w:hAnsi="宋体" w:cs="宋体"/>
                <w:color w:val="auto"/>
                <w:kern w:val="0"/>
                <w:szCs w:val="21"/>
              </w:rPr>
            </w:pPr>
          </w:p>
        </w:tc>
        <w:tc>
          <w:tcPr>
            <w:tcW w:w="1320" w:type="dxa"/>
            <w:tcBorders>
              <w:top w:val="nil"/>
              <w:left w:val="nil"/>
              <w:bottom w:val="single" w:color="000000" w:sz="8" w:space="0"/>
              <w:right w:val="single" w:color="000000" w:sz="8" w:space="0"/>
            </w:tcBorders>
            <w:vAlign w:val="center"/>
          </w:tcPr>
          <w:p w14:paraId="5E52863B">
            <w:pPr>
              <w:widowControl/>
              <w:jc w:val="center"/>
              <w:rPr>
                <w:rFonts w:hint="eastAsia" w:ascii="宋体" w:hAnsi="宋体" w:cs="宋体"/>
                <w:color w:val="auto"/>
                <w:kern w:val="0"/>
                <w:szCs w:val="21"/>
              </w:rPr>
            </w:pPr>
            <w:r>
              <w:rPr>
                <w:rFonts w:hint="eastAsia" w:ascii="宋体" w:hAnsi="宋体" w:cs="宋体"/>
                <w:color w:val="auto"/>
                <w:kern w:val="0"/>
                <w:szCs w:val="21"/>
              </w:rPr>
              <w:t>★A02052309专用制冷、空调设备</w:t>
            </w:r>
          </w:p>
        </w:tc>
        <w:tc>
          <w:tcPr>
            <w:tcW w:w="1620" w:type="dxa"/>
            <w:tcBorders>
              <w:top w:val="nil"/>
              <w:left w:val="nil"/>
              <w:bottom w:val="single" w:color="000000" w:sz="8" w:space="0"/>
              <w:right w:val="single" w:color="000000" w:sz="8" w:space="0"/>
            </w:tcBorders>
            <w:vAlign w:val="center"/>
          </w:tcPr>
          <w:p w14:paraId="1EF46079">
            <w:pPr>
              <w:widowControl/>
              <w:jc w:val="center"/>
              <w:rPr>
                <w:rFonts w:hint="eastAsia" w:ascii="宋体" w:hAnsi="宋体" w:cs="宋体"/>
                <w:color w:val="auto"/>
                <w:kern w:val="0"/>
                <w:szCs w:val="21"/>
              </w:rPr>
            </w:pPr>
            <w:r>
              <w:rPr>
                <w:rFonts w:hint="eastAsia" w:ascii="宋体" w:hAnsi="宋体" w:cs="宋体"/>
                <w:color w:val="auto"/>
                <w:kern w:val="0"/>
                <w:szCs w:val="21"/>
              </w:rPr>
              <w:t>机房空调</w:t>
            </w:r>
          </w:p>
        </w:tc>
        <w:tc>
          <w:tcPr>
            <w:tcW w:w="4540" w:type="dxa"/>
            <w:tcBorders>
              <w:top w:val="nil"/>
              <w:left w:val="nil"/>
              <w:bottom w:val="single" w:color="000000" w:sz="8" w:space="0"/>
              <w:right w:val="single" w:color="000000" w:sz="8" w:space="0"/>
            </w:tcBorders>
            <w:vAlign w:val="center"/>
          </w:tcPr>
          <w:p w14:paraId="2025D009">
            <w:pPr>
              <w:widowControl/>
              <w:jc w:val="left"/>
              <w:rPr>
                <w:rFonts w:hint="eastAsia" w:ascii="宋体" w:hAnsi="宋体" w:cs="宋体"/>
                <w:color w:val="auto"/>
                <w:kern w:val="0"/>
                <w:szCs w:val="21"/>
              </w:rPr>
            </w:pPr>
            <w:r>
              <w:rPr>
                <w:rFonts w:hint="eastAsia" w:ascii="宋体" w:hAnsi="宋体" w:cs="宋体"/>
                <w:color w:val="auto"/>
                <w:kern w:val="0"/>
                <w:szCs w:val="21"/>
              </w:rPr>
              <w:t>《单元式空气调节机能效限定值及能效等级》（GB19576）</w:t>
            </w:r>
          </w:p>
        </w:tc>
      </w:tr>
      <w:tr w14:paraId="35421C37">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vAlign w:val="center"/>
          </w:tcPr>
          <w:p w14:paraId="5ED8CB36">
            <w:pPr>
              <w:widowControl/>
              <w:jc w:val="left"/>
              <w:rPr>
                <w:rFonts w:hint="eastAsia" w:ascii="宋体" w:hAnsi="宋体" w:cs="宋体"/>
                <w:color w:val="auto"/>
                <w:kern w:val="0"/>
                <w:szCs w:val="21"/>
              </w:rPr>
            </w:pPr>
          </w:p>
        </w:tc>
        <w:tc>
          <w:tcPr>
            <w:tcW w:w="0" w:type="auto"/>
            <w:vMerge w:val="continue"/>
            <w:tcBorders>
              <w:top w:val="nil"/>
              <w:left w:val="single" w:color="000000" w:sz="8" w:space="0"/>
              <w:bottom w:val="single" w:color="000000" w:sz="8" w:space="0"/>
              <w:right w:val="single" w:color="000000" w:sz="8" w:space="0"/>
            </w:tcBorders>
            <w:vAlign w:val="center"/>
          </w:tcPr>
          <w:p w14:paraId="3DF8B6C0">
            <w:pPr>
              <w:widowControl/>
              <w:jc w:val="left"/>
              <w:rPr>
                <w:rFonts w:hint="eastAsia" w:ascii="宋体" w:hAnsi="宋体" w:cs="宋体"/>
                <w:color w:val="auto"/>
                <w:kern w:val="0"/>
                <w:szCs w:val="21"/>
              </w:rPr>
            </w:pPr>
          </w:p>
        </w:tc>
        <w:tc>
          <w:tcPr>
            <w:tcW w:w="1320" w:type="dxa"/>
            <w:tcBorders>
              <w:top w:val="nil"/>
              <w:left w:val="nil"/>
              <w:bottom w:val="single" w:color="000000" w:sz="8" w:space="0"/>
              <w:right w:val="single" w:color="000000" w:sz="8" w:space="0"/>
            </w:tcBorders>
            <w:vAlign w:val="center"/>
          </w:tcPr>
          <w:p w14:paraId="0987BF51">
            <w:pPr>
              <w:widowControl/>
              <w:jc w:val="center"/>
              <w:rPr>
                <w:rFonts w:hint="eastAsia" w:ascii="宋体" w:hAnsi="宋体" w:cs="宋体"/>
                <w:color w:val="auto"/>
                <w:kern w:val="0"/>
                <w:szCs w:val="21"/>
              </w:rPr>
            </w:pPr>
            <w:r>
              <w:rPr>
                <w:rFonts w:hint="eastAsia" w:ascii="宋体" w:hAnsi="宋体" w:cs="宋体"/>
                <w:color w:val="auto"/>
                <w:kern w:val="0"/>
                <w:szCs w:val="21"/>
              </w:rPr>
              <w:t>A02052399其他制冷空调设备</w:t>
            </w:r>
          </w:p>
        </w:tc>
        <w:tc>
          <w:tcPr>
            <w:tcW w:w="1620" w:type="dxa"/>
            <w:tcBorders>
              <w:top w:val="nil"/>
              <w:left w:val="nil"/>
              <w:bottom w:val="single" w:color="000000" w:sz="8" w:space="0"/>
              <w:right w:val="single" w:color="000000" w:sz="8" w:space="0"/>
            </w:tcBorders>
            <w:vAlign w:val="center"/>
          </w:tcPr>
          <w:p w14:paraId="37C3388E">
            <w:pPr>
              <w:widowControl/>
              <w:jc w:val="center"/>
              <w:rPr>
                <w:rFonts w:hint="eastAsia" w:ascii="宋体" w:hAnsi="宋体" w:cs="宋体"/>
                <w:color w:val="auto"/>
                <w:kern w:val="0"/>
                <w:szCs w:val="21"/>
              </w:rPr>
            </w:pPr>
            <w:r>
              <w:rPr>
                <w:rFonts w:hint="eastAsia" w:ascii="宋体" w:hAnsi="宋体" w:cs="宋体"/>
                <w:color w:val="auto"/>
                <w:kern w:val="0"/>
                <w:szCs w:val="21"/>
              </w:rPr>
              <w:t>冷却塔</w:t>
            </w:r>
          </w:p>
        </w:tc>
        <w:tc>
          <w:tcPr>
            <w:tcW w:w="4540" w:type="dxa"/>
            <w:tcBorders>
              <w:top w:val="nil"/>
              <w:left w:val="nil"/>
              <w:bottom w:val="single" w:color="000000" w:sz="8" w:space="0"/>
              <w:right w:val="single" w:color="000000" w:sz="8" w:space="0"/>
            </w:tcBorders>
            <w:vAlign w:val="center"/>
          </w:tcPr>
          <w:p w14:paraId="575D66EB">
            <w:pPr>
              <w:widowControl/>
              <w:jc w:val="left"/>
              <w:rPr>
                <w:rFonts w:hint="eastAsia" w:ascii="宋体" w:hAnsi="宋体" w:cs="宋体"/>
                <w:color w:val="auto"/>
                <w:kern w:val="0"/>
                <w:szCs w:val="21"/>
              </w:rPr>
            </w:pPr>
            <w:r>
              <w:rPr>
                <w:rFonts w:hint="eastAsia" w:ascii="宋体" w:hAnsi="宋体" w:cs="宋体"/>
                <w:color w:val="auto"/>
                <w:kern w:val="0"/>
                <w:szCs w:val="21"/>
              </w:rPr>
              <w:t>《机械通风冷却塔第1部分：中小型开式冷却塔》（GB/T7190.1）；《机械通风冷却塔第2部分：大型开式冷却塔》（GB/T7190.2）</w:t>
            </w:r>
          </w:p>
        </w:tc>
      </w:tr>
      <w:tr w14:paraId="1C73EE58">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vAlign w:val="center"/>
          </w:tcPr>
          <w:p w14:paraId="44413176">
            <w:pPr>
              <w:widowControl/>
              <w:jc w:val="center"/>
              <w:rPr>
                <w:rFonts w:hint="eastAsia" w:ascii="宋体" w:hAnsi="宋体" w:cs="宋体"/>
                <w:color w:val="auto"/>
                <w:kern w:val="0"/>
                <w:szCs w:val="21"/>
              </w:rPr>
            </w:pPr>
            <w:r>
              <w:rPr>
                <w:rFonts w:hint="eastAsia" w:ascii="宋体" w:hAnsi="宋体" w:cs="宋体"/>
                <w:color w:val="auto"/>
                <w:kern w:val="0"/>
                <w:szCs w:val="21"/>
              </w:rPr>
              <w:t>7</w:t>
            </w:r>
          </w:p>
        </w:tc>
        <w:tc>
          <w:tcPr>
            <w:tcW w:w="1080" w:type="dxa"/>
            <w:tcBorders>
              <w:top w:val="nil"/>
              <w:left w:val="nil"/>
              <w:bottom w:val="single" w:color="000000" w:sz="8" w:space="0"/>
              <w:right w:val="single" w:color="000000" w:sz="8" w:space="0"/>
            </w:tcBorders>
            <w:vAlign w:val="center"/>
          </w:tcPr>
          <w:p w14:paraId="141360A6">
            <w:pPr>
              <w:widowControl/>
              <w:jc w:val="center"/>
              <w:rPr>
                <w:rFonts w:hint="eastAsia" w:ascii="宋体" w:hAnsi="宋体" w:cs="宋体"/>
                <w:color w:val="auto"/>
                <w:kern w:val="0"/>
                <w:szCs w:val="21"/>
              </w:rPr>
            </w:pPr>
            <w:r>
              <w:rPr>
                <w:rFonts w:hint="eastAsia" w:ascii="宋体" w:hAnsi="宋体" w:cs="宋体"/>
                <w:color w:val="auto"/>
                <w:kern w:val="0"/>
                <w:szCs w:val="21"/>
              </w:rPr>
              <w:t>A020601电机</w:t>
            </w:r>
          </w:p>
        </w:tc>
        <w:tc>
          <w:tcPr>
            <w:tcW w:w="1320" w:type="dxa"/>
            <w:tcBorders>
              <w:top w:val="nil"/>
              <w:left w:val="nil"/>
              <w:bottom w:val="single" w:color="000000" w:sz="8" w:space="0"/>
              <w:right w:val="single" w:color="000000" w:sz="8" w:space="0"/>
            </w:tcBorders>
            <w:vAlign w:val="center"/>
          </w:tcPr>
          <w:p w14:paraId="466F7F8B">
            <w:pPr>
              <w:widowControl/>
              <w:jc w:val="center"/>
              <w:rPr>
                <w:rFonts w:hint="eastAsia" w:ascii="宋体" w:hAnsi="宋体" w:cs="宋体"/>
                <w:color w:val="auto"/>
                <w:kern w:val="0"/>
                <w:szCs w:val="21"/>
              </w:rPr>
            </w:pPr>
            <w:r>
              <w:rPr>
                <w:rFonts w:hint="eastAsia" w:ascii="宋体" w:hAnsi="宋体" w:cs="宋体"/>
                <w:color w:val="auto"/>
                <w:kern w:val="0"/>
                <w:szCs w:val="21"/>
              </w:rPr>
              <w:t>　</w:t>
            </w:r>
          </w:p>
        </w:tc>
        <w:tc>
          <w:tcPr>
            <w:tcW w:w="1620" w:type="dxa"/>
            <w:tcBorders>
              <w:top w:val="nil"/>
              <w:left w:val="nil"/>
              <w:bottom w:val="single" w:color="000000" w:sz="8" w:space="0"/>
              <w:right w:val="single" w:color="000000" w:sz="8" w:space="0"/>
            </w:tcBorders>
            <w:vAlign w:val="center"/>
          </w:tcPr>
          <w:p w14:paraId="3E7CDD06">
            <w:pPr>
              <w:widowControl/>
              <w:jc w:val="center"/>
              <w:rPr>
                <w:rFonts w:hint="eastAsia" w:ascii="宋体" w:hAnsi="宋体" w:cs="宋体"/>
                <w:color w:val="auto"/>
                <w:kern w:val="0"/>
                <w:szCs w:val="21"/>
              </w:rPr>
            </w:pPr>
            <w:r>
              <w:rPr>
                <w:rFonts w:hint="eastAsia" w:ascii="宋体" w:hAnsi="宋体" w:cs="宋体"/>
                <w:color w:val="auto"/>
                <w:kern w:val="0"/>
                <w:szCs w:val="21"/>
              </w:rPr>
              <w:t>　</w:t>
            </w:r>
          </w:p>
        </w:tc>
        <w:tc>
          <w:tcPr>
            <w:tcW w:w="4540" w:type="dxa"/>
            <w:tcBorders>
              <w:top w:val="nil"/>
              <w:left w:val="nil"/>
              <w:bottom w:val="single" w:color="000000" w:sz="8" w:space="0"/>
              <w:right w:val="single" w:color="000000" w:sz="8" w:space="0"/>
            </w:tcBorders>
            <w:vAlign w:val="center"/>
          </w:tcPr>
          <w:p w14:paraId="57380DBD">
            <w:pPr>
              <w:widowControl/>
              <w:jc w:val="left"/>
              <w:rPr>
                <w:rFonts w:hint="eastAsia" w:ascii="宋体" w:hAnsi="宋体" w:cs="宋体"/>
                <w:color w:val="auto"/>
                <w:kern w:val="0"/>
                <w:szCs w:val="21"/>
              </w:rPr>
            </w:pPr>
            <w:r>
              <w:rPr>
                <w:rFonts w:hint="eastAsia" w:ascii="宋体" w:hAnsi="宋体" w:cs="宋体"/>
                <w:color w:val="auto"/>
                <w:kern w:val="0"/>
                <w:szCs w:val="21"/>
              </w:rPr>
              <w:t>《中小型三相异步电动机能效限定值及能效等级》（GB18613）</w:t>
            </w:r>
          </w:p>
        </w:tc>
      </w:tr>
      <w:tr w14:paraId="14AD03F9">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vAlign w:val="center"/>
          </w:tcPr>
          <w:p w14:paraId="268B61EA">
            <w:pPr>
              <w:widowControl/>
              <w:jc w:val="center"/>
              <w:rPr>
                <w:rFonts w:hint="eastAsia" w:ascii="宋体" w:hAnsi="宋体" w:cs="宋体"/>
                <w:color w:val="auto"/>
                <w:kern w:val="0"/>
                <w:szCs w:val="21"/>
              </w:rPr>
            </w:pPr>
            <w:r>
              <w:rPr>
                <w:rFonts w:hint="eastAsia" w:ascii="宋体" w:hAnsi="宋体" w:cs="宋体"/>
                <w:color w:val="auto"/>
                <w:kern w:val="0"/>
                <w:szCs w:val="21"/>
              </w:rPr>
              <w:t>8</w:t>
            </w:r>
          </w:p>
        </w:tc>
        <w:tc>
          <w:tcPr>
            <w:tcW w:w="1080" w:type="dxa"/>
            <w:tcBorders>
              <w:top w:val="nil"/>
              <w:left w:val="nil"/>
              <w:bottom w:val="single" w:color="000000" w:sz="8" w:space="0"/>
              <w:right w:val="single" w:color="000000" w:sz="8" w:space="0"/>
            </w:tcBorders>
            <w:vAlign w:val="center"/>
          </w:tcPr>
          <w:p w14:paraId="4C380D79">
            <w:pPr>
              <w:widowControl/>
              <w:jc w:val="center"/>
              <w:rPr>
                <w:rFonts w:hint="eastAsia" w:ascii="宋体" w:hAnsi="宋体" w:cs="宋体"/>
                <w:color w:val="auto"/>
                <w:kern w:val="0"/>
                <w:szCs w:val="21"/>
              </w:rPr>
            </w:pPr>
            <w:r>
              <w:rPr>
                <w:rFonts w:hint="eastAsia" w:ascii="宋体" w:hAnsi="宋体" w:cs="宋体"/>
                <w:color w:val="auto"/>
                <w:kern w:val="0"/>
                <w:szCs w:val="21"/>
              </w:rPr>
              <w:t>A020602变压器</w:t>
            </w:r>
          </w:p>
        </w:tc>
        <w:tc>
          <w:tcPr>
            <w:tcW w:w="1320" w:type="dxa"/>
            <w:tcBorders>
              <w:top w:val="nil"/>
              <w:left w:val="nil"/>
              <w:bottom w:val="single" w:color="000000" w:sz="8" w:space="0"/>
              <w:right w:val="single" w:color="000000" w:sz="8" w:space="0"/>
            </w:tcBorders>
            <w:vAlign w:val="center"/>
          </w:tcPr>
          <w:p w14:paraId="1D69AF07">
            <w:pPr>
              <w:widowControl/>
              <w:jc w:val="center"/>
              <w:rPr>
                <w:rFonts w:hint="eastAsia" w:ascii="宋体" w:hAnsi="宋体" w:cs="宋体"/>
                <w:color w:val="auto"/>
                <w:kern w:val="0"/>
                <w:szCs w:val="21"/>
              </w:rPr>
            </w:pPr>
            <w:r>
              <w:rPr>
                <w:rFonts w:hint="eastAsia" w:ascii="宋体" w:hAnsi="宋体" w:cs="宋体"/>
                <w:color w:val="auto"/>
                <w:kern w:val="0"/>
                <w:szCs w:val="21"/>
              </w:rPr>
              <w:t>配电变压器</w:t>
            </w:r>
          </w:p>
        </w:tc>
        <w:tc>
          <w:tcPr>
            <w:tcW w:w="1620" w:type="dxa"/>
            <w:tcBorders>
              <w:top w:val="nil"/>
              <w:left w:val="nil"/>
              <w:bottom w:val="single" w:color="000000" w:sz="8" w:space="0"/>
              <w:right w:val="single" w:color="000000" w:sz="8" w:space="0"/>
            </w:tcBorders>
            <w:vAlign w:val="center"/>
          </w:tcPr>
          <w:p w14:paraId="7A6C71BC">
            <w:pPr>
              <w:widowControl/>
              <w:jc w:val="center"/>
              <w:rPr>
                <w:rFonts w:hint="eastAsia" w:ascii="宋体" w:hAnsi="宋体" w:cs="宋体"/>
                <w:color w:val="auto"/>
                <w:kern w:val="0"/>
                <w:szCs w:val="21"/>
              </w:rPr>
            </w:pPr>
            <w:r>
              <w:rPr>
                <w:rFonts w:hint="eastAsia" w:ascii="宋体" w:hAnsi="宋体" w:cs="宋体"/>
                <w:color w:val="auto"/>
                <w:kern w:val="0"/>
                <w:szCs w:val="21"/>
              </w:rPr>
              <w:t>　</w:t>
            </w:r>
          </w:p>
        </w:tc>
        <w:tc>
          <w:tcPr>
            <w:tcW w:w="4540" w:type="dxa"/>
            <w:tcBorders>
              <w:top w:val="nil"/>
              <w:left w:val="nil"/>
              <w:bottom w:val="single" w:color="000000" w:sz="8" w:space="0"/>
              <w:right w:val="single" w:color="000000" w:sz="8" w:space="0"/>
            </w:tcBorders>
            <w:vAlign w:val="center"/>
          </w:tcPr>
          <w:p w14:paraId="2D544377">
            <w:pPr>
              <w:widowControl/>
              <w:jc w:val="left"/>
              <w:rPr>
                <w:rFonts w:hint="eastAsia" w:ascii="宋体" w:hAnsi="宋体" w:cs="宋体"/>
                <w:color w:val="auto"/>
                <w:kern w:val="0"/>
                <w:szCs w:val="21"/>
              </w:rPr>
            </w:pPr>
            <w:r>
              <w:rPr>
                <w:rFonts w:hint="eastAsia" w:ascii="宋体" w:hAnsi="宋体" w:cs="宋体"/>
                <w:color w:val="auto"/>
                <w:kern w:val="0"/>
                <w:szCs w:val="21"/>
              </w:rPr>
              <w:t>《三相配电变压器能效限定值及能效等级》（GB20052）</w:t>
            </w:r>
          </w:p>
        </w:tc>
      </w:tr>
      <w:tr w14:paraId="4EBC3BAE">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vAlign w:val="center"/>
          </w:tcPr>
          <w:p w14:paraId="4C7E35D5">
            <w:pPr>
              <w:widowControl/>
              <w:jc w:val="center"/>
              <w:rPr>
                <w:rFonts w:hint="eastAsia" w:ascii="宋体" w:hAnsi="宋体" w:cs="宋体"/>
                <w:color w:val="auto"/>
                <w:kern w:val="0"/>
                <w:szCs w:val="21"/>
              </w:rPr>
            </w:pPr>
            <w:r>
              <w:rPr>
                <w:rFonts w:hint="eastAsia" w:ascii="宋体" w:hAnsi="宋体" w:cs="宋体"/>
                <w:color w:val="auto"/>
                <w:kern w:val="0"/>
                <w:szCs w:val="21"/>
              </w:rPr>
              <w:t>9</w:t>
            </w:r>
          </w:p>
        </w:tc>
        <w:tc>
          <w:tcPr>
            <w:tcW w:w="1080" w:type="dxa"/>
            <w:tcBorders>
              <w:top w:val="nil"/>
              <w:left w:val="nil"/>
              <w:bottom w:val="single" w:color="000000" w:sz="8" w:space="0"/>
              <w:right w:val="single" w:color="000000" w:sz="8" w:space="0"/>
            </w:tcBorders>
            <w:vAlign w:val="center"/>
          </w:tcPr>
          <w:p w14:paraId="20E40612">
            <w:pPr>
              <w:widowControl/>
              <w:jc w:val="center"/>
              <w:rPr>
                <w:rFonts w:hint="eastAsia" w:ascii="宋体" w:hAnsi="宋体" w:cs="宋体"/>
                <w:color w:val="auto"/>
                <w:kern w:val="0"/>
                <w:szCs w:val="21"/>
              </w:rPr>
            </w:pPr>
            <w:r>
              <w:rPr>
                <w:rFonts w:hint="eastAsia" w:ascii="宋体" w:hAnsi="宋体" w:cs="宋体"/>
                <w:color w:val="auto"/>
                <w:kern w:val="0"/>
                <w:szCs w:val="21"/>
              </w:rPr>
              <w:t>★A020609镇流器</w:t>
            </w:r>
          </w:p>
        </w:tc>
        <w:tc>
          <w:tcPr>
            <w:tcW w:w="1320" w:type="dxa"/>
            <w:tcBorders>
              <w:top w:val="nil"/>
              <w:left w:val="nil"/>
              <w:bottom w:val="single" w:color="000000" w:sz="8" w:space="0"/>
              <w:right w:val="single" w:color="000000" w:sz="8" w:space="0"/>
            </w:tcBorders>
            <w:vAlign w:val="center"/>
          </w:tcPr>
          <w:p w14:paraId="66C9A446">
            <w:pPr>
              <w:widowControl/>
              <w:jc w:val="center"/>
              <w:rPr>
                <w:rFonts w:hint="eastAsia" w:ascii="宋体" w:hAnsi="宋体" w:cs="宋体"/>
                <w:color w:val="auto"/>
                <w:kern w:val="0"/>
                <w:szCs w:val="21"/>
              </w:rPr>
            </w:pPr>
            <w:r>
              <w:rPr>
                <w:rFonts w:hint="eastAsia" w:ascii="宋体" w:hAnsi="宋体" w:cs="宋体"/>
                <w:color w:val="auto"/>
                <w:kern w:val="0"/>
                <w:szCs w:val="21"/>
              </w:rPr>
              <w:t>管型荧光灯镇流器</w:t>
            </w:r>
          </w:p>
        </w:tc>
        <w:tc>
          <w:tcPr>
            <w:tcW w:w="1620" w:type="dxa"/>
            <w:tcBorders>
              <w:top w:val="nil"/>
              <w:left w:val="nil"/>
              <w:bottom w:val="single" w:color="000000" w:sz="8" w:space="0"/>
              <w:right w:val="single" w:color="000000" w:sz="8" w:space="0"/>
            </w:tcBorders>
            <w:vAlign w:val="center"/>
          </w:tcPr>
          <w:p w14:paraId="60AFF30F">
            <w:pPr>
              <w:widowControl/>
              <w:jc w:val="center"/>
              <w:rPr>
                <w:rFonts w:hint="eastAsia" w:ascii="宋体" w:hAnsi="宋体" w:cs="宋体"/>
                <w:color w:val="auto"/>
                <w:kern w:val="0"/>
                <w:szCs w:val="21"/>
              </w:rPr>
            </w:pPr>
            <w:r>
              <w:rPr>
                <w:rFonts w:hint="eastAsia" w:ascii="宋体" w:hAnsi="宋体" w:cs="宋体"/>
                <w:color w:val="auto"/>
                <w:kern w:val="0"/>
                <w:szCs w:val="21"/>
              </w:rPr>
              <w:t>　</w:t>
            </w:r>
          </w:p>
        </w:tc>
        <w:tc>
          <w:tcPr>
            <w:tcW w:w="4540" w:type="dxa"/>
            <w:tcBorders>
              <w:top w:val="nil"/>
              <w:left w:val="nil"/>
              <w:bottom w:val="single" w:color="000000" w:sz="8" w:space="0"/>
              <w:right w:val="single" w:color="000000" w:sz="8" w:space="0"/>
            </w:tcBorders>
            <w:vAlign w:val="center"/>
          </w:tcPr>
          <w:p w14:paraId="590C7A4A">
            <w:pPr>
              <w:widowControl/>
              <w:jc w:val="left"/>
              <w:rPr>
                <w:rFonts w:hint="eastAsia" w:ascii="宋体" w:hAnsi="宋体" w:cs="宋体"/>
                <w:color w:val="auto"/>
                <w:kern w:val="0"/>
                <w:szCs w:val="21"/>
              </w:rPr>
            </w:pPr>
            <w:r>
              <w:rPr>
                <w:rFonts w:hint="eastAsia" w:ascii="宋体" w:hAnsi="宋体" w:cs="宋体"/>
                <w:color w:val="auto"/>
                <w:kern w:val="0"/>
                <w:szCs w:val="21"/>
              </w:rPr>
              <w:t>《管形荧光灯镇流器能效限定值及能效等级》（GB17896）</w:t>
            </w:r>
          </w:p>
        </w:tc>
      </w:tr>
      <w:tr w14:paraId="36EA4DCB">
        <w:tblPrEx>
          <w:tblCellMar>
            <w:top w:w="0" w:type="dxa"/>
            <w:left w:w="108" w:type="dxa"/>
            <w:bottom w:w="0" w:type="dxa"/>
            <w:right w:w="108" w:type="dxa"/>
          </w:tblCellMar>
        </w:tblPrEx>
        <w:trPr>
          <w:trHeight w:val="495" w:hRule="atLeast"/>
        </w:trPr>
        <w:tc>
          <w:tcPr>
            <w:tcW w:w="660" w:type="dxa"/>
            <w:vMerge w:val="restart"/>
            <w:tcBorders>
              <w:top w:val="nil"/>
              <w:left w:val="single" w:color="000000" w:sz="8" w:space="0"/>
              <w:bottom w:val="single" w:color="000000" w:sz="8" w:space="0"/>
              <w:right w:val="single" w:color="000000" w:sz="8" w:space="0"/>
            </w:tcBorders>
            <w:vAlign w:val="center"/>
          </w:tcPr>
          <w:p w14:paraId="264A510A">
            <w:pPr>
              <w:widowControl/>
              <w:jc w:val="center"/>
              <w:rPr>
                <w:rFonts w:hint="eastAsia" w:ascii="宋体" w:hAnsi="宋体" w:cs="宋体"/>
                <w:color w:val="auto"/>
                <w:kern w:val="0"/>
                <w:szCs w:val="21"/>
              </w:rPr>
            </w:pPr>
            <w:r>
              <w:rPr>
                <w:rFonts w:hint="eastAsia" w:ascii="宋体" w:hAnsi="宋体" w:cs="宋体"/>
                <w:color w:val="auto"/>
                <w:kern w:val="0"/>
                <w:szCs w:val="21"/>
              </w:rPr>
              <w:t>10</w:t>
            </w:r>
          </w:p>
        </w:tc>
        <w:tc>
          <w:tcPr>
            <w:tcW w:w="1080" w:type="dxa"/>
            <w:vMerge w:val="restart"/>
            <w:tcBorders>
              <w:top w:val="nil"/>
              <w:left w:val="single" w:color="000000" w:sz="8" w:space="0"/>
              <w:bottom w:val="single" w:color="000000" w:sz="8" w:space="0"/>
              <w:right w:val="single" w:color="000000" w:sz="8" w:space="0"/>
            </w:tcBorders>
            <w:vAlign w:val="center"/>
          </w:tcPr>
          <w:p w14:paraId="0C13A369">
            <w:pPr>
              <w:widowControl/>
              <w:jc w:val="center"/>
              <w:rPr>
                <w:rFonts w:hint="eastAsia" w:ascii="宋体" w:hAnsi="宋体" w:cs="宋体"/>
                <w:color w:val="auto"/>
                <w:kern w:val="0"/>
                <w:szCs w:val="21"/>
              </w:rPr>
            </w:pPr>
            <w:r>
              <w:rPr>
                <w:rFonts w:hint="eastAsia" w:ascii="宋体" w:hAnsi="宋体" w:cs="宋体"/>
                <w:color w:val="auto"/>
                <w:kern w:val="0"/>
                <w:szCs w:val="21"/>
              </w:rPr>
              <w:t>A020618生活用电器</w:t>
            </w:r>
          </w:p>
        </w:tc>
        <w:tc>
          <w:tcPr>
            <w:tcW w:w="1320" w:type="dxa"/>
            <w:tcBorders>
              <w:top w:val="nil"/>
              <w:left w:val="nil"/>
              <w:bottom w:val="single" w:color="000000" w:sz="8" w:space="0"/>
              <w:right w:val="single" w:color="000000" w:sz="8" w:space="0"/>
            </w:tcBorders>
            <w:vAlign w:val="center"/>
          </w:tcPr>
          <w:p w14:paraId="68709E27">
            <w:pPr>
              <w:widowControl/>
              <w:jc w:val="center"/>
              <w:rPr>
                <w:rFonts w:hint="eastAsia" w:ascii="宋体" w:hAnsi="宋体" w:cs="宋体"/>
                <w:color w:val="auto"/>
                <w:kern w:val="0"/>
                <w:szCs w:val="21"/>
              </w:rPr>
            </w:pPr>
            <w:r>
              <w:rPr>
                <w:rFonts w:hint="eastAsia" w:ascii="宋体" w:hAnsi="宋体" w:cs="宋体"/>
                <w:color w:val="auto"/>
                <w:kern w:val="0"/>
                <w:szCs w:val="21"/>
              </w:rPr>
              <w:t>A0206180101电冰箱</w:t>
            </w:r>
          </w:p>
        </w:tc>
        <w:tc>
          <w:tcPr>
            <w:tcW w:w="1620" w:type="dxa"/>
            <w:tcBorders>
              <w:top w:val="nil"/>
              <w:left w:val="nil"/>
              <w:bottom w:val="single" w:color="000000" w:sz="8" w:space="0"/>
              <w:right w:val="single" w:color="000000" w:sz="8" w:space="0"/>
            </w:tcBorders>
            <w:vAlign w:val="center"/>
          </w:tcPr>
          <w:p w14:paraId="4370220C">
            <w:pPr>
              <w:widowControl/>
              <w:jc w:val="center"/>
              <w:rPr>
                <w:rFonts w:hint="eastAsia" w:ascii="宋体" w:hAnsi="宋体" w:cs="宋体"/>
                <w:color w:val="auto"/>
                <w:kern w:val="0"/>
                <w:szCs w:val="21"/>
              </w:rPr>
            </w:pPr>
            <w:r>
              <w:rPr>
                <w:rFonts w:hint="eastAsia" w:ascii="宋体" w:hAnsi="宋体" w:cs="宋体"/>
                <w:color w:val="auto"/>
                <w:kern w:val="0"/>
                <w:szCs w:val="21"/>
              </w:rPr>
              <w:t>　</w:t>
            </w:r>
          </w:p>
        </w:tc>
        <w:tc>
          <w:tcPr>
            <w:tcW w:w="4540" w:type="dxa"/>
            <w:tcBorders>
              <w:top w:val="nil"/>
              <w:left w:val="nil"/>
              <w:bottom w:val="single" w:color="000000" w:sz="8" w:space="0"/>
              <w:right w:val="single" w:color="000000" w:sz="8" w:space="0"/>
            </w:tcBorders>
            <w:vAlign w:val="center"/>
          </w:tcPr>
          <w:p w14:paraId="3FD70512">
            <w:pPr>
              <w:widowControl/>
              <w:jc w:val="left"/>
              <w:rPr>
                <w:rFonts w:hint="eastAsia" w:ascii="宋体" w:hAnsi="宋体" w:cs="宋体"/>
                <w:color w:val="auto"/>
                <w:kern w:val="0"/>
                <w:szCs w:val="21"/>
              </w:rPr>
            </w:pPr>
            <w:r>
              <w:rPr>
                <w:rFonts w:hint="eastAsia" w:ascii="宋体" w:hAnsi="宋体" w:cs="宋体"/>
                <w:color w:val="auto"/>
                <w:kern w:val="0"/>
                <w:szCs w:val="21"/>
              </w:rPr>
              <w:t>《家用电冰箱耗电量限定值及能效等级》（GB 12021.2）</w:t>
            </w:r>
          </w:p>
        </w:tc>
      </w:tr>
      <w:tr w14:paraId="431DD697">
        <w:tblPrEx>
          <w:tblCellMar>
            <w:top w:w="0" w:type="dxa"/>
            <w:left w:w="108" w:type="dxa"/>
            <w:bottom w:w="0" w:type="dxa"/>
            <w:right w:w="108" w:type="dxa"/>
          </w:tblCellMar>
        </w:tblPrEx>
        <w:trPr>
          <w:trHeight w:val="975" w:hRule="atLeast"/>
        </w:trPr>
        <w:tc>
          <w:tcPr>
            <w:tcW w:w="0" w:type="auto"/>
            <w:vMerge w:val="continue"/>
            <w:tcBorders>
              <w:top w:val="nil"/>
              <w:left w:val="single" w:color="000000" w:sz="8" w:space="0"/>
              <w:bottom w:val="single" w:color="000000" w:sz="8" w:space="0"/>
              <w:right w:val="single" w:color="000000" w:sz="8" w:space="0"/>
            </w:tcBorders>
            <w:vAlign w:val="center"/>
          </w:tcPr>
          <w:p w14:paraId="55B73ECF">
            <w:pPr>
              <w:widowControl/>
              <w:jc w:val="left"/>
              <w:rPr>
                <w:rFonts w:hint="eastAsia" w:ascii="宋体" w:hAnsi="宋体" w:cs="宋体"/>
                <w:color w:val="auto"/>
                <w:kern w:val="0"/>
                <w:szCs w:val="21"/>
              </w:rPr>
            </w:pPr>
          </w:p>
        </w:tc>
        <w:tc>
          <w:tcPr>
            <w:tcW w:w="0" w:type="auto"/>
            <w:vMerge w:val="continue"/>
            <w:tcBorders>
              <w:top w:val="nil"/>
              <w:left w:val="single" w:color="000000" w:sz="8" w:space="0"/>
              <w:bottom w:val="single" w:color="000000" w:sz="8" w:space="0"/>
              <w:right w:val="single" w:color="000000" w:sz="8" w:space="0"/>
            </w:tcBorders>
            <w:vAlign w:val="center"/>
          </w:tcPr>
          <w:p w14:paraId="71F171C6">
            <w:pPr>
              <w:widowControl/>
              <w:jc w:val="left"/>
              <w:rPr>
                <w:rFonts w:hint="eastAsia" w:ascii="宋体" w:hAnsi="宋体" w:cs="宋体"/>
                <w:color w:val="auto"/>
                <w:kern w:val="0"/>
                <w:szCs w:val="21"/>
              </w:rPr>
            </w:pPr>
          </w:p>
        </w:tc>
        <w:tc>
          <w:tcPr>
            <w:tcW w:w="1320" w:type="dxa"/>
            <w:vMerge w:val="restart"/>
            <w:tcBorders>
              <w:top w:val="nil"/>
              <w:left w:val="single" w:color="000000" w:sz="8" w:space="0"/>
              <w:bottom w:val="single" w:color="000000" w:sz="8" w:space="0"/>
              <w:right w:val="single" w:color="000000" w:sz="8" w:space="0"/>
            </w:tcBorders>
            <w:vAlign w:val="center"/>
          </w:tcPr>
          <w:p w14:paraId="56A6AC51">
            <w:pPr>
              <w:widowControl/>
              <w:jc w:val="center"/>
              <w:rPr>
                <w:rFonts w:hint="eastAsia" w:ascii="宋体" w:hAnsi="宋体" w:cs="宋体"/>
                <w:color w:val="auto"/>
                <w:kern w:val="0"/>
                <w:szCs w:val="21"/>
              </w:rPr>
            </w:pPr>
            <w:r>
              <w:rPr>
                <w:rFonts w:hint="eastAsia" w:ascii="宋体" w:hAnsi="宋体" w:cs="宋体"/>
                <w:color w:val="auto"/>
                <w:kern w:val="0"/>
                <w:szCs w:val="21"/>
              </w:rPr>
              <w:t>★A0206180203空调机</w:t>
            </w:r>
          </w:p>
        </w:tc>
        <w:tc>
          <w:tcPr>
            <w:tcW w:w="1620" w:type="dxa"/>
            <w:tcBorders>
              <w:top w:val="nil"/>
              <w:left w:val="nil"/>
              <w:bottom w:val="single" w:color="000000" w:sz="8" w:space="0"/>
              <w:right w:val="single" w:color="000000" w:sz="8" w:space="0"/>
            </w:tcBorders>
            <w:vAlign w:val="center"/>
          </w:tcPr>
          <w:p w14:paraId="532D9523">
            <w:pPr>
              <w:widowControl/>
              <w:jc w:val="center"/>
              <w:rPr>
                <w:rFonts w:hint="eastAsia" w:ascii="宋体" w:hAnsi="宋体" w:cs="宋体"/>
                <w:color w:val="auto"/>
                <w:kern w:val="0"/>
                <w:szCs w:val="21"/>
              </w:rPr>
            </w:pPr>
            <w:r>
              <w:rPr>
                <w:rFonts w:hint="eastAsia" w:ascii="宋体" w:hAnsi="宋体" w:cs="宋体"/>
                <w:color w:val="auto"/>
                <w:kern w:val="0"/>
                <w:szCs w:val="21"/>
              </w:rPr>
              <w:t>房间空气调节器</w:t>
            </w:r>
          </w:p>
        </w:tc>
        <w:tc>
          <w:tcPr>
            <w:tcW w:w="4540" w:type="dxa"/>
            <w:tcBorders>
              <w:top w:val="nil"/>
              <w:left w:val="nil"/>
              <w:bottom w:val="single" w:color="000000" w:sz="8" w:space="0"/>
              <w:right w:val="single" w:color="000000" w:sz="8" w:space="0"/>
            </w:tcBorders>
            <w:vAlign w:val="center"/>
          </w:tcPr>
          <w:p w14:paraId="16BF4745">
            <w:pPr>
              <w:widowControl/>
              <w:jc w:val="left"/>
              <w:rPr>
                <w:rFonts w:hint="eastAsia" w:ascii="宋体" w:hAnsi="宋体" w:cs="宋体"/>
                <w:color w:val="auto"/>
                <w:kern w:val="0"/>
                <w:szCs w:val="21"/>
              </w:rPr>
            </w:pPr>
            <w:r>
              <w:rPr>
                <w:rFonts w:hint="eastAsia" w:ascii="宋体" w:hAnsi="宋体" w:cs="宋体"/>
                <w:color w:val="auto"/>
                <w:kern w:val="0"/>
                <w:szCs w:val="21"/>
              </w:rPr>
              <w:t>《转速可控型房间空气调节器能效限定值及能效等级》（GB21455-2013），待2019年修订发布后，按《房间空气调节器能效限定值及能效等级》（GB21455-2019实施。</w:t>
            </w:r>
          </w:p>
        </w:tc>
      </w:tr>
      <w:tr w14:paraId="679754FB">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vAlign w:val="center"/>
          </w:tcPr>
          <w:p w14:paraId="6ABE455B">
            <w:pPr>
              <w:widowControl/>
              <w:jc w:val="left"/>
              <w:rPr>
                <w:rFonts w:hint="eastAsia" w:ascii="宋体" w:hAnsi="宋体" w:cs="宋体"/>
                <w:color w:val="auto"/>
                <w:kern w:val="0"/>
                <w:szCs w:val="21"/>
              </w:rPr>
            </w:pPr>
          </w:p>
        </w:tc>
        <w:tc>
          <w:tcPr>
            <w:tcW w:w="0" w:type="auto"/>
            <w:vMerge w:val="continue"/>
            <w:tcBorders>
              <w:top w:val="nil"/>
              <w:left w:val="single" w:color="000000" w:sz="8" w:space="0"/>
              <w:bottom w:val="single" w:color="000000" w:sz="8" w:space="0"/>
              <w:right w:val="single" w:color="000000" w:sz="8" w:space="0"/>
            </w:tcBorders>
            <w:vAlign w:val="center"/>
          </w:tcPr>
          <w:p w14:paraId="2077A07B">
            <w:pPr>
              <w:widowControl/>
              <w:jc w:val="left"/>
              <w:rPr>
                <w:rFonts w:hint="eastAsia" w:ascii="宋体" w:hAnsi="宋体" w:cs="宋体"/>
                <w:color w:val="auto"/>
                <w:kern w:val="0"/>
                <w:szCs w:val="21"/>
              </w:rPr>
            </w:pPr>
          </w:p>
        </w:tc>
        <w:tc>
          <w:tcPr>
            <w:tcW w:w="0" w:type="auto"/>
            <w:vMerge w:val="continue"/>
            <w:tcBorders>
              <w:top w:val="nil"/>
              <w:left w:val="single" w:color="000000" w:sz="8" w:space="0"/>
              <w:bottom w:val="single" w:color="000000" w:sz="8" w:space="0"/>
              <w:right w:val="single" w:color="000000" w:sz="8" w:space="0"/>
            </w:tcBorders>
            <w:vAlign w:val="center"/>
          </w:tcPr>
          <w:p w14:paraId="28546228">
            <w:pPr>
              <w:widowControl/>
              <w:jc w:val="left"/>
              <w:rPr>
                <w:rFonts w:hint="eastAsia" w:ascii="宋体" w:hAnsi="宋体" w:cs="宋体"/>
                <w:color w:val="auto"/>
                <w:kern w:val="0"/>
                <w:szCs w:val="21"/>
              </w:rPr>
            </w:pPr>
          </w:p>
        </w:tc>
        <w:tc>
          <w:tcPr>
            <w:tcW w:w="1620" w:type="dxa"/>
            <w:tcBorders>
              <w:top w:val="nil"/>
              <w:left w:val="nil"/>
              <w:bottom w:val="single" w:color="000000" w:sz="8" w:space="0"/>
              <w:right w:val="single" w:color="000000" w:sz="8" w:space="0"/>
            </w:tcBorders>
            <w:vAlign w:val="center"/>
          </w:tcPr>
          <w:p w14:paraId="48465958">
            <w:pPr>
              <w:widowControl/>
              <w:jc w:val="center"/>
              <w:rPr>
                <w:rFonts w:hint="eastAsia" w:ascii="宋体" w:hAnsi="宋体" w:cs="宋体"/>
                <w:color w:val="auto"/>
                <w:kern w:val="0"/>
                <w:szCs w:val="21"/>
              </w:rPr>
            </w:pPr>
            <w:r>
              <w:rPr>
                <w:rFonts w:hint="eastAsia" w:ascii="宋体" w:hAnsi="宋体" w:cs="宋体"/>
                <w:color w:val="auto"/>
                <w:kern w:val="0"/>
                <w:szCs w:val="21"/>
              </w:rPr>
              <w:t>多联式空调（热泵）机组（制冷量≤ 14000W）</w:t>
            </w:r>
          </w:p>
        </w:tc>
        <w:tc>
          <w:tcPr>
            <w:tcW w:w="4540" w:type="dxa"/>
            <w:tcBorders>
              <w:top w:val="nil"/>
              <w:left w:val="nil"/>
              <w:bottom w:val="single" w:color="000000" w:sz="8" w:space="0"/>
              <w:right w:val="single" w:color="000000" w:sz="8" w:space="0"/>
            </w:tcBorders>
            <w:vAlign w:val="center"/>
          </w:tcPr>
          <w:p w14:paraId="4DDE6361">
            <w:pPr>
              <w:widowControl/>
              <w:jc w:val="left"/>
              <w:rPr>
                <w:rFonts w:hint="eastAsia" w:ascii="宋体" w:hAnsi="宋体" w:cs="宋体"/>
                <w:color w:val="auto"/>
                <w:kern w:val="0"/>
                <w:szCs w:val="21"/>
              </w:rPr>
            </w:pPr>
            <w:r>
              <w:rPr>
                <w:rFonts w:hint="eastAsia" w:ascii="宋体" w:hAnsi="宋体" w:cs="宋体"/>
                <w:color w:val="auto"/>
                <w:kern w:val="0"/>
                <w:szCs w:val="21"/>
              </w:rPr>
              <w:t>《多联式空调（热泵）机组能效限定值及能源效率等级》（GB21454）</w:t>
            </w:r>
          </w:p>
        </w:tc>
      </w:tr>
      <w:tr w14:paraId="4DAC09B3">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vAlign w:val="center"/>
          </w:tcPr>
          <w:p w14:paraId="33A40BBC">
            <w:pPr>
              <w:widowControl/>
              <w:jc w:val="left"/>
              <w:rPr>
                <w:rFonts w:hint="eastAsia" w:ascii="宋体" w:hAnsi="宋体" w:cs="宋体"/>
                <w:color w:val="auto"/>
                <w:kern w:val="0"/>
                <w:szCs w:val="21"/>
              </w:rPr>
            </w:pPr>
          </w:p>
        </w:tc>
        <w:tc>
          <w:tcPr>
            <w:tcW w:w="0" w:type="auto"/>
            <w:vMerge w:val="continue"/>
            <w:tcBorders>
              <w:top w:val="nil"/>
              <w:left w:val="single" w:color="000000" w:sz="8" w:space="0"/>
              <w:bottom w:val="single" w:color="000000" w:sz="8" w:space="0"/>
              <w:right w:val="single" w:color="000000" w:sz="8" w:space="0"/>
            </w:tcBorders>
            <w:vAlign w:val="center"/>
          </w:tcPr>
          <w:p w14:paraId="3762EA03">
            <w:pPr>
              <w:widowControl/>
              <w:jc w:val="left"/>
              <w:rPr>
                <w:rFonts w:hint="eastAsia" w:ascii="宋体" w:hAnsi="宋体" w:cs="宋体"/>
                <w:color w:val="auto"/>
                <w:kern w:val="0"/>
                <w:szCs w:val="21"/>
              </w:rPr>
            </w:pPr>
          </w:p>
        </w:tc>
        <w:tc>
          <w:tcPr>
            <w:tcW w:w="0" w:type="auto"/>
            <w:vMerge w:val="continue"/>
            <w:tcBorders>
              <w:top w:val="nil"/>
              <w:left w:val="single" w:color="000000" w:sz="8" w:space="0"/>
              <w:bottom w:val="single" w:color="000000" w:sz="8" w:space="0"/>
              <w:right w:val="single" w:color="000000" w:sz="8" w:space="0"/>
            </w:tcBorders>
            <w:vAlign w:val="center"/>
          </w:tcPr>
          <w:p w14:paraId="68B85033">
            <w:pPr>
              <w:widowControl/>
              <w:jc w:val="left"/>
              <w:rPr>
                <w:rFonts w:hint="eastAsia" w:ascii="宋体" w:hAnsi="宋体" w:cs="宋体"/>
                <w:color w:val="auto"/>
                <w:kern w:val="0"/>
                <w:szCs w:val="21"/>
              </w:rPr>
            </w:pPr>
          </w:p>
        </w:tc>
        <w:tc>
          <w:tcPr>
            <w:tcW w:w="1620" w:type="dxa"/>
            <w:tcBorders>
              <w:top w:val="nil"/>
              <w:left w:val="nil"/>
              <w:bottom w:val="single" w:color="000000" w:sz="8" w:space="0"/>
              <w:right w:val="single" w:color="000000" w:sz="8" w:space="0"/>
            </w:tcBorders>
            <w:vAlign w:val="center"/>
          </w:tcPr>
          <w:p w14:paraId="01E9AFF0">
            <w:pPr>
              <w:widowControl/>
              <w:jc w:val="center"/>
              <w:rPr>
                <w:rFonts w:hint="eastAsia" w:ascii="宋体" w:hAnsi="宋体" w:cs="宋体"/>
                <w:color w:val="auto"/>
                <w:kern w:val="0"/>
                <w:szCs w:val="21"/>
              </w:rPr>
            </w:pPr>
            <w:r>
              <w:rPr>
                <w:rFonts w:hint="eastAsia" w:ascii="宋体" w:hAnsi="宋体" w:cs="宋体"/>
                <w:color w:val="auto"/>
                <w:kern w:val="0"/>
                <w:szCs w:val="21"/>
              </w:rPr>
              <w:t>单元式空气调节机(制冷量≤14000W)</w:t>
            </w:r>
          </w:p>
        </w:tc>
        <w:tc>
          <w:tcPr>
            <w:tcW w:w="4540" w:type="dxa"/>
            <w:tcBorders>
              <w:top w:val="nil"/>
              <w:left w:val="nil"/>
              <w:bottom w:val="single" w:color="000000" w:sz="8" w:space="0"/>
              <w:right w:val="single" w:color="000000" w:sz="8" w:space="0"/>
            </w:tcBorders>
            <w:vAlign w:val="center"/>
          </w:tcPr>
          <w:p w14:paraId="7D0F43E1">
            <w:pPr>
              <w:widowControl/>
              <w:jc w:val="left"/>
              <w:rPr>
                <w:rFonts w:hint="eastAsia" w:ascii="宋体" w:hAnsi="宋体" w:cs="宋体"/>
                <w:color w:val="auto"/>
                <w:kern w:val="0"/>
                <w:szCs w:val="21"/>
              </w:rPr>
            </w:pPr>
            <w:r>
              <w:rPr>
                <w:rFonts w:hint="eastAsia" w:ascii="宋体" w:hAnsi="宋体" w:cs="宋体"/>
                <w:color w:val="auto"/>
                <w:kern w:val="0"/>
                <w:szCs w:val="21"/>
              </w:rPr>
              <w:t>《单元式空气调节机能效限定值及能源效率等级》（GB19576）《风管送风式空调机组能效限定值及能效等级》（GB37479）</w:t>
            </w:r>
          </w:p>
        </w:tc>
      </w:tr>
      <w:tr w14:paraId="07EEFF40">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5BFCE547">
            <w:pPr>
              <w:widowControl/>
              <w:jc w:val="left"/>
              <w:rPr>
                <w:rFonts w:hint="eastAsia" w:ascii="宋体" w:hAnsi="宋体" w:cs="宋体"/>
                <w:color w:val="auto"/>
                <w:kern w:val="0"/>
                <w:szCs w:val="21"/>
              </w:rPr>
            </w:pPr>
          </w:p>
        </w:tc>
        <w:tc>
          <w:tcPr>
            <w:tcW w:w="0" w:type="auto"/>
            <w:vMerge w:val="continue"/>
            <w:tcBorders>
              <w:top w:val="nil"/>
              <w:left w:val="single" w:color="000000" w:sz="8" w:space="0"/>
              <w:bottom w:val="single" w:color="000000" w:sz="8" w:space="0"/>
              <w:right w:val="single" w:color="000000" w:sz="8" w:space="0"/>
            </w:tcBorders>
            <w:vAlign w:val="center"/>
          </w:tcPr>
          <w:p w14:paraId="0FF4B90D">
            <w:pPr>
              <w:widowControl/>
              <w:jc w:val="left"/>
              <w:rPr>
                <w:rFonts w:hint="eastAsia" w:ascii="宋体" w:hAnsi="宋体" w:cs="宋体"/>
                <w:color w:val="auto"/>
                <w:kern w:val="0"/>
                <w:szCs w:val="21"/>
              </w:rPr>
            </w:pPr>
          </w:p>
        </w:tc>
        <w:tc>
          <w:tcPr>
            <w:tcW w:w="1320" w:type="dxa"/>
            <w:tcBorders>
              <w:top w:val="nil"/>
              <w:left w:val="nil"/>
              <w:bottom w:val="single" w:color="000000" w:sz="8" w:space="0"/>
              <w:right w:val="single" w:color="000000" w:sz="8" w:space="0"/>
            </w:tcBorders>
            <w:vAlign w:val="center"/>
          </w:tcPr>
          <w:p w14:paraId="3A6BDC8C">
            <w:pPr>
              <w:widowControl/>
              <w:jc w:val="center"/>
              <w:rPr>
                <w:rFonts w:hint="eastAsia" w:ascii="宋体" w:hAnsi="宋体" w:cs="宋体"/>
                <w:color w:val="auto"/>
                <w:kern w:val="0"/>
                <w:szCs w:val="21"/>
              </w:rPr>
            </w:pPr>
            <w:r>
              <w:rPr>
                <w:rFonts w:hint="eastAsia" w:ascii="宋体" w:hAnsi="宋体" w:cs="宋体"/>
                <w:color w:val="auto"/>
                <w:kern w:val="0"/>
                <w:szCs w:val="21"/>
              </w:rPr>
              <w:t>A0206180301洗衣机</w:t>
            </w:r>
          </w:p>
        </w:tc>
        <w:tc>
          <w:tcPr>
            <w:tcW w:w="1620" w:type="dxa"/>
            <w:tcBorders>
              <w:top w:val="nil"/>
              <w:left w:val="nil"/>
              <w:bottom w:val="single" w:color="000000" w:sz="8" w:space="0"/>
              <w:right w:val="single" w:color="000000" w:sz="8" w:space="0"/>
            </w:tcBorders>
            <w:vAlign w:val="center"/>
          </w:tcPr>
          <w:p w14:paraId="56F8C2DF">
            <w:pPr>
              <w:widowControl/>
              <w:jc w:val="center"/>
              <w:rPr>
                <w:rFonts w:hint="eastAsia" w:ascii="宋体" w:hAnsi="宋体" w:cs="宋体"/>
                <w:color w:val="auto"/>
                <w:kern w:val="0"/>
                <w:szCs w:val="21"/>
              </w:rPr>
            </w:pPr>
            <w:r>
              <w:rPr>
                <w:rFonts w:hint="eastAsia" w:ascii="宋体" w:hAnsi="宋体" w:cs="宋体"/>
                <w:color w:val="auto"/>
                <w:kern w:val="0"/>
                <w:szCs w:val="21"/>
              </w:rPr>
              <w:t>　</w:t>
            </w:r>
          </w:p>
        </w:tc>
        <w:tc>
          <w:tcPr>
            <w:tcW w:w="4540" w:type="dxa"/>
            <w:tcBorders>
              <w:top w:val="nil"/>
              <w:left w:val="nil"/>
              <w:bottom w:val="single" w:color="000000" w:sz="8" w:space="0"/>
              <w:right w:val="single" w:color="000000" w:sz="8" w:space="0"/>
            </w:tcBorders>
            <w:vAlign w:val="center"/>
          </w:tcPr>
          <w:p w14:paraId="2058C0F3">
            <w:pPr>
              <w:widowControl/>
              <w:jc w:val="left"/>
              <w:rPr>
                <w:rFonts w:hint="eastAsia" w:ascii="宋体" w:hAnsi="宋体" w:cs="宋体"/>
                <w:color w:val="auto"/>
                <w:kern w:val="0"/>
                <w:szCs w:val="21"/>
              </w:rPr>
            </w:pPr>
            <w:r>
              <w:rPr>
                <w:rFonts w:hint="eastAsia" w:ascii="宋体" w:hAnsi="宋体" w:cs="宋体"/>
                <w:color w:val="auto"/>
                <w:kern w:val="0"/>
                <w:szCs w:val="21"/>
              </w:rPr>
              <w:t>《电动洗衣机能效水效限定值及等级》（GB12021.4）</w:t>
            </w:r>
          </w:p>
        </w:tc>
      </w:tr>
      <w:tr w14:paraId="70D40535">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76C2ECF9">
            <w:pPr>
              <w:widowControl/>
              <w:jc w:val="left"/>
              <w:rPr>
                <w:rFonts w:hint="eastAsia" w:ascii="宋体" w:hAnsi="宋体" w:cs="宋体"/>
                <w:color w:val="auto"/>
                <w:kern w:val="0"/>
                <w:szCs w:val="21"/>
              </w:rPr>
            </w:pPr>
          </w:p>
        </w:tc>
        <w:tc>
          <w:tcPr>
            <w:tcW w:w="0" w:type="auto"/>
            <w:vMerge w:val="continue"/>
            <w:tcBorders>
              <w:top w:val="nil"/>
              <w:left w:val="single" w:color="000000" w:sz="8" w:space="0"/>
              <w:bottom w:val="single" w:color="000000" w:sz="8" w:space="0"/>
              <w:right w:val="single" w:color="000000" w:sz="8" w:space="0"/>
            </w:tcBorders>
            <w:vAlign w:val="center"/>
          </w:tcPr>
          <w:p w14:paraId="2F0A0B89">
            <w:pPr>
              <w:widowControl/>
              <w:jc w:val="left"/>
              <w:rPr>
                <w:rFonts w:hint="eastAsia" w:ascii="宋体" w:hAnsi="宋体" w:cs="宋体"/>
                <w:color w:val="auto"/>
                <w:kern w:val="0"/>
                <w:szCs w:val="21"/>
              </w:rPr>
            </w:pPr>
          </w:p>
        </w:tc>
        <w:tc>
          <w:tcPr>
            <w:tcW w:w="1320" w:type="dxa"/>
            <w:vMerge w:val="restart"/>
            <w:tcBorders>
              <w:top w:val="nil"/>
              <w:left w:val="single" w:color="000000" w:sz="8" w:space="0"/>
              <w:bottom w:val="single" w:color="000000" w:sz="8" w:space="0"/>
              <w:right w:val="single" w:color="000000" w:sz="8" w:space="0"/>
            </w:tcBorders>
            <w:vAlign w:val="center"/>
          </w:tcPr>
          <w:p w14:paraId="2F696302">
            <w:pPr>
              <w:widowControl/>
              <w:jc w:val="center"/>
              <w:rPr>
                <w:rFonts w:hint="eastAsia" w:ascii="宋体" w:hAnsi="宋体" w:cs="宋体"/>
                <w:color w:val="auto"/>
                <w:kern w:val="0"/>
                <w:szCs w:val="21"/>
              </w:rPr>
            </w:pPr>
            <w:r>
              <w:rPr>
                <w:rFonts w:hint="eastAsia" w:ascii="宋体" w:hAnsi="宋体" w:cs="宋体"/>
                <w:color w:val="auto"/>
                <w:kern w:val="0"/>
                <w:szCs w:val="21"/>
              </w:rPr>
              <w:t>A02061808热水器</w:t>
            </w:r>
          </w:p>
        </w:tc>
        <w:tc>
          <w:tcPr>
            <w:tcW w:w="1620" w:type="dxa"/>
            <w:tcBorders>
              <w:top w:val="nil"/>
              <w:left w:val="nil"/>
              <w:bottom w:val="single" w:color="000000" w:sz="8" w:space="0"/>
              <w:right w:val="single" w:color="000000" w:sz="8" w:space="0"/>
            </w:tcBorders>
            <w:vAlign w:val="center"/>
          </w:tcPr>
          <w:p w14:paraId="79080E34">
            <w:pPr>
              <w:widowControl/>
              <w:jc w:val="center"/>
              <w:rPr>
                <w:rFonts w:hint="eastAsia" w:ascii="宋体" w:hAnsi="宋体" w:cs="宋体"/>
                <w:color w:val="auto"/>
                <w:kern w:val="0"/>
                <w:szCs w:val="21"/>
              </w:rPr>
            </w:pPr>
            <w:r>
              <w:rPr>
                <w:rFonts w:hint="eastAsia" w:ascii="宋体" w:hAnsi="宋体" w:cs="宋体"/>
                <w:color w:val="auto"/>
                <w:kern w:val="0"/>
                <w:szCs w:val="21"/>
              </w:rPr>
              <w:t>★电热水器</w:t>
            </w:r>
          </w:p>
        </w:tc>
        <w:tc>
          <w:tcPr>
            <w:tcW w:w="4540" w:type="dxa"/>
            <w:tcBorders>
              <w:top w:val="nil"/>
              <w:left w:val="nil"/>
              <w:bottom w:val="single" w:color="000000" w:sz="8" w:space="0"/>
              <w:right w:val="single" w:color="000000" w:sz="8" w:space="0"/>
            </w:tcBorders>
            <w:vAlign w:val="center"/>
          </w:tcPr>
          <w:p w14:paraId="4515CFDC">
            <w:pPr>
              <w:widowControl/>
              <w:jc w:val="left"/>
              <w:rPr>
                <w:rFonts w:hint="eastAsia" w:ascii="宋体" w:hAnsi="宋体" w:cs="宋体"/>
                <w:color w:val="auto"/>
                <w:kern w:val="0"/>
                <w:szCs w:val="21"/>
              </w:rPr>
            </w:pPr>
            <w:r>
              <w:rPr>
                <w:rFonts w:hint="eastAsia" w:ascii="宋体" w:hAnsi="宋体" w:cs="宋体"/>
                <w:color w:val="auto"/>
                <w:kern w:val="0"/>
                <w:szCs w:val="21"/>
              </w:rPr>
              <w:t>《储水式电热水器能效限定值及能效等级》（GB21519）</w:t>
            </w:r>
          </w:p>
        </w:tc>
      </w:tr>
      <w:tr w14:paraId="34317037">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10D8BDBD">
            <w:pPr>
              <w:widowControl/>
              <w:jc w:val="left"/>
              <w:rPr>
                <w:rFonts w:hint="eastAsia" w:ascii="宋体" w:hAnsi="宋体" w:cs="宋体"/>
                <w:color w:val="auto"/>
                <w:kern w:val="0"/>
                <w:szCs w:val="21"/>
              </w:rPr>
            </w:pPr>
          </w:p>
        </w:tc>
        <w:tc>
          <w:tcPr>
            <w:tcW w:w="0" w:type="auto"/>
            <w:vMerge w:val="continue"/>
            <w:tcBorders>
              <w:top w:val="nil"/>
              <w:left w:val="single" w:color="000000" w:sz="8" w:space="0"/>
              <w:bottom w:val="single" w:color="000000" w:sz="8" w:space="0"/>
              <w:right w:val="single" w:color="000000" w:sz="8" w:space="0"/>
            </w:tcBorders>
            <w:vAlign w:val="center"/>
          </w:tcPr>
          <w:p w14:paraId="65F3BC52">
            <w:pPr>
              <w:widowControl/>
              <w:jc w:val="left"/>
              <w:rPr>
                <w:rFonts w:hint="eastAsia" w:ascii="宋体" w:hAnsi="宋体" w:cs="宋体"/>
                <w:color w:val="auto"/>
                <w:kern w:val="0"/>
                <w:szCs w:val="21"/>
              </w:rPr>
            </w:pPr>
          </w:p>
        </w:tc>
        <w:tc>
          <w:tcPr>
            <w:tcW w:w="0" w:type="auto"/>
            <w:vMerge w:val="continue"/>
            <w:tcBorders>
              <w:top w:val="nil"/>
              <w:left w:val="single" w:color="000000" w:sz="8" w:space="0"/>
              <w:bottom w:val="single" w:color="000000" w:sz="8" w:space="0"/>
              <w:right w:val="single" w:color="000000" w:sz="8" w:space="0"/>
            </w:tcBorders>
            <w:vAlign w:val="center"/>
          </w:tcPr>
          <w:p w14:paraId="528C8CA0">
            <w:pPr>
              <w:widowControl/>
              <w:jc w:val="left"/>
              <w:rPr>
                <w:rFonts w:hint="eastAsia" w:ascii="宋体" w:hAnsi="宋体" w:cs="宋体"/>
                <w:color w:val="auto"/>
                <w:kern w:val="0"/>
                <w:szCs w:val="21"/>
              </w:rPr>
            </w:pPr>
          </w:p>
        </w:tc>
        <w:tc>
          <w:tcPr>
            <w:tcW w:w="1620" w:type="dxa"/>
            <w:tcBorders>
              <w:top w:val="nil"/>
              <w:left w:val="nil"/>
              <w:bottom w:val="single" w:color="000000" w:sz="8" w:space="0"/>
              <w:right w:val="single" w:color="000000" w:sz="8" w:space="0"/>
            </w:tcBorders>
            <w:vAlign w:val="center"/>
          </w:tcPr>
          <w:p w14:paraId="74FBB31C">
            <w:pPr>
              <w:widowControl/>
              <w:jc w:val="center"/>
              <w:rPr>
                <w:rFonts w:hint="eastAsia" w:ascii="宋体" w:hAnsi="宋体" w:cs="宋体"/>
                <w:color w:val="auto"/>
                <w:kern w:val="0"/>
                <w:szCs w:val="21"/>
              </w:rPr>
            </w:pPr>
            <w:r>
              <w:rPr>
                <w:rFonts w:hint="eastAsia" w:ascii="宋体" w:hAnsi="宋体" w:cs="宋体"/>
                <w:color w:val="auto"/>
                <w:kern w:val="0"/>
                <w:szCs w:val="21"/>
              </w:rPr>
              <w:t>燃气热水器</w:t>
            </w:r>
          </w:p>
        </w:tc>
        <w:tc>
          <w:tcPr>
            <w:tcW w:w="4540" w:type="dxa"/>
            <w:tcBorders>
              <w:top w:val="nil"/>
              <w:left w:val="nil"/>
              <w:bottom w:val="single" w:color="000000" w:sz="8" w:space="0"/>
              <w:right w:val="single" w:color="000000" w:sz="8" w:space="0"/>
            </w:tcBorders>
            <w:vAlign w:val="center"/>
          </w:tcPr>
          <w:p w14:paraId="771322F8">
            <w:pPr>
              <w:widowControl/>
              <w:jc w:val="left"/>
              <w:rPr>
                <w:rFonts w:hint="eastAsia" w:ascii="宋体" w:hAnsi="宋体" w:cs="宋体"/>
                <w:color w:val="auto"/>
                <w:kern w:val="0"/>
                <w:szCs w:val="21"/>
              </w:rPr>
            </w:pPr>
            <w:r>
              <w:rPr>
                <w:rFonts w:hint="eastAsia" w:ascii="宋体" w:hAnsi="宋体" w:cs="宋体"/>
                <w:color w:val="auto"/>
                <w:kern w:val="0"/>
                <w:szCs w:val="21"/>
              </w:rPr>
              <w:t>《家用燃气快速热水器和燃气采暖热水炉能效限定值及能效等级》（GB20665）</w:t>
            </w:r>
          </w:p>
        </w:tc>
      </w:tr>
      <w:tr w14:paraId="3A4FCD2E">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67AACC03">
            <w:pPr>
              <w:widowControl/>
              <w:jc w:val="left"/>
              <w:rPr>
                <w:rFonts w:hint="eastAsia" w:ascii="宋体" w:hAnsi="宋体" w:cs="宋体"/>
                <w:color w:val="auto"/>
                <w:kern w:val="0"/>
                <w:szCs w:val="21"/>
              </w:rPr>
            </w:pPr>
          </w:p>
        </w:tc>
        <w:tc>
          <w:tcPr>
            <w:tcW w:w="0" w:type="auto"/>
            <w:vMerge w:val="continue"/>
            <w:tcBorders>
              <w:top w:val="nil"/>
              <w:left w:val="single" w:color="000000" w:sz="8" w:space="0"/>
              <w:bottom w:val="single" w:color="000000" w:sz="8" w:space="0"/>
              <w:right w:val="single" w:color="000000" w:sz="8" w:space="0"/>
            </w:tcBorders>
            <w:vAlign w:val="center"/>
          </w:tcPr>
          <w:p w14:paraId="1E618DB9">
            <w:pPr>
              <w:widowControl/>
              <w:jc w:val="left"/>
              <w:rPr>
                <w:rFonts w:hint="eastAsia" w:ascii="宋体" w:hAnsi="宋体" w:cs="宋体"/>
                <w:color w:val="auto"/>
                <w:kern w:val="0"/>
                <w:szCs w:val="21"/>
              </w:rPr>
            </w:pPr>
          </w:p>
        </w:tc>
        <w:tc>
          <w:tcPr>
            <w:tcW w:w="0" w:type="auto"/>
            <w:vMerge w:val="continue"/>
            <w:tcBorders>
              <w:top w:val="nil"/>
              <w:left w:val="single" w:color="000000" w:sz="8" w:space="0"/>
              <w:bottom w:val="single" w:color="000000" w:sz="8" w:space="0"/>
              <w:right w:val="single" w:color="000000" w:sz="8" w:space="0"/>
            </w:tcBorders>
            <w:vAlign w:val="center"/>
          </w:tcPr>
          <w:p w14:paraId="1F86A4A3">
            <w:pPr>
              <w:widowControl/>
              <w:jc w:val="left"/>
              <w:rPr>
                <w:rFonts w:hint="eastAsia" w:ascii="宋体" w:hAnsi="宋体" w:cs="宋体"/>
                <w:color w:val="auto"/>
                <w:kern w:val="0"/>
                <w:szCs w:val="21"/>
              </w:rPr>
            </w:pPr>
          </w:p>
        </w:tc>
        <w:tc>
          <w:tcPr>
            <w:tcW w:w="1620" w:type="dxa"/>
            <w:tcBorders>
              <w:top w:val="nil"/>
              <w:left w:val="nil"/>
              <w:bottom w:val="single" w:color="000000" w:sz="8" w:space="0"/>
              <w:right w:val="single" w:color="000000" w:sz="8" w:space="0"/>
            </w:tcBorders>
            <w:vAlign w:val="center"/>
          </w:tcPr>
          <w:p w14:paraId="0B66BE0F">
            <w:pPr>
              <w:widowControl/>
              <w:jc w:val="center"/>
              <w:rPr>
                <w:rFonts w:hint="eastAsia" w:ascii="宋体" w:hAnsi="宋体" w:cs="宋体"/>
                <w:color w:val="auto"/>
                <w:kern w:val="0"/>
                <w:szCs w:val="21"/>
              </w:rPr>
            </w:pPr>
            <w:r>
              <w:rPr>
                <w:rFonts w:hint="eastAsia" w:ascii="宋体" w:hAnsi="宋体" w:cs="宋体"/>
                <w:color w:val="auto"/>
                <w:kern w:val="0"/>
                <w:szCs w:val="21"/>
              </w:rPr>
              <w:t>热泵热水器</w:t>
            </w:r>
          </w:p>
        </w:tc>
        <w:tc>
          <w:tcPr>
            <w:tcW w:w="4540" w:type="dxa"/>
            <w:tcBorders>
              <w:top w:val="nil"/>
              <w:left w:val="nil"/>
              <w:bottom w:val="single" w:color="000000" w:sz="8" w:space="0"/>
              <w:right w:val="single" w:color="000000" w:sz="8" w:space="0"/>
            </w:tcBorders>
            <w:vAlign w:val="center"/>
          </w:tcPr>
          <w:p w14:paraId="7F960BCE">
            <w:pPr>
              <w:widowControl/>
              <w:jc w:val="left"/>
              <w:rPr>
                <w:rFonts w:hint="eastAsia" w:ascii="宋体" w:hAnsi="宋体" w:cs="宋体"/>
                <w:color w:val="auto"/>
                <w:kern w:val="0"/>
                <w:szCs w:val="21"/>
              </w:rPr>
            </w:pPr>
            <w:r>
              <w:rPr>
                <w:rFonts w:hint="eastAsia" w:ascii="宋体" w:hAnsi="宋体" w:cs="宋体"/>
                <w:color w:val="auto"/>
                <w:kern w:val="0"/>
                <w:szCs w:val="21"/>
              </w:rPr>
              <w:t>《热泵热水机（器）能效限定值及能效等级》（GB29541）</w:t>
            </w:r>
          </w:p>
        </w:tc>
      </w:tr>
      <w:tr w14:paraId="78C97A47">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227F348E">
            <w:pPr>
              <w:widowControl/>
              <w:jc w:val="left"/>
              <w:rPr>
                <w:rFonts w:hint="eastAsia" w:ascii="宋体" w:hAnsi="宋体" w:cs="宋体"/>
                <w:color w:val="auto"/>
                <w:kern w:val="0"/>
                <w:szCs w:val="21"/>
              </w:rPr>
            </w:pPr>
          </w:p>
        </w:tc>
        <w:tc>
          <w:tcPr>
            <w:tcW w:w="0" w:type="auto"/>
            <w:vMerge w:val="continue"/>
            <w:tcBorders>
              <w:top w:val="nil"/>
              <w:left w:val="single" w:color="000000" w:sz="8" w:space="0"/>
              <w:bottom w:val="single" w:color="000000" w:sz="8" w:space="0"/>
              <w:right w:val="single" w:color="000000" w:sz="8" w:space="0"/>
            </w:tcBorders>
            <w:vAlign w:val="center"/>
          </w:tcPr>
          <w:p w14:paraId="050FF312">
            <w:pPr>
              <w:widowControl/>
              <w:jc w:val="left"/>
              <w:rPr>
                <w:rFonts w:hint="eastAsia" w:ascii="宋体" w:hAnsi="宋体" w:cs="宋体"/>
                <w:color w:val="auto"/>
                <w:kern w:val="0"/>
                <w:szCs w:val="21"/>
              </w:rPr>
            </w:pPr>
          </w:p>
        </w:tc>
        <w:tc>
          <w:tcPr>
            <w:tcW w:w="0" w:type="auto"/>
            <w:vMerge w:val="continue"/>
            <w:tcBorders>
              <w:top w:val="nil"/>
              <w:left w:val="single" w:color="000000" w:sz="8" w:space="0"/>
              <w:bottom w:val="single" w:color="000000" w:sz="8" w:space="0"/>
              <w:right w:val="single" w:color="000000" w:sz="8" w:space="0"/>
            </w:tcBorders>
            <w:vAlign w:val="center"/>
          </w:tcPr>
          <w:p w14:paraId="4FECB7F4">
            <w:pPr>
              <w:widowControl/>
              <w:jc w:val="left"/>
              <w:rPr>
                <w:rFonts w:hint="eastAsia" w:ascii="宋体" w:hAnsi="宋体" w:cs="宋体"/>
                <w:color w:val="auto"/>
                <w:kern w:val="0"/>
                <w:szCs w:val="21"/>
              </w:rPr>
            </w:pPr>
          </w:p>
        </w:tc>
        <w:tc>
          <w:tcPr>
            <w:tcW w:w="1620" w:type="dxa"/>
            <w:tcBorders>
              <w:top w:val="nil"/>
              <w:left w:val="nil"/>
              <w:bottom w:val="single" w:color="000000" w:sz="8" w:space="0"/>
              <w:right w:val="single" w:color="000000" w:sz="8" w:space="0"/>
            </w:tcBorders>
            <w:vAlign w:val="center"/>
          </w:tcPr>
          <w:p w14:paraId="4759F13E">
            <w:pPr>
              <w:widowControl/>
              <w:jc w:val="center"/>
              <w:rPr>
                <w:rFonts w:hint="eastAsia" w:ascii="宋体" w:hAnsi="宋体" w:cs="宋体"/>
                <w:color w:val="auto"/>
                <w:kern w:val="0"/>
                <w:szCs w:val="21"/>
              </w:rPr>
            </w:pPr>
            <w:r>
              <w:rPr>
                <w:rFonts w:hint="eastAsia" w:ascii="宋体" w:hAnsi="宋体" w:cs="宋体"/>
                <w:color w:val="auto"/>
                <w:kern w:val="0"/>
                <w:szCs w:val="21"/>
              </w:rPr>
              <w:t>太阳能热水系统</w:t>
            </w:r>
          </w:p>
        </w:tc>
        <w:tc>
          <w:tcPr>
            <w:tcW w:w="4540" w:type="dxa"/>
            <w:tcBorders>
              <w:top w:val="nil"/>
              <w:left w:val="nil"/>
              <w:bottom w:val="single" w:color="000000" w:sz="8" w:space="0"/>
              <w:right w:val="single" w:color="000000" w:sz="8" w:space="0"/>
            </w:tcBorders>
            <w:vAlign w:val="center"/>
          </w:tcPr>
          <w:p w14:paraId="6088BD0D">
            <w:pPr>
              <w:widowControl/>
              <w:jc w:val="left"/>
              <w:rPr>
                <w:rFonts w:hint="eastAsia" w:ascii="宋体" w:hAnsi="宋体" w:cs="宋体"/>
                <w:color w:val="auto"/>
                <w:kern w:val="0"/>
                <w:szCs w:val="21"/>
              </w:rPr>
            </w:pPr>
            <w:r>
              <w:rPr>
                <w:rFonts w:hint="eastAsia" w:ascii="宋体" w:hAnsi="宋体" w:cs="宋体"/>
                <w:color w:val="auto"/>
                <w:kern w:val="0"/>
                <w:szCs w:val="21"/>
              </w:rPr>
              <w:t>《家用太阳能热水系统能效限定值及能效等级》（GB26969）</w:t>
            </w:r>
          </w:p>
        </w:tc>
      </w:tr>
      <w:tr w14:paraId="4B90A468">
        <w:tblPrEx>
          <w:tblCellMar>
            <w:top w:w="0" w:type="dxa"/>
            <w:left w:w="108" w:type="dxa"/>
            <w:bottom w:w="0" w:type="dxa"/>
            <w:right w:w="108" w:type="dxa"/>
          </w:tblCellMar>
        </w:tblPrEx>
        <w:trPr>
          <w:trHeight w:val="495" w:hRule="atLeast"/>
        </w:trPr>
        <w:tc>
          <w:tcPr>
            <w:tcW w:w="660" w:type="dxa"/>
            <w:vMerge w:val="restart"/>
            <w:tcBorders>
              <w:top w:val="nil"/>
              <w:left w:val="single" w:color="000000" w:sz="8" w:space="0"/>
              <w:bottom w:val="single" w:color="000000" w:sz="8" w:space="0"/>
              <w:right w:val="single" w:color="000000" w:sz="8" w:space="0"/>
            </w:tcBorders>
            <w:vAlign w:val="center"/>
          </w:tcPr>
          <w:p w14:paraId="6464FED6">
            <w:pPr>
              <w:widowControl/>
              <w:jc w:val="center"/>
              <w:rPr>
                <w:rFonts w:hint="eastAsia" w:ascii="宋体" w:hAnsi="宋体" w:cs="宋体"/>
                <w:color w:val="auto"/>
                <w:kern w:val="0"/>
                <w:szCs w:val="21"/>
              </w:rPr>
            </w:pPr>
            <w:r>
              <w:rPr>
                <w:rFonts w:hint="eastAsia" w:ascii="宋体" w:hAnsi="宋体" w:cs="宋体"/>
                <w:color w:val="auto"/>
                <w:kern w:val="0"/>
                <w:szCs w:val="21"/>
              </w:rPr>
              <w:t>11</w:t>
            </w:r>
          </w:p>
        </w:tc>
        <w:tc>
          <w:tcPr>
            <w:tcW w:w="1080" w:type="dxa"/>
            <w:vMerge w:val="restart"/>
            <w:tcBorders>
              <w:top w:val="nil"/>
              <w:left w:val="single" w:color="000000" w:sz="8" w:space="0"/>
              <w:bottom w:val="single" w:color="000000" w:sz="8" w:space="0"/>
              <w:right w:val="single" w:color="000000" w:sz="8" w:space="0"/>
            </w:tcBorders>
            <w:vAlign w:val="center"/>
          </w:tcPr>
          <w:p w14:paraId="11913A20">
            <w:pPr>
              <w:widowControl/>
              <w:jc w:val="center"/>
              <w:rPr>
                <w:rFonts w:hint="eastAsia" w:ascii="宋体" w:hAnsi="宋体" w:cs="宋体"/>
                <w:color w:val="auto"/>
                <w:kern w:val="0"/>
                <w:szCs w:val="21"/>
              </w:rPr>
            </w:pPr>
            <w:r>
              <w:rPr>
                <w:rFonts w:hint="eastAsia" w:ascii="宋体" w:hAnsi="宋体" w:cs="宋体"/>
                <w:color w:val="auto"/>
                <w:kern w:val="0"/>
                <w:szCs w:val="21"/>
              </w:rPr>
              <w:t>A020619照明设备</w:t>
            </w:r>
          </w:p>
        </w:tc>
        <w:tc>
          <w:tcPr>
            <w:tcW w:w="1320" w:type="dxa"/>
            <w:tcBorders>
              <w:top w:val="nil"/>
              <w:left w:val="nil"/>
              <w:bottom w:val="single" w:color="000000" w:sz="8" w:space="0"/>
              <w:right w:val="single" w:color="000000" w:sz="8" w:space="0"/>
            </w:tcBorders>
            <w:vAlign w:val="center"/>
          </w:tcPr>
          <w:p w14:paraId="0B6FA410">
            <w:pPr>
              <w:widowControl/>
              <w:jc w:val="center"/>
              <w:rPr>
                <w:rFonts w:hint="eastAsia" w:ascii="宋体" w:hAnsi="宋体" w:cs="宋体"/>
                <w:color w:val="auto"/>
                <w:kern w:val="0"/>
                <w:szCs w:val="21"/>
              </w:rPr>
            </w:pPr>
            <w:r>
              <w:rPr>
                <w:rFonts w:hint="eastAsia" w:ascii="宋体" w:hAnsi="宋体" w:cs="宋体"/>
                <w:color w:val="auto"/>
                <w:kern w:val="0"/>
                <w:szCs w:val="21"/>
              </w:rPr>
              <w:t>★普通照明用双端荧光灯</w:t>
            </w:r>
          </w:p>
        </w:tc>
        <w:tc>
          <w:tcPr>
            <w:tcW w:w="1620" w:type="dxa"/>
            <w:tcBorders>
              <w:top w:val="nil"/>
              <w:left w:val="nil"/>
              <w:bottom w:val="single" w:color="000000" w:sz="8" w:space="0"/>
              <w:right w:val="single" w:color="000000" w:sz="8" w:space="0"/>
            </w:tcBorders>
            <w:vAlign w:val="center"/>
          </w:tcPr>
          <w:p w14:paraId="54F5A366">
            <w:pPr>
              <w:widowControl/>
              <w:jc w:val="center"/>
              <w:rPr>
                <w:rFonts w:hint="eastAsia" w:ascii="宋体" w:hAnsi="宋体" w:cs="宋体"/>
                <w:color w:val="auto"/>
                <w:kern w:val="0"/>
                <w:szCs w:val="21"/>
              </w:rPr>
            </w:pPr>
            <w:r>
              <w:rPr>
                <w:rFonts w:hint="eastAsia" w:ascii="宋体" w:hAnsi="宋体" w:cs="宋体"/>
                <w:color w:val="auto"/>
                <w:kern w:val="0"/>
                <w:szCs w:val="21"/>
              </w:rPr>
              <w:t>　</w:t>
            </w:r>
          </w:p>
        </w:tc>
        <w:tc>
          <w:tcPr>
            <w:tcW w:w="4540" w:type="dxa"/>
            <w:tcBorders>
              <w:top w:val="nil"/>
              <w:left w:val="nil"/>
              <w:bottom w:val="single" w:color="000000" w:sz="8" w:space="0"/>
              <w:right w:val="single" w:color="000000" w:sz="8" w:space="0"/>
            </w:tcBorders>
            <w:vAlign w:val="center"/>
          </w:tcPr>
          <w:p w14:paraId="6E8A52A0">
            <w:pPr>
              <w:widowControl/>
              <w:jc w:val="left"/>
              <w:rPr>
                <w:rFonts w:hint="eastAsia" w:ascii="宋体" w:hAnsi="宋体" w:cs="宋体"/>
                <w:color w:val="auto"/>
                <w:kern w:val="0"/>
                <w:szCs w:val="21"/>
              </w:rPr>
            </w:pPr>
            <w:r>
              <w:rPr>
                <w:rFonts w:hint="eastAsia" w:ascii="宋体" w:hAnsi="宋体" w:cs="宋体"/>
                <w:color w:val="auto"/>
                <w:kern w:val="0"/>
                <w:szCs w:val="21"/>
              </w:rPr>
              <w:t>《普通照明用双端荧光灯能效限定值及能效等级》（GB19043）</w:t>
            </w:r>
          </w:p>
        </w:tc>
      </w:tr>
      <w:tr w14:paraId="13FCF58F">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0700135C">
            <w:pPr>
              <w:widowControl/>
              <w:jc w:val="left"/>
              <w:rPr>
                <w:rFonts w:hint="eastAsia" w:ascii="宋体" w:hAnsi="宋体" w:cs="宋体"/>
                <w:color w:val="auto"/>
                <w:kern w:val="0"/>
                <w:szCs w:val="21"/>
              </w:rPr>
            </w:pPr>
          </w:p>
        </w:tc>
        <w:tc>
          <w:tcPr>
            <w:tcW w:w="0" w:type="auto"/>
            <w:vMerge w:val="continue"/>
            <w:tcBorders>
              <w:top w:val="nil"/>
              <w:left w:val="single" w:color="000000" w:sz="8" w:space="0"/>
              <w:bottom w:val="single" w:color="000000" w:sz="8" w:space="0"/>
              <w:right w:val="single" w:color="000000" w:sz="8" w:space="0"/>
            </w:tcBorders>
            <w:vAlign w:val="center"/>
          </w:tcPr>
          <w:p w14:paraId="28F36147">
            <w:pPr>
              <w:widowControl/>
              <w:jc w:val="left"/>
              <w:rPr>
                <w:rFonts w:hint="eastAsia" w:ascii="宋体" w:hAnsi="宋体" w:cs="宋体"/>
                <w:color w:val="auto"/>
                <w:kern w:val="0"/>
                <w:szCs w:val="21"/>
              </w:rPr>
            </w:pPr>
          </w:p>
        </w:tc>
        <w:tc>
          <w:tcPr>
            <w:tcW w:w="1320" w:type="dxa"/>
            <w:tcBorders>
              <w:top w:val="nil"/>
              <w:left w:val="nil"/>
              <w:bottom w:val="single" w:color="000000" w:sz="8" w:space="0"/>
              <w:right w:val="single" w:color="000000" w:sz="8" w:space="0"/>
            </w:tcBorders>
            <w:vAlign w:val="center"/>
          </w:tcPr>
          <w:p w14:paraId="1BE7A4C1">
            <w:pPr>
              <w:widowControl/>
              <w:jc w:val="center"/>
              <w:rPr>
                <w:rFonts w:hint="eastAsia" w:ascii="宋体" w:hAnsi="宋体" w:cs="宋体"/>
                <w:color w:val="auto"/>
                <w:kern w:val="0"/>
                <w:szCs w:val="21"/>
              </w:rPr>
            </w:pPr>
            <w:r>
              <w:rPr>
                <w:rFonts w:hint="eastAsia" w:ascii="宋体" w:hAnsi="宋体" w:cs="宋体"/>
                <w:color w:val="auto"/>
                <w:kern w:val="0"/>
                <w:szCs w:val="21"/>
              </w:rPr>
              <w:t>LED道路/隧道照明产品</w:t>
            </w:r>
          </w:p>
        </w:tc>
        <w:tc>
          <w:tcPr>
            <w:tcW w:w="1620" w:type="dxa"/>
            <w:tcBorders>
              <w:top w:val="nil"/>
              <w:left w:val="nil"/>
              <w:bottom w:val="single" w:color="000000" w:sz="8" w:space="0"/>
              <w:right w:val="single" w:color="000000" w:sz="8" w:space="0"/>
            </w:tcBorders>
            <w:vAlign w:val="center"/>
          </w:tcPr>
          <w:p w14:paraId="20A8504A">
            <w:pPr>
              <w:widowControl/>
              <w:jc w:val="center"/>
              <w:rPr>
                <w:rFonts w:hint="eastAsia" w:ascii="宋体" w:hAnsi="宋体" w:cs="宋体"/>
                <w:color w:val="auto"/>
                <w:kern w:val="0"/>
                <w:szCs w:val="21"/>
              </w:rPr>
            </w:pPr>
            <w:r>
              <w:rPr>
                <w:rFonts w:hint="eastAsia" w:ascii="宋体" w:hAnsi="宋体" w:cs="宋体"/>
                <w:color w:val="auto"/>
                <w:kern w:val="0"/>
                <w:szCs w:val="21"/>
              </w:rPr>
              <w:t>　</w:t>
            </w:r>
          </w:p>
        </w:tc>
        <w:tc>
          <w:tcPr>
            <w:tcW w:w="4540" w:type="dxa"/>
            <w:tcBorders>
              <w:top w:val="nil"/>
              <w:left w:val="nil"/>
              <w:bottom w:val="single" w:color="000000" w:sz="8" w:space="0"/>
              <w:right w:val="single" w:color="000000" w:sz="8" w:space="0"/>
            </w:tcBorders>
            <w:vAlign w:val="center"/>
          </w:tcPr>
          <w:p w14:paraId="741CE7FE">
            <w:pPr>
              <w:widowControl/>
              <w:jc w:val="left"/>
              <w:rPr>
                <w:rFonts w:hint="eastAsia" w:ascii="宋体" w:hAnsi="宋体" w:cs="宋体"/>
                <w:color w:val="auto"/>
                <w:kern w:val="0"/>
                <w:szCs w:val="21"/>
              </w:rPr>
            </w:pPr>
            <w:r>
              <w:rPr>
                <w:rFonts w:hint="eastAsia" w:ascii="宋体" w:hAnsi="宋体" w:cs="宋体"/>
                <w:color w:val="auto"/>
                <w:kern w:val="0"/>
                <w:szCs w:val="21"/>
              </w:rPr>
              <w:t>《道路和隧道照明用LED灯具能效限定值及能效等级》（GB37478）</w:t>
            </w:r>
          </w:p>
        </w:tc>
      </w:tr>
      <w:tr w14:paraId="0ED56AF6">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6A653335">
            <w:pPr>
              <w:widowControl/>
              <w:jc w:val="left"/>
              <w:rPr>
                <w:rFonts w:hint="eastAsia" w:ascii="宋体" w:hAnsi="宋体" w:cs="宋体"/>
                <w:color w:val="auto"/>
                <w:kern w:val="0"/>
                <w:szCs w:val="21"/>
              </w:rPr>
            </w:pPr>
          </w:p>
        </w:tc>
        <w:tc>
          <w:tcPr>
            <w:tcW w:w="0" w:type="auto"/>
            <w:vMerge w:val="continue"/>
            <w:tcBorders>
              <w:top w:val="nil"/>
              <w:left w:val="single" w:color="000000" w:sz="8" w:space="0"/>
              <w:bottom w:val="single" w:color="000000" w:sz="8" w:space="0"/>
              <w:right w:val="single" w:color="000000" w:sz="8" w:space="0"/>
            </w:tcBorders>
            <w:vAlign w:val="center"/>
          </w:tcPr>
          <w:p w14:paraId="476A644D">
            <w:pPr>
              <w:widowControl/>
              <w:jc w:val="left"/>
              <w:rPr>
                <w:rFonts w:hint="eastAsia" w:ascii="宋体" w:hAnsi="宋体" w:cs="宋体"/>
                <w:color w:val="auto"/>
                <w:kern w:val="0"/>
                <w:szCs w:val="21"/>
              </w:rPr>
            </w:pPr>
          </w:p>
        </w:tc>
        <w:tc>
          <w:tcPr>
            <w:tcW w:w="1320" w:type="dxa"/>
            <w:tcBorders>
              <w:top w:val="nil"/>
              <w:left w:val="nil"/>
              <w:bottom w:val="single" w:color="000000" w:sz="8" w:space="0"/>
              <w:right w:val="single" w:color="000000" w:sz="8" w:space="0"/>
            </w:tcBorders>
            <w:vAlign w:val="center"/>
          </w:tcPr>
          <w:p w14:paraId="5796B4F7">
            <w:pPr>
              <w:widowControl/>
              <w:jc w:val="center"/>
              <w:rPr>
                <w:rFonts w:hint="eastAsia" w:ascii="宋体" w:hAnsi="宋体" w:cs="宋体"/>
                <w:color w:val="auto"/>
                <w:kern w:val="0"/>
                <w:szCs w:val="21"/>
              </w:rPr>
            </w:pPr>
            <w:r>
              <w:rPr>
                <w:rFonts w:hint="eastAsia" w:ascii="宋体" w:hAnsi="宋体" w:cs="宋体"/>
                <w:color w:val="auto"/>
                <w:kern w:val="0"/>
                <w:szCs w:val="21"/>
              </w:rPr>
              <w:t>LED筒灯</w:t>
            </w:r>
          </w:p>
        </w:tc>
        <w:tc>
          <w:tcPr>
            <w:tcW w:w="1620" w:type="dxa"/>
            <w:tcBorders>
              <w:top w:val="nil"/>
              <w:left w:val="nil"/>
              <w:bottom w:val="single" w:color="000000" w:sz="8" w:space="0"/>
              <w:right w:val="single" w:color="000000" w:sz="8" w:space="0"/>
            </w:tcBorders>
            <w:vAlign w:val="center"/>
          </w:tcPr>
          <w:p w14:paraId="4BA93D26">
            <w:pPr>
              <w:widowControl/>
              <w:jc w:val="center"/>
              <w:rPr>
                <w:rFonts w:hint="eastAsia" w:ascii="宋体" w:hAnsi="宋体" w:cs="宋体"/>
                <w:color w:val="auto"/>
                <w:kern w:val="0"/>
                <w:szCs w:val="21"/>
              </w:rPr>
            </w:pPr>
            <w:r>
              <w:rPr>
                <w:rFonts w:hint="eastAsia" w:ascii="宋体" w:hAnsi="宋体" w:cs="宋体"/>
                <w:color w:val="auto"/>
                <w:kern w:val="0"/>
                <w:szCs w:val="21"/>
              </w:rPr>
              <w:t>　</w:t>
            </w:r>
          </w:p>
        </w:tc>
        <w:tc>
          <w:tcPr>
            <w:tcW w:w="4540" w:type="dxa"/>
            <w:tcBorders>
              <w:top w:val="nil"/>
              <w:left w:val="nil"/>
              <w:bottom w:val="single" w:color="000000" w:sz="8" w:space="0"/>
              <w:right w:val="single" w:color="000000" w:sz="8" w:space="0"/>
            </w:tcBorders>
            <w:vAlign w:val="center"/>
          </w:tcPr>
          <w:p w14:paraId="369BB758">
            <w:pPr>
              <w:widowControl/>
              <w:jc w:val="left"/>
              <w:rPr>
                <w:rFonts w:hint="eastAsia" w:ascii="宋体" w:hAnsi="宋体" w:cs="宋体"/>
                <w:color w:val="auto"/>
                <w:kern w:val="0"/>
                <w:szCs w:val="21"/>
              </w:rPr>
            </w:pPr>
            <w:r>
              <w:rPr>
                <w:rFonts w:hint="eastAsia" w:ascii="宋体" w:hAnsi="宋体" w:cs="宋体"/>
                <w:color w:val="auto"/>
                <w:kern w:val="0"/>
                <w:szCs w:val="21"/>
              </w:rPr>
              <w:t>《室内照明用LED产品能效限定值及能效等级》（GB30255）</w:t>
            </w:r>
          </w:p>
        </w:tc>
      </w:tr>
      <w:tr w14:paraId="2F293B2D">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vAlign w:val="center"/>
          </w:tcPr>
          <w:p w14:paraId="2C75177D">
            <w:pPr>
              <w:widowControl/>
              <w:jc w:val="left"/>
              <w:rPr>
                <w:rFonts w:hint="eastAsia" w:ascii="宋体" w:hAnsi="宋体" w:cs="宋体"/>
                <w:color w:val="auto"/>
                <w:kern w:val="0"/>
                <w:szCs w:val="21"/>
              </w:rPr>
            </w:pPr>
          </w:p>
        </w:tc>
        <w:tc>
          <w:tcPr>
            <w:tcW w:w="0" w:type="auto"/>
            <w:vMerge w:val="continue"/>
            <w:tcBorders>
              <w:top w:val="nil"/>
              <w:left w:val="single" w:color="000000" w:sz="8" w:space="0"/>
              <w:bottom w:val="single" w:color="000000" w:sz="8" w:space="0"/>
              <w:right w:val="single" w:color="000000" w:sz="8" w:space="0"/>
            </w:tcBorders>
            <w:vAlign w:val="center"/>
          </w:tcPr>
          <w:p w14:paraId="2312F220">
            <w:pPr>
              <w:widowControl/>
              <w:jc w:val="left"/>
              <w:rPr>
                <w:rFonts w:hint="eastAsia" w:ascii="宋体" w:hAnsi="宋体" w:cs="宋体"/>
                <w:color w:val="auto"/>
                <w:kern w:val="0"/>
                <w:szCs w:val="21"/>
              </w:rPr>
            </w:pPr>
          </w:p>
        </w:tc>
        <w:tc>
          <w:tcPr>
            <w:tcW w:w="1320" w:type="dxa"/>
            <w:tcBorders>
              <w:top w:val="nil"/>
              <w:left w:val="nil"/>
              <w:bottom w:val="single" w:color="000000" w:sz="8" w:space="0"/>
              <w:right w:val="single" w:color="000000" w:sz="8" w:space="0"/>
            </w:tcBorders>
            <w:vAlign w:val="center"/>
          </w:tcPr>
          <w:p w14:paraId="28DF75B1">
            <w:pPr>
              <w:widowControl/>
              <w:jc w:val="center"/>
              <w:rPr>
                <w:rFonts w:hint="eastAsia" w:ascii="宋体" w:hAnsi="宋体" w:cs="宋体"/>
                <w:color w:val="auto"/>
                <w:kern w:val="0"/>
                <w:szCs w:val="21"/>
              </w:rPr>
            </w:pPr>
            <w:r>
              <w:rPr>
                <w:rFonts w:hint="eastAsia" w:ascii="宋体" w:hAnsi="宋体" w:cs="宋体"/>
                <w:color w:val="auto"/>
                <w:kern w:val="0"/>
                <w:szCs w:val="21"/>
              </w:rPr>
              <w:t>普通照明用非定向自镇流LED灯</w:t>
            </w:r>
          </w:p>
        </w:tc>
        <w:tc>
          <w:tcPr>
            <w:tcW w:w="1620" w:type="dxa"/>
            <w:tcBorders>
              <w:top w:val="nil"/>
              <w:left w:val="nil"/>
              <w:bottom w:val="single" w:color="000000" w:sz="8" w:space="0"/>
              <w:right w:val="single" w:color="000000" w:sz="8" w:space="0"/>
            </w:tcBorders>
            <w:vAlign w:val="center"/>
          </w:tcPr>
          <w:p w14:paraId="1FB2C665">
            <w:pPr>
              <w:widowControl/>
              <w:jc w:val="center"/>
              <w:rPr>
                <w:rFonts w:hint="eastAsia" w:ascii="宋体" w:hAnsi="宋体" w:cs="宋体"/>
                <w:color w:val="auto"/>
                <w:kern w:val="0"/>
                <w:szCs w:val="21"/>
              </w:rPr>
            </w:pPr>
            <w:r>
              <w:rPr>
                <w:rFonts w:hint="eastAsia" w:ascii="宋体" w:hAnsi="宋体" w:cs="宋体"/>
                <w:color w:val="auto"/>
                <w:kern w:val="0"/>
                <w:szCs w:val="21"/>
              </w:rPr>
              <w:t>　</w:t>
            </w:r>
          </w:p>
        </w:tc>
        <w:tc>
          <w:tcPr>
            <w:tcW w:w="4540" w:type="dxa"/>
            <w:tcBorders>
              <w:top w:val="nil"/>
              <w:left w:val="nil"/>
              <w:bottom w:val="single" w:color="000000" w:sz="8" w:space="0"/>
              <w:right w:val="single" w:color="000000" w:sz="8" w:space="0"/>
            </w:tcBorders>
            <w:vAlign w:val="center"/>
          </w:tcPr>
          <w:p w14:paraId="2871C1EC">
            <w:pPr>
              <w:widowControl/>
              <w:jc w:val="left"/>
              <w:rPr>
                <w:rFonts w:hint="eastAsia" w:ascii="宋体" w:hAnsi="宋体" w:cs="宋体"/>
                <w:color w:val="auto"/>
                <w:kern w:val="0"/>
                <w:szCs w:val="21"/>
              </w:rPr>
            </w:pPr>
            <w:r>
              <w:rPr>
                <w:rFonts w:hint="eastAsia" w:ascii="宋体" w:hAnsi="宋体" w:cs="宋体"/>
                <w:color w:val="auto"/>
                <w:kern w:val="0"/>
                <w:szCs w:val="21"/>
              </w:rPr>
              <w:t>《室内照明用LED产品能效限定值及能效等级》（GB30255）</w:t>
            </w:r>
          </w:p>
        </w:tc>
      </w:tr>
      <w:tr w14:paraId="7378463D">
        <w:tblPrEx>
          <w:tblCellMar>
            <w:top w:w="0" w:type="dxa"/>
            <w:left w:w="108" w:type="dxa"/>
            <w:bottom w:w="0" w:type="dxa"/>
            <w:right w:w="108" w:type="dxa"/>
          </w:tblCellMar>
        </w:tblPrEx>
        <w:trPr>
          <w:trHeight w:val="735" w:hRule="atLeast"/>
        </w:trPr>
        <w:tc>
          <w:tcPr>
            <w:tcW w:w="660" w:type="dxa"/>
            <w:tcBorders>
              <w:top w:val="nil"/>
              <w:left w:val="single" w:color="000000" w:sz="8" w:space="0"/>
              <w:bottom w:val="single" w:color="000000" w:sz="8" w:space="0"/>
              <w:right w:val="single" w:color="000000" w:sz="8" w:space="0"/>
            </w:tcBorders>
            <w:vAlign w:val="center"/>
          </w:tcPr>
          <w:p w14:paraId="5BCFE8EA">
            <w:pPr>
              <w:widowControl/>
              <w:jc w:val="center"/>
              <w:rPr>
                <w:rFonts w:hint="eastAsia" w:ascii="宋体" w:hAnsi="宋体" w:cs="宋体"/>
                <w:color w:val="auto"/>
                <w:kern w:val="0"/>
                <w:szCs w:val="21"/>
              </w:rPr>
            </w:pPr>
            <w:r>
              <w:rPr>
                <w:rFonts w:hint="eastAsia" w:ascii="宋体" w:hAnsi="宋体" w:cs="宋体"/>
                <w:color w:val="auto"/>
                <w:kern w:val="0"/>
                <w:szCs w:val="21"/>
              </w:rPr>
              <w:t>12</w:t>
            </w:r>
          </w:p>
        </w:tc>
        <w:tc>
          <w:tcPr>
            <w:tcW w:w="1080" w:type="dxa"/>
            <w:tcBorders>
              <w:top w:val="nil"/>
              <w:left w:val="nil"/>
              <w:bottom w:val="single" w:color="000000" w:sz="8" w:space="0"/>
              <w:right w:val="single" w:color="000000" w:sz="8" w:space="0"/>
            </w:tcBorders>
            <w:vAlign w:val="center"/>
          </w:tcPr>
          <w:p w14:paraId="5227425B">
            <w:pPr>
              <w:widowControl/>
              <w:jc w:val="center"/>
              <w:rPr>
                <w:rFonts w:hint="eastAsia" w:ascii="宋体" w:hAnsi="宋体" w:cs="宋体"/>
                <w:color w:val="auto"/>
                <w:kern w:val="0"/>
                <w:szCs w:val="21"/>
              </w:rPr>
            </w:pPr>
            <w:r>
              <w:rPr>
                <w:rFonts w:hint="eastAsia" w:ascii="宋体" w:hAnsi="宋体" w:cs="宋体"/>
                <w:color w:val="auto"/>
                <w:kern w:val="0"/>
                <w:szCs w:val="21"/>
              </w:rPr>
              <w:t>★A020910电视设备</w:t>
            </w:r>
          </w:p>
        </w:tc>
        <w:tc>
          <w:tcPr>
            <w:tcW w:w="1320" w:type="dxa"/>
            <w:tcBorders>
              <w:top w:val="nil"/>
              <w:left w:val="nil"/>
              <w:bottom w:val="single" w:color="000000" w:sz="8" w:space="0"/>
              <w:right w:val="single" w:color="000000" w:sz="8" w:space="0"/>
            </w:tcBorders>
            <w:vAlign w:val="center"/>
          </w:tcPr>
          <w:p w14:paraId="472985BC">
            <w:pPr>
              <w:widowControl/>
              <w:jc w:val="center"/>
              <w:rPr>
                <w:rFonts w:hint="eastAsia" w:ascii="宋体" w:hAnsi="宋体" w:cs="宋体"/>
                <w:color w:val="auto"/>
                <w:kern w:val="0"/>
                <w:szCs w:val="21"/>
              </w:rPr>
            </w:pPr>
            <w:r>
              <w:rPr>
                <w:rFonts w:hint="eastAsia" w:ascii="宋体" w:hAnsi="宋体" w:cs="宋体"/>
                <w:color w:val="auto"/>
                <w:kern w:val="0"/>
                <w:szCs w:val="21"/>
              </w:rPr>
              <w:t>A02091001普通电视设备（电视机）</w:t>
            </w:r>
          </w:p>
        </w:tc>
        <w:tc>
          <w:tcPr>
            <w:tcW w:w="1620" w:type="dxa"/>
            <w:tcBorders>
              <w:top w:val="nil"/>
              <w:left w:val="nil"/>
              <w:bottom w:val="single" w:color="000000" w:sz="8" w:space="0"/>
              <w:right w:val="single" w:color="000000" w:sz="8" w:space="0"/>
            </w:tcBorders>
            <w:vAlign w:val="center"/>
          </w:tcPr>
          <w:p w14:paraId="1EFC4D9F">
            <w:pPr>
              <w:widowControl/>
              <w:jc w:val="center"/>
              <w:rPr>
                <w:rFonts w:hint="eastAsia" w:ascii="宋体" w:hAnsi="宋体" w:cs="宋体"/>
                <w:color w:val="auto"/>
                <w:kern w:val="0"/>
                <w:szCs w:val="21"/>
              </w:rPr>
            </w:pPr>
            <w:r>
              <w:rPr>
                <w:rFonts w:hint="eastAsia" w:ascii="宋体" w:hAnsi="宋体" w:cs="宋体"/>
                <w:color w:val="auto"/>
                <w:kern w:val="0"/>
                <w:szCs w:val="21"/>
              </w:rPr>
              <w:t>　</w:t>
            </w:r>
          </w:p>
        </w:tc>
        <w:tc>
          <w:tcPr>
            <w:tcW w:w="4540" w:type="dxa"/>
            <w:tcBorders>
              <w:top w:val="nil"/>
              <w:left w:val="nil"/>
              <w:bottom w:val="single" w:color="000000" w:sz="8" w:space="0"/>
              <w:right w:val="single" w:color="000000" w:sz="8" w:space="0"/>
            </w:tcBorders>
            <w:vAlign w:val="center"/>
          </w:tcPr>
          <w:p w14:paraId="503A9BCF">
            <w:pPr>
              <w:widowControl/>
              <w:jc w:val="left"/>
              <w:rPr>
                <w:rFonts w:hint="eastAsia" w:ascii="宋体" w:hAnsi="宋体" w:cs="宋体"/>
                <w:color w:val="auto"/>
                <w:kern w:val="0"/>
                <w:szCs w:val="21"/>
              </w:rPr>
            </w:pPr>
            <w:r>
              <w:rPr>
                <w:rFonts w:hint="eastAsia" w:ascii="宋体" w:hAnsi="宋体" w:cs="宋体"/>
                <w:color w:val="auto"/>
                <w:kern w:val="0"/>
                <w:szCs w:val="21"/>
              </w:rPr>
              <w:t>《平板电视能效限定值及能效等级》（GB24850）</w:t>
            </w:r>
          </w:p>
        </w:tc>
      </w:tr>
      <w:tr w14:paraId="4CF8F07B">
        <w:tblPrEx>
          <w:tblCellMar>
            <w:top w:w="0" w:type="dxa"/>
            <w:left w:w="108" w:type="dxa"/>
            <w:bottom w:w="0" w:type="dxa"/>
            <w:right w:w="108" w:type="dxa"/>
          </w:tblCellMar>
        </w:tblPrEx>
        <w:trPr>
          <w:trHeight w:val="975" w:hRule="atLeast"/>
        </w:trPr>
        <w:tc>
          <w:tcPr>
            <w:tcW w:w="660" w:type="dxa"/>
            <w:tcBorders>
              <w:top w:val="nil"/>
              <w:left w:val="single" w:color="000000" w:sz="8" w:space="0"/>
              <w:bottom w:val="single" w:color="000000" w:sz="8" w:space="0"/>
              <w:right w:val="single" w:color="000000" w:sz="8" w:space="0"/>
            </w:tcBorders>
            <w:vAlign w:val="center"/>
          </w:tcPr>
          <w:p w14:paraId="682B7D88">
            <w:pPr>
              <w:widowControl/>
              <w:jc w:val="center"/>
              <w:rPr>
                <w:rFonts w:hint="eastAsia" w:ascii="宋体" w:hAnsi="宋体" w:cs="宋体"/>
                <w:color w:val="auto"/>
                <w:kern w:val="0"/>
                <w:szCs w:val="21"/>
              </w:rPr>
            </w:pPr>
            <w:r>
              <w:rPr>
                <w:rFonts w:hint="eastAsia" w:ascii="宋体" w:hAnsi="宋体" w:cs="宋体"/>
                <w:color w:val="auto"/>
                <w:kern w:val="0"/>
                <w:szCs w:val="21"/>
              </w:rPr>
              <w:t>13</w:t>
            </w:r>
          </w:p>
        </w:tc>
        <w:tc>
          <w:tcPr>
            <w:tcW w:w="1080" w:type="dxa"/>
            <w:tcBorders>
              <w:top w:val="nil"/>
              <w:left w:val="nil"/>
              <w:bottom w:val="single" w:color="000000" w:sz="8" w:space="0"/>
              <w:right w:val="single" w:color="000000" w:sz="8" w:space="0"/>
            </w:tcBorders>
            <w:vAlign w:val="center"/>
          </w:tcPr>
          <w:p w14:paraId="677BAF7C">
            <w:pPr>
              <w:widowControl/>
              <w:jc w:val="center"/>
              <w:rPr>
                <w:rFonts w:hint="eastAsia" w:ascii="宋体" w:hAnsi="宋体" w:cs="宋体"/>
                <w:color w:val="auto"/>
                <w:kern w:val="0"/>
                <w:szCs w:val="21"/>
              </w:rPr>
            </w:pPr>
            <w:r>
              <w:rPr>
                <w:rFonts w:hint="eastAsia" w:ascii="宋体" w:hAnsi="宋体" w:cs="宋体"/>
                <w:color w:val="auto"/>
                <w:kern w:val="0"/>
                <w:szCs w:val="21"/>
              </w:rPr>
              <w:t>★A020911视频设备</w:t>
            </w:r>
          </w:p>
        </w:tc>
        <w:tc>
          <w:tcPr>
            <w:tcW w:w="1320" w:type="dxa"/>
            <w:tcBorders>
              <w:top w:val="nil"/>
              <w:left w:val="nil"/>
              <w:bottom w:val="single" w:color="000000" w:sz="8" w:space="0"/>
              <w:right w:val="single" w:color="000000" w:sz="8" w:space="0"/>
            </w:tcBorders>
            <w:vAlign w:val="center"/>
          </w:tcPr>
          <w:p w14:paraId="0F08032A">
            <w:pPr>
              <w:widowControl/>
              <w:jc w:val="center"/>
              <w:rPr>
                <w:rFonts w:hint="eastAsia" w:ascii="宋体" w:hAnsi="宋体" w:cs="宋体"/>
                <w:color w:val="auto"/>
                <w:kern w:val="0"/>
                <w:szCs w:val="21"/>
              </w:rPr>
            </w:pPr>
            <w:r>
              <w:rPr>
                <w:rFonts w:hint="eastAsia" w:ascii="宋体" w:hAnsi="宋体" w:cs="宋体"/>
                <w:color w:val="auto"/>
                <w:kern w:val="0"/>
                <w:szCs w:val="21"/>
              </w:rPr>
              <w:t>A02091107视频监控设备</w:t>
            </w:r>
          </w:p>
        </w:tc>
        <w:tc>
          <w:tcPr>
            <w:tcW w:w="1620" w:type="dxa"/>
            <w:tcBorders>
              <w:top w:val="nil"/>
              <w:left w:val="nil"/>
              <w:bottom w:val="single" w:color="000000" w:sz="8" w:space="0"/>
              <w:right w:val="single" w:color="000000" w:sz="8" w:space="0"/>
            </w:tcBorders>
            <w:vAlign w:val="center"/>
          </w:tcPr>
          <w:p w14:paraId="416E10F0">
            <w:pPr>
              <w:widowControl/>
              <w:jc w:val="center"/>
              <w:rPr>
                <w:rFonts w:hint="eastAsia" w:ascii="宋体" w:hAnsi="宋体" w:cs="宋体"/>
                <w:color w:val="auto"/>
                <w:kern w:val="0"/>
                <w:szCs w:val="21"/>
              </w:rPr>
            </w:pPr>
            <w:r>
              <w:rPr>
                <w:rFonts w:hint="eastAsia" w:ascii="宋体" w:hAnsi="宋体" w:cs="宋体"/>
                <w:color w:val="auto"/>
                <w:kern w:val="0"/>
                <w:szCs w:val="21"/>
              </w:rPr>
              <w:t>监视器</w:t>
            </w:r>
          </w:p>
        </w:tc>
        <w:tc>
          <w:tcPr>
            <w:tcW w:w="4540" w:type="dxa"/>
            <w:tcBorders>
              <w:top w:val="nil"/>
              <w:left w:val="nil"/>
              <w:bottom w:val="single" w:color="000000" w:sz="8" w:space="0"/>
              <w:right w:val="single" w:color="000000" w:sz="8" w:space="0"/>
            </w:tcBorders>
            <w:vAlign w:val="center"/>
          </w:tcPr>
          <w:p w14:paraId="368CA73F">
            <w:pPr>
              <w:widowControl/>
              <w:jc w:val="left"/>
              <w:rPr>
                <w:rFonts w:hint="eastAsia" w:ascii="宋体" w:hAnsi="宋体" w:cs="宋体"/>
                <w:color w:val="auto"/>
                <w:kern w:val="0"/>
                <w:szCs w:val="21"/>
              </w:rPr>
            </w:pPr>
            <w:r>
              <w:rPr>
                <w:rFonts w:hint="eastAsia" w:ascii="宋体" w:hAnsi="宋体" w:cs="宋体"/>
                <w:color w:val="auto"/>
                <w:kern w:val="0"/>
                <w:szCs w:val="21"/>
              </w:rPr>
              <w:t>以射频信号为主要信号输入的监视器应符合《平板电视能效限定值及能效等级》（GB24850），以数字信号为主要信号输入的监视器应符合《计算机显示器能效限定值及能效等级》（GB21520）</w:t>
            </w:r>
          </w:p>
        </w:tc>
      </w:tr>
      <w:tr w14:paraId="31BF9C99">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vAlign w:val="center"/>
          </w:tcPr>
          <w:p w14:paraId="052E7B4D">
            <w:pPr>
              <w:widowControl/>
              <w:jc w:val="center"/>
              <w:rPr>
                <w:rFonts w:hint="eastAsia" w:ascii="宋体" w:hAnsi="宋体" w:cs="宋体"/>
                <w:color w:val="auto"/>
                <w:kern w:val="0"/>
                <w:szCs w:val="21"/>
              </w:rPr>
            </w:pPr>
            <w:r>
              <w:rPr>
                <w:rFonts w:hint="eastAsia" w:ascii="宋体" w:hAnsi="宋体" w:cs="宋体"/>
                <w:color w:val="auto"/>
                <w:kern w:val="0"/>
                <w:szCs w:val="21"/>
              </w:rPr>
              <w:t>14</w:t>
            </w:r>
          </w:p>
        </w:tc>
        <w:tc>
          <w:tcPr>
            <w:tcW w:w="1080" w:type="dxa"/>
            <w:tcBorders>
              <w:top w:val="nil"/>
              <w:left w:val="nil"/>
              <w:bottom w:val="single" w:color="000000" w:sz="8" w:space="0"/>
              <w:right w:val="single" w:color="000000" w:sz="8" w:space="0"/>
            </w:tcBorders>
            <w:vAlign w:val="center"/>
          </w:tcPr>
          <w:p w14:paraId="633CD991">
            <w:pPr>
              <w:widowControl/>
              <w:jc w:val="center"/>
              <w:rPr>
                <w:rFonts w:hint="eastAsia" w:ascii="宋体" w:hAnsi="宋体" w:cs="宋体"/>
                <w:color w:val="auto"/>
                <w:kern w:val="0"/>
                <w:szCs w:val="21"/>
              </w:rPr>
            </w:pPr>
            <w:r>
              <w:rPr>
                <w:rFonts w:hint="eastAsia" w:ascii="宋体" w:hAnsi="宋体" w:cs="宋体"/>
                <w:color w:val="auto"/>
                <w:kern w:val="0"/>
                <w:szCs w:val="21"/>
              </w:rPr>
              <w:t>A031210饮食炊事机械</w:t>
            </w:r>
          </w:p>
        </w:tc>
        <w:tc>
          <w:tcPr>
            <w:tcW w:w="1320" w:type="dxa"/>
            <w:tcBorders>
              <w:top w:val="nil"/>
              <w:left w:val="nil"/>
              <w:bottom w:val="single" w:color="000000" w:sz="8" w:space="0"/>
              <w:right w:val="single" w:color="000000" w:sz="8" w:space="0"/>
            </w:tcBorders>
            <w:vAlign w:val="center"/>
          </w:tcPr>
          <w:p w14:paraId="30736A0A">
            <w:pPr>
              <w:widowControl/>
              <w:jc w:val="center"/>
              <w:rPr>
                <w:rFonts w:hint="eastAsia" w:ascii="宋体" w:hAnsi="宋体" w:cs="宋体"/>
                <w:color w:val="auto"/>
                <w:kern w:val="0"/>
                <w:szCs w:val="21"/>
              </w:rPr>
            </w:pPr>
            <w:r>
              <w:rPr>
                <w:rFonts w:hint="eastAsia" w:ascii="宋体" w:hAnsi="宋体" w:cs="宋体"/>
                <w:color w:val="auto"/>
                <w:kern w:val="0"/>
                <w:szCs w:val="21"/>
              </w:rPr>
              <w:t>商用燃气灶具</w:t>
            </w:r>
          </w:p>
        </w:tc>
        <w:tc>
          <w:tcPr>
            <w:tcW w:w="1620" w:type="dxa"/>
            <w:tcBorders>
              <w:top w:val="nil"/>
              <w:left w:val="nil"/>
              <w:bottom w:val="single" w:color="000000" w:sz="8" w:space="0"/>
              <w:right w:val="single" w:color="000000" w:sz="8" w:space="0"/>
            </w:tcBorders>
            <w:vAlign w:val="center"/>
          </w:tcPr>
          <w:p w14:paraId="56B7DDB8">
            <w:pPr>
              <w:widowControl/>
              <w:jc w:val="center"/>
              <w:rPr>
                <w:rFonts w:hint="eastAsia" w:ascii="宋体" w:hAnsi="宋体" w:cs="宋体"/>
                <w:color w:val="auto"/>
                <w:kern w:val="0"/>
                <w:szCs w:val="21"/>
              </w:rPr>
            </w:pPr>
            <w:r>
              <w:rPr>
                <w:rFonts w:hint="eastAsia" w:ascii="宋体" w:hAnsi="宋体" w:cs="宋体"/>
                <w:color w:val="auto"/>
                <w:kern w:val="0"/>
                <w:szCs w:val="21"/>
              </w:rPr>
              <w:t>　</w:t>
            </w:r>
          </w:p>
        </w:tc>
        <w:tc>
          <w:tcPr>
            <w:tcW w:w="4540" w:type="dxa"/>
            <w:tcBorders>
              <w:top w:val="nil"/>
              <w:left w:val="nil"/>
              <w:bottom w:val="single" w:color="000000" w:sz="8" w:space="0"/>
              <w:right w:val="single" w:color="000000" w:sz="8" w:space="0"/>
            </w:tcBorders>
            <w:vAlign w:val="center"/>
          </w:tcPr>
          <w:p w14:paraId="66C1BEBF">
            <w:pPr>
              <w:widowControl/>
              <w:jc w:val="left"/>
              <w:rPr>
                <w:rFonts w:hint="eastAsia" w:ascii="宋体" w:hAnsi="宋体" w:cs="宋体"/>
                <w:color w:val="auto"/>
                <w:kern w:val="0"/>
                <w:szCs w:val="21"/>
              </w:rPr>
            </w:pPr>
            <w:r>
              <w:rPr>
                <w:rFonts w:hint="eastAsia" w:ascii="宋体" w:hAnsi="宋体" w:cs="宋体"/>
                <w:color w:val="auto"/>
                <w:kern w:val="0"/>
                <w:szCs w:val="21"/>
              </w:rPr>
              <w:t>《商用燃气灶具能效限定值及能效等级》（GB30531）</w:t>
            </w:r>
          </w:p>
        </w:tc>
      </w:tr>
      <w:tr w14:paraId="67CDD174">
        <w:tblPrEx>
          <w:tblCellMar>
            <w:top w:w="0" w:type="dxa"/>
            <w:left w:w="108" w:type="dxa"/>
            <w:bottom w:w="0" w:type="dxa"/>
            <w:right w:w="108" w:type="dxa"/>
          </w:tblCellMar>
        </w:tblPrEx>
        <w:trPr>
          <w:trHeight w:val="285" w:hRule="atLeast"/>
        </w:trPr>
        <w:tc>
          <w:tcPr>
            <w:tcW w:w="660" w:type="dxa"/>
            <w:vMerge w:val="restart"/>
            <w:tcBorders>
              <w:top w:val="nil"/>
              <w:left w:val="single" w:color="000000" w:sz="8" w:space="0"/>
              <w:bottom w:val="single" w:color="000000" w:sz="8" w:space="0"/>
              <w:right w:val="single" w:color="000000" w:sz="8" w:space="0"/>
            </w:tcBorders>
            <w:vAlign w:val="center"/>
          </w:tcPr>
          <w:p w14:paraId="1EE7730C">
            <w:pPr>
              <w:widowControl/>
              <w:jc w:val="center"/>
              <w:rPr>
                <w:rFonts w:hint="eastAsia" w:ascii="宋体" w:hAnsi="宋体" w:cs="宋体"/>
                <w:color w:val="auto"/>
                <w:kern w:val="0"/>
                <w:szCs w:val="21"/>
              </w:rPr>
            </w:pPr>
            <w:r>
              <w:rPr>
                <w:rFonts w:hint="eastAsia" w:ascii="宋体" w:hAnsi="宋体" w:cs="宋体"/>
                <w:color w:val="auto"/>
                <w:kern w:val="0"/>
                <w:szCs w:val="21"/>
              </w:rPr>
              <w:t>15</w:t>
            </w:r>
          </w:p>
        </w:tc>
        <w:tc>
          <w:tcPr>
            <w:tcW w:w="1080" w:type="dxa"/>
            <w:vMerge w:val="restart"/>
            <w:tcBorders>
              <w:top w:val="nil"/>
              <w:left w:val="single" w:color="000000" w:sz="8" w:space="0"/>
              <w:bottom w:val="single" w:color="000000" w:sz="8" w:space="0"/>
              <w:right w:val="single" w:color="000000" w:sz="8" w:space="0"/>
            </w:tcBorders>
            <w:vAlign w:val="center"/>
          </w:tcPr>
          <w:p w14:paraId="3035688E">
            <w:pPr>
              <w:widowControl/>
              <w:jc w:val="center"/>
              <w:rPr>
                <w:rFonts w:hint="eastAsia" w:ascii="宋体" w:hAnsi="宋体" w:cs="宋体"/>
                <w:color w:val="auto"/>
                <w:kern w:val="0"/>
                <w:szCs w:val="21"/>
              </w:rPr>
            </w:pPr>
            <w:r>
              <w:rPr>
                <w:rFonts w:hint="eastAsia" w:ascii="宋体" w:hAnsi="宋体" w:cs="宋体"/>
                <w:color w:val="auto"/>
                <w:kern w:val="0"/>
                <w:szCs w:val="21"/>
              </w:rPr>
              <w:t>★A060805便器</w:t>
            </w:r>
          </w:p>
        </w:tc>
        <w:tc>
          <w:tcPr>
            <w:tcW w:w="1320" w:type="dxa"/>
            <w:tcBorders>
              <w:top w:val="nil"/>
              <w:left w:val="nil"/>
              <w:bottom w:val="single" w:color="000000" w:sz="8" w:space="0"/>
              <w:right w:val="single" w:color="000000" w:sz="8" w:space="0"/>
            </w:tcBorders>
            <w:vAlign w:val="center"/>
          </w:tcPr>
          <w:p w14:paraId="0BF8D739">
            <w:pPr>
              <w:widowControl/>
              <w:jc w:val="center"/>
              <w:rPr>
                <w:rFonts w:hint="eastAsia" w:ascii="宋体" w:hAnsi="宋体" w:cs="宋体"/>
                <w:color w:val="auto"/>
                <w:kern w:val="0"/>
                <w:szCs w:val="21"/>
              </w:rPr>
            </w:pPr>
            <w:r>
              <w:rPr>
                <w:rFonts w:hint="eastAsia" w:ascii="宋体" w:hAnsi="宋体" w:cs="宋体"/>
                <w:color w:val="auto"/>
                <w:kern w:val="0"/>
                <w:szCs w:val="21"/>
              </w:rPr>
              <w:t>坐便器</w:t>
            </w:r>
          </w:p>
        </w:tc>
        <w:tc>
          <w:tcPr>
            <w:tcW w:w="1620" w:type="dxa"/>
            <w:tcBorders>
              <w:top w:val="nil"/>
              <w:left w:val="nil"/>
              <w:bottom w:val="single" w:color="000000" w:sz="8" w:space="0"/>
              <w:right w:val="single" w:color="000000" w:sz="8" w:space="0"/>
            </w:tcBorders>
            <w:vAlign w:val="center"/>
          </w:tcPr>
          <w:p w14:paraId="64654BB2">
            <w:pPr>
              <w:widowControl/>
              <w:jc w:val="center"/>
              <w:rPr>
                <w:rFonts w:hint="eastAsia" w:ascii="宋体" w:hAnsi="宋体" w:cs="宋体"/>
                <w:color w:val="auto"/>
                <w:kern w:val="0"/>
                <w:szCs w:val="21"/>
              </w:rPr>
            </w:pPr>
            <w:r>
              <w:rPr>
                <w:rFonts w:hint="eastAsia" w:ascii="宋体" w:hAnsi="宋体" w:cs="宋体"/>
                <w:color w:val="auto"/>
                <w:kern w:val="0"/>
                <w:szCs w:val="21"/>
              </w:rPr>
              <w:t>　</w:t>
            </w:r>
          </w:p>
        </w:tc>
        <w:tc>
          <w:tcPr>
            <w:tcW w:w="4540" w:type="dxa"/>
            <w:tcBorders>
              <w:top w:val="nil"/>
              <w:left w:val="nil"/>
              <w:bottom w:val="single" w:color="000000" w:sz="8" w:space="0"/>
              <w:right w:val="single" w:color="000000" w:sz="8" w:space="0"/>
            </w:tcBorders>
            <w:vAlign w:val="center"/>
          </w:tcPr>
          <w:p w14:paraId="1D15C907">
            <w:pPr>
              <w:widowControl/>
              <w:jc w:val="left"/>
              <w:rPr>
                <w:rFonts w:hint="eastAsia" w:ascii="宋体" w:hAnsi="宋体" w:cs="宋体"/>
                <w:color w:val="auto"/>
                <w:kern w:val="0"/>
                <w:szCs w:val="21"/>
              </w:rPr>
            </w:pPr>
            <w:r>
              <w:rPr>
                <w:rFonts w:hint="eastAsia" w:ascii="宋体" w:hAnsi="宋体" w:cs="宋体"/>
                <w:color w:val="auto"/>
                <w:kern w:val="0"/>
                <w:szCs w:val="21"/>
              </w:rPr>
              <w:t>《坐便器水效限定值及水效等级》（GB25502）</w:t>
            </w:r>
          </w:p>
        </w:tc>
      </w:tr>
      <w:tr w14:paraId="260CEF60">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5DE94D05">
            <w:pPr>
              <w:widowControl/>
              <w:jc w:val="left"/>
              <w:rPr>
                <w:rFonts w:hint="eastAsia" w:ascii="宋体" w:hAnsi="宋体" w:cs="宋体"/>
                <w:color w:val="auto"/>
                <w:kern w:val="0"/>
                <w:szCs w:val="21"/>
              </w:rPr>
            </w:pPr>
          </w:p>
        </w:tc>
        <w:tc>
          <w:tcPr>
            <w:tcW w:w="0" w:type="auto"/>
            <w:vMerge w:val="continue"/>
            <w:tcBorders>
              <w:top w:val="nil"/>
              <w:left w:val="single" w:color="000000" w:sz="8" w:space="0"/>
              <w:bottom w:val="single" w:color="000000" w:sz="8" w:space="0"/>
              <w:right w:val="single" w:color="000000" w:sz="8" w:space="0"/>
            </w:tcBorders>
            <w:vAlign w:val="center"/>
          </w:tcPr>
          <w:p w14:paraId="5A3C98A6">
            <w:pPr>
              <w:widowControl/>
              <w:jc w:val="left"/>
              <w:rPr>
                <w:rFonts w:hint="eastAsia" w:ascii="宋体" w:hAnsi="宋体" w:cs="宋体"/>
                <w:color w:val="auto"/>
                <w:kern w:val="0"/>
                <w:szCs w:val="21"/>
              </w:rPr>
            </w:pPr>
          </w:p>
        </w:tc>
        <w:tc>
          <w:tcPr>
            <w:tcW w:w="1320" w:type="dxa"/>
            <w:tcBorders>
              <w:top w:val="nil"/>
              <w:left w:val="nil"/>
              <w:bottom w:val="single" w:color="000000" w:sz="8" w:space="0"/>
              <w:right w:val="single" w:color="000000" w:sz="8" w:space="0"/>
            </w:tcBorders>
            <w:vAlign w:val="center"/>
          </w:tcPr>
          <w:p w14:paraId="61B8FE5B">
            <w:pPr>
              <w:widowControl/>
              <w:jc w:val="center"/>
              <w:rPr>
                <w:rFonts w:hint="eastAsia" w:ascii="宋体" w:hAnsi="宋体" w:cs="宋体"/>
                <w:color w:val="auto"/>
                <w:kern w:val="0"/>
                <w:szCs w:val="21"/>
              </w:rPr>
            </w:pPr>
            <w:r>
              <w:rPr>
                <w:rFonts w:hint="eastAsia" w:ascii="宋体" w:hAnsi="宋体" w:cs="宋体"/>
                <w:color w:val="auto"/>
                <w:kern w:val="0"/>
                <w:szCs w:val="21"/>
              </w:rPr>
              <w:t>蹲便器</w:t>
            </w:r>
          </w:p>
        </w:tc>
        <w:tc>
          <w:tcPr>
            <w:tcW w:w="1620" w:type="dxa"/>
            <w:tcBorders>
              <w:top w:val="nil"/>
              <w:left w:val="nil"/>
              <w:bottom w:val="single" w:color="000000" w:sz="8" w:space="0"/>
              <w:right w:val="single" w:color="000000" w:sz="8" w:space="0"/>
            </w:tcBorders>
            <w:vAlign w:val="center"/>
          </w:tcPr>
          <w:p w14:paraId="1102D209">
            <w:pPr>
              <w:widowControl/>
              <w:jc w:val="center"/>
              <w:rPr>
                <w:rFonts w:hint="eastAsia" w:ascii="宋体" w:hAnsi="宋体" w:cs="宋体"/>
                <w:color w:val="auto"/>
                <w:kern w:val="0"/>
                <w:szCs w:val="21"/>
              </w:rPr>
            </w:pPr>
            <w:r>
              <w:rPr>
                <w:rFonts w:hint="eastAsia" w:ascii="宋体" w:hAnsi="宋体" w:cs="宋体"/>
                <w:color w:val="auto"/>
                <w:kern w:val="0"/>
                <w:szCs w:val="21"/>
              </w:rPr>
              <w:t>　</w:t>
            </w:r>
          </w:p>
        </w:tc>
        <w:tc>
          <w:tcPr>
            <w:tcW w:w="4540" w:type="dxa"/>
            <w:tcBorders>
              <w:top w:val="nil"/>
              <w:left w:val="nil"/>
              <w:bottom w:val="single" w:color="000000" w:sz="8" w:space="0"/>
              <w:right w:val="single" w:color="000000" w:sz="8" w:space="0"/>
            </w:tcBorders>
            <w:vAlign w:val="center"/>
          </w:tcPr>
          <w:p w14:paraId="3440691B">
            <w:pPr>
              <w:widowControl/>
              <w:jc w:val="left"/>
              <w:rPr>
                <w:rFonts w:hint="eastAsia" w:ascii="宋体" w:hAnsi="宋体" w:cs="宋体"/>
                <w:color w:val="auto"/>
                <w:kern w:val="0"/>
                <w:szCs w:val="21"/>
              </w:rPr>
            </w:pPr>
            <w:r>
              <w:rPr>
                <w:rFonts w:hint="eastAsia" w:ascii="宋体" w:hAnsi="宋体" w:cs="宋体"/>
                <w:color w:val="auto"/>
                <w:kern w:val="0"/>
                <w:szCs w:val="21"/>
              </w:rPr>
              <w:t>《蹲便器用水效率限定值及用水效率等级》（GB30717）</w:t>
            </w:r>
          </w:p>
        </w:tc>
      </w:tr>
      <w:tr w14:paraId="4A7CBA3C">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vAlign w:val="center"/>
          </w:tcPr>
          <w:p w14:paraId="5948030D">
            <w:pPr>
              <w:widowControl/>
              <w:jc w:val="left"/>
              <w:rPr>
                <w:rFonts w:hint="eastAsia" w:ascii="宋体" w:hAnsi="宋体" w:cs="宋体"/>
                <w:color w:val="auto"/>
                <w:kern w:val="0"/>
                <w:szCs w:val="21"/>
              </w:rPr>
            </w:pPr>
          </w:p>
        </w:tc>
        <w:tc>
          <w:tcPr>
            <w:tcW w:w="0" w:type="auto"/>
            <w:vMerge w:val="continue"/>
            <w:tcBorders>
              <w:top w:val="nil"/>
              <w:left w:val="single" w:color="000000" w:sz="8" w:space="0"/>
              <w:bottom w:val="single" w:color="000000" w:sz="8" w:space="0"/>
              <w:right w:val="single" w:color="000000" w:sz="8" w:space="0"/>
            </w:tcBorders>
            <w:vAlign w:val="center"/>
          </w:tcPr>
          <w:p w14:paraId="3AA9E702">
            <w:pPr>
              <w:widowControl/>
              <w:jc w:val="left"/>
              <w:rPr>
                <w:rFonts w:hint="eastAsia" w:ascii="宋体" w:hAnsi="宋体" w:cs="宋体"/>
                <w:color w:val="auto"/>
                <w:kern w:val="0"/>
                <w:szCs w:val="21"/>
              </w:rPr>
            </w:pPr>
          </w:p>
        </w:tc>
        <w:tc>
          <w:tcPr>
            <w:tcW w:w="1320" w:type="dxa"/>
            <w:tcBorders>
              <w:top w:val="nil"/>
              <w:left w:val="nil"/>
              <w:bottom w:val="single" w:color="000000" w:sz="8" w:space="0"/>
              <w:right w:val="single" w:color="000000" w:sz="8" w:space="0"/>
            </w:tcBorders>
            <w:vAlign w:val="center"/>
          </w:tcPr>
          <w:p w14:paraId="2310170A">
            <w:pPr>
              <w:widowControl/>
              <w:jc w:val="center"/>
              <w:rPr>
                <w:rFonts w:hint="eastAsia" w:ascii="宋体" w:hAnsi="宋体" w:cs="宋体"/>
                <w:color w:val="auto"/>
                <w:kern w:val="0"/>
                <w:szCs w:val="21"/>
              </w:rPr>
            </w:pPr>
            <w:r>
              <w:rPr>
                <w:rFonts w:hint="eastAsia" w:ascii="宋体" w:hAnsi="宋体" w:cs="宋体"/>
                <w:color w:val="auto"/>
                <w:kern w:val="0"/>
                <w:szCs w:val="21"/>
              </w:rPr>
              <w:t>小便器</w:t>
            </w:r>
          </w:p>
        </w:tc>
        <w:tc>
          <w:tcPr>
            <w:tcW w:w="1620" w:type="dxa"/>
            <w:tcBorders>
              <w:top w:val="nil"/>
              <w:left w:val="nil"/>
              <w:bottom w:val="single" w:color="000000" w:sz="8" w:space="0"/>
              <w:right w:val="single" w:color="000000" w:sz="8" w:space="0"/>
            </w:tcBorders>
            <w:vAlign w:val="center"/>
          </w:tcPr>
          <w:p w14:paraId="3B508FE8">
            <w:pPr>
              <w:widowControl/>
              <w:jc w:val="center"/>
              <w:rPr>
                <w:rFonts w:hint="eastAsia" w:ascii="宋体" w:hAnsi="宋体" w:cs="宋体"/>
                <w:color w:val="auto"/>
                <w:kern w:val="0"/>
                <w:szCs w:val="21"/>
              </w:rPr>
            </w:pPr>
            <w:r>
              <w:rPr>
                <w:rFonts w:hint="eastAsia" w:ascii="宋体" w:hAnsi="宋体" w:cs="宋体"/>
                <w:color w:val="auto"/>
                <w:kern w:val="0"/>
                <w:szCs w:val="21"/>
              </w:rPr>
              <w:t>　</w:t>
            </w:r>
          </w:p>
        </w:tc>
        <w:tc>
          <w:tcPr>
            <w:tcW w:w="4540" w:type="dxa"/>
            <w:tcBorders>
              <w:top w:val="nil"/>
              <w:left w:val="nil"/>
              <w:bottom w:val="single" w:color="000000" w:sz="8" w:space="0"/>
              <w:right w:val="single" w:color="000000" w:sz="8" w:space="0"/>
            </w:tcBorders>
            <w:vAlign w:val="center"/>
          </w:tcPr>
          <w:p w14:paraId="1CAD96BE">
            <w:pPr>
              <w:widowControl/>
              <w:jc w:val="left"/>
              <w:rPr>
                <w:rFonts w:hint="eastAsia" w:ascii="宋体" w:hAnsi="宋体" w:cs="宋体"/>
                <w:color w:val="auto"/>
                <w:kern w:val="0"/>
                <w:szCs w:val="21"/>
              </w:rPr>
            </w:pPr>
            <w:r>
              <w:rPr>
                <w:rFonts w:hint="eastAsia" w:ascii="宋体" w:hAnsi="宋体" w:cs="宋体"/>
                <w:color w:val="auto"/>
                <w:kern w:val="0"/>
                <w:szCs w:val="21"/>
              </w:rPr>
              <w:t>《小便器用水效率限定值及用水效率等级》（GB28377）</w:t>
            </w:r>
          </w:p>
        </w:tc>
      </w:tr>
      <w:tr w14:paraId="48102F0D">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vAlign w:val="center"/>
          </w:tcPr>
          <w:p w14:paraId="2E016704">
            <w:pPr>
              <w:widowControl/>
              <w:jc w:val="center"/>
              <w:rPr>
                <w:rFonts w:hint="eastAsia" w:ascii="宋体" w:hAnsi="宋体" w:cs="宋体"/>
                <w:color w:val="auto"/>
                <w:kern w:val="0"/>
                <w:szCs w:val="21"/>
              </w:rPr>
            </w:pPr>
            <w:r>
              <w:rPr>
                <w:rFonts w:hint="eastAsia" w:ascii="宋体" w:hAnsi="宋体" w:cs="宋体"/>
                <w:color w:val="auto"/>
                <w:kern w:val="0"/>
                <w:szCs w:val="21"/>
              </w:rPr>
              <w:t>16</w:t>
            </w:r>
          </w:p>
        </w:tc>
        <w:tc>
          <w:tcPr>
            <w:tcW w:w="1080" w:type="dxa"/>
            <w:tcBorders>
              <w:top w:val="nil"/>
              <w:left w:val="nil"/>
              <w:bottom w:val="single" w:color="000000" w:sz="8" w:space="0"/>
              <w:right w:val="single" w:color="000000" w:sz="8" w:space="0"/>
            </w:tcBorders>
            <w:vAlign w:val="center"/>
          </w:tcPr>
          <w:p w14:paraId="06D9C86B">
            <w:pPr>
              <w:widowControl/>
              <w:jc w:val="center"/>
              <w:rPr>
                <w:rFonts w:hint="eastAsia" w:ascii="宋体" w:hAnsi="宋体" w:cs="宋体"/>
                <w:color w:val="auto"/>
                <w:kern w:val="0"/>
                <w:szCs w:val="21"/>
              </w:rPr>
            </w:pPr>
            <w:r>
              <w:rPr>
                <w:rFonts w:hint="eastAsia" w:ascii="宋体" w:hAnsi="宋体" w:cs="宋体"/>
                <w:color w:val="auto"/>
                <w:kern w:val="0"/>
                <w:szCs w:val="21"/>
              </w:rPr>
              <w:t>★A060806水嘴</w:t>
            </w:r>
          </w:p>
        </w:tc>
        <w:tc>
          <w:tcPr>
            <w:tcW w:w="1320" w:type="dxa"/>
            <w:tcBorders>
              <w:top w:val="nil"/>
              <w:left w:val="nil"/>
              <w:bottom w:val="single" w:color="000000" w:sz="8" w:space="0"/>
              <w:right w:val="single" w:color="000000" w:sz="8" w:space="0"/>
            </w:tcBorders>
            <w:vAlign w:val="center"/>
          </w:tcPr>
          <w:p w14:paraId="6BEA5AAE">
            <w:pPr>
              <w:widowControl/>
              <w:jc w:val="center"/>
              <w:rPr>
                <w:rFonts w:hint="eastAsia" w:ascii="宋体" w:hAnsi="宋体" w:cs="宋体"/>
                <w:color w:val="auto"/>
                <w:kern w:val="0"/>
                <w:szCs w:val="21"/>
              </w:rPr>
            </w:pPr>
            <w:r>
              <w:rPr>
                <w:rFonts w:hint="eastAsia" w:ascii="宋体" w:hAnsi="宋体" w:cs="宋体"/>
                <w:color w:val="auto"/>
                <w:kern w:val="0"/>
                <w:szCs w:val="21"/>
              </w:rPr>
              <w:t>　</w:t>
            </w:r>
          </w:p>
        </w:tc>
        <w:tc>
          <w:tcPr>
            <w:tcW w:w="1620" w:type="dxa"/>
            <w:tcBorders>
              <w:top w:val="nil"/>
              <w:left w:val="nil"/>
              <w:bottom w:val="single" w:color="000000" w:sz="8" w:space="0"/>
              <w:right w:val="single" w:color="000000" w:sz="8" w:space="0"/>
            </w:tcBorders>
            <w:vAlign w:val="center"/>
          </w:tcPr>
          <w:p w14:paraId="18A5ACB1">
            <w:pPr>
              <w:widowControl/>
              <w:jc w:val="center"/>
              <w:rPr>
                <w:rFonts w:hint="eastAsia" w:ascii="宋体" w:hAnsi="宋体" w:cs="宋体"/>
                <w:color w:val="auto"/>
                <w:kern w:val="0"/>
                <w:szCs w:val="21"/>
              </w:rPr>
            </w:pPr>
            <w:r>
              <w:rPr>
                <w:rFonts w:hint="eastAsia" w:ascii="宋体" w:hAnsi="宋体" w:cs="宋体"/>
                <w:color w:val="auto"/>
                <w:kern w:val="0"/>
                <w:szCs w:val="21"/>
              </w:rPr>
              <w:t>　</w:t>
            </w:r>
          </w:p>
        </w:tc>
        <w:tc>
          <w:tcPr>
            <w:tcW w:w="4540" w:type="dxa"/>
            <w:tcBorders>
              <w:top w:val="nil"/>
              <w:left w:val="nil"/>
              <w:bottom w:val="single" w:color="000000" w:sz="8" w:space="0"/>
              <w:right w:val="single" w:color="000000" w:sz="8" w:space="0"/>
            </w:tcBorders>
            <w:vAlign w:val="center"/>
          </w:tcPr>
          <w:p w14:paraId="26DEAFEF">
            <w:pPr>
              <w:widowControl/>
              <w:jc w:val="left"/>
              <w:rPr>
                <w:rFonts w:hint="eastAsia" w:ascii="宋体" w:hAnsi="宋体" w:cs="宋体"/>
                <w:color w:val="auto"/>
                <w:kern w:val="0"/>
                <w:szCs w:val="21"/>
              </w:rPr>
            </w:pPr>
            <w:r>
              <w:rPr>
                <w:rFonts w:hint="eastAsia" w:ascii="宋体" w:hAnsi="宋体" w:cs="宋体"/>
                <w:color w:val="auto"/>
                <w:kern w:val="0"/>
                <w:szCs w:val="21"/>
              </w:rPr>
              <w:t>《水嘴用水效率限定值及用水效率等级》（GB 25501）</w:t>
            </w:r>
          </w:p>
        </w:tc>
      </w:tr>
      <w:tr w14:paraId="2806CFCE">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vAlign w:val="center"/>
          </w:tcPr>
          <w:p w14:paraId="2FE9EDA6">
            <w:pPr>
              <w:widowControl/>
              <w:jc w:val="center"/>
              <w:rPr>
                <w:rFonts w:hint="eastAsia" w:ascii="宋体" w:hAnsi="宋体" w:cs="宋体"/>
                <w:color w:val="auto"/>
                <w:kern w:val="0"/>
                <w:szCs w:val="21"/>
              </w:rPr>
            </w:pPr>
            <w:r>
              <w:rPr>
                <w:rFonts w:hint="eastAsia" w:ascii="宋体" w:hAnsi="宋体" w:cs="宋体"/>
                <w:color w:val="auto"/>
                <w:kern w:val="0"/>
                <w:szCs w:val="21"/>
              </w:rPr>
              <w:t>17</w:t>
            </w:r>
          </w:p>
        </w:tc>
        <w:tc>
          <w:tcPr>
            <w:tcW w:w="1080" w:type="dxa"/>
            <w:tcBorders>
              <w:top w:val="nil"/>
              <w:left w:val="nil"/>
              <w:bottom w:val="single" w:color="000000" w:sz="8" w:space="0"/>
              <w:right w:val="single" w:color="000000" w:sz="8" w:space="0"/>
            </w:tcBorders>
            <w:vAlign w:val="center"/>
          </w:tcPr>
          <w:p w14:paraId="3C4ED0AC">
            <w:pPr>
              <w:widowControl/>
              <w:jc w:val="center"/>
              <w:rPr>
                <w:rFonts w:hint="eastAsia" w:ascii="宋体" w:hAnsi="宋体" w:cs="宋体"/>
                <w:color w:val="auto"/>
                <w:kern w:val="0"/>
                <w:szCs w:val="21"/>
              </w:rPr>
            </w:pPr>
            <w:r>
              <w:rPr>
                <w:rFonts w:hint="eastAsia" w:ascii="宋体" w:hAnsi="宋体" w:cs="宋体"/>
                <w:color w:val="auto"/>
                <w:kern w:val="0"/>
                <w:szCs w:val="21"/>
              </w:rPr>
              <w:t>A060807便器冲洗阀</w:t>
            </w:r>
          </w:p>
        </w:tc>
        <w:tc>
          <w:tcPr>
            <w:tcW w:w="1320" w:type="dxa"/>
            <w:tcBorders>
              <w:top w:val="nil"/>
              <w:left w:val="nil"/>
              <w:bottom w:val="single" w:color="000000" w:sz="8" w:space="0"/>
              <w:right w:val="single" w:color="000000" w:sz="8" w:space="0"/>
            </w:tcBorders>
            <w:vAlign w:val="center"/>
          </w:tcPr>
          <w:p w14:paraId="36A82862">
            <w:pPr>
              <w:widowControl/>
              <w:jc w:val="center"/>
              <w:rPr>
                <w:rFonts w:hint="eastAsia" w:ascii="宋体" w:hAnsi="宋体" w:cs="宋体"/>
                <w:color w:val="auto"/>
                <w:kern w:val="0"/>
                <w:szCs w:val="21"/>
              </w:rPr>
            </w:pPr>
            <w:r>
              <w:rPr>
                <w:rFonts w:hint="eastAsia" w:ascii="宋体" w:hAnsi="宋体" w:cs="宋体"/>
                <w:color w:val="auto"/>
                <w:kern w:val="0"/>
                <w:szCs w:val="21"/>
              </w:rPr>
              <w:t>　</w:t>
            </w:r>
          </w:p>
        </w:tc>
        <w:tc>
          <w:tcPr>
            <w:tcW w:w="1620" w:type="dxa"/>
            <w:tcBorders>
              <w:top w:val="nil"/>
              <w:left w:val="nil"/>
              <w:bottom w:val="single" w:color="000000" w:sz="8" w:space="0"/>
              <w:right w:val="single" w:color="000000" w:sz="8" w:space="0"/>
            </w:tcBorders>
            <w:vAlign w:val="center"/>
          </w:tcPr>
          <w:p w14:paraId="6C21FF88">
            <w:pPr>
              <w:widowControl/>
              <w:jc w:val="center"/>
              <w:rPr>
                <w:rFonts w:hint="eastAsia" w:ascii="宋体" w:hAnsi="宋体" w:cs="宋体"/>
                <w:color w:val="auto"/>
                <w:kern w:val="0"/>
                <w:szCs w:val="21"/>
              </w:rPr>
            </w:pPr>
            <w:r>
              <w:rPr>
                <w:rFonts w:hint="eastAsia" w:ascii="宋体" w:hAnsi="宋体" w:cs="宋体"/>
                <w:color w:val="auto"/>
                <w:kern w:val="0"/>
                <w:szCs w:val="21"/>
              </w:rPr>
              <w:t>　</w:t>
            </w:r>
          </w:p>
        </w:tc>
        <w:tc>
          <w:tcPr>
            <w:tcW w:w="4540" w:type="dxa"/>
            <w:tcBorders>
              <w:top w:val="nil"/>
              <w:left w:val="nil"/>
              <w:bottom w:val="single" w:color="000000" w:sz="8" w:space="0"/>
              <w:right w:val="single" w:color="000000" w:sz="8" w:space="0"/>
            </w:tcBorders>
            <w:vAlign w:val="center"/>
          </w:tcPr>
          <w:p w14:paraId="6F54ECA1">
            <w:pPr>
              <w:widowControl/>
              <w:jc w:val="left"/>
              <w:rPr>
                <w:rFonts w:hint="eastAsia" w:ascii="宋体" w:hAnsi="宋体" w:cs="宋体"/>
                <w:color w:val="auto"/>
                <w:kern w:val="0"/>
                <w:szCs w:val="21"/>
              </w:rPr>
            </w:pPr>
            <w:r>
              <w:rPr>
                <w:rFonts w:hint="eastAsia" w:ascii="宋体" w:hAnsi="宋体" w:cs="宋体"/>
                <w:color w:val="auto"/>
                <w:kern w:val="0"/>
                <w:szCs w:val="21"/>
              </w:rPr>
              <w:t>《便器冲洗阀用水效率限定值及用水效率等级》（GB28379）</w:t>
            </w:r>
          </w:p>
        </w:tc>
      </w:tr>
      <w:tr w14:paraId="72388DDE">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vAlign w:val="center"/>
          </w:tcPr>
          <w:p w14:paraId="285EDA4B">
            <w:pPr>
              <w:widowControl/>
              <w:jc w:val="center"/>
              <w:rPr>
                <w:rFonts w:hint="eastAsia" w:ascii="宋体" w:hAnsi="宋体" w:cs="宋体"/>
                <w:color w:val="auto"/>
                <w:kern w:val="0"/>
                <w:szCs w:val="21"/>
              </w:rPr>
            </w:pPr>
            <w:r>
              <w:rPr>
                <w:rFonts w:hint="eastAsia" w:ascii="宋体" w:hAnsi="宋体" w:cs="宋体"/>
                <w:color w:val="auto"/>
                <w:kern w:val="0"/>
                <w:szCs w:val="21"/>
              </w:rPr>
              <w:t>18</w:t>
            </w:r>
          </w:p>
        </w:tc>
        <w:tc>
          <w:tcPr>
            <w:tcW w:w="1080" w:type="dxa"/>
            <w:tcBorders>
              <w:top w:val="nil"/>
              <w:left w:val="nil"/>
              <w:bottom w:val="single" w:color="000000" w:sz="8" w:space="0"/>
              <w:right w:val="single" w:color="000000" w:sz="8" w:space="0"/>
            </w:tcBorders>
            <w:vAlign w:val="center"/>
          </w:tcPr>
          <w:p w14:paraId="59E93B86">
            <w:pPr>
              <w:widowControl/>
              <w:jc w:val="center"/>
              <w:rPr>
                <w:rFonts w:hint="eastAsia" w:ascii="宋体" w:hAnsi="宋体" w:cs="宋体"/>
                <w:color w:val="auto"/>
                <w:kern w:val="0"/>
                <w:szCs w:val="21"/>
              </w:rPr>
            </w:pPr>
            <w:r>
              <w:rPr>
                <w:rFonts w:hint="eastAsia" w:ascii="宋体" w:hAnsi="宋体" w:cs="宋体"/>
                <w:color w:val="auto"/>
                <w:kern w:val="0"/>
                <w:szCs w:val="21"/>
              </w:rPr>
              <w:t>A060810淋浴器</w:t>
            </w:r>
          </w:p>
        </w:tc>
        <w:tc>
          <w:tcPr>
            <w:tcW w:w="1320" w:type="dxa"/>
            <w:tcBorders>
              <w:top w:val="nil"/>
              <w:left w:val="nil"/>
              <w:bottom w:val="single" w:color="000000" w:sz="8" w:space="0"/>
              <w:right w:val="single" w:color="000000" w:sz="8" w:space="0"/>
            </w:tcBorders>
            <w:vAlign w:val="center"/>
          </w:tcPr>
          <w:p w14:paraId="639D5A12">
            <w:pPr>
              <w:widowControl/>
              <w:jc w:val="center"/>
              <w:rPr>
                <w:rFonts w:hint="eastAsia" w:ascii="宋体" w:hAnsi="宋体" w:cs="宋体"/>
                <w:color w:val="auto"/>
                <w:kern w:val="0"/>
                <w:szCs w:val="21"/>
              </w:rPr>
            </w:pPr>
            <w:r>
              <w:rPr>
                <w:rFonts w:hint="eastAsia" w:ascii="宋体" w:hAnsi="宋体" w:cs="宋体"/>
                <w:color w:val="auto"/>
                <w:kern w:val="0"/>
                <w:szCs w:val="21"/>
              </w:rPr>
              <w:t>　</w:t>
            </w:r>
          </w:p>
        </w:tc>
        <w:tc>
          <w:tcPr>
            <w:tcW w:w="1620" w:type="dxa"/>
            <w:tcBorders>
              <w:top w:val="nil"/>
              <w:left w:val="nil"/>
              <w:bottom w:val="single" w:color="000000" w:sz="8" w:space="0"/>
              <w:right w:val="single" w:color="000000" w:sz="8" w:space="0"/>
            </w:tcBorders>
            <w:vAlign w:val="center"/>
          </w:tcPr>
          <w:p w14:paraId="26954EF0">
            <w:pPr>
              <w:widowControl/>
              <w:jc w:val="center"/>
              <w:rPr>
                <w:rFonts w:hint="eastAsia" w:ascii="宋体" w:hAnsi="宋体" w:cs="宋体"/>
                <w:color w:val="auto"/>
                <w:kern w:val="0"/>
                <w:szCs w:val="21"/>
              </w:rPr>
            </w:pPr>
            <w:r>
              <w:rPr>
                <w:rFonts w:hint="eastAsia" w:ascii="宋体" w:hAnsi="宋体" w:cs="宋体"/>
                <w:color w:val="auto"/>
                <w:kern w:val="0"/>
                <w:szCs w:val="21"/>
              </w:rPr>
              <w:t>　</w:t>
            </w:r>
          </w:p>
        </w:tc>
        <w:tc>
          <w:tcPr>
            <w:tcW w:w="4540" w:type="dxa"/>
            <w:tcBorders>
              <w:top w:val="nil"/>
              <w:left w:val="nil"/>
              <w:bottom w:val="single" w:color="000000" w:sz="8" w:space="0"/>
              <w:right w:val="single" w:color="000000" w:sz="8" w:space="0"/>
            </w:tcBorders>
            <w:vAlign w:val="center"/>
          </w:tcPr>
          <w:p w14:paraId="49022454">
            <w:pPr>
              <w:widowControl/>
              <w:jc w:val="left"/>
              <w:rPr>
                <w:rFonts w:hint="eastAsia" w:ascii="宋体" w:hAnsi="宋体" w:cs="宋体"/>
                <w:color w:val="auto"/>
                <w:kern w:val="0"/>
                <w:szCs w:val="21"/>
              </w:rPr>
            </w:pPr>
            <w:r>
              <w:rPr>
                <w:rFonts w:hint="eastAsia" w:ascii="宋体" w:hAnsi="宋体" w:cs="宋体"/>
                <w:color w:val="auto"/>
                <w:kern w:val="0"/>
                <w:szCs w:val="21"/>
              </w:rPr>
              <w:t>《淋浴器用水效率限定值及用水效率等级》（GB28378）</w:t>
            </w:r>
          </w:p>
        </w:tc>
      </w:tr>
    </w:tbl>
    <w:p w14:paraId="7EA7784D">
      <w:pPr>
        <w:pStyle w:val="18"/>
        <w:spacing w:line="360" w:lineRule="auto"/>
        <w:rPr>
          <w:color w:val="auto"/>
          <w:spacing w:val="-3"/>
          <w:sz w:val="21"/>
          <w:szCs w:val="21"/>
        </w:rPr>
      </w:pPr>
    </w:p>
    <w:p w14:paraId="79BF2F82">
      <w:pPr>
        <w:pStyle w:val="18"/>
        <w:spacing w:line="360" w:lineRule="auto"/>
        <w:rPr>
          <w:rFonts w:hint="eastAsia" w:ascii="宋体" w:hAnsi="宋体"/>
          <w:color w:val="auto"/>
          <w:sz w:val="21"/>
          <w:szCs w:val="21"/>
        </w:rPr>
      </w:pPr>
      <w:r>
        <w:rPr>
          <w:rFonts w:hint="eastAsia"/>
          <w:color w:val="auto"/>
          <w:spacing w:val="-3"/>
          <w:sz w:val="21"/>
          <w:szCs w:val="21"/>
        </w:rPr>
        <w:t>注：</w:t>
      </w:r>
      <w:r>
        <w:rPr>
          <w:color w:val="auto"/>
          <w:spacing w:val="-3"/>
          <w:sz w:val="21"/>
          <w:szCs w:val="21"/>
        </w:rPr>
        <w:t>1.</w:t>
      </w:r>
      <w:r>
        <w:rPr>
          <w:rFonts w:hint="eastAsia"/>
          <w:color w:val="auto"/>
          <w:spacing w:val="-3"/>
          <w:sz w:val="21"/>
          <w:szCs w:val="21"/>
        </w:rPr>
        <w:t>节能产品认证应依据相关国家标准的最新版本，依据国家标准中二级能效（水效）</w:t>
      </w:r>
      <w:r>
        <w:rPr>
          <w:rFonts w:hint="eastAsia"/>
          <w:color w:val="auto"/>
          <w:sz w:val="21"/>
          <w:szCs w:val="21"/>
        </w:rPr>
        <w:t>指标。</w:t>
      </w:r>
    </w:p>
    <w:p w14:paraId="368E9313">
      <w:pPr>
        <w:jc w:val="left"/>
        <w:rPr>
          <w:b/>
          <w:bCs/>
          <w:color w:val="auto"/>
          <w:szCs w:val="21"/>
        </w:rPr>
      </w:pPr>
      <w:r>
        <w:rPr>
          <w:rFonts w:hint="eastAsia" w:ascii="宋体" w:hAnsi="宋体"/>
          <w:color w:val="auto"/>
          <w:szCs w:val="21"/>
        </w:rPr>
        <w:t xml:space="preserve">    </w:t>
      </w:r>
      <w:r>
        <w:rPr>
          <w:color w:val="auto"/>
          <w:szCs w:val="21"/>
        </w:rPr>
        <w:t>2</w:t>
      </w:r>
      <w:r>
        <w:rPr>
          <w:b/>
          <w:bCs/>
          <w:color w:val="auto"/>
          <w:szCs w:val="21"/>
        </w:rPr>
        <w:t>.</w:t>
      </w:r>
      <w:r>
        <w:rPr>
          <w:rFonts w:hint="eastAsia"/>
          <w:b/>
          <w:bCs/>
          <w:color w:val="auto"/>
          <w:szCs w:val="21"/>
        </w:rPr>
        <w:t>以</w:t>
      </w:r>
      <w:r>
        <w:rPr>
          <w:b/>
          <w:bCs/>
          <w:color w:val="auto"/>
          <w:szCs w:val="21"/>
        </w:rPr>
        <w:t>“</w:t>
      </w:r>
      <w:r>
        <w:rPr>
          <w:rFonts w:hint="eastAsia"/>
          <w:b/>
          <w:bCs/>
          <w:color w:val="auto"/>
          <w:szCs w:val="21"/>
        </w:rPr>
        <w:t>★</w:t>
      </w:r>
      <w:r>
        <w:rPr>
          <w:b/>
          <w:bCs/>
          <w:color w:val="auto"/>
          <w:szCs w:val="21"/>
        </w:rPr>
        <w:t>”</w:t>
      </w:r>
      <w:r>
        <w:rPr>
          <w:rFonts w:hint="eastAsia"/>
          <w:b/>
          <w:bCs/>
          <w:color w:val="auto"/>
          <w:szCs w:val="21"/>
        </w:rPr>
        <w:t>标注的为政府强制采购产品。</w:t>
      </w:r>
    </w:p>
    <w:p w14:paraId="16AD1BB1">
      <w:pPr>
        <w:pStyle w:val="36"/>
        <w:rPr>
          <w:rFonts w:hint="eastAsia" w:ascii="宋体" w:hAnsi="宋体"/>
          <w:color w:val="auto"/>
          <w:szCs w:val="21"/>
        </w:rPr>
      </w:pPr>
      <w:r>
        <w:rPr>
          <w:color w:val="auto"/>
          <w:szCs w:val="21"/>
        </w:rPr>
        <w:br w:type="page"/>
      </w:r>
      <w:bookmarkStart w:id="36" w:name="_Toc2649"/>
      <w:r>
        <w:rPr>
          <w:rFonts w:hint="eastAsia" w:ascii="宋体" w:hAnsi="宋体" w:cs="宋体"/>
          <w:color w:val="auto"/>
          <w:sz w:val="44"/>
          <w:szCs w:val="44"/>
        </w:rPr>
        <w:t>第三章 采购需求</w:t>
      </w:r>
      <w:bookmarkEnd w:id="36"/>
    </w:p>
    <w:p w14:paraId="0A0C1C56">
      <w:pPr>
        <w:tabs>
          <w:tab w:val="left" w:pos="180"/>
          <w:tab w:val="left" w:pos="1620"/>
        </w:tabs>
        <w:spacing w:line="276" w:lineRule="auto"/>
        <w:ind w:firstLine="420" w:firstLineChars="200"/>
        <w:rPr>
          <w:rFonts w:hint="eastAsia" w:ascii="宋体" w:hAnsi="宋体"/>
          <w:color w:val="auto"/>
          <w:szCs w:val="21"/>
        </w:rPr>
      </w:pPr>
    </w:p>
    <w:p w14:paraId="0DA7CA37">
      <w:pPr>
        <w:tabs>
          <w:tab w:val="left" w:pos="180"/>
          <w:tab w:val="left" w:pos="1620"/>
        </w:tabs>
        <w:spacing w:line="276" w:lineRule="auto"/>
        <w:ind w:firstLine="420" w:firstLineChars="200"/>
        <w:rPr>
          <w:rFonts w:hint="eastAsia" w:ascii="宋体" w:hAnsi="宋体"/>
          <w:color w:val="auto"/>
          <w:szCs w:val="21"/>
        </w:rPr>
      </w:pPr>
      <w:r>
        <w:rPr>
          <w:rFonts w:hint="eastAsia" w:ascii="宋体" w:hAnsi="宋体"/>
          <w:color w:val="auto"/>
          <w:szCs w:val="21"/>
        </w:rPr>
        <w:t>说明：</w:t>
      </w:r>
    </w:p>
    <w:p w14:paraId="79055194">
      <w:pPr>
        <w:tabs>
          <w:tab w:val="left" w:pos="180"/>
          <w:tab w:val="left" w:pos="1620"/>
        </w:tabs>
        <w:spacing w:line="276" w:lineRule="auto"/>
        <w:ind w:firstLine="420" w:firstLineChars="200"/>
        <w:rPr>
          <w:rFonts w:hint="eastAsia" w:ascii="宋体" w:hAnsi="宋体"/>
          <w:color w:val="auto"/>
          <w:szCs w:val="21"/>
        </w:rPr>
      </w:pPr>
      <w:r>
        <w:rPr>
          <w:rFonts w:hint="eastAsia" w:ascii="宋体" w:hAnsi="宋体"/>
          <w:color w:val="auto"/>
          <w:szCs w:val="21"/>
        </w:rPr>
        <w:t>1、本项目需求表中的品牌型号仅起参考作用，竞标人可选用其他品牌型号替代，但这些替代的品牌型号要实质上相当于或优于参考品牌型号及其技术参数性能（配置）要求。</w:t>
      </w:r>
    </w:p>
    <w:p w14:paraId="5C17A468">
      <w:pPr>
        <w:tabs>
          <w:tab w:val="left" w:pos="180"/>
          <w:tab w:val="left" w:pos="1620"/>
        </w:tabs>
        <w:spacing w:line="276" w:lineRule="auto"/>
        <w:ind w:firstLine="420" w:firstLineChars="200"/>
        <w:rPr>
          <w:rFonts w:hint="eastAsia" w:ascii="宋体" w:hAnsi="宋体"/>
          <w:color w:val="auto"/>
          <w:szCs w:val="21"/>
        </w:rPr>
      </w:pPr>
      <w:r>
        <w:rPr>
          <w:rFonts w:hint="eastAsia" w:ascii="宋体" w:hAnsi="宋体"/>
          <w:color w:val="auto"/>
          <w:szCs w:val="21"/>
        </w:rPr>
        <w:t>2、</w:t>
      </w:r>
      <w:r>
        <w:rPr>
          <w:rFonts w:hint="eastAsia" w:ascii="宋体" w:hAnsi="宋体"/>
          <w:b/>
          <w:bCs/>
          <w:color w:val="auto"/>
          <w:szCs w:val="21"/>
        </w:rPr>
        <w:t>本项目需求表中带有“▲”的技术参数或要求为实质性要求，必须满足，竞标响应不得低于该技术指标或要求。</w:t>
      </w:r>
      <w:r>
        <w:rPr>
          <w:rFonts w:hint="eastAsia" w:ascii="宋体" w:hAnsi="宋体" w:cs="宋体"/>
          <w:b/>
          <w:bCs/>
          <w:color w:val="auto"/>
          <w:szCs w:val="21"/>
        </w:rPr>
        <w:t>未标注“▲”的参数或条款发生负偏离或不响</w:t>
      </w:r>
      <w:r>
        <w:rPr>
          <w:rFonts w:hint="eastAsia" w:ascii="宋体" w:hAnsi="宋体"/>
          <w:b/>
          <w:bCs/>
          <w:color w:val="auto"/>
          <w:szCs w:val="21"/>
        </w:rPr>
        <w:t>应合计达</w:t>
      </w:r>
      <w:r>
        <w:rPr>
          <w:rFonts w:hint="eastAsia" w:ascii="宋体" w:hAnsi="宋体"/>
          <w:b/>
          <w:bCs/>
          <w:color w:val="auto"/>
          <w:szCs w:val="21"/>
          <w:u w:val="single"/>
          <w:lang w:val="en-US" w:eastAsia="zh-CN"/>
        </w:rPr>
        <w:t xml:space="preserve"> 3 </w:t>
      </w:r>
      <w:r>
        <w:rPr>
          <w:rFonts w:hint="eastAsia" w:ascii="宋体" w:hAnsi="宋体"/>
          <w:b/>
          <w:bCs/>
          <w:color w:val="auto"/>
          <w:szCs w:val="21"/>
        </w:rPr>
        <w:t>项（</w:t>
      </w:r>
      <w:r>
        <w:rPr>
          <w:rFonts w:hint="eastAsia" w:ascii="宋体" w:hAnsi="宋体" w:cs="宋体"/>
          <w:b/>
          <w:bCs/>
          <w:color w:val="auto"/>
          <w:szCs w:val="21"/>
        </w:rPr>
        <w:t>含）以上的，响应无效。</w:t>
      </w:r>
    </w:p>
    <w:p w14:paraId="120B1D8C">
      <w:pPr>
        <w:tabs>
          <w:tab w:val="left" w:pos="180"/>
          <w:tab w:val="left" w:pos="1620"/>
        </w:tabs>
        <w:spacing w:line="276" w:lineRule="auto"/>
        <w:ind w:firstLine="420" w:firstLineChars="200"/>
        <w:rPr>
          <w:rFonts w:hint="eastAsia" w:ascii="宋体" w:hAnsi="宋体"/>
          <w:color w:val="auto"/>
          <w:szCs w:val="21"/>
        </w:rPr>
      </w:pPr>
      <w:r>
        <w:rPr>
          <w:rFonts w:hint="eastAsia" w:ascii="宋体" w:hAnsi="宋体"/>
          <w:color w:val="auto"/>
          <w:szCs w:val="21"/>
        </w:rPr>
        <w:t>3、根据财库〔2019〕9号及财库〔2019〕19号文件规定，台式计算机，便携式计算机、平板式微型计算机，激光打印机，针式打印机，液晶显示器，制冷压缩机（冷水机组、水源热泵机组、溴化锂吸收式冷水机组），空调机组[多联式空调（热泵）机组（制冷量＞14000W），单元式空气调节机（制冷量＞14000W）]，专用制冷、空调设备（机房空调），镇流器（管型荧光灯镇流器），空调机[房间空气调节器、多联式空调（热泵）机组（制冷量≤14000W）、单元式空气调节机（制冷量≤14000W）]，电热水器，普通照明用双端荧光灯，电视设备[普通电视设备（电视机）]，视频设备（视频监控设备、监视器），便器（坐便器、蹲便器、小便器），水嘴均为节能产品政府采购品目清单内标注“★”的品目，属于政府强制采购节能产品。若采购货物属于以上品目清单的产品时，竞标人的竞标货物必须使用政府强制采购的节能产品，竞标人必须在响应文件中提供由国家确定的认证机构出具的处于有效期之内的节能产品认证证书复印件（加盖竞标人公章），否则相应竞标无效。</w:t>
      </w:r>
    </w:p>
    <w:p w14:paraId="4F794FB0">
      <w:pPr>
        <w:tabs>
          <w:tab w:val="left" w:pos="180"/>
          <w:tab w:val="left" w:pos="1620"/>
        </w:tabs>
        <w:spacing w:line="276" w:lineRule="auto"/>
        <w:ind w:firstLine="420" w:firstLineChars="200"/>
        <w:rPr>
          <w:rFonts w:hint="eastAsia" w:ascii="宋体" w:hAnsi="宋体"/>
          <w:color w:val="auto"/>
          <w:szCs w:val="21"/>
        </w:rPr>
      </w:pPr>
      <w:r>
        <w:rPr>
          <w:rFonts w:hint="eastAsia" w:ascii="宋体" w:hAnsi="宋体"/>
          <w:color w:val="auto"/>
          <w:szCs w:val="21"/>
        </w:rPr>
        <w:t>4、供应商所竞标货物或服务如有国家相关标准、行业标准、地方标准或者其他标准、规范要求的按相关规定执行，若执行标准有修改或更新按最新版本执行。</w:t>
      </w:r>
    </w:p>
    <w:p w14:paraId="7BF2E5E1">
      <w:pPr>
        <w:tabs>
          <w:tab w:val="left" w:pos="180"/>
          <w:tab w:val="left" w:pos="1620"/>
        </w:tabs>
        <w:spacing w:line="276" w:lineRule="auto"/>
        <w:ind w:firstLine="420" w:firstLineChars="200"/>
        <w:rPr>
          <w:rFonts w:hint="eastAsia" w:ascii="宋体" w:hAnsi="宋体"/>
          <w:color w:val="auto"/>
          <w:szCs w:val="21"/>
        </w:rPr>
      </w:pPr>
      <w:r>
        <w:rPr>
          <w:rFonts w:hint="eastAsia" w:ascii="宋体" w:hAnsi="宋体"/>
          <w:color w:val="auto"/>
          <w:szCs w:val="21"/>
        </w:rPr>
        <w:t>5、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3069EBDD">
      <w:pPr>
        <w:tabs>
          <w:tab w:val="left" w:pos="180"/>
          <w:tab w:val="left" w:pos="1620"/>
        </w:tabs>
        <w:spacing w:line="276" w:lineRule="auto"/>
        <w:ind w:firstLine="420" w:firstLineChars="200"/>
        <w:rPr>
          <w:rFonts w:hint="eastAsia" w:ascii="宋体" w:hAnsi="宋体"/>
          <w:color w:val="auto"/>
          <w:szCs w:val="21"/>
        </w:rPr>
      </w:pPr>
      <w:r>
        <w:rPr>
          <w:rFonts w:hint="eastAsia" w:ascii="宋体" w:hAnsi="宋体"/>
          <w:color w:val="auto"/>
          <w:szCs w:val="21"/>
        </w:rPr>
        <w:t>6、采购标的对应的中小企业划分标准所属行业：根据《关于印发中小企业划型标准规定的通知》（工信部联企业〔2011〕300号），本次采购标的属于：</w:t>
      </w:r>
      <w:r>
        <w:rPr>
          <w:rFonts w:hint="eastAsia" w:ascii="宋体" w:hAnsi="宋体"/>
          <w:b/>
          <w:bCs/>
          <w:color w:val="auto"/>
          <w:szCs w:val="21"/>
          <w:u w:val="single"/>
        </w:rPr>
        <w:t>工业</w:t>
      </w:r>
      <w:r>
        <w:rPr>
          <w:rFonts w:hint="eastAsia" w:ascii="宋体" w:hAnsi="宋体"/>
          <w:color w:val="auto"/>
          <w:szCs w:val="21"/>
        </w:rPr>
        <w:t>。</w:t>
      </w:r>
    </w:p>
    <w:p w14:paraId="6A8A5254">
      <w:pPr>
        <w:pStyle w:val="54"/>
        <w:ind w:firstLine="640"/>
        <w:rPr>
          <w:rFonts w:hint="eastAsia" w:ascii="宋体" w:hAnsi="宋体"/>
          <w:color w:val="auto"/>
          <w:szCs w:val="21"/>
        </w:rPr>
      </w:pPr>
    </w:p>
    <w:p w14:paraId="57854093">
      <w:pPr>
        <w:spacing w:line="500" w:lineRule="exact"/>
        <w:ind w:firstLine="422" w:firstLineChars="200"/>
        <w:rPr>
          <w:b/>
          <w:color w:val="auto"/>
        </w:rPr>
      </w:pPr>
      <w:r>
        <w:rPr>
          <w:rFonts w:hint="eastAsia" w:ascii="宋体" w:hAnsi="宋体"/>
          <w:b/>
          <w:color w:val="auto"/>
          <w:szCs w:val="21"/>
        </w:rPr>
        <w:t>本项目采购预算1,751,852.00元</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7"/>
        <w:gridCol w:w="1277"/>
        <w:gridCol w:w="496"/>
        <w:gridCol w:w="459"/>
        <w:gridCol w:w="6848"/>
      </w:tblGrid>
      <w:tr w14:paraId="22876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2E0B1BFF">
            <w:pPr>
              <w:tabs>
                <w:tab w:val="left" w:pos="180"/>
                <w:tab w:val="left" w:pos="1620"/>
              </w:tabs>
              <w:spacing w:line="4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序号</w:t>
            </w:r>
          </w:p>
        </w:tc>
        <w:tc>
          <w:tcPr>
            <w:tcW w:w="1277" w:type="dxa"/>
            <w:vAlign w:val="center"/>
          </w:tcPr>
          <w:p w14:paraId="7B3DE23F">
            <w:pPr>
              <w:tabs>
                <w:tab w:val="left" w:pos="180"/>
                <w:tab w:val="left" w:pos="1620"/>
              </w:tabs>
              <w:spacing w:line="4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标的名称</w:t>
            </w:r>
          </w:p>
        </w:tc>
        <w:tc>
          <w:tcPr>
            <w:tcW w:w="496" w:type="dxa"/>
            <w:vAlign w:val="center"/>
          </w:tcPr>
          <w:p w14:paraId="101D7836">
            <w:pPr>
              <w:tabs>
                <w:tab w:val="left" w:pos="180"/>
                <w:tab w:val="left" w:pos="1620"/>
              </w:tabs>
              <w:spacing w:line="4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数量</w:t>
            </w:r>
          </w:p>
        </w:tc>
        <w:tc>
          <w:tcPr>
            <w:tcW w:w="459" w:type="dxa"/>
            <w:vAlign w:val="center"/>
          </w:tcPr>
          <w:p w14:paraId="559963B1">
            <w:pPr>
              <w:tabs>
                <w:tab w:val="left" w:pos="180"/>
                <w:tab w:val="left" w:pos="1620"/>
              </w:tabs>
              <w:spacing w:line="4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单位</w:t>
            </w:r>
          </w:p>
        </w:tc>
        <w:tc>
          <w:tcPr>
            <w:tcW w:w="6848" w:type="dxa"/>
            <w:vAlign w:val="center"/>
          </w:tcPr>
          <w:p w14:paraId="7892605A">
            <w:pPr>
              <w:tabs>
                <w:tab w:val="left" w:pos="180"/>
                <w:tab w:val="left" w:pos="1620"/>
              </w:tabs>
              <w:spacing w:line="4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技术参数及性能配置要求</w:t>
            </w:r>
          </w:p>
        </w:tc>
      </w:tr>
      <w:tr w14:paraId="15C3C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3EC16CC4">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1D76781E">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紫外可见分光光度计</w:t>
            </w:r>
          </w:p>
        </w:tc>
        <w:tc>
          <w:tcPr>
            <w:tcW w:w="496" w:type="dxa"/>
            <w:vAlign w:val="center"/>
          </w:tcPr>
          <w:p w14:paraId="64EAD35D">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3</w:t>
            </w:r>
          </w:p>
        </w:tc>
        <w:tc>
          <w:tcPr>
            <w:tcW w:w="459" w:type="dxa"/>
            <w:vAlign w:val="center"/>
          </w:tcPr>
          <w:p w14:paraId="1FBB8708">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c>
          <w:tcPr>
            <w:tcW w:w="6848" w:type="dxa"/>
            <w:vAlign w:val="center"/>
          </w:tcPr>
          <w:p w14:paraId="20168681">
            <w:pPr>
              <w:keepNext w:val="0"/>
              <w:keepLines w:val="0"/>
              <w:pageBreakBefore w:val="0"/>
              <w:widowControl/>
              <w:kinsoku/>
              <w:wordWrap/>
              <w:overflowPunct/>
              <w:topLinePunct w:val="0"/>
              <w:autoSpaceDE/>
              <w:autoSpaceDN/>
              <w:bidi w:val="0"/>
              <w:adjustRightInd/>
              <w:snapToGrid/>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1.仪器技术参数</w:t>
            </w:r>
          </w:p>
          <w:p w14:paraId="382A565A">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1.1仪器采用128*64位点阵式液晶显示器，可直接显示标准曲线和测试数据，显示清晰，读数准确。</w:t>
            </w:r>
          </w:p>
          <w:p w14:paraId="065FD6B0">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1.2可连续测试和存储不少于200组数据，每屏可显示5组</w:t>
            </w:r>
          </w:p>
          <w:p w14:paraId="2B687B29">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1.3</w:t>
            </w:r>
            <w:r>
              <w:rPr>
                <w:rFonts w:hint="eastAsia" w:ascii="宋体" w:hAnsi="宋体" w:cs="宋体"/>
                <w:color w:val="auto"/>
                <w:kern w:val="0"/>
                <w:sz w:val="21"/>
                <w:szCs w:val="21"/>
                <w:lang w:val="en-US" w:eastAsia="zh-CN"/>
              </w:rPr>
              <w:t xml:space="preserve"> </w:t>
            </w:r>
            <w:r>
              <w:rPr>
                <w:rFonts w:hint="eastAsia" w:ascii="宋体" w:hAnsi="宋体" w:eastAsia="宋体" w:cs="宋体"/>
                <w:color w:val="auto"/>
                <w:kern w:val="0"/>
                <w:sz w:val="21"/>
                <w:szCs w:val="21"/>
              </w:rPr>
              <w:t xml:space="preserve"> C模式（标准曲线法）下，能直接建立多点标准曲线，并可用所建标准曲线进行未知样浓度测试</w:t>
            </w:r>
          </w:p>
          <w:p w14:paraId="56772932">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1.4可存储不少于200条标准曲线，根据编号可随意调用</w:t>
            </w:r>
          </w:p>
          <w:p w14:paraId="1D5D0D4C">
            <w:pPr>
              <w:keepNext w:val="0"/>
              <w:keepLines w:val="0"/>
              <w:pageBreakBefore w:val="0"/>
              <w:widowControl/>
              <w:kinsoku/>
              <w:wordWrap/>
              <w:overflowPunct/>
              <w:topLinePunct w:val="0"/>
              <w:autoSpaceDE/>
              <w:autoSpaceDN/>
              <w:bidi w:val="0"/>
              <w:adjustRightInd/>
              <w:snapToGrid/>
              <w:spacing w:line="440" w:lineRule="exact"/>
              <w:ind w:firstLine="422"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b/>
                <w:bCs/>
                <w:color w:val="auto"/>
                <w:sz w:val="21"/>
                <w:szCs w:val="21"/>
              </w:rPr>
              <w:t>▲</w:t>
            </w:r>
            <w:r>
              <w:rPr>
                <w:rFonts w:hint="eastAsia" w:ascii="宋体" w:hAnsi="宋体" w:eastAsia="宋体" w:cs="宋体"/>
                <w:color w:val="auto"/>
                <w:kern w:val="0"/>
                <w:sz w:val="21"/>
                <w:szCs w:val="21"/>
              </w:rPr>
              <w:t>1.5法兰基座式氘灯设计，换灯免光学调试</w:t>
            </w:r>
          </w:p>
          <w:p w14:paraId="785F6AB4">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1.6配有标准的USB数据输出接口和并行打印输出接口，方便联机操作和打印数据</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2.仪器主要技术参数：</w:t>
            </w:r>
          </w:p>
          <w:p w14:paraId="26C6CC56">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2.1波长范围：190-1000nm</w:t>
            </w:r>
          </w:p>
          <w:p w14:paraId="43475FA1">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2.2光谱带宽：4nm</w:t>
            </w:r>
          </w:p>
          <w:p w14:paraId="24067888">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2.3波长准确度：±2nm</w:t>
            </w:r>
          </w:p>
          <w:p w14:paraId="075642DE">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2.4波长重复性：≤0.5nm</w:t>
            </w:r>
          </w:p>
          <w:p w14:paraId="7D96EF7E">
            <w:pPr>
              <w:keepNext w:val="0"/>
              <w:keepLines w:val="0"/>
              <w:pageBreakBefore w:val="0"/>
              <w:widowControl/>
              <w:kinsoku/>
              <w:wordWrap/>
              <w:overflowPunct/>
              <w:topLinePunct w:val="0"/>
              <w:autoSpaceDE/>
              <w:autoSpaceDN/>
              <w:bidi w:val="0"/>
              <w:adjustRightInd/>
              <w:snapToGrid/>
              <w:spacing w:line="440" w:lineRule="exact"/>
              <w:ind w:firstLine="422"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b/>
                <w:bCs/>
                <w:color w:val="auto"/>
                <w:sz w:val="21"/>
                <w:szCs w:val="21"/>
              </w:rPr>
              <w:t>▲</w:t>
            </w:r>
            <w:r>
              <w:rPr>
                <w:rFonts w:hint="eastAsia" w:ascii="宋体" w:hAnsi="宋体" w:eastAsia="宋体" w:cs="宋体"/>
                <w:color w:val="auto"/>
                <w:kern w:val="0"/>
                <w:sz w:val="21"/>
                <w:szCs w:val="21"/>
              </w:rPr>
              <w:t>2.5波长设置方式：自动</w:t>
            </w:r>
          </w:p>
          <w:p w14:paraId="25037746">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xml:space="preserve">2.6波长分辨率：0.1nm </w:t>
            </w:r>
          </w:p>
          <w:p w14:paraId="6B40EDB4">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xml:space="preserve">2.7光度准确度：±0.5%T </w:t>
            </w:r>
          </w:p>
          <w:p w14:paraId="61A767F4">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2.8光度重复性：≤0.3%T</w:t>
            </w:r>
          </w:p>
          <w:p w14:paraId="19EDDE53">
            <w:pPr>
              <w:keepNext w:val="0"/>
              <w:keepLines w:val="0"/>
              <w:pageBreakBefore w:val="0"/>
              <w:widowControl/>
              <w:kinsoku/>
              <w:wordWrap/>
              <w:overflowPunct/>
              <w:topLinePunct w:val="0"/>
              <w:autoSpaceDE/>
              <w:autoSpaceDN/>
              <w:bidi w:val="0"/>
              <w:adjustRightInd/>
              <w:snapToGrid/>
              <w:spacing w:line="440" w:lineRule="exact"/>
              <w:ind w:firstLine="422"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b/>
                <w:bCs/>
                <w:color w:val="auto"/>
                <w:sz w:val="21"/>
                <w:szCs w:val="21"/>
              </w:rPr>
              <w:t>▲</w:t>
            </w:r>
            <w:r>
              <w:rPr>
                <w:rFonts w:hint="eastAsia" w:ascii="宋体" w:hAnsi="宋体" w:eastAsia="宋体" w:cs="宋体"/>
                <w:color w:val="auto"/>
                <w:kern w:val="0"/>
                <w:sz w:val="21"/>
                <w:szCs w:val="21"/>
              </w:rPr>
              <w:t>2.9杂散光：≤0.1%T</w:t>
            </w:r>
          </w:p>
          <w:p w14:paraId="7524918D">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2.10稳定性：±0.002A/30min（500nm预热后）</w:t>
            </w:r>
          </w:p>
          <w:p w14:paraId="36C0E4D2">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2.11光度范围：0-200%T、-0.3-3A、0-9999C</w:t>
            </w:r>
          </w:p>
          <w:p w14:paraId="5E194370">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2.12显示系统：128*64位大屏幕LCD</w:t>
            </w:r>
          </w:p>
          <w:p w14:paraId="741C952A">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2.13光源：钨灯、氘灯</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3.仪器配置：</w:t>
            </w:r>
          </w:p>
          <w:p w14:paraId="4F6F56FA">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xml:space="preserve">3.1主机一台       </w:t>
            </w:r>
          </w:p>
          <w:p w14:paraId="4E6C345D">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3.2</w:t>
            </w:r>
            <w:r>
              <w:rPr>
                <w:rFonts w:hint="eastAsia" w:ascii="宋体" w:hAnsi="宋体" w:cs="宋体"/>
                <w:color w:val="auto"/>
                <w:kern w:val="0"/>
                <w:sz w:val="21"/>
                <w:szCs w:val="21"/>
                <w:lang w:val="en-US" w:eastAsia="zh-CN"/>
              </w:rPr>
              <w:t xml:space="preserve">  </w:t>
            </w:r>
            <w:r>
              <w:rPr>
                <w:rFonts w:hint="eastAsia" w:ascii="宋体" w:hAnsi="宋体" w:eastAsia="宋体" w:cs="宋体"/>
                <w:color w:val="auto"/>
                <w:kern w:val="0"/>
                <w:sz w:val="21"/>
                <w:szCs w:val="21"/>
              </w:rPr>
              <w:t xml:space="preserve">10mm玻璃比色一盒（4只）    </w:t>
            </w:r>
          </w:p>
          <w:p w14:paraId="5F0EE589">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3.3</w:t>
            </w:r>
            <w:r>
              <w:rPr>
                <w:rFonts w:hint="eastAsia" w:ascii="宋体" w:hAnsi="宋体" w:cs="宋体"/>
                <w:color w:val="auto"/>
                <w:kern w:val="0"/>
                <w:sz w:val="21"/>
                <w:szCs w:val="21"/>
                <w:lang w:val="en-US" w:eastAsia="zh-CN"/>
              </w:rPr>
              <w:t xml:space="preserve">  </w:t>
            </w:r>
            <w:r>
              <w:rPr>
                <w:rFonts w:hint="eastAsia" w:ascii="宋体" w:hAnsi="宋体" w:eastAsia="宋体" w:cs="宋体"/>
                <w:color w:val="auto"/>
                <w:kern w:val="0"/>
                <w:sz w:val="21"/>
                <w:szCs w:val="21"/>
              </w:rPr>
              <w:t xml:space="preserve">10mm石英比色皿一盒（2只）    </w:t>
            </w:r>
          </w:p>
          <w:p w14:paraId="40F8DEE5">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xml:space="preserve">3.4使用手册一份              </w:t>
            </w:r>
          </w:p>
          <w:p w14:paraId="705D5655">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xml:space="preserve">3.5电源线一根                      </w:t>
            </w:r>
          </w:p>
          <w:p w14:paraId="7837F520">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3.6防尘罩一个</w:t>
            </w:r>
          </w:p>
        </w:tc>
      </w:tr>
      <w:tr w14:paraId="0613F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12D51B5B">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14872CA8">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超纯水机</w:t>
            </w:r>
          </w:p>
        </w:tc>
        <w:tc>
          <w:tcPr>
            <w:tcW w:w="496" w:type="dxa"/>
            <w:vAlign w:val="center"/>
          </w:tcPr>
          <w:p w14:paraId="20C8DE28">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459" w:type="dxa"/>
            <w:vAlign w:val="center"/>
          </w:tcPr>
          <w:p w14:paraId="54FF760D">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c>
          <w:tcPr>
            <w:tcW w:w="6848" w:type="dxa"/>
            <w:vAlign w:val="center"/>
          </w:tcPr>
          <w:p w14:paraId="6760C289">
            <w:pPr>
              <w:widowControl/>
              <w:spacing w:line="4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1.进水水源：城市自来水（水温1—40℃ 水压1—5㎏ TDS﹤300ppm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2.出水水质：超纯化水电导率≤0.1μS/cm@25℃；电阻率：5-16ΜΩ·cm@25℃ ；水质标准达到中国国家实验室用水（GB/T 6682-2008）一级水标准；优于多次蒸馏水；吸光度（254nm,1cm光程）≤0.01；</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3.制 水 量：10L/h</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4.电源：220V/50Hz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5.功率:50W </w:t>
            </w:r>
          </w:p>
        </w:tc>
      </w:tr>
      <w:tr w14:paraId="3086B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481B24F3">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5465514C">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电子天平（百分之一）</w:t>
            </w:r>
          </w:p>
        </w:tc>
        <w:tc>
          <w:tcPr>
            <w:tcW w:w="496" w:type="dxa"/>
            <w:vAlign w:val="center"/>
          </w:tcPr>
          <w:p w14:paraId="4DECB457">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4</w:t>
            </w:r>
          </w:p>
        </w:tc>
        <w:tc>
          <w:tcPr>
            <w:tcW w:w="459" w:type="dxa"/>
            <w:vAlign w:val="center"/>
          </w:tcPr>
          <w:p w14:paraId="0CCF3E62">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c>
          <w:tcPr>
            <w:tcW w:w="6848" w:type="dxa"/>
            <w:vAlign w:val="center"/>
          </w:tcPr>
          <w:p w14:paraId="0598E1BD">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1.最大秤量:620 g</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2.可读性:0.01 g</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3.秤盘尺寸:145 mm</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4.电池寿命:使用干电池可工作不少于270小时</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5.外形尺寸:</w:t>
            </w:r>
            <w:r>
              <w:rPr>
                <w:rFonts w:hint="eastAsia" w:ascii="宋体" w:hAnsi="宋体" w:eastAsia="宋体" w:cs="宋体"/>
                <w:color w:val="auto"/>
                <w:sz w:val="21"/>
                <w:szCs w:val="21"/>
              </w:rPr>
              <w:t>≥</w:t>
            </w:r>
            <w:r>
              <w:rPr>
                <w:rFonts w:hint="eastAsia" w:ascii="宋体" w:hAnsi="宋体" w:eastAsia="宋体" w:cs="宋体"/>
                <w:color w:val="auto"/>
                <w:kern w:val="0"/>
                <w:sz w:val="21"/>
                <w:szCs w:val="21"/>
              </w:rPr>
              <w:t>230 mm x 70 mm x 204 mm (长x高x宽)</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6.显示屏:带白色背光的LCD显示屏</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7.线性误差（典型）:± 0.02 g</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8.净重:≥1 kg</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9.秤盘结构：普通不锈钢</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10.电源: 11.AC电源（标配）</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11.重复性（典型）:0.02 g</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12.稳定时间:1.5 s</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13.皮重范围:满量程去皮功能</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14.计量单位:两（新加坡）；盎司（金衡制）；本尼威特；谷物；提卡；磅；盎司；牛顿；两（中国台湾）；克；两（中国香港）；磅；拖拉；克拉；盎司</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15.工作环境:0°C – 40°C, 85%RH, 非冷凝应用</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16.基本称量，计件称量, 百分比称量, 检重称量</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17.显示屏：背光液晶显示屏(LCD)</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18.电源：标配AC 适配器</w:t>
            </w:r>
          </w:p>
          <w:p w14:paraId="5518C29C">
            <w:pPr>
              <w:widowControl/>
              <w:spacing w:line="4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19.通讯：RS232，USB</w:t>
            </w:r>
          </w:p>
          <w:p w14:paraId="31EEC84B">
            <w:pPr>
              <w:widowControl/>
              <w:spacing w:line="4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20.结构：ABS塑料外壳，不锈钢秤盘，运输保护锁，可调防滑底座，水平显示泡</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21.设计特点：菜单和校准保护锁，机械和软件过载保护，读数稳定指示器，电池电量低指示器，自动关机，用户可设定打印选项，用户可设定通讯设置</w:t>
            </w:r>
          </w:p>
        </w:tc>
      </w:tr>
      <w:tr w14:paraId="40E3B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3ADF31DD">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1F88CFB1">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电子天平（万分之一）</w:t>
            </w:r>
          </w:p>
        </w:tc>
        <w:tc>
          <w:tcPr>
            <w:tcW w:w="496" w:type="dxa"/>
            <w:vAlign w:val="center"/>
          </w:tcPr>
          <w:p w14:paraId="5E947C0F">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459" w:type="dxa"/>
            <w:vAlign w:val="center"/>
          </w:tcPr>
          <w:p w14:paraId="01684596">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c>
          <w:tcPr>
            <w:tcW w:w="6848" w:type="dxa"/>
            <w:vAlign w:val="center"/>
          </w:tcPr>
          <w:p w14:paraId="184241D1">
            <w:pPr>
              <w:widowControl/>
              <w:spacing w:line="4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 xml:space="preserve">1.称盘尺寸: </w:t>
            </w:r>
            <w:r>
              <w:rPr>
                <w:rFonts w:hint="eastAsia" w:ascii="宋体" w:hAnsi="宋体" w:eastAsia="宋体" w:cs="宋体"/>
                <w:color w:val="auto"/>
                <w:sz w:val="21"/>
                <w:szCs w:val="21"/>
              </w:rPr>
              <w:t>≥</w:t>
            </w:r>
            <w:r>
              <w:rPr>
                <w:rFonts w:hint="eastAsia" w:ascii="宋体" w:hAnsi="宋体" w:eastAsia="宋体" w:cs="宋体"/>
                <w:color w:val="auto"/>
                <w:kern w:val="0"/>
                <w:sz w:val="21"/>
                <w:szCs w:val="21"/>
              </w:rPr>
              <w:t>直径90mm</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2.称重能力：</w:t>
            </w:r>
            <w:r>
              <w:rPr>
                <w:rFonts w:hint="eastAsia" w:ascii="宋体" w:hAnsi="宋体" w:eastAsia="宋体" w:cs="宋体"/>
                <w:color w:val="auto"/>
                <w:sz w:val="21"/>
                <w:szCs w:val="21"/>
              </w:rPr>
              <w:t>≥</w:t>
            </w:r>
            <w:r>
              <w:rPr>
                <w:rFonts w:hint="eastAsia" w:ascii="宋体" w:hAnsi="宋体" w:eastAsia="宋体" w:cs="宋体"/>
                <w:color w:val="auto"/>
                <w:kern w:val="0"/>
                <w:sz w:val="21"/>
                <w:szCs w:val="21"/>
              </w:rPr>
              <w:t>220g</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3.可读性: 0.1 mg</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4.重复性: 0.1 mg</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5.线性误差：±0.2mg</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6.稳定时间：≤2S</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7.校准方式：外部校准。</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8.温漂(PPM/K)：±3</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9.典型最小称量值(USP K=2, U=0.10%)：200mg</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10.最佳最小称量值(USP, U=0.10%, K=2) SRP≤0.41d*：82mg</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11.防风罩: 5面玻璃风罩，方便拆卸</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12.显示屏：可调亮度的超宽背光LCD双行显示屏，显示天平菜单信息及操作步骤提示，方便操作。支持中文显示操作界面，及不少于10种操作语言包括中文、英文、日语、韩语、德语、法语、意大利语、波兰语、西班牙语、土耳其语等。</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13.标配：RS232和USB接口，GLP/GMP实时时钟输出，方便与电脑、PLC、打印机通讯。</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14.系统带量程指示条，可编辑项目ID和用户ID，超载/负载提示</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15.称量模式:基础称量、计件称量、百分比称量、检重称重、动物称量、密度测定，下挂式称量，称量指示条。</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16.称量室上方标配红色ESR静电消除条，称量前触摸静电消除条，可去除人体静电，避免人体静电对称量的影响。</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17.铝压铸金属基座，不锈钢立柱，不锈钢秤盘和防风圈，防盗锁，坚固耐用</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18.通讯兼容命令：天平称量信息输出格式兼容其他品牌</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19.可选环境滤波参数，动态温度补偿</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20.基本配置：主机、密度组件、电源线和说明书等。</w:t>
            </w:r>
          </w:p>
        </w:tc>
      </w:tr>
      <w:tr w14:paraId="145BB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7BD0D8F0">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161F5A56">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酶标分析仪</w:t>
            </w:r>
          </w:p>
        </w:tc>
        <w:tc>
          <w:tcPr>
            <w:tcW w:w="496" w:type="dxa"/>
            <w:vAlign w:val="center"/>
          </w:tcPr>
          <w:p w14:paraId="4BD9657D">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459" w:type="dxa"/>
            <w:vAlign w:val="center"/>
          </w:tcPr>
          <w:p w14:paraId="6E175ADA">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c>
          <w:tcPr>
            <w:tcW w:w="6848" w:type="dxa"/>
            <w:vAlign w:val="center"/>
          </w:tcPr>
          <w:p w14:paraId="5D7B9114">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1.基于光栅单色器的适用96和384孔板光吸收的全波长酶标分析仪；</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2.显示：≥10寸高分辨电容触摸屏；</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3.光源：氙闪灯/闪烁次数≥10</w:t>
            </w:r>
            <w:r>
              <w:rPr>
                <w:rFonts w:hint="eastAsia" w:ascii="宋体" w:hAnsi="宋体" w:eastAsia="宋体" w:cs="宋体"/>
                <w:color w:val="auto"/>
                <w:kern w:val="0"/>
                <w:sz w:val="21"/>
                <w:szCs w:val="21"/>
                <w:vertAlign w:val="superscript"/>
              </w:rPr>
              <w:t>9</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4.波长范围：200 - 1000 nm，光栅单色器，1nm步进；</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5.检测系统：≥2个硅光电检测管；</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6.读数范围：0-4OD；</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7.准确性@450nm：± (1.0% + 0.003A) , (0 - 2.0]；± 2.0% , (2.0 - 2.5]；</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8.重复性@450nm：CV ≤ 0.5%  精度模式；CV ≤ 1.0%  快速模式；</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9.测量速度：96孔板：快速模式≤8秒， 精确模式≤28秒（终点法）；</w:t>
            </w:r>
            <w:r>
              <w:rPr>
                <w:rFonts w:hint="eastAsia" w:ascii="宋体" w:hAnsi="宋体" w:eastAsia="宋体" w:cs="宋体"/>
                <w:color w:val="auto"/>
                <w:kern w:val="0"/>
                <w:sz w:val="21"/>
                <w:szCs w:val="21"/>
              </w:rPr>
              <w:br w:type="textWrapping"/>
            </w:r>
            <w:r>
              <w:rPr>
                <w:rFonts w:hint="eastAsia" w:ascii="宋体" w:hAnsi="宋体" w:eastAsia="宋体" w:cs="宋体"/>
                <w:b/>
                <w:bCs/>
                <w:color w:val="auto"/>
                <w:sz w:val="21"/>
                <w:szCs w:val="21"/>
              </w:rPr>
              <w:t>▲</w:t>
            </w:r>
            <w:r>
              <w:rPr>
                <w:rFonts w:hint="eastAsia" w:ascii="宋体" w:hAnsi="宋体" w:eastAsia="宋体" w:cs="宋体"/>
                <w:color w:val="auto"/>
                <w:kern w:val="0"/>
                <w:sz w:val="21"/>
                <w:szCs w:val="21"/>
              </w:rPr>
              <w:t>10.振荡：线性振荡，不少于3种速度可调，动力学过程可执行首次震荡或每次震荡，也可连续或间隔震荡(</w:t>
            </w:r>
            <w:r>
              <w:rPr>
                <w:rFonts w:hint="eastAsia" w:ascii="宋体" w:hAnsi="宋体" w:eastAsia="宋体" w:cs="宋体"/>
                <w:color w:val="auto"/>
                <w:sz w:val="21"/>
                <w:szCs w:val="21"/>
              </w:rPr>
              <w:t>竞标时</w:t>
            </w:r>
            <w:r>
              <w:rPr>
                <w:rFonts w:hint="eastAsia" w:ascii="宋体" w:hAnsi="宋体" w:eastAsia="宋体" w:cs="宋体"/>
                <w:color w:val="auto"/>
                <w:kern w:val="0"/>
                <w:sz w:val="21"/>
                <w:szCs w:val="21"/>
              </w:rPr>
              <w:t>需提供符合本项参数的软件相应功能的截图，并加盖竞标供应商公章）；</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11.温度范围及均匀性：室温+4℃ 至 45℃；±0.5℃在37℃下，孔间差（有盖96孔板）；</w:t>
            </w:r>
            <w:r>
              <w:rPr>
                <w:rFonts w:hint="eastAsia" w:ascii="宋体" w:hAnsi="宋体" w:eastAsia="宋体" w:cs="宋体"/>
                <w:color w:val="auto"/>
                <w:kern w:val="0"/>
                <w:sz w:val="21"/>
                <w:szCs w:val="21"/>
              </w:rPr>
              <w:br w:type="textWrapping"/>
            </w:r>
            <w:r>
              <w:rPr>
                <w:rFonts w:hint="eastAsia" w:ascii="宋体" w:hAnsi="宋体" w:eastAsia="宋体" w:cs="宋体"/>
                <w:b/>
                <w:bCs/>
                <w:color w:val="auto"/>
                <w:sz w:val="21"/>
                <w:szCs w:val="21"/>
              </w:rPr>
              <w:t>▲</w:t>
            </w:r>
            <w:r>
              <w:rPr>
                <w:rFonts w:hint="eastAsia" w:ascii="宋体" w:hAnsi="宋体" w:eastAsia="宋体" w:cs="宋体"/>
                <w:color w:val="auto"/>
                <w:kern w:val="0"/>
                <w:sz w:val="21"/>
                <w:szCs w:val="21"/>
              </w:rPr>
              <w:t>12.操作系统：兼顾安卓及Windows双系统(</w:t>
            </w:r>
            <w:r>
              <w:rPr>
                <w:rFonts w:hint="eastAsia" w:ascii="宋体" w:hAnsi="宋体" w:eastAsia="宋体" w:cs="宋体"/>
                <w:color w:val="auto"/>
                <w:sz w:val="21"/>
                <w:szCs w:val="21"/>
              </w:rPr>
              <w:t>竞标时</w:t>
            </w:r>
            <w:r>
              <w:rPr>
                <w:rFonts w:hint="eastAsia" w:ascii="宋体" w:hAnsi="宋体" w:eastAsia="宋体" w:cs="宋体"/>
                <w:color w:val="auto"/>
                <w:kern w:val="0"/>
                <w:sz w:val="21"/>
                <w:szCs w:val="21"/>
              </w:rPr>
              <w:t>需提供符合本项参数的软件相应功能的截图，并加盖竞标供应商公章）；</w:t>
            </w:r>
            <w:r>
              <w:rPr>
                <w:rFonts w:hint="eastAsia" w:ascii="宋体" w:hAnsi="宋体" w:eastAsia="宋体" w:cs="宋体"/>
                <w:color w:val="auto"/>
                <w:kern w:val="0"/>
                <w:sz w:val="21"/>
                <w:szCs w:val="21"/>
              </w:rPr>
              <w:br w:type="textWrapping"/>
            </w:r>
            <w:r>
              <w:rPr>
                <w:rFonts w:hint="eastAsia" w:ascii="宋体" w:hAnsi="宋体" w:eastAsia="宋体" w:cs="宋体"/>
                <w:b/>
                <w:bCs/>
                <w:color w:val="auto"/>
                <w:sz w:val="21"/>
                <w:szCs w:val="21"/>
              </w:rPr>
              <w:t>▲</w:t>
            </w:r>
            <w:r>
              <w:rPr>
                <w:rFonts w:hint="eastAsia" w:ascii="宋体" w:hAnsi="宋体" w:eastAsia="宋体" w:cs="宋体"/>
                <w:color w:val="auto"/>
                <w:kern w:val="0"/>
                <w:sz w:val="21"/>
                <w:szCs w:val="21"/>
              </w:rPr>
              <w:t>13.拥有FTP文件传输功能，可在相同局域网下，实时将仪器数据传至电脑(</w:t>
            </w:r>
            <w:r>
              <w:rPr>
                <w:rFonts w:hint="eastAsia" w:ascii="宋体" w:hAnsi="宋体" w:eastAsia="宋体" w:cs="宋体"/>
                <w:color w:val="auto"/>
                <w:sz w:val="21"/>
                <w:szCs w:val="21"/>
              </w:rPr>
              <w:t>竞标时</w:t>
            </w:r>
            <w:r>
              <w:rPr>
                <w:rFonts w:hint="eastAsia" w:ascii="宋体" w:hAnsi="宋体" w:eastAsia="宋体" w:cs="宋体"/>
                <w:color w:val="auto"/>
                <w:kern w:val="0"/>
                <w:sz w:val="21"/>
                <w:szCs w:val="21"/>
              </w:rPr>
              <w:t>需提供符合本项参数的软件相应功能的截图，并加盖竞标供应商公章）；</w:t>
            </w:r>
            <w:r>
              <w:rPr>
                <w:rFonts w:hint="eastAsia" w:ascii="宋体" w:hAnsi="宋体" w:eastAsia="宋体" w:cs="宋体"/>
                <w:color w:val="auto"/>
                <w:kern w:val="0"/>
                <w:sz w:val="21"/>
                <w:szCs w:val="21"/>
              </w:rPr>
              <w:br w:type="textWrapping"/>
            </w:r>
            <w:r>
              <w:rPr>
                <w:rFonts w:hint="eastAsia" w:ascii="宋体" w:hAnsi="宋体" w:eastAsia="宋体" w:cs="宋体"/>
                <w:b/>
                <w:bCs/>
                <w:color w:val="auto"/>
                <w:sz w:val="21"/>
                <w:szCs w:val="21"/>
              </w:rPr>
              <w:t>▲</w:t>
            </w:r>
            <w:r>
              <w:rPr>
                <w:rFonts w:hint="eastAsia" w:ascii="宋体" w:hAnsi="宋体" w:eastAsia="宋体" w:cs="宋体"/>
                <w:color w:val="auto"/>
                <w:kern w:val="0"/>
                <w:sz w:val="21"/>
                <w:szCs w:val="21"/>
              </w:rPr>
              <w:t>14.仪器自身可同时链接鼠标与键盘，并可操作仪器；</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15.单个运行程序可一次性生成不少于49条标曲；</w:t>
            </w:r>
            <w:r>
              <w:rPr>
                <w:rFonts w:hint="eastAsia" w:ascii="宋体" w:hAnsi="宋体" w:eastAsia="宋体" w:cs="宋体"/>
                <w:color w:val="auto"/>
                <w:kern w:val="0"/>
                <w:sz w:val="21"/>
                <w:szCs w:val="21"/>
              </w:rPr>
              <w:br w:type="textWrapping"/>
            </w:r>
            <w:r>
              <w:rPr>
                <w:rFonts w:hint="eastAsia" w:ascii="宋体" w:hAnsi="宋体" w:eastAsia="宋体" w:cs="宋体"/>
                <w:b/>
                <w:bCs/>
                <w:color w:val="auto"/>
                <w:sz w:val="21"/>
                <w:szCs w:val="21"/>
              </w:rPr>
              <w:t>▲</w:t>
            </w:r>
            <w:r>
              <w:rPr>
                <w:rFonts w:hint="eastAsia" w:ascii="宋体" w:hAnsi="宋体" w:eastAsia="宋体" w:cs="宋体"/>
                <w:color w:val="auto"/>
                <w:kern w:val="0"/>
                <w:sz w:val="21"/>
                <w:szCs w:val="21"/>
              </w:rPr>
              <w:t>16.仪器带有深度校准功能，包括位置自动校准、光栅自动校准及光强自动增益功能，用户可手动开启，阶段性对仪器进行检查；</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17.用户管理系统，仪器可设置≥20个用户，独立账户与密码；</w:t>
            </w:r>
            <w:r>
              <w:rPr>
                <w:rFonts w:hint="eastAsia" w:ascii="宋体" w:hAnsi="宋体" w:eastAsia="宋体" w:cs="宋体"/>
                <w:color w:val="auto"/>
                <w:kern w:val="0"/>
                <w:sz w:val="21"/>
                <w:szCs w:val="21"/>
              </w:rPr>
              <w:br w:type="textWrapping"/>
            </w:r>
            <w:r>
              <w:rPr>
                <w:rFonts w:hint="eastAsia" w:ascii="宋体" w:hAnsi="宋体" w:eastAsia="宋体" w:cs="宋体"/>
                <w:b/>
                <w:bCs/>
                <w:color w:val="auto"/>
                <w:sz w:val="21"/>
                <w:szCs w:val="21"/>
              </w:rPr>
              <w:t>▲</w:t>
            </w:r>
            <w:r>
              <w:rPr>
                <w:rFonts w:hint="eastAsia" w:ascii="宋体" w:hAnsi="宋体" w:eastAsia="宋体" w:cs="宋体"/>
                <w:color w:val="auto"/>
                <w:kern w:val="0"/>
                <w:sz w:val="21"/>
                <w:szCs w:val="21"/>
              </w:rPr>
              <w:t>18.机器具有运行，停止，板进板出三个物理按钮，与显示屏内三个运行，停止，板进板出三个虚拟按钮相对应（</w:t>
            </w:r>
            <w:r>
              <w:rPr>
                <w:rFonts w:hint="eastAsia" w:ascii="宋体" w:hAnsi="宋体" w:eastAsia="宋体" w:cs="宋体"/>
                <w:b/>
                <w:bCs/>
                <w:color w:val="auto"/>
                <w:kern w:val="0"/>
                <w:sz w:val="21"/>
                <w:szCs w:val="21"/>
              </w:rPr>
              <w:t>竞标时需提供符合本项参数的截图，并加盖竞标供应商公章）</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19.超微量检测板可快速完成1-16个微量核酸、蛋白样品的定量，独立软件分析界面，可直接给出浓度与比值；</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20.配置清单</w:t>
            </w:r>
          </w:p>
          <w:p w14:paraId="30E65826">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20.1主机1台</w:t>
            </w:r>
          </w:p>
          <w:p w14:paraId="1105535C">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20.2鼠标1个</w:t>
            </w:r>
          </w:p>
        </w:tc>
      </w:tr>
      <w:tr w14:paraId="21138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1D40A27C">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53A62D50">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旋转蒸发器</w:t>
            </w:r>
          </w:p>
        </w:tc>
        <w:tc>
          <w:tcPr>
            <w:tcW w:w="496" w:type="dxa"/>
            <w:vAlign w:val="center"/>
          </w:tcPr>
          <w:p w14:paraId="29252DBB">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459" w:type="dxa"/>
            <w:vAlign w:val="center"/>
          </w:tcPr>
          <w:p w14:paraId="12582658">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c>
          <w:tcPr>
            <w:tcW w:w="6848" w:type="dxa"/>
            <w:vAlign w:val="center"/>
          </w:tcPr>
          <w:p w14:paraId="5AC3B56A">
            <w:pPr>
              <w:widowControl/>
              <w:spacing w:line="4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1.温度范围：温度自动控制室温～90℃</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2.旋转瓶容量：50~2000ml</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3.转速范围：10~150转／分</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4.升降行程：0~120mm</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5.标配500毫升收集瓶1只、250毫升旋转瓶1只</w:t>
            </w:r>
          </w:p>
        </w:tc>
      </w:tr>
      <w:tr w14:paraId="35019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061DF597">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46635D93">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循环水泵</w:t>
            </w:r>
          </w:p>
        </w:tc>
        <w:tc>
          <w:tcPr>
            <w:tcW w:w="496" w:type="dxa"/>
            <w:vAlign w:val="center"/>
          </w:tcPr>
          <w:p w14:paraId="6D09A153">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459" w:type="dxa"/>
            <w:vAlign w:val="center"/>
          </w:tcPr>
          <w:p w14:paraId="257ECD96">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c>
          <w:tcPr>
            <w:tcW w:w="6848" w:type="dxa"/>
            <w:vAlign w:val="center"/>
          </w:tcPr>
          <w:p w14:paraId="0CA1C4A5">
            <w:pPr>
              <w:widowControl/>
              <w:spacing w:line="4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1.本机采用双抽头，可单独或并联使用装有两个真空表。</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2.主机采用不锈钢机芯和防腐材质机芯两种型号制造。</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3.耐腐蚀、无污染、噪音低、移动方便，还可根据用户需要加装真空调节阀。</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4.功率：180W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5.工作电源：220/50 V/HZ</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5.流量：60 L/min</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6.扬程：不低于8 M</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7.机体材质：采用聚丙烯（PP）基材，配套防腐表层处理</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8.最大真空度：0.098 Mpa</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9.单头抽气量：10 L/min</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10.抽气头数：≥2个</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11.储水箱容积：≥15 L</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12.外表尺寸 长×宽×高(mm) ：≥400×280×420</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13.全机重量Kg：≥15</w:t>
            </w:r>
          </w:p>
        </w:tc>
      </w:tr>
      <w:tr w14:paraId="15F8E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18F98A4C">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383B4EBD">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台式低速离心机</w:t>
            </w:r>
          </w:p>
        </w:tc>
        <w:tc>
          <w:tcPr>
            <w:tcW w:w="496" w:type="dxa"/>
            <w:vAlign w:val="center"/>
          </w:tcPr>
          <w:p w14:paraId="56488D4A">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459" w:type="dxa"/>
            <w:vAlign w:val="center"/>
          </w:tcPr>
          <w:p w14:paraId="3861278D">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c>
          <w:tcPr>
            <w:tcW w:w="6848" w:type="dxa"/>
            <w:vAlign w:val="center"/>
          </w:tcPr>
          <w:p w14:paraId="023713A2">
            <w:pPr>
              <w:widowControl/>
              <w:spacing w:line="4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 xml:space="preserve">1.微机控制，触摸面板，直观数字显示，运行参数自动记忆，方便操作使用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2.无刷电机驱动，高速轴承，运行平稳，免维护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3.具有超速、门盖、不平衡等保护功能，确保安全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4.可对转速、时间等参数进行设置并随时查看离心力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5.最高转速  5000r/min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6.最大相对离心力  4390×g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7.最大容量  800ml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8.转速精度  ±20r/min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9.定时范围  0-99min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10.电源  AC 220V 50Hz 10A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11.整机噪声  ≤60dB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12.外形尺寸  ≥490×400×370mm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13.重量  ≥40kg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14.转子：水平转子（4×50/100ml 、24×10/15ml）</w:t>
            </w:r>
          </w:p>
        </w:tc>
      </w:tr>
      <w:tr w14:paraId="77075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08817E57">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6AD87F08">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电热恒温鼓风干燥箱</w:t>
            </w:r>
          </w:p>
        </w:tc>
        <w:tc>
          <w:tcPr>
            <w:tcW w:w="496" w:type="dxa"/>
            <w:vAlign w:val="center"/>
          </w:tcPr>
          <w:p w14:paraId="0E8E554A">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4</w:t>
            </w:r>
          </w:p>
        </w:tc>
        <w:tc>
          <w:tcPr>
            <w:tcW w:w="459" w:type="dxa"/>
            <w:vAlign w:val="center"/>
          </w:tcPr>
          <w:p w14:paraId="056AA345">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个</w:t>
            </w:r>
          </w:p>
        </w:tc>
        <w:tc>
          <w:tcPr>
            <w:tcW w:w="6848" w:type="dxa"/>
            <w:vAlign w:val="center"/>
          </w:tcPr>
          <w:p w14:paraId="0BC3539E">
            <w:pPr>
              <w:keepNext w:val="0"/>
              <w:keepLines w:val="0"/>
              <w:pageBreakBefore w:val="0"/>
              <w:widowControl/>
              <w:kinsoku/>
              <w:wordWrap/>
              <w:overflowPunct/>
              <w:topLinePunct w:val="0"/>
              <w:autoSpaceDE/>
              <w:autoSpaceDN/>
              <w:bidi w:val="0"/>
              <w:adjustRightInd/>
              <w:snapToGrid/>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xml:space="preserve">1.液晶显示PID温度控制器，多组数据一屏显示，直观便捷。具有超温保护，定时功能， 控温精确可靠；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2.箱体内胆采用镜面201不锈钢，箱体外壳采用钢板，喷塑为整体白色调，电控盒部分为黑灰色调；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w:t>
            </w:r>
            <w:r>
              <w:rPr>
                <w:rFonts w:hint="eastAsia" w:ascii="宋体" w:hAnsi="宋体" w:cs="宋体"/>
                <w:color w:val="auto"/>
                <w:kern w:val="0"/>
                <w:sz w:val="21"/>
                <w:szCs w:val="21"/>
                <w:lang w:val="en-US" w:eastAsia="zh-CN"/>
              </w:rPr>
              <w:t xml:space="preserve"> </w:t>
            </w:r>
            <w:r>
              <w:rPr>
                <w:rFonts w:hint="eastAsia" w:ascii="宋体" w:hAnsi="宋体" w:eastAsia="宋体" w:cs="宋体"/>
                <w:color w:val="auto"/>
                <w:kern w:val="0"/>
                <w:sz w:val="21"/>
                <w:szCs w:val="21"/>
              </w:rPr>
              <w:t xml:space="preserve">3C耐高温钢化玻璃观察窗，方便观察工作室内样品；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4.抽屉式搁板设计，方便放样、取样，支持任意定位；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5.旋转式自锁紧门把手，保证门与封条贴合度更高，达到良好的密封性；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6.合理的风道设计，保证箱体内的热风循环，提高工作室内温度均匀度。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7.合成硅密封条，能长期高温运行，保证在关门时候的贴合度。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8.保温隔热棉，耐高温，导热系数低，‌能够有效减少热量传递，‌提高保温效果。 </w:t>
            </w:r>
            <w:r>
              <w:rPr>
                <w:rFonts w:hint="eastAsia" w:ascii="宋体" w:hAnsi="宋体" w:eastAsia="宋体" w:cs="宋体"/>
                <w:color w:val="auto"/>
                <w:kern w:val="0"/>
                <w:sz w:val="21"/>
                <w:szCs w:val="21"/>
              </w:rPr>
              <w:br w:type="textWrapping"/>
            </w:r>
            <w:r>
              <w:rPr>
                <w:rFonts w:hint="eastAsia" w:ascii="宋体" w:hAnsi="宋体" w:cs="宋体"/>
                <w:color w:val="auto"/>
                <w:kern w:val="0"/>
                <w:sz w:val="21"/>
                <w:szCs w:val="21"/>
                <w:lang w:val="en-US" w:eastAsia="zh-CN"/>
              </w:rPr>
              <w:t>9.</w:t>
            </w:r>
            <w:r>
              <w:rPr>
                <w:rFonts w:hint="eastAsia" w:ascii="宋体" w:hAnsi="宋体" w:eastAsia="宋体" w:cs="宋体"/>
                <w:color w:val="auto"/>
                <w:kern w:val="0"/>
                <w:sz w:val="21"/>
                <w:szCs w:val="21"/>
              </w:rPr>
              <w:t>技术参数：</w:t>
            </w:r>
          </w:p>
          <w:p w14:paraId="5AC6CA18">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9.</w:t>
            </w:r>
            <w:r>
              <w:rPr>
                <w:rFonts w:hint="eastAsia" w:ascii="宋体" w:hAnsi="宋体" w:eastAsia="宋体" w:cs="宋体"/>
                <w:color w:val="auto"/>
                <w:kern w:val="0"/>
                <w:sz w:val="21"/>
                <w:szCs w:val="21"/>
              </w:rPr>
              <w:t xml:space="preserve">1加热方式：底部加热，不锈钢电加热管 </w:t>
            </w:r>
          </w:p>
          <w:p w14:paraId="26464FCE">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9.</w:t>
            </w:r>
            <w:r>
              <w:rPr>
                <w:rFonts w:hint="eastAsia" w:ascii="宋体" w:hAnsi="宋体" w:eastAsia="宋体" w:cs="宋体"/>
                <w:color w:val="auto"/>
                <w:kern w:val="0"/>
                <w:sz w:val="21"/>
                <w:szCs w:val="21"/>
              </w:rPr>
              <w:t xml:space="preserve">2电源电压：220V  50Hz </w:t>
            </w:r>
          </w:p>
          <w:p w14:paraId="372BDAE1">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9.</w:t>
            </w:r>
            <w:r>
              <w:rPr>
                <w:rFonts w:hint="eastAsia" w:ascii="宋体" w:hAnsi="宋体" w:eastAsia="宋体" w:cs="宋体"/>
                <w:color w:val="auto"/>
                <w:kern w:val="0"/>
                <w:sz w:val="21"/>
                <w:szCs w:val="21"/>
              </w:rPr>
              <w:t xml:space="preserve">3风道：底部风机，强制对流 </w:t>
            </w:r>
          </w:p>
          <w:p w14:paraId="256CAE0B">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9.</w:t>
            </w:r>
            <w:r>
              <w:rPr>
                <w:rFonts w:hint="eastAsia" w:ascii="宋体" w:hAnsi="宋体" w:eastAsia="宋体" w:cs="宋体"/>
                <w:color w:val="auto"/>
                <w:kern w:val="0"/>
                <w:sz w:val="21"/>
                <w:szCs w:val="21"/>
              </w:rPr>
              <w:t>4控温范围： RT+10～250℃</w:t>
            </w:r>
          </w:p>
          <w:p w14:paraId="4FFC0DE4">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9.</w:t>
            </w:r>
            <w:r>
              <w:rPr>
                <w:rFonts w:hint="eastAsia" w:ascii="宋体" w:hAnsi="宋体" w:eastAsia="宋体" w:cs="宋体"/>
                <w:color w:val="auto"/>
                <w:kern w:val="0"/>
                <w:sz w:val="21"/>
                <w:szCs w:val="21"/>
              </w:rPr>
              <w:t xml:space="preserve">5温控仪表：PID微电脑调节，液晶显示，含定时功能及超温声音报警功能 </w:t>
            </w:r>
          </w:p>
          <w:p w14:paraId="60FB2CD3">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9.</w:t>
            </w:r>
            <w:r>
              <w:rPr>
                <w:rFonts w:hint="eastAsia" w:ascii="宋体" w:hAnsi="宋体" w:eastAsia="宋体" w:cs="宋体"/>
                <w:color w:val="auto"/>
                <w:kern w:val="0"/>
                <w:sz w:val="21"/>
                <w:szCs w:val="21"/>
              </w:rPr>
              <w:t xml:space="preserve">6温度分辨率/波动度：0.1℃/±1.0℃ </w:t>
            </w:r>
          </w:p>
          <w:p w14:paraId="7429E95D">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9.</w:t>
            </w:r>
            <w:r>
              <w:rPr>
                <w:rFonts w:hint="eastAsia" w:ascii="宋体" w:hAnsi="宋体" w:eastAsia="宋体" w:cs="宋体"/>
                <w:color w:val="auto"/>
                <w:kern w:val="0"/>
                <w:sz w:val="21"/>
                <w:szCs w:val="21"/>
              </w:rPr>
              <w:t xml:space="preserve">7温度均匀度：±2.5%（测试点为100℃） </w:t>
            </w:r>
          </w:p>
          <w:p w14:paraId="5D125D4A">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9.</w:t>
            </w:r>
            <w:r>
              <w:rPr>
                <w:rFonts w:hint="eastAsia" w:ascii="宋体" w:hAnsi="宋体" w:eastAsia="宋体" w:cs="宋体"/>
                <w:color w:val="auto"/>
                <w:kern w:val="0"/>
                <w:sz w:val="21"/>
                <w:szCs w:val="21"/>
              </w:rPr>
              <w:t xml:space="preserve">8工作环境温度：+5～40℃ </w:t>
            </w:r>
          </w:p>
          <w:p w14:paraId="26E148A9">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9.</w:t>
            </w:r>
            <w:r>
              <w:rPr>
                <w:rFonts w:hint="eastAsia" w:ascii="宋体" w:hAnsi="宋体" w:eastAsia="宋体" w:cs="宋体"/>
                <w:color w:val="auto"/>
                <w:kern w:val="0"/>
                <w:sz w:val="21"/>
                <w:szCs w:val="21"/>
              </w:rPr>
              <w:t>9输入功率（w）：1400</w:t>
            </w:r>
          </w:p>
          <w:p w14:paraId="2513EE55">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9.</w:t>
            </w:r>
            <w:r>
              <w:rPr>
                <w:rFonts w:hint="eastAsia" w:ascii="宋体" w:hAnsi="宋体" w:eastAsia="宋体" w:cs="宋体"/>
                <w:color w:val="auto"/>
                <w:kern w:val="0"/>
                <w:sz w:val="21"/>
                <w:szCs w:val="21"/>
              </w:rPr>
              <w:t>10容积（L）：≥72</w:t>
            </w:r>
          </w:p>
          <w:p w14:paraId="70487595">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9.</w:t>
            </w:r>
            <w:r>
              <w:rPr>
                <w:rFonts w:hint="eastAsia" w:ascii="宋体" w:hAnsi="宋体" w:eastAsia="宋体" w:cs="宋体"/>
                <w:color w:val="auto"/>
                <w:kern w:val="0"/>
                <w:sz w:val="21"/>
                <w:szCs w:val="21"/>
              </w:rPr>
              <w:t>11内胆尺寸(宽×深×高cm)：≥40×40×45</w:t>
            </w:r>
          </w:p>
          <w:p w14:paraId="31033050">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9.</w:t>
            </w:r>
            <w:r>
              <w:rPr>
                <w:rFonts w:hint="eastAsia" w:ascii="宋体" w:hAnsi="宋体" w:eastAsia="宋体" w:cs="宋体"/>
                <w:color w:val="auto"/>
                <w:kern w:val="0"/>
                <w:sz w:val="21"/>
                <w:szCs w:val="21"/>
              </w:rPr>
              <w:t>12外形尺寸(宽×深×高cm)：≥54.5×62×80</w:t>
            </w:r>
          </w:p>
          <w:p w14:paraId="5A2469CD">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9.</w:t>
            </w:r>
            <w:r>
              <w:rPr>
                <w:rFonts w:hint="eastAsia" w:ascii="宋体" w:hAnsi="宋体" w:eastAsia="宋体" w:cs="宋体"/>
                <w:color w:val="auto"/>
                <w:kern w:val="0"/>
                <w:sz w:val="21"/>
                <w:szCs w:val="21"/>
              </w:rPr>
              <w:t>13载物托架≥2</w:t>
            </w:r>
          </w:p>
          <w:p w14:paraId="6706480F">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sz w:val="21"/>
                <w:szCs w:val="21"/>
              </w:rPr>
            </w:pPr>
            <w:r>
              <w:rPr>
                <w:rFonts w:hint="eastAsia" w:ascii="宋体" w:hAnsi="宋体" w:cs="宋体"/>
                <w:color w:val="auto"/>
                <w:kern w:val="0"/>
                <w:sz w:val="21"/>
                <w:szCs w:val="21"/>
                <w:lang w:val="en-US" w:eastAsia="zh-CN"/>
              </w:rPr>
              <w:t>9.</w:t>
            </w:r>
            <w:r>
              <w:rPr>
                <w:rFonts w:hint="eastAsia" w:ascii="宋体" w:hAnsi="宋体" w:eastAsia="宋体" w:cs="宋体"/>
                <w:color w:val="auto"/>
                <w:kern w:val="0"/>
                <w:sz w:val="21"/>
                <w:szCs w:val="21"/>
              </w:rPr>
              <w:t>14定时范围 ：1-9999min</w:t>
            </w:r>
          </w:p>
        </w:tc>
      </w:tr>
      <w:tr w14:paraId="4C380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6FC49E7F">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65015CF4">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生物显微镜</w:t>
            </w:r>
          </w:p>
        </w:tc>
        <w:tc>
          <w:tcPr>
            <w:tcW w:w="496" w:type="dxa"/>
            <w:vAlign w:val="center"/>
          </w:tcPr>
          <w:p w14:paraId="0057EF5C">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4</w:t>
            </w:r>
          </w:p>
        </w:tc>
        <w:tc>
          <w:tcPr>
            <w:tcW w:w="459" w:type="dxa"/>
            <w:vAlign w:val="center"/>
          </w:tcPr>
          <w:p w14:paraId="4886536B">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c>
          <w:tcPr>
            <w:tcW w:w="6848" w:type="dxa"/>
            <w:vAlign w:val="center"/>
          </w:tcPr>
          <w:p w14:paraId="190D857F">
            <w:pPr>
              <w:keepNext w:val="0"/>
              <w:keepLines w:val="0"/>
              <w:pageBreakBefore w:val="0"/>
              <w:widowControl/>
              <w:kinsoku/>
              <w:wordWrap/>
              <w:overflowPunct/>
              <w:topLinePunct w:val="0"/>
              <w:autoSpaceDE/>
              <w:autoSpaceDN/>
              <w:bidi w:val="0"/>
              <w:adjustRightInd/>
              <w:snapToGrid/>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1.放大倍数：不低于1000倍光学放大</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2.光学系统：无限远光学系统</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3.目镜：大视野目镜WF10×/22mm</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4.高倍目镜WF16×/13mm</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5.目镜筒：铰链式三目观察镜筒，30度倾斜，瞳距50mm-75mm，分光比5:5</w:t>
            </w:r>
            <w:r>
              <w:rPr>
                <w:rFonts w:hint="eastAsia" w:ascii="宋体" w:hAnsi="宋体" w:eastAsia="宋体" w:cs="宋体"/>
                <w:color w:val="auto"/>
                <w:kern w:val="0"/>
                <w:sz w:val="21"/>
                <w:szCs w:val="21"/>
              </w:rPr>
              <w:br w:type="textWrapping"/>
            </w:r>
            <w:r>
              <w:rPr>
                <w:rFonts w:hint="eastAsia" w:ascii="宋体" w:hAnsi="宋体" w:cs="宋体"/>
                <w:color w:val="auto"/>
                <w:kern w:val="0"/>
                <w:sz w:val="21"/>
                <w:szCs w:val="21"/>
                <w:lang w:val="en-US" w:eastAsia="zh-CN"/>
              </w:rPr>
              <w:t>6.</w:t>
            </w:r>
            <w:r>
              <w:rPr>
                <w:rFonts w:hint="eastAsia" w:ascii="宋体" w:hAnsi="宋体" w:eastAsia="宋体" w:cs="宋体"/>
                <w:color w:val="auto"/>
                <w:kern w:val="0"/>
                <w:sz w:val="21"/>
                <w:szCs w:val="21"/>
              </w:rPr>
              <w:t>物镜：无限远平场PL4×/0.10</w:t>
            </w:r>
            <w:r>
              <w:rPr>
                <w:rFonts w:hint="eastAsia" w:ascii="宋体" w:hAnsi="宋体" w:eastAsia="宋体" w:cs="宋体"/>
                <w:color w:val="auto"/>
                <w:kern w:val="0"/>
                <w:sz w:val="21"/>
                <w:szCs w:val="21"/>
              </w:rPr>
              <w:br w:type="textWrapping"/>
            </w:r>
            <w:r>
              <w:rPr>
                <w:rFonts w:hint="eastAsia" w:ascii="宋体" w:hAnsi="宋体" w:cs="宋体"/>
                <w:color w:val="auto"/>
                <w:kern w:val="0"/>
                <w:sz w:val="21"/>
                <w:szCs w:val="21"/>
                <w:lang w:val="en-US" w:eastAsia="zh-CN"/>
              </w:rPr>
              <w:t>7</w:t>
            </w:r>
            <w:r>
              <w:rPr>
                <w:rFonts w:hint="eastAsia" w:ascii="宋体" w:hAnsi="宋体" w:eastAsia="宋体" w:cs="宋体"/>
                <w:color w:val="auto"/>
                <w:kern w:val="0"/>
                <w:sz w:val="21"/>
                <w:szCs w:val="21"/>
              </w:rPr>
              <w:t>.无限远平场PL10×/0.25</w:t>
            </w:r>
            <w:r>
              <w:rPr>
                <w:rFonts w:hint="eastAsia" w:ascii="宋体" w:hAnsi="宋体" w:eastAsia="宋体" w:cs="宋体"/>
                <w:color w:val="auto"/>
                <w:kern w:val="0"/>
                <w:sz w:val="21"/>
                <w:szCs w:val="21"/>
              </w:rPr>
              <w:br w:type="textWrapping"/>
            </w:r>
            <w:r>
              <w:rPr>
                <w:rFonts w:hint="eastAsia" w:ascii="宋体" w:hAnsi="宋体" w:cs="宋体"/>
                <w:color w:val="auto"/>
                <w:kern w:val="0"/>
                <w:sz w:val="21"/>
                <w:szCs w:val="21"/>
                <w:lang w:val="en-US" w:eastAsia="zh-CN"/>
              </w:rPr>
              <w:t>8</w:t>
            </w:r>
            <w:r>
              <w:rPr>
                <w:rFonts w:hint="eastAsia" w:ascii="宋体" w:hAnsi="宋体" w:eastAsia="宋体" w:cs="宋体"/>
                <w:color w:val="auto"/>
                <w:kern w:val="0"/>
                <w:sz w:val="21"/>
                <w:szCs w:val="21"/>
              </w:rPr>
              <w:t xml:space="preserve">.无限远平场PL40×/0.65(弹簧) </w:t>
            </w:r>
            <w:r>
              <w:rPr>
                <w:rFonts w:hint="eastAsia" w:ascii="宋体" w:hAnsi="宋体" w:eastAsia="宋体" w:cs="宋体"/>
                <w:color w:val="auto"/>
                <w:kern w:val="0"/>
                <w:sz w:val="21"/>
                <w:szCs w:val="21"/>
              </w:rPr>
              <w:br w:type="textWrapping"/>
            </w:r>
            <w:r>
              <w:rPr>
                <w:rFonts w:hint="eastAsia" w:ascii="宋体" w:hAnsi="宋体" w:cs="宋体"/>
                <w:color w:val="auto"/>
                <w:kern w:val="0"/>
                <w:sz w:val="21"/>
                <w:szCs w:val="21"/>
                <w:lang w:val="en-US" w:eastAsia="zh-CN"/>
              </w:rPr>
              <w:t>9</w:t>
            </w:r>
            <w:r>
              <w:rPr>
                <w:rFonts w:hint="eastAsia" w:ascii="宋体" w:hAnsi="宋体" w:eastAsia="宋体" w:cs="宋体"/>
                <w:color w:val="auto"/>
                <w:kern w:val="0"/>
                <w:sz w:val="21"/>
                <w:szCs w:val="21"/>
              </w:rPr>
              <w:t>.无限远平场PL100×/1.25(弹簧,油)</w:t>
            </w:r>
            <w:r>
              <w:rPr>
                <w:rFonts w:hint="eastAsia" w:ascii="宋体" w:hAnsi="宋体" w:eastAsia="宋体" w:cs="宋体"/>
                <w:color w:val="auto"/>
                <w:kern w:val="0"/>
                <w:sz w:val="21"/>
                <w:szCs w:val="21"/>
              </w:rPr>
              <w:br w:type="textWrapping"/>
            </w:r>
            <w:r>
              <w:rPr>
                <w:rFonts w:hint="eastAsia" w:ascii="宋体" w:hAnsi="宋体" w:cs="宋体"/>
                <w:color w:val="auto"/>
                <w:kern w:val="0"/>
                <w:sz w:val="21"/>
                <w:szCs w:val="21"/>
                <w:lang w:val="en-US" w:eastAsia="zh-CN"/>
              </w:rPr>
              <w:t>10</w:t>
            </w:r>
            <w:r>
              <w:rPr>
                <w:rFonts w:hint="eastAsia" w:ascii="宋体" w:hAnsi="宋体" w:eastAsia="宋体" w:cs="宋体"/>
                <w:color w:val="auto"/>
                <w:kern w:val="0"/>
                <w:sz w:val="21"/>
                <w:szCs w:val="21"/>
              </w:rPr>
              <w:t>.调焦机构：低手位粗微同轴调焦，粗调37.7mm/圈微调0.2mm/圈0.002mm/格，升降范围20mm</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w:t>
            </w:r>
            <w:r>
              <w:rPr>
                <w:rFonts w:hint="eastAsia" w:ascii="宋体" w:hAnsi="宋体" w:cs="宋体"/>
                <w:color w:val="auto"/>
                <w:kern w:val="0"/>
                <w:sz w:val="21"/>
                <w:szCs w:val="21"/>
                <w:lang w:val="en-US" w:eastAsia="zh-CN"/>
              </w:rPr>
              <w:t>1</w:t>
            </w:r>
            <w:r>
              <w:rPr>
                <w:rFonts w:hint="eastAsia" w:ascii="宋体" w:hAnsi="宋体" w:eastAsia="宋体" w:cs="宋体"/>
                <w:color w:val="auto"/>
                <w:kern w:val="0"/>
                <w:sz w:val="21"/>
                <w:szCs w:val="21"/>
              </w:rPr>
              <w:t>.载物台：平台尺寸:230mm*150mm移动范围:78mm*54mm</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w:t>
            </w:r>
            <w:r>
              <w:rPr>
                <w:rFonts w:hint="eastAsia" w:ascii="宋体" w:hAnsi="宋体" w:cs="宋体"/>
                <w:color w:val="auto"/>
                <w:kern w:val="0"/>
                <w:sz w:val="21"/>
                <w:szCs w:val="21"/>
                <w:lang w:val="en-US" w:eastAsia="zh-CN"/>
              </w:rPr>
              <w:t>2</w:t>
            </w:r>
            <w:r>
              <w:rPr>
                <w:rFonts w:hint="eastAsia" w:ascii="宋体" w:hAnsi="宋体" w:eastAsia="宋体" w:cs="宋体"/>
                <w:color w:val="auto"/>
                <w:kern w:val="0"/>
                <w:sz w:val="21"/>
                <w:szCs w:val="21"/>
              </w:rPr>
              <w:t>.聚光镜：插入式阿贝尔镜</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w:t>
            </w:r>
            <w:r>
              <w:rPr>
                <w:rFonts w:hint="eastAsia" w:ascii="宋体" w:hAnsi="宋体" w:cs="宋体"/>
                <w:color w:val="auto"/>
                <w:kern w:val="0"/>
                <w:sz w:val="21"/>
                <w:szCs w:val="21"/>
                <w:lang w:val="en-US" w:eastAsia="zh-CN"/>
              </w:rPr>
              <w:t>3</w:t>
            </w:r>
            <w:r>
              <w:rPr>
                <w:rFonts w:hint="eastAsia" w:ascii="宋体" w:hAnsi="宋体" w:eastAsia="宋体" w:cs="宋体"/>
                <w:color w:val="auto"/>
                <w:kern w:val="0"/>
                <w:sz w:val="21"/>
                <w:szCs w:val="21"/>
              </w:rPr>
              <w:t>.转换器：内向式五聚光镜NA1.25(含空插板)孔转换器（非编码式)</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w:t>
            </w:r>
            <w:r>
              <w:rPr>
                <w:rFonts w:hint="eastAsia" w:ascii="宋体" w:hAnsi="宋体" w:cs="宋体"/>
                <w:color w:val="auto"/>
                <w:kern w:val="0"/>
                <w:sz w:val="21"/>
                <w:szCs w:val="21"/>
                <w:lang w:val="en-US" w:eastAsia="zh-CN"/>
              </w:rPr>
              <w:t>4</w:t>
            </w:r>
            <w:r>
              <w:rPr>
                <w:rFonts w:hint="eastAsia" w:ascii="宋体" w:hAnsi="宋体" w:eastAsia="宋体" w:cs="宋体"/>
                <w:color w:val="auto"/>
                <w:kern w:val="0"/>
                <w:sz w:val="21"/>
                <w:szCs w:val="21"/>
              </w:rPr>
              <w:t>.照明：1W LED照明(亮度可调)</w:t>
            </w:r>
            <w:r>
              <w:rPr>
                <w:rFonts w:hint="eastAsia" w:ascii="宋体" w:hAnsi="宋体" w:eastAsia="宋体" w:cs="宋体"/>
                <w:color w:val="auto"/>
                <w:kern w:val="0"/>
                <w:sz w:val="21"/>
                <w:szCs w:val="21"/>
              </w:rPr>
              <w:br w:type="textWrapping"/>
            </w:r>
            <w:r>
              <w:rPr>
                <w:rFonts w:hint="eastAsia" w:ascii="宋体" w:hAnsi="宋体" w:cs="宋体"/>
                <w:color w:val="auto"/>
                <w:kern w:val="0"/>
                <w:sz w:val="21"/>
                <w:szCs w:val="21"/>
                <w:lang w:val="en-US" w:eastAsia="zh-CN"/>
              </w:rPr>
              <w:t>15.</w:t>
            </w:r>
            <w:r>
              <w:rPr>
                <w:rFonts w:hint="eastAsia" w:ascii="宋体" w:hAnsi="宋体" w:eastAsia="宋体" w:cs="宋体"/>
                <w:color w:val="auto"/>
                <w:kern w:val="0"/>
                <w:sz w:val="21"/>
                <w:szCs w:val="21"/>
              </w:rPr>
              <w:t>相机规格：</w:t>
            </w:r>
          </w:p>
          <w:p w14:paraId="34702B74">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15.</w:t>
            </w:r>
            <w:r>
              <w:rPr>
                <w:rFonts w:hint="eastAsia" w:ascii="宋体" w:hAnsi="宋体" w:eastAsia="宋体" w:cs="宋体"/>
                <w:color w:val="auto"/>
                <w:kern w:val="0"/>
                <w:sz w:val="21"/>
                <w:szCs w:val="21"/>
              </w:rPr>
              <w:t>1芯片尺寸：</w:t>
            </w:r>
            <w:r>
              <w:rPr>
                <w:rFonts w:hint="eastAsia" w:ascii="宋体" w:hAnsi="宋体" w:eastAsia="宋体" w:cs="宋体"/>
                <w:color w:val="auto"/>
                <w:sz w:val="21"/>
                <w:szCs w:val="21"/>
              </w:rPr>
              <w:t>≥</w:t>
            </w:r>
            <w:r>
              <w:rPr>
                <w:rFonts w:hint="eastAsia" w:ascii="宋体" w:hAnsi="宋体" w:eastAsia="宋体" w:cs="宋体"/>
                <w:color w:val="auto"/>
                <w:kern w:val="0"/>
                <w:sz w:val="21"/>
                <w:szCs w:val="21"/>
              </w:rPr>
              <w:t>13.06×8.76 mm</w:t>
            </w:r>
          </w:p>
          <w:p w14:paraId="5AEF1137">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15.</w:t>
            </w:r>
            <w:r>
              <w:rPr>
                <w:rFonts w:hint="eastAsia" w:ascii="宋体" w:hAnsi="宋体" w:eastAsia="宋体" w:cs="宋体"/>
                <w:color w:val="auto"/>
                <w:kern w:val="0"/>
                <w:sz w:val="21"/>
                <w:szCs w:val="21"/>
              </w:rPr>
              <w:t>2像素：USB3.0   2000万像素</w:t>
            </w:r>
          </w:p>
          <w:p w14:paraId="262C9CA1">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15.</w:t>
            </w:r>
            <w:r>
              <w:rPr>
                <w:rFonts w:hint="eastAsia" w:ascii="宋体" w:hAnsi="宋体" w:eastAsia="宋体" w:cs="宋体"/>
                <w:color w:val="auto"/>
                <w:kern w:val="0"/>
                <w:sz w:val="21"/>
                <w:szCs w:val="21"/>
              </w:rPr>
              <w:t>3</w:t>
            </w:r>
            <w:r>
              <w:rPr>
                <w:rFonts w:hint="eastAsia" w:ascii="宋体" w:hAnsi="宋体" w:cs="宋体"/>
                <w:color w:val="auto"/>
                <w:kern w:val="0"/>
                <w:sz w:val="21"/>
                <w:szCs w:val="21"/>
                <w:lang w:val="en-US" w:eastAsia="zh-CN"/>
              </w:rPr>
              <w:t xml:space="preserve"> </w:t>
            </w:r>
            <w:r>
              <w:rPr>
                <w:rFonts w:hint="eastAsia" w:ascii="宋体" w:hAnsi="宋体" w:eastAsia="宋体" w:cs="宋体"/>
                <w:color w:val="auto"/>
                <w:kern w:val="0"/>
                <w:sz w:val="21"/>
                <w:szCs w:val="21"/>
              </w:rPr>
              <w:t>G光灵敏度：462mv with 1/30s 0.21mv with 1/30s</w:t>
            </w:r>
          </w:p>
          <w:p w14:paraId="77607914">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15.</w:t>
            </w:r>
            <w:r>
              <w:rPr>
                <w:rFonts w:hint="eastAsia" w:ascii="宋体" w:hAnsi="宋体" w:eastAsia="宋体" w:cs="宋体"/>
                <w:color w:val="auto"/>
                <w:kern w:val="0"/>
                <w:sz w:val="21"/>
                <w:szCs w:val="21"/>
              </w:rPr>
              <w:t>4曝光时间：0.1ms~15s</w:t>
            </w:r>
          </w:p>
          <w:p w14:paraId="343E025F">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15.</w:t>
            </w:r>
            <w:r>
              <w:rPr>
                <w:rFonts w:hint="eastAsia" w:ascii="宋体" w:hAnsi="宋体" w:eastAsia="宋体" w:cs="宋体"/>
                <w:color w:val="auto"/>
                <w:kern w:val="0"/>
                <w:sz w:val="21"/>
                <w:szCs w:val="21"/>
              </w:rPr>
              <w:t>5接口：标准c接口</w:t>
            </w:r>
          </w:p>
          <w:p w14:paraId="643B1626">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sz w:val="21"/>
                <w:szCs w:val="21"/>
              </w:rPr>
            </w:pPr>
            <w:r>
              <w:rPr>
                <w:rFonts w:hint="eastAsia" w:ascii="宋体" w:hAnsi="宋体" w:cs="宋体"/>
                <w:color w:val="auto"/>
                <w:kern w:val="0"/>
                <w:sz w:val="21"/>
                <w:szCs w:val="21"/>
                <w:lang w:val="en-US" w:eastAsia="zh-CN"/>
              </w:rPr>
              <w:t>15.</w:t>
            </w:r>
            <w:r>
              <w:rPr>
                <w:rFonts w:hint="eastAsia" w:ascii="宋体" w:hAnsi="宋体" w:eastAsia="宋体" w:cs="宋体"/>
                <w:color w:val="auto"/>
                <w:kern w:val="0"/>
                <w:sz w:val="21"/>
                <w:szCs w:val="21"/>
              </w:rPr>
              <w:t>6分辨率：FPS 15@5440×3648、50@2736×1824、60@1824x1216</w:t>
            </w:r>
          </w:p>
        </w:tc>
      </w:tr>
      <w:tr w14:paraId="7D079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1CB7449F">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3DD0438E">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电热恒温水浴锅</w:t>
            </w:r>
          </w:p>
        </w:tc>
        <w:tc>
          <w:tcPr>
            <w:tcW w:w="496" w:type="dxa"/>
            <w:vAlign w:val="center"/>
          </w:tcPr>
          <w:p w14:paraId="79BC7679">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12</w:t>
            </w:r>
          </w:p>
        </w:tc>
        <w:tc>
          <w:tcPr>
            <w:tcW w:w="459" w:type="dxa"/>
            <w:vAlign w:val="center"/>
          </w:tcPr>
          <w:p w14:paraId="4E1A02A2">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个</w:t>
            </w:r>
          </w:p>
        </w:tc>
        <w:tc>
          <w:tcPr>
            <w:tcW w:w="6848" w:type="dxa"/>
            <w:vAlign w:val="center"/>
          </w:tcPr>
          <w:p w14:paraId="56E3D24C">
            <w:pPr>
              <w:widowControl/>
              <w:spacing w:line="4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1.材质：外壳采用抗腐蚀304不锈钢冲压成型，且耐化学腐蚀、耐冲击、耐磨性好。</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2.控温系统：采用PID控温方式，控制精度高、升温速度快。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3.规格：双列四孔</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4.恒温方式：底部加热水温自然对流传递</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5.使用温度范围：室温+5~99.9℃</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6.显示分辨率：0.1℃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7.温控精度：±0.1℃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8.温度波动度：±0.5℃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9.水槽材质：抗腐蚀304不锈钢材料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10.外壳材质：普通钢板材料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11.额定功率：800W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12.温度控制方式：PID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13.温度设定方式：触摸式按键设定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14.温度显示方式：三位数码管显示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15.加热方式：U型加热管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16.附加功能：偏差修正、菜单按键锁定、停电补偿、停电记忆、PID可调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17.传感器：热敏电阻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18.安全装置：超温报警、短路保护、过热保护、声光报警</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19.内尺寸（</w:t>
            </w:r>
            <w:r>
              <w:rPr>
                <w:rFonts w:hint="eastAsia" w:ascii="宋体" w:hAnsi="宋体" w:eastAsia="宋体" w:cs="宋体"/>
                <w:color w:val="auto"/>
                <w:sz w:val="21"/>
                <w:szCs w:val="21"/>
              </w:rPr>
              <w:t>长×宽×高</w:t>
            </w:r>
            <w:r>
              <w:rPr>
                <w:rFonts w:hint="eastAsia" w:ascii="宋体" w:hAnsi="宋体" w:eastAsia="宋体" w:cs="宋体"/>
                <w:color w:val="auto"/>
                <w:kern w:val="0"/>
                <w:sz w:val="21"/>
                <w:szCs w:val="21"/>
              </w:rPr>
              <w:t>）：≥320*320*120 mm</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20.外尺寸（</w:t>
            </w:r>
            <w:r>
              <w:rPr>
                <w:rFonts w:hint="eastAsia" w:ascii="宋体" w:hAnsi="宋体" w:eastAsia="宋体" w:cs="宋体"/>
                <w:color w:val="auto"/>
                <w:sz w:val="21"/>
                <w:szCs w:val="21"/>
              </w:rPr>
              <w:t>长×宽×高</w:t>
            </w:r>
            <w:r>
              <w:rPr>
                <w:rFonts w:hint="eastAsia" w:ascii="宋体" w:hAnsi="宋体" w:eastAsia="宋体" w:cs="宋体"/>
                <w:color w:val="auto"/>
                <w:kern w:val="0"/>
                <w:sz w:val="21"/>
                <w:szCs w:val="21"/>
              </w:rPr>
              <w:t>）：≥350*350*210 mm</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21.包装尺寸（</w:t>
            </w:r>
            <w:r>
              <w:rPr>
                <w:rFonts w:hint="eastAsia" w:ascii="宋体" w:hAnsi="宋体" w:eastAsia="宋体" w:cs="宋体"/>
                <w:color w:val="auto"/>
                <w:sz w:val="21"/>
                <w:szCs w:val="21"/>
              </w:rPr>
              <w:t>长×宽×高</w:t>
            </w:r>
            <w:r>
              <w:rPr>
                <w:rFonts w:hint="eastAsia" w:ascii="宋体" w:hAnsi="宋体" w:eastAsia="宋体" w:cs="宋体"/>
                <w:color w:val="auto"/>
                <w:kern w:val="0"/>
                <w:sz w:val="21"/>
                <w:szCs w:val="21"/>
              </w:rPr>
              <w:t>）：≥400*400*265 mm</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22.内容积：≥9L</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23.上盖孔径；≥∅120mm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24.上盖材质:PP塑料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25.每孔内盖数量:≥5个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26.净重/毛重：≥5kg/8.4kg</w:t>
            </w:r>
          </w:p>
        </w:tc>
      </w:tr>
      <w:tr w14:paraId="2C62E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27709B18">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25FAB26D">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超声波清洗器</w:t>
            </w:r>
          </w:p>
        </w:tc>
        <w:tc>
          <w:tcPr>
            <w:tcW w:w="496" w:type="dxa"/>
            <w:vAlign w:val="center"/>
          </w:tcPr>
          <w:p w14:paraId="1D9BB6BF">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459" w:type="dxa"/>
            <w:vAlign w:val="center"/>
          </w:tcPr>
          <w:p w14:paraId="79BE8B3C">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c>
          <w:tcPr>
            <w:tcW w:w="6848" w:type="dxa"/>
            <w:vAlign w:val="center"/>
          </w:tcPr>
          <w:p w14:paraId="1DF07270">
            <w:pPr>
              <w:widowControl/>
              <w:spacing w:line="4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1.容量：≥22.5L</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2.内槽尺寸（</w:t>
            </w:r>
            <w:r>
              <w:rPr>
                <w:rFonts w:hint="eastAsia" w:ascii="宋体" w:hAnsi="宋体" w:eastAsia="宋体" w:cs="宋体"/>
                <w:color w:val="auto"/>
                <w:sz w:val="21"/>
                <w:szCs w:val="21"/>
              </w:rPr>
              <w:t>长×宽×高</w:t>
            </w:r>
            <w:r>
              <w:rPr>
                <w:rFonts w:hint="eastAsia" w:ascii="宋体" w:hAnsi="宋体" w:eastAsia="宋体" w:cs="宋体"/>
                <w:color w:val="auto"/>
                <w:kern w:val="0"/>
                <w:sz w:val="21"/>
                <w:szCs w:val="21"/>
              </w:rPr>
              <w:t>）：≥500*300*150mm</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3.仪器尺寸（</w:t>
            </w:r>
            <w:r>
              <w:rPr>
                <w:rFonts w:hint="eastAsia" w:ascii="宋体" w:hAnsi="宋体" w:eastAsia="宋体" w:cs="宋体"/>
                <w:color w:val="auto"/>
                <w:sz w:val="21"/>
                <w:szCs w:val="21"/>
              </w:rPr>
              <w:t>长×宽×高</w:t>
            </w:r>
            <w:r>
              <w:rPr>
                <w:rFonts w:hint="eastAsia" w:ascii="宋体" w:hAnsi="宋体" w:eastAsia="宋体" w:cs="宋体"/>
                <w:color w:val="auto"/>
                <w:kern w:val="0"/>
                <w:sz w:val="21"/>
                <w:szCs w:val="21"/>
              </w:rPr>
              <w:t xml:space="preserve">）：≥530*330*330 mm </w:t>
            </w:r>
          </w:p>
        </w:tc>
      </w:tr>
      <w:tr w14:paraId="23C4B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6A2D1F08">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600C53CA">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基因扩增(PCR)仪</w:t>
            </w:r>
          </w:p>
        </w:tc>
        <w:tc>
          <w:tcPr>
            <w:tcW w:w="496" w:type="dxa"/>
            <w:vAlign w:val="center"/>
          </w:tcPr>
          <w:p w14:paraId="53F75D13">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4</w:t>
            </w:r>
          </w:p>
        </w:tc>
        <w:tc>
          <w:tcPr>
            <w:tcW w:w="459" w:type="dxa"/>
            <w:vAlign w:val="center"/>
          </w:tcPr>
          <w:p w14:paraId="53BA82EF">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c>
          <w:tcPr>
            <w:tcW w:w="6848" w:type="dxa"/>
            <w:vAlign w:val="center"/>
          </w:tcPr>
          <w:p w14:paraId="353DED48">
            <w:pPr>
              <w:widowControl/>
              <w:spacing w:line="4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1.升降温技术：半导体制冷</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2.样品台容量：≥0.2*96，0.2*96+0.5*77，0.2*48+0.5*48，0.2*108，0.2*48,0.2*32 ml</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3.样本容量：≥96×0.2ml，54×0.5ml</w:t>
            </w:r>
            <w:r>
              <w:rPr>
                <w:rFonts w:hint="eastAsia" w:ascii="宋体" w:hAnsi="宋体" w:eastAsia="宋体" w:cs="宋体"/>
                <w:color w:val="auto"/>
                <w:kern w:val="0"/>
                <w:sz w:val="21"/>
                <w:szCs w:val="21"/>
              </w:rPr>
              <w:br w:type="textWrapping"/>
            </w:r>
            <w:r>
              <w:rPr>
                <w:rFonts w:hint="eastAsia" w:ascii="宋体" w:hAnsi="宋体" w:eastAsia="宋体" w:cs="宋体"/>
                <w:color w:val="auto"/>
                <w:sz w:val="21"/>
                <w:szCs w:val="21"/>
              </w:rPr>
              <w:t>4.</w:t>
            </w:r>
            <w:r>
              <w:rPr>
                <w:rFonts w:hint="eastAsia" w:ascii="宋体" w:hAnsi="宋体" w:eastAsia="宋体" w:cs="宋体"/>
                <w:color w:val="auto"/>
                <w:kern w:val="0"/>
                <w:sz w:val="21"/>
                <w:szCs w:val="21"/>
              </w:rPr>
              <w:t>液晶显示：5.7寸真彩色液晶屏，曲线图方式显示程序</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5.U盘功能：通过U盘可无限量下载程序</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6.通讯接口：USB2.0</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7.样品台温度范围：0℃-100℃</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8.最大升温速度：5℃/秒</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9.最大降温速度：4.5℃/秒</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10样品台温度均匀性：≤±0.2℃</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11.样品台温度准确性：≤±0.2℃</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12.温度显示分辨率：0.1℃</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13.梯度范围：30℃-100℃</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14.最大循环数：标准循环≥100个（嵌套循环可达60000个）</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15.程序存储量：≥120个</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16.输入电源：通用电源（220VAC/47-65Hz)</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17.输入功率：200W-600W</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18.外形尺寸：≥303（长）*243（宽）*273（高）mm</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19.净重：≥9 kg</w:t>
            </w:r>
          </w:p>
        </w:tc>
      </w:tr>
      <w:tr w14:paraId="189F1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4BB629C7">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266D8A3E">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立式电热蒸汽灭菌器</w:t>
            </w:r>
          </w:p>
        </w:tc>
        <w:tc>
          <w:tcPr>
            <w:tcW w:w="496" w:type="dxa"/>
            <w:vAlign w:val="center"/>
          </w:tcPr>
          <w:p w14:paraId="535D22EC">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459" w:type="dxa"/>
            <w:vAlign w:val="center"/>
          </w:tcPr>
          <w:p w14:paraId="37118CA1">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c>
          <w:tcPr>
            <w:tcW w:w="6848" w:type="dxa"/>
            <w:vAlign w:val="center"/>
          </w:tcPr>
          <w:p w14:paraId="374CCE9C">
            <w:pPr>
              <w:widowControl/>
              <w:spacing w:line="4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1.容积：≥100L</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2.工作压力：0.22Mpa</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3.工作温度：134℃  带干燥</w:t>
            </w:r>
          </w:p>
        </w:tc>
      </w:tr>
      <w:tr w14:paraId="04131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29BC3E17">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35A6C65B">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双人单面净化工作台</w:t>
            </w:r>
          </w:p>
        </w:tc>
        <w:tc>
          <w:tcPr>
            <w:tcW w:w="496" w:type="dxa"/>
            <w:vAlign w:val="center"/>
          </w:tcPr>
          <w:p w14:paraId="5A146E45">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4</w:t>
            </w:r>
          </w:p>
        </w:tc>
        <w:tc>
          <w:tcPr>
            <w:tcW w:w="459" w:type="dxa"/>
            <w:vAlign w:val="center"/>
          </w:tcPr>
          <w:p w14:paraId="5CD72568">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套</w:t>
            </w:r>
          </w:p>
        </w:tc>
        <w:tc>
          <w:tcPr>
            <w:tcW w:w="6848" w:type="dxa"/>
            <w:vAlign w:val="center"/>
          </w:tcPr>
          <w:p w14:paraId="44C2E68A">
            <w:pPr>
              <w:widowControl/>
              <w:spacing w:line="4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1.洁净等级：100级@≥0.5μM</w:t>
            </w:r>
            <w:r>
              <w:rPr>
                <w:rFonts w:hint="eastAsia" w:ascii="宋体" w:hAnsi="宋体" w:eastAsia="宋体" w:cs="宋体"/>
                <w:color w:val="auto"/>
                <w:sz w:val="21"/>
                <w:szCs w:val="21"/>
              </w:rPr>
              <w:t>2.</w:t>
            </w:r>
            <w:r>
              <w:rPr>
                <w:rFonts w:hint="eastAsia" w:ascii="宋体" w:hAnsi="宋体" w:eastAsia="宋体" w:cs="宋体"/>
                <w:color w:val="auto"/>
                <w:kern w:val="0"/>
                <w:sz w:val="21"/>
                <w:szCs w:val="21"/>
              </w:rPr>
              <w:t>菌落数：≤0.5个/皿·时（Φ90mm培养平皿）</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3.平均风速：0.25～0.45m/s</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4.噪音：≤62dB（A）</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5.振动半峰值：≤5μM（x、y、z方向）</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6.照度：≥300Lx</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7.电源：AC单相220V/50Hz</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8.最大功率：500W</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9.重量：≥110Kg</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10.工作区尺寸：W1×D1×H1   ≥1150×550×580mm</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11.外形尺寸：W×D×H   ≥1310×590×1600mm</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12.适用人数：双人/单面</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13.高效过滤器规格及数量</w:t>
            </w:r>
            <w:r>
              <w:rPr>
                <w:rFonts w:hint="eastAsia" w:ascii="宋体" w:hAnsi="宋体" w:eastAsia="宋体" w:cs="宋体"/>
                <w:color w:val="auto"/>
                <w:sz w:val="21"/>
                <w:szCs w:val="21"/>
              </w:rPr>
              <w:t>(长×宽×高，mm)</w:t>
            </w:r>
            <w:r>
              <w:rPr>
                <w:rFonts w:hint="eastAsia" w:ascii="宋体" w:hAnsi="宋体" w:eastAsia="宋体" w:cs="宋体"/>
                <w:color w:val="auto"/>
                <w:kern w:val="0"/>
                <w:sz w:val="21"/>
                <w:szCs w:val="21"/>
              </w:rPr>
              <w:t>：≥1135×455×50×①</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14.荧光灯/紫外灯规格及数量：≥12W×①/30W×①</w:t>
            </w:r>
          </w:p>
        </w:tc>
      </w:tr>
      <w:tr w14:paraId="14E06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6C07FA13">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091196BA">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冷藏冷冻箱</w:t>
            </w:r>
          </w:p>
        </w:tc>
        <w:tc>
          <w:tcPr>
            <w:tcW w:w="496" w:type="dxa"/>
            <w:vAlign w:val="center"/>
          </w:tcPr>
          <w:p w14:paraId="02D01FBC">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459" w:type="dxa"/>
            <w:vAlign w:val="center"/>
          </w:tcPr>
          <w:p w14:paraId="055E31B0">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c>
          <w:tcPr>
            <w:tcW w:w="6848" w:type="dxa"/>
            <w:vAlign w:val="center"/>
          </w:tcPr>
          <w:p w14:paraId="09A4DDDF">
            <w:pPr>
              <w:widowControl/>
              <w:spacing w:line="4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1.有效容积:</w:t>
            </w:r>
            <w:r>
              <w:rPr>
                <w:rFonts w:hint="eastAsia" w:ascii="宋体" w:hAnsi="宋体" w:eastAsia="宋体" w:cs="宋体"/>
                <w:color w:val="auto"/>
                <w:sz w:val="21"/>
                <w:szCs w:val="21"/>
              </w:rPr>
              <w:t>≥</w:t>
            </w:r>
            <w:r>
              <w:rPr>
                <w:rFonts w:hint="eastAsia" w:ascii="宋体" w:hAnsi="宋体" w:eastAsia="宋体" w:cs="宋体"/>
                <w:color w:val="auto"/>
                <w:kern w:val="0"/>
                <w:sz w:val="21"/>
                <w:szCs w:val="21"/>
              </w:rPr>
              <w:t>208L，箱内温度℃ :2～8，-15～-26，</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2.外形尺寸（宽*深*高）:≥541×613×1434，内部尺寸（宽*深*高）:431×480×655（冷藏) ≥389×445×502（冷冻）</w:t>
            </w:r>
          </w:p>
        </w:tc>
      </w:tr>
      <w:tr w14:paraId="004B4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01250E23">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059BF5FD">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低温保存箱（-25℃）</w:t>
            </w:r>
          </w:p>
        </w:tc>
        <w:tc>
          <w:tcPr>
            <w:tcW w:w="496" w:type="dxa"/>
            <w:vAlign w:val="center"/>
          </w:tcPr>
          <w:p w14:paraId="4B3890E6">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459" w:type="dxa"/>
            <w:vAlign w:val="center"/>
          </w:tcPr>
          <w:p w14:paraId="541BB069">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个</w:t>
            </w:r>
          </w:p>
        </w:tc>
        <w:tc>
          <w:tcPr>
            <w:tcW w:w="6848" w:type="dxa"/>
            <w:vAlign w:val="center"/>
          </w:tcPr>
          <w:p w14:paraId="454B9977">
            <w:pPr>
              <w:widowControl/>
              <w:spacing w:line="4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1.有效容积(L)：≥203，箱内温度(℃)：-10~-25，</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2.外形尺寸(</w:t>
            </w:r>
            <w:r>
              <w:rPr>
                <w:rFonts w:hint="eastAsia" w:ascii="宋体" w:hAnsi="宋体" w:eastAsia="宋体" w:cs="宋体"/>
                <w:color w:val="auto"/>
                <w:sz w:val="21"/>
                <w:szCs w:val="21"/>
              </w:rPr>
              <w:t>长×宽×高，</w:t>
            </w:r>
            <w:r>
              <w:rPr>
                <w:rFonts w:hint="eastAsia" w:ascii="宋体" w:hAnsi="宋体" w:eastAsia="宋体" w:cs="宋体"/>
                <w:color w:val="auto"/>
                <w:kern w:val="0"/>
                <w:sz w:val="21"/>
                <w:szCs w:val="21"/>
              </w:rPr>
              <w:t>mm)：≥964×564×837，内部尺寸(</w:t>
            </w:r>
            <w:r>
              <w:rPr>
                <w:rFonts w:hint="eastAsia" w:ascii="宋体" w:hAnsi="宋体" w:eastAsia="宋体" w:cs="宋体"/>
                <w:color w:val="auto"/>
                <w:sz w:val="21"/>
                <w:szCs w:val="21"/>
              </w:rPr>
              <w:t>长×宽×高，</w:t>
            </w:r>
            <w:r>
              <w:rPr>
                <w:rFonts w:hint="eastAsia" w:ascii="宋体" w:hAnsi="宋体" w:eastAsia="宋体" w:cs="宋体"/>
                <w:color w:val="auto"/>
                <w:kern w:val="0"/>
                <w:sz w:val="21"/>
                <w:szCs w:val="21"/>
              </w:rPr>
              <w:t>mm)：≥818×383×679</w:t>
            </w:r>
          </w:p>
        </w:tc>
      </w:tr>
      <w:tr w14:paraId="66A2B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6293574E">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49892E3E">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电动土壤取样器</w:t>
            </w:r>
          </w:p>
        </w:tc>
        <w:tc>
          <w:tcPr>
            <w:tcW w:w="496" w:type="dxa"/>
            <w:vAlign w:val="center"/>
          </w:tcPr>
          <w:p w14:paraId="2EBFDFC2">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3</w:t>
            </w:r>
          </w:p>
        </w:tc>
        <w:tc>
          <w:tcPr>
            <w:tcW w:w="459" w:type="dxa"/>
            <w:vAlign w:val="center"/>
          </w:tcPr>
          <w:p w14:paraId="11F7EA26">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c>
          <w:tcPr>
            <w:tcW w:w="6848" w:type="dxa"/>
            <w:vAlign w:val="center"/>
          </w:tcPr>
          <w:p w14:paraId="354BAAE6">
            <w:pPr>
              <w:keepNext w:val="0"/>
              <w:keepLines w:val="0"/>
              <w:pageBreakBefore w:val="0"/>
              <w:widowControl/>
              <w:kinsoku/>
              <w:wordWrap/>
              <w:overflowPunct/>
              <w:topLinePunct w:val="0"/>
              <w:autoSpaceDE/>
              <w:autoSpaceDN/>
              <w:bidi w:val="0"/>
              <w:adjustRightInd/>
              <w:snapToGrid/>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1.电动土壤取样器采用螺旋式刀口，取土便捷。</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w:t>
            </w:r>
            <w:r>
              <w:rPr>
                <w:rFonts w:hint="eastAsia" w:ascii="宋体" w:hAnsi="宋体" w:cs="宋体"/>
                <w:color w:val="auto"/>
                <w:kern w:val="0"/>
                <w:sz w:val="21"/>
                <w:szCs w:val="21"/>
                <w:lang w:val="en-US" w:eastAsia="zh-CN"/>
              </w:rPr>
              <w:t>需采用不小于</w:t>
            </w:r>
            <w:r>
              <w:rPr>
                <w:rFonts w:hint="eastAsia" w:ascii="宋体" w:hAnsi="宋体" w:eastAsia="宋体" w:cs="宋体"/>
                <w:color w:val="auto"/>
                <w:kern w:val="0"/>
                <w:sz w:val="21"/>
                <w:szCs w:val="21"/>
              </w:rPr>
              <w:t>48V锂电池供电。</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3.电动助力取出土样，各种土壤类型都可适用</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4.钻头可更换，土样不混淆。</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5.取土钻可根据不同深度定制。</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6.取土器外表标有刻度值，可根据需求精确取样。</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7.可拆卸式设计，方便安装和收纳。</w:t>
            </w:r>
            <w:r>
              <w:rPr>
                <w:rFonts w:hint="eastAsia" w:ascii="宋体" w:hAnsi="宋体" w:eastAsia="宋体" w:cs="宋体"/>
                <w:color w:val="auto"/>
                <w:kern w:val="0"/>
                <w:sz w:val="21"/>
                <w:szCs w:val="21"/>
              </w:rPr>
              <w:br w:type="textWrapping"/>
            </w:r>
            <w:r>
              <w:rPr>
                <w:rFonts w:hint="eastAsia" w:ascii="宋体" w:hAnsi="宋体" w:cs="宋体"/>
                <w:color w:val="auto"/>
                <w:kern w:val="0"/>
                <w:sz w:val="21"/>
                <w:szCs w:val="21"/>
                <w:lang w:val="en-US" w:eastAsia="zh-CN"/>
              </w:rPr>
              <w:t>8.</w:t>
            </w:r>
            <w:r>
              <w:rPr>
                <w:rFonts w:hint="eastAsia" w:ascii="宋体" w:hAnsi="宋体" w:eastAsia="宋体" w:cs="宋体"/>
                <w:color w:val="auto"/>
                <w:kern w:val="0"/>
                <w:sz w:val="21"/>
                <w:szCs w:val="21"/>
              </w:rPr>
              <w:t>技术参数</w:t>
            </w:r>
          </w:p>
          <w:p w14:paraId="0F03B58A">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8.</w:t>
            </w:r>
            <w:r>
              <w:rPr>
                <w:rFonts w:hint="eastAsia" w:ascii="宋体" w:hAnsi="宋体" w:eastAsia="宋体" w:cs="宋体"/>
                <w:color w:val="auto"/>
                <w:kern w:val="0"/>
                <w:sz w:val="21"/>
                <w:szCs w:val="21"/>
              </w:rPr>
              <w:t>1转速 0-300转/分钟(无级变速)</w:t>
            </w:r>
          </w:p>
          <w:p w14:paraId="6EDE7105">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sz w:val="21"/>
                <w:szCs w:val="21"/>
              </w:rPr>
            </w:pPr>
            <w:r>
              <w:rPr>
                <w:rFonts w:hint="eastAsia" w:ascii="宋体" w:hAnsi="宋体" w:cs="宋体"/>
                <w:color w:val="auto"/>
                <w:kern w:val="0"/>
                <w:sz w:val="21"/>
                <w:szCs w:val="21"/>
                <w:lang w:val="en-US" w:eastAsia="zh-CN"/>
              </w:rPr>
              <w:t>8.2</w:t>
            </w:r>
            <w:r>
              <w:rPr>
                <w:rFonts w:hint="eastAsia" w:ascii="宋体" w:hAnsi="宋体" w:eastAsia="宋体" w:cs="宋体"/>
                <w:color w:val="auto"/>
                <w:kern w:val="0"/>
                <w:sz w:val="21"/>
                <w:szCs w:val="21"/>
              </w:rPr>
              <w:t>单次取土深度 ≥20cm(可定制特殊尺寸)</w:t>
            </w:r>
          </w:p>
        </w:tc>
      </w:tr>
      <w:tr w14:paraId="4C4A1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0B2D9232">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6E4E3A5D">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取土钻</w:t>
            </w:r>
          </w:p>
        </w:tc>
        <w:tc>
          <w:tcPr>
            <w:tcW w:w="496" w:type="dxa"/>
            <w:vAlign w:val="center"/>
          </w:tcPr>
          <w:p w14:paraId="4A21F673">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10</w:t>
            </w:r>
          </w:p>
        </w:tc>
        <w:tc>
          <w:tcPr>
            <w:tcW w:w="459" w:type="dxa"/>
            <w:vAlign w:val="center"/>
          </w:tcPr>
          <w:p w14:paraId="13F86C93">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把</w:t>
            </w:r>
          </w:p>
        </w:tc>
        <w:tc>
          <w:tcPr>
            <w:tcW w:w="6848" w:type="dxa"/>
            <w:vAlign w:val="center"/>
          </w:tcPr>
          <w:p w14:paraId="3C6A123A">
            <w:pPr>
              <w:widowControl/>
              <w:spacing w:line="4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1.整体</w:t>
            </w:r>
            <w:r>
              <w:rPr>
                <w:rFonts w:hint="eastAsia" w:ascii="宋体" w:hAnsi="宋体" w:cs="宋体"/>
                <w:color w:val="auto"/>
                <w:kern w:val="0"/>
                <w:sz w:val="21"/>
                <w:szCs w:val="21"/>
                <w:lang w:val="en-US" w:eastAsia="zh-CN"/>
              </w:rPr>
              <w:t>需</w:t>
            </w:r>
            <w:r>
              <w:rPr>
                <w:rFonts w:hint="eastAsia" w:ascii="宋体" w:hAnsi="宋体" w:eastAsia="宋体" w:cs="宋体"/>
                <w:color w:val="auto"/>
                <w:kern w:val="0"/>
                <w:sz w:val="21"/>
                <w:szCs w:val="21"/>
              </w:rPr>
              <w:t>采用不锈钢304材料，不会对土壤样品造成污染。</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2.材质坚硬，形状不易被弯曲、扭曲。</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3.螺旋式刀口使取土更方便、快捷和省力，降低劳动强度。</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4.每次可取15~20cm的土壤。</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5.取土器外表标有刻度值，每格刻度为100mm，为取不同深度的土壤样品提供参考。</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6.取土头与接管、手柄均采用螺纹连接，拆卸后不占体积，运输方便。</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7.当需要测量土壤水分数据时，可作为土壤水分传感器的连接杆用。</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8.取土深度为：1m、1.5m、2m。</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9.采样箱​配置</w:t>
            </w:r>
            <w:r>
              <w:rPr>
                <w:rFonts w:hint="eastAsia" w:ascii="宋体" w:hAnsi="宋体" w:cs="宋体"/>
                <w:color w:val="auto"/>
                <w:kern w:val="0"/>
                <w:sz w:val="21"/>
                <w:szCs w:val="21"/>
                <w:lang w:val="en-US" w:eastAsia="zh-CN"/>
              </w:rPr>
              <w:t>要求</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铝箱内配置</w:t>
            </w:r>
            <w:r>
              <w:rPr>
                <w:rFonts w:hint="eastAsia" w:ascii="宋体" w:hAnsi="宋体" w:cs="宋体"/>
                <w:color w:val="auto"/>
                <w:kern w:val="0"/>
                <w:sz w:val="21"/>
                <w:szCs w:val="21"/>
                <w:lang w:val="en-US" w:eastAsia="zh-CN"/>
              </w:rPr>
              <w:t>应</w:t>
            </w:r>
            <w:r>
              <w:rPr>
                <w:rFonts w:hint="eastAsia" w:ascii="宋体" w:hAnsi="宋体" w:eastAsia="宋体" w:cs="宋体"/>
                <w:color w:val="auto"/>
                <w:kern w:val="0"/>
                <w:sz w:val="21"/>
                <w:szCs w:val="21"/>
              </w:rPr>
              <w:t>包括：一把刷子、两把扳手、一个三米卷尺、一个刮刀、一个手柄、一个取土头、4根接管。</w:t>
            </w:r>
          </w:p>
        </w:tc>
      </w:tr>
      <w:tr w14:paraId="00AD4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518F7AA0">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08603002">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土壤研磨仪</w:t>
            </w:r>
          </w:p>
        </w:tc>
        <w:tc>
          <w:tcPr>
            <w:tcW w:w="496" w:type="dxa"/>
            <w:vAlign w:val="center"/>
          </w:tcPr>
          <w:p w14:paraId="6D1E7512">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459" w:type="dxa"/>
            <w:vAlign w:val="center"/>
          </w:tcPr>
          <w:p w14:paraId="447E2428">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c>
          <w:tcPr>
            <w:tcW w:w="6848" w:type="dxa"/>
            <w:vAlign w:val="center"/>
          </w:tcPr>
          <w:p w14:paraId="363DECAC">
            <w:pPr>
              <w:widowControl/>
              <w:spacing w:line="4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1.出样粒度：≤5um</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2.最小处理量：50ml/罐</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3.最大处理量：4x100ml</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4.主盘转速：50-400r/min</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5.球磨罐转速：100-800r/min</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6.传动比（行星盘/球磨罐）：1：-2</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7.连续运行时间设定：1-9999 min</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8.暂停时间设定：1-999min</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9.球磨载体材质：可选不锈钢、玛瑙、氧化锆、刚玉、碳化钨、聚氨酯等</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10.载体体积：50ml -100ml 通用</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11.球磨介质材质：可选不锈钢、玛瑙、氧化锆、刚玉、尼龙、聚四氟乙烯</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12.介质直径：3/5/10/15/20mm</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13.介质质量：100-400g</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14.研磨方式：干、湿磨</w:t>
            </w:r>
          </w:p>
        </w:tc>
      </w:tr>
      <w:tr w14:paraId="191EF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12EFEE08">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198B5245">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土壤筛分机</w:t>
            </w:r>
          </w:p>
        </w:tc>
        <w:tc>
          <w:tcPr>
            <w:tcW w:w="496" w:type="dxa"/>
            <w:vAlign w:val="center"/>
          </w:tcPr>
          <w:p w14:paraId="10DFEA3D">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459" w:type="dxa"/>
            <w:vAlign w:val="center"/>
          </w:tcPr>
          <w:p w14:paraId="7929D4BA">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c>
          <w:tcPr>
            <w:tcW w:w="6848" w:type="dxa"/>
            <w:vAlign w:val="center"/>
          </w:tcPr>
          <w:p w14:paraId="54D2CC5B">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技术参数：</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1.可放筛具直径：φ200/φ100/φ75 mm；</w:t>
            </w:r>
          </w:p>
          <w:p w14:paraId="35F6AD21">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2.筛分粒度：0.025～3 mm</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3.电机功率：≥125W </w:t>
            </w:r>
          </w:p>
          <w:p w14:paraId="535C9E4F">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4.噪音：小于50 dB</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5.振幅：2～5 mm</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6.振动频率：≥1420次/分；</w:t>
            </w:r>
          </w:p>
          <w:p w14:paraId="233215F1">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7.外形尺寸（长*宽*高）：≥360mm*300mm*730mm；</w:t>
            </w:r>
          </w:p>
          <w:p w14:paraId="53807ED7">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8.电源：220 V；50HZ；</w:t>
            </w:r>
          </w:p>
          <w:p w14:paraId="038ED21B">
            <w:pPr>
              <w:widowControl/>
              <w:spacing w:line="4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9.整机重量：≤35 Kg。</w:t>
            </w:r>
          </w:p>
        </w:tc>
      </w:tr>
      <w:tr w14:paraId="1584E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54838069">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53E21383">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土壤标准筛</w:t>
            </w:r>
          </w:p>
        </w:tc>
        <w:tc>
          <w:tcPr>
            <w:tcW w:w="496" w:type="dxa"/>
            <w:vAlign w:val="center"/>
          </w:tcPr>
          <w:p w14:paraId="23135A7D">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10</w:t>
            </w:r>
          </w:p>
        </w:tc>
        <w:tc>
          <w:tcPr>
            <w:tcW w:w="459" w:type="dxa"/>
            <w:vAlign w:val="center"/>
          </w:tcPr>
          <w:p w14:paraId="38833558">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套</w:t>
            </w:r>
          </w:p>
        </w:tc>
        <w:tc>
          <w:tcPr>
            <w:tcW w:w="6848" w:type="dxa"/>
            <w:vAlign w:val="center"/>
          </w:tcPr>
          <w:p w14:paraId="1CA232D5">
            <w:pPr>
              <w:widowControl/>
              <w:spacing w:line="4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规格：土壤筛孔径0.075（mm）, 0.25（mm）, 0.5（mm）, 1（mm）, 2（mm）, 5（mm）, 10（mm）, 20（mm）, 40（mm）, 60（mm），具有底盖</w:t>
            </w:r>
          </w:p>
        </w:tc>
      </w:tr>
      <w:tr w14:paraId="71847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25E8BF64">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6D0328C1">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土壤分样器</w:t>
            </w:r>
          </w:p>
        </w:tc>
        <w:tc>
          <w:tcPr>
            <w:tcW w:w="496" w:type="dxa"/>
            <w:vAlign w:val="center"/>
          </w:tcPr>
          <w:p w14:paraId="2D3F749E">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5</w:t>
            </w:r>
          </w:p>
        </w:tc>
        <w:tc>
          <w:tcPr>
            <w:tcW w:w="459" w:type="dxa"/>
            <w:vAlign w:val="center"/>
          </w:tcPr>
          <w:p w14:paraId="766998A7">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c>
          <w:tcPr>
            <w:tcW w:w="6848" w:type="dxa"/>
            <w:vAlign w:val="center"/>
          </w:tcPr>
          <w:p w14:paraId="4C1234E8">
            <w:pPr>
              <w:widowControl/>
              <w:spacing w:line="4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1.材质：不锈钢</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2.凹槽数量：不少于12 格</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3.槽宽：≥25.4mm</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4.最大分量：300~2000g</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5.外形尺寸</w:t>
            </w:r>
            <w:r>
              <w:rPr>
                <w:rFonts w:hint="eastAsia" w:ascii="宋体" w:hAnsi="宋体" w:eastAsia="宋体" w:cs="宋体"/>
                <w:color w:val="auto"/>
                <w:sz w:val="21"/>
                <w:szCs w:val="21"/>
              </w:rPr>
              <w:t>(长×宽×高)</w:t>
            </w:r>
            <w:r>
              <w:rPr>
                <w:rFonts w:hint="eastAsia" w:ascii="宋体" w:hAnsi="宋体" w:eastAsia="宋体" w:cs="宋体"/>
                <w:color w:val="auto"/>
                <w:kern w:val="0"/>
                <w:sz w:val="21"/>
                <w:szCs w:val="21"/>
              </w:rPr>
              <w:t>：≥4</w:t>
            </w:r>
            <w:r>
              <w:rPr>
                <w:rFonts w:hint="eastAsia" w:ascii="宋体" w:hAnsi="宋体" w:cs="宋体"/>
                <w:color w:val="auto"/>
                <w:kern w:val="0"/>
                <w:sz w:val="21"/>
                <w:szCs w:val="21"/>
                <w:lang w:val="en-US" w:eastAsia="zh-CN"/>
              </w:rPr>
              <w:t>0</w:t>
            </w:r>
            <w:r>
              <w:rPr>
                <w:rFonts w:hint="eastAsia" w:ascii="宋体" w:hAnsi="宋体" w:eastAsia="宋体" w:cs="宋体"/>
                <w:color w:val="auto"/>
                <w:kern w:val="0"/>
                <w:sz w:val="21"/>
                <w:szCs w:val="21"/>
              </w:rPr>
              <w:t>0*240*2</w:t>
            </w:r>
            <w:r>
              <w:rPr>
                <w:rFonts w:hint="eastAsia" w:ascii="宋体" w:hAnsi="宋体" w:cs="宋体"/>
                <w:color w:val="auto"/>
                <w:kern w:val="0"/>
                <w:sz w:val="21"/>
                <w:szCs w:val="21"/>
                <w:lang w:val="en-US" w:eastAsia="zh-CN"/>
              </w:rPr>
              <w:t>0</w:t>
            </w:r>
            <w:r>
              <w:rPr>
                <w:rFonts w:hint="eastAsia" w:ascii="宋体" w:hAnsi="宋体" w:eastAsia="宋体" w:cs="宋体"/>
                <w:color w:val="auto"/>
                <w:kern w:val="0"/>
                <w:sz w:val="21"/>
                <w:szCs w:val="21"/>
              </w:rPr>
              <w:t>0mm</w:t>
            </w:r>
          </w:p>
        </w:tc>
      </w:tr>
      <w:tr w14:paraId="39F83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01644940">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7F5AD6EA">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土壤颗粒分析吸管仪</w:t>
            </w:r>
          </w:p>
        </w:tc>
        <w:tc>
          <w:tcPr>
            <w:tcW w:w="496" w:type="dxa"/>
            <w:vAlign w:val="center"/>
          </w:tcPr>
          <w:p w14:paraId="5AF3D7D4">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5</w:t>
            </w:r>
          </w:p>
        </w:tc>
        <w:tc>
          <w:tcPr>
            <w:tcW w:w="459" w:type="dxa"/>
            <w:vAlign w:val="center"/>
          </w:tcPr>
          <w:p w14:paraId="57ABB8F4">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c>
          <w:tcPr>
            <w:tcW w:w="6848" w:type="dxa"/>
            <w:vAlign w:val="center"/>
          </w:tcPr>
          <w:p w14:paraId="71E359C8">
            <w:pPr>
              <w:widowControl/>
              <w:spacing w:line="4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1.颗粒分析吸管纯手工刻度</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2.盛水三角瓶250ml（配玻璃管及打孔塞）</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3.通气胶管</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4.抽气装置（配玻璃管及打孔塞）</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5.支架1套</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6.搅拌棒1个</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7.沉降量筒2个</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8.活塞</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9.三通活塞</w:t>
            </w:r>
          </w:p>
        </w:tc>
      </w:tr>
      <w:tr w14:paraId="5B426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01A83286">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2CA6EEEF">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土壤比重计</w:t>
            </w:r>
          </w:p>
        </w:tc>
        <w:tc>
          <w:tcPr>
            <w:tcW w:w="496" w:type="dxa"/>
            <w:vAlign w:val="center"/>
          </w:tcPr>
          <w:p w14:paraId="1B291FC5">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3</w:t>
            </w:r>
          </w:p>
        </w:tc>
        <w:tc>
          <w:tcPr>
            <w:tcW w:w="459" w:type="dxa"/>
            <w:vAlign w:val="center"/>
          </w:tcPr>
          <w:p w14:paraId="13B4787C">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个</w:t>
            </w:r>
          </w:p>
        </w:tc>
        <w:tc>
          <w:tcPr>
            <w:tcW w:w="6848" w:type="dxa"/>
            <w:vAlign w:val="center"/>
          </w:tcPr>
          <w:p w14:paraId="0D7EF9D0">
            <w:pPr>
              <w:widowControl/>
              <w:spacing w:line="4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1.最大称量：</w:t>
            </w:r>
            <w:r>
              <w:rPr>
                <w:rFonts w:hint="eastAsia" w:ascii="宋体" w:hAnsi="宋体" w:cs="宋体"/>
                <w:color w:val="auto"/>
                <w:kern w:val="0"/>
                <w:sz w:val="21"/>
                <w:szCs w:val="21"/>
                <w:lang w:val="en-US" w:eastAsia="zh-CN"/>
              </w:rPr>
              <w:t>应不小于</w:t>
            </w:r>
            <w:r>
              <w:rPr>
                <w:rFonts w:hint="eastAsia" w:ascii="宋体" w:hAnsi="宋体" w:eastAsia="宋体" w:cs="宋体"/>
                <w:color w:val="auto"/>
                <w:kern w:val="0"/>
                <w:sz w:val="21"/>
                <w:szCs w:val="21"/>
              </w:rPr>
              <w:t>210g</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2.称重精度：0.001g</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3.密度精度：0.001g/cm³</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4.测试量程：0.001-99.999g/cm³</w:t>
            </w:r>
            <w:r>
              <w:rPr>
                <w:rFonts w:hint="eastAsia" w:ascii="宋体" w:hAnsi="宋体" w:eastAsia="宋体" w:cs="宋体"/>
                <w:color w:val="auto"/>
                <w:kern w:val="0"/>
                <w:sz w:val="21"/>
                <w:szCs w:val="21"/>
              </w:rPr>
              <w:br w:type="textWrapping"/>
            </w:r>
            <w:r>
              <w:rPr>
                <w:rFonts w:hint="eastAsia" w:ascii="宋体" w:hAnsi="宋体" w:cs="宋体"/>
                <w:color w:val="auto"/>
                <w:kern w:val="0"/>
                <w:sz w:val="21"/>
                <w:szCs w:val="21"/>
                <w:lang w:val="en-US" w:eastAsia="zh-CN"/>
              </w:rPr>
              <w:t>5</w:t>
            </w:r>
            <w:r>
              <w:rPr>
                <w:rFonts w:hint="eastAsia" w:ascii="宋体" w:hAnsi="宋体" w:eastAsia="宋体" w:cs="宋体"/>
                <w:color w:val="auto"/>
                <w:kern w:val="0"/>
                <w:sz w:val="21"/>
                <w:szCs w:val="21"/>
              </w:rPr>
              <w:t>.校准砝码：200g</w:t>
            </w:r>
            <w:r>
              <w:rPr>
                <w:rFonts w:hint="eastAsia" w:ascii="宋体" w:hAnsi="宋体" w:eastAsia="宋体" w:cs="宋体"/>
                <w:color w:val="auto"/>
                <w:kern w:val="0"/>
                <w:sz w:val="21"/>
                <w:szCs w:val="21"/>
              </w:rPr>
              <w:br w:type="textWrapping"/>
            </w:r>
            <w:r>
              <w:rPr>
                <w:rFonts w:hint="eastAsia" w:ascii="宋体" w:hAnsi="宋体" w:cs="宋体"/>
                <w:color w:val="auto"/>
                <w:kern w:val="0"/>
                <w:sz w:val="21"/>
                <w:szCs w:val="21"/>
                <w:lang w:val="en-US" w:eastAsia="zh-CN"/>
              </w:rPr>
              <w:t>6</w:t>
            </w:r>
            <w:r>
              <w:rPr>
                <w:rFonts w:hint="eastAsia" w:ascii="宋体" w:hAnsi="宋体" w:eastAsia="宋体" w:cs="宋体"/>
                <w:color w:val="auto"/>
                <w:kern w:val="0"/>
                <w:sz w:val="21"/>
                <w:szCs w:val="21"/>
              </w:rPr>
              <w:t>.测试对象：土壤</w:t>
            </w:r>
            <w:r>
              <w:rPr>
                <w:rFonts w:hint="eastAsia" w:ascii="宋体" w:hAnsi="宋体" w:eastAsia="宋体" w:cs="宋体"/>
                <w:color w:val="auto"/>
                <w:kern w:val="0"/>
                <w:sz w:val="21"/>
                <w:szCs w:val="21"/>
              </w:rPr>
              <w:br w:type="textWrapping"/>
            </w:r>
            <w:r>
              <w:rPr>
                <w:rFonts w:hint="eastAsia" w:ascii="宋体" w:hAnsi="宋体" w:cs="宋体"/>
                <w:color w:val="auto"/>
                <w:kern w:val="0"/>
                <w:sz w:val="21"/>
                <w:szCs w:val="21"/>
                <w:lang w:val="en-US" w:eastAsia="zh-CN"/>
              </w:rPr>
              <w:t>7</w:t>
            </w:r>
            <w:r>
              <w:rPr>
                <w:rFonts w:hint="eastAsia" w:ascii="宋体" w:hAnsi="宋体" w:eastAsia="宋体" w:cs="宋体"/>
                <w:color w:val="auto"/>
                <w:kern w:val="0"/>
                <w:sz w:val="21"/>
                <w:szCs w:val="21"/>
              </w:rPr>
              <w:t>.密度配件：固体密度架</w:t>
            </w:r>
          </w:p>
        </w:tc>
      </w:tr>
      <w:tr w14:paraId="0E1CD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1E045E30">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289E0AB1">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土壤粉碎机</w:t>
            </w:r>
          </w:p>
        </w:tc>
        <w:tc>
          <w:tcPr>
            <w:tcW w:w="496" w:type="dxa"/>
            <w:vAlign w:val="center"/>
          </w:tcPr>
          <w:p w14:paraId="520CE511">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459" w:type="dxa"/>
            <w:vAlign w:val="center"/>
          </w:tcPr>
          <w:p w14:paraId="53BCA2ED">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c>
          <w:tcPr>
            <w:tcW w:w="6848" w:type="dxa"/>
            <w:vAlign w:val="center"/>
          </w:tcPr>
          <w:p w14:paraId="6D1300DF">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1.碾磨快速，粉碎过程设备没有明显发热。</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2.磨盘间距可调，满足不同粉碎细度要求。</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3.粉碎系统全密封，清理方便，不会造成样品存留。</w:t>
            </w:r>
          </w:p>
          <w:p w14:paraId="73E3668E">
            <w:pPr>
              <w:keepNext w:val="0"/>
              <w:keepLines w:val="0"/>
              <w:pageBreakBefore w:val="0"/>
              <w:widowControl/>
              <w:kinsoku/>
              <w:wordWrap/>
              <w:overflowPunct/>
              <w:topLinePunct w:val="0"/>
              <w:autoSpaceDE/>
              <w:autoSpaceDN/>
              <w:bidi w:val="0"/>
              <w:adjustRightInd/>
              <w:snapToGrid/>
              <w:spacing w:line="440" w:lineRule="exact"/>
              <w:jc w:val="left"/>
              <w:textAlignment w:val="center"/>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4.</w:t>
            </w:r>
            <w:r>
              <w:rPr>
                <w:rFonts w:hint="eastAsia" w:ascii="宋体" w:hAnsi="宋体" w:eastAsia="宋体" w:cs="宋体"/>
                <w:color w:val="auto"/>
                <w:kern w:val="0"/>
                <w:sz w:val="21"/>
                <w:szCs w:val="21"/>
              </w:rPr>
              <w:t>技术参数</w:t>
            </w:r>
          </w:p>
          <w:p w14:paraId="535F5111">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4.</w:t>
            </w:r>
            <w:r>
              <w:rPr>
                <w:rFonts w:hint="eastAsia" w:ascii="宋体" w:hAnsi="宋体" w:eastAsia="宋体" w:cs="宋体"/>
                <w:color w:val="auto"/>
                <w:kern w:val="0"/>
                <w:sz w:val="21"/>
                <w:szCs w:val="21"/>
              </w:rPr>
              <w:t>1磨盘直径：≥Φ80㎜；</w:t>
            </w:r>
          </w:p>
          <w:p w14:paraId="1989A1A1">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4.</w:t>
            </w:r>
            <w:r>
              <w:rPr>
                <w:rFonts w:hint="eastAsia" w:ascii="宋体" w:hAnsi="宋体" w:eastAsia="宋体" w:cs="宋体"/>
                <w:color w:val="auto"/>
                <w:kern w:val="0"/>
                <w:sz w:val="21"/>
                <w:szCs w:val="21"/>
              </w:rPr>
              <w:t>2研磨能力：≥300g/min；</w:t>
            </w:r>
          </w:p>
          <w:p w14:paraId="18E2D80E">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4.</w:t>
            </w:r>
            <w:r>
              <w:rPr>
                <w:rFonts w:hint="eastAsia" w:ascii="宋体" w:hAnsi="宋体" w:eastAsia="宋体" w:cs="宋体"/>
                <w:color w:val="auto"/>
                <w:kern w:val="0"/>
                <w:sz w:val="21"/>
                <w:szCs w:val="21"/>
              </w:rPr>
              <w:t>3工作噪音：≤68dB；</w:t>
            </w:r>
          </w:p>
          <w:p w14:paraId="2C8093CD">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4.</w:t>
            </w:r>
            <w:r>
              <w:rPr>
                <w:rFonts w:hint="eastAsia" w:ascii="宋体" w:hAnsi="宋体" w:eastAsia="宋体" w:cs="宋体"/>
                <w:color w:val="auto"/>
                <w:kern w:val="0"/>
                <w:sz w:val="21"/>
                <w:szCs w:val="21"/>
              </w:rPr>
              <w:t>4调节档位：不低于20档；</w:t>
            </w:r>
          </w:p>
          <w:p w14:paraId="6112BE01">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4.</w:t>
            </w:r>
            <w:r>
              <w:rPr>
                <w:rFonts w:hint="eastAsia" w:ascii="宋体" w:hAnsi="宋体" w:eastAsia="宋体" w:cs="宋体"/>
                <w:color w:val="auto"/>
                <w:kern w:val="0"/>
                <w:sz w:val="21"/>
                <w:szCs w:val="21"/>
              </w:rPr>
              <w:t>5磨碎样品水分范围：≤17%；</w:t>
            </w:r>
          </w:p>
          <w:p w14:paraId="7205735B">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4.</w:t>
            </w:r>
            <w:r>
              <w:rPr>
                <w:rFonts w:hint="eastAsia" w:ascii="宋体" w:hAnsi="宋体" w:eastAsia="宋体" w:cs="宋体"/>
                <w:color w:val="auto"/>
                <w:kern w:val="0"/>
                <w:sz w:val="21"/>
                <w:szCs w:val="21"/>
              </w:rPr>
              <w:t>6收集容器的容积：≥200g；</w:t>
            </w:r>
          </w:p>
          <w:p w14:paraId="7FAC278A">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4.</w:t>
            </w:r>
            <w:r>
              <w:rPr>
                <w:rFonts w:hint="eastAsia" w:ascii="宋体" w:hAnsi="宋体" w:eastAsia="宋体" w:cs="宋体"/>
                <w:color w:val="auto"/>
                <w:kern w:val="0"/>
                <w:sz w:val="21"/>
                <w:szCs w:val="21"/>
              </w:rPr>
              <w:t>7电源：220V 50HZ；</w:t>
            </w:r>
          </w:p>
          <w:p w14:paraId="3B770DAF">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4.</w:t>
            </w:r>
            <w:r>
              <w:rPr>
                <w:rFonts w:hint="eastAsia" w:ascii="宋体" w:hAnsi="宋体" w:eastAsia="宋体" w:cs="宋体"/>
                <w:color w:val="auto"/>
                <w:kern w:val="0"/>
                <w:sz w:val="21"/>
                <w:szCs w:val="21"/>
              </w:rPr>
              <w:t>8进料斗直径：不小于128mm；</w:t>
            </w:r>
          </w:p>
          <w:p w14:paraId="06C35191">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sz w:val="21"/>
                <w:szCs w:val="21"/>
              </w:rPr>
            </w:pPr>
            <w:r>
              <w:rPr>
                <w:rFonts w:hint="eastAsia" w:ascii="宋体" w:hAnsi="宋体" w:cs="宋体"/>
                <w:color w:val="auto"/>
                <w:kern w:val="0"/>
                <w:sz w:val="21"/>
                <w:szCs w:val="21"/>
                <w:lang w:val="en-US" w:eastAsia="zh-CN"/>
              </w:rPr>
              <w:t>4.</w:t>
            </w:r>
            <w:r>
              <w:rPr>
                <w:rFonts w:hint="eastAsia" w:ascii="宋体" w:hAnsi="宋体" w:eastAsia="宋体" w:cs="宋体"/>
                <w:color w:val="auto"/>
                <w:kern w:val="0"/>
                <w:sz w:val="21"/>
                <w:szCs w:val="21"/>
              </w:rPr>
              <w:t>9研磨细度：粉碎样品≥98％通过ф1.0mm筛； 粉碎样品≥90％以上通过ф0.5mm筛； 粉碎样品≥80％以上通过40目筛。</w:t>
            </w:r>
          </w:p>
        </w:tc>
      </w:tr>
      <w:tr w14:paraId="0A6B2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03891EEC">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3E73F8A2">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多参数土壤水分记录仪</w:t>
            </w:r>
          </w:p>
        </w:tc>
        <w:tc>
          <w:tcPr>
            <w:tcW w:w="496" w:type="dxa"/>
            <w:vAlign w:val="center"/>
          </w:tcPr>
          <w:p w14:paraId="021641D6">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459" w:type="dxa"/>
            <w:vAlign w:val="center"/>
          </w:tcPr>
          <w:p w14:paraId="2AE86032">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c>
          <w:tcPr>
            <w:tcW w:w="6848" w:type="dxa"/>
            <w:vAlign w:val="center"/>
          </w:tcPr>
          <w:p w14:paraId="14BABFC3">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1.无线通讯功能：</w:t>
            </w:r>
            <w:r>
              <w:rPr>
                <w:rFonts w:hint="eastAsia" w:ascii="宋体" w:hAnsi="宋体" w:cs="宋体"/>
                <w:color w:val="auto"/>
                <w:kern w:val="0"/>
                <w:sz w:val="21"/>
                <w:szCs w:val="21"/>
                <w:lang w:val="en-US" w:eastAsia="zh-CN"/>
              </w:rPr>
              <w:t>应</w:t>
            </w:r>
            <w:r>
              <w:rPr>
                <w:rFonts w:hint="eastAsia" w:ascii="宋体" w:hAnsi="宋体" w:eastAsia="宋体" w:cs="宋体"/>
                <w:color w:val="auto"/>
                <w:kern w:val="0"/>
                <w:sz w:val="21"/>
                <w:szCs w:val="21"/>
              </w:rPr>
              <w:t>支持自动上传测量数据，设备通过5G/4G网络方式与服务器通讯，实时发送至服务器，上网页查看数据，无论身在何处只要能上网，均可查看下载数据；</w:t>
            </w:r>
            <w:r>
              <w:rPr>
                <w:rFonts w:hint="eastAsia" w:ascii="宋体" w:hAnsi="宋体" w:eastAsia="宋体" w:cs="宋体"/>
                <w:color w:val="auto"/>
                <w:kern w:val="0"/>
                <w:sz w:val="21"/>
                <w:szCs w:val="21"/>
              </w:rPr>
              <w:br w:type="textWrapping"/>
            </w:r>
            <w:r>
              <w:rPr>
                <w:rFonts w:hint="eastAsia" w:ascii="宋体" w:hAnsi="宋体" w:eastAsia="宋体" w:cs="宋体"/>
                <w:b/>
                <w:bCs/>
                <w:color w:val="auto"/>
                <w:sz w:val="21"/>
                <w:szCs w:val="21"/>
              </w:rPr>
              <w:t>▲</w:t>
            </w:r>
            <w:r>
              <w:rPr>
                <w:rFonts w:hint="eastAsia" w:ascii="宋体" w:hAnsi="宋体" w:eastAsia="宋体" w:cs="宋体"/>
                <w:color w:val="auto"/>
                <w:kern w:val="0"/>
                <w:sz w:val="21"/>
                <w:szCs w:val="21"/>
              </w:rPr>
              <w:t>2.含手机APP；</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3.增加系统监控和保护措施，避免系统死机；</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4.中文液晶显示：可显示当前日期时间，各传感器测量数据，存储容量，已存储数据条数等信息；</w:t>
            </w:r>
            <w:r>
              <w:rPr>
                <w:rFonts w:hint="eastAsia" w:ascii="宋体" w:hAnsi="宋体" w:eastAsia="宋体" w:cs="宋体"/>
                <w:color w:val="auto"/>
                <w:kern w:val="0"/>
                <w:sz w:val="21"/>
                <w:szCs w:val="21"/>
              </w:rPr>
              <w:br w:type="textWrapping"/>
            </w:r>
            <w:r>
              <w:rPr>
                <w:rFonts w:hint="eastAsia" w:ascii="宋体" w:hAnsi="宋体" w:cs="宋体"/>
                <w:color w:val="auto"/>
                <w:kern w:val="0"/>
                <w:sz w:val="21"/>
                <w:szCs w:val="21"/>
                <w:lang w:val="en-US" w:eastAsia="zh-CN"/>
              </w:rPr>
              <w:t>5</w:t>
            </w:r>
            <w:r>
              <w:rPr>
                <w:rFonts w:hint="eastAsia" w:ascii="宋体" w:hAnsi="宋体" w:eastAsia="宋体" w:cs="宋体"/>
                <w:color w:val="auto"/>
                <w:kern w:val="0"/>
                <w:sz w:val="21"/>
                <w:szCs w:val="21"/>
              </w:rPr>
              <w:t>.内置锂电池供电，具有充电保护、电压过低提示功能。外接电源为直流电源；</w:t>
            </w:r>
            <w:r>
              <w:rPr>
                <w:rFonts w:hint="eastAsia" w:ascii="宋体" w:hAnsi="宋体" w:eastAsia="宋体" w:cs="宋体"/>
                <w:color w:val="auto"/>
                <w:kern w:val="0"/>
                <w:sz w:val="21"/>
                <w:szCs w:val="21"/>
              </w:rPr>
              <w:br w:type="textWrapping"/>
            </w:r>
            <w:r>
              <w:rPr>
                <w:rFonts w:hint="eastAsia" w:ascii="宋体" w:hAnsi="宋体" w:cs="宋体"/>
                <w:color w:val="auto"/>
                <w:kern w:val="0"/>
                <w:sz w:val="21"/>
                <w:szCs w:val="21"/>
                <w:lang w:val="en-US" w:eastAsia="zh-CN"/>
              </w:rPr>
              <w:t>6</w:t>
            </w:r>
            <w:r>
              <w:rPr>
                <w:rFonts w:hint="eastAsia" w:ascii="宋体" w:hAnsi="宋体" w:eastAsia="宋体" w:cs="宋体"/>
                <w:color w:val="auto"/>
                <w:kern w:val="0"/>
                <w:sz w:val="21"/>
                <w:szCs w:val="21"/>
              </w:rPr>
              <w:t>.采集设置：在无人看守的情况下使用，可设置定时采集，也可手动采集；</w:t>
            </w:r>
            <w:r>
              <w:rPr>
                <w:rFonts w:hint="eastAsia" w:ascii="宋体" w:hAnsi="宋体" w:eastAsia="宋体" w:cs="宋体"/>
                <w:color w:val="auto"/>
                <w:kern w:val="0"/>
                <w:sz w:val="21"/>
                <w:szCs w:val="21"/>
              </w:rPr>
              <w:br w:type="textWrapping"/>
            </w:r>
            <w:r>
              <w:rPr>
                <w:rFonts w:hint="eastAsia" w:ascii="宋体" w:hAnsi="宋体" w:cs="宋体"/>
                <w:color w:val="auto"/>
                <w:kern w:val="0"/>
                <w:sz w:val="21"/>
                <w:szCs w:val="21"/>
                <w:lang w:val="en-US" w:eastAsia="zh-CN"/>
              </w:rPr>
              <w:t>7</w:t>
            </w:r>
            <w:r>
              <w:rPr>
                <w:rFonts w:hint="eastAsia" w:ascii="宋体" w:hAnsi="宋体" w:eastAsia="宋体" w:cs="宋体"/>
                <w:color w:val="auto"/>
                <w:kern w:val="0"/>
                <w:sz w:val="21"/>
                <w:szCs w:val="21"/>
              </w:rPr>
              <w:t>.语音设置：可根据需要设置语音播报功能开/关/超限开；</w:t>
            </w:r>
            <w:r>
              <w:rPr>
                <w:rFonts w:hint="eastAsia" w:ascii="宋体" w:hAnsi="宋体" w:eastAsia="宋体" w:cs="宋体"/>
                <w:color w:val="auto"/>
                <w:kern w:val="0"/>
                <w:sz w:val="21"/>
                <w:szCs w:val="21"/>
              </w:rPr>
              <w:br w:type="textWrapping"/>
            </w:r>
            <w:r>
              <w:rPr>
                <w:rFonts w:hint="eastAsia" w:ascii="宋体" w:hAnsi="宋体" w:cs="宋体"/>
                <w:color w:val="auto"/>
                <w:kern w:val="0"/>
                <w:sz w:val="21"/>
                <w:szCs w:val="21"/>
                <w:lang w:val="en-US" w:eastAsia="zh-CN"/>
              </w:rPr>
              <w:t>8</w:t>
            </w:r>
            <w:r>
              <w:rPr>
                <w:rFonts w:hint="eastAsia" w:ascii="宋体" w:hAnsi="宋体" w:eastAsia="宋体" w:cs="宋体"/>
                <w:color w:val="auto"/>
                <w:kern w:val="0"/>
                <w:sz w:val="21"/>
                <w:szCs w:val="21"/>
              </w:rPr>
              <w:t>.语音报警功能：主机语音设置为超限开后，即可语音播报超限信息；</w:t>
            </w:r>
            <w:r>
              <w:rPr>
                <w:rFonts w:hint="eastAsia" w:ascii="宋体" w:hAnsi="宋体" w:eastAsia="宋体" w:cs="宋体"/>
                <w:color w:val="auto"/>
                <w:kern w:val="0"/>
                <w:sz w:val="21"/>
                <w:szCs w:val="21"/>
              </w:rPr>
              <w:br w:type="textWrapping"/>
            </w:r>
            <w:r>
              <w:rPr>
                <w:rFonts w:hint="eastAsia" w:ascii="宋体" w:hAnsi="宋体" w:cs="宋体"/>
                <w:color w:val="auto"/>
                <w:kern w:val="0"/>
                <w:sz w:val="21"/>
                <w:szCs w:val="21"/>
                <w:lang w:val="en-US" w:eastAsia="zh-CN"/>
              </w:rPr>
              <w:t>9</w:t>
            </w:r>
            <w:r>
              <w:rPr>
                <w:rFonts w:hint="eastAsia" w:ascii="宋体" w:hAnsi="宋体" w:eastAsia="宋体" w:cs="宋体"/>
                <w:color w:val="auto"/>
                <w:kern w:val="0"/>
                <w:sz w:val="21"/>
                <w:szCs w:val="21"/>
              </w:rPr>
              <w:t>.主机可通过集线器接入不同类型的传感器，互不影响精度；</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w:t>
            </w:r>
            <w:r>
              <w:rPr>
                <w:rFonts w:hint="eastAsia" w:ascii="宋体" w:hAnsi="宋体" w:cs="宋体"/>
                <w:color w:val="auto"/>
                <w:kern w:val="0"/>
                <w:sz w:val="21"/>
                <w:szCs w:val="21"/>
                <w:lang w:val="en-US" w:eastAsia="zh-CN"/>
              </w:rPr>
              <w:t>0</w:t>
            </w:r>
            <w:r>
              <w:rPr>
                <w:rFonts w:hint="eastAsia" w:ascii="宋体" w:hAnsi="宋体" w:eastAsia="宋体" w:cs="宋体"/>
                <w:color w:val="auto"/>
                <w:kern w:val="0"/>
                <w:sz w:val="21"/>
                <w:szCs w:val="21"/>
              </w:rPr>
              <w:t>.自带GPS定位功能，数据采集时可自动显示采集点地理坐标；</w:t>
            </w:r>
            <w:r>
              <w:rPr>
                <w:rFonts w:hint="eastAsia" w:ascii="宋体" w:hAnsi="宋体" w:eastAsia="宋体" w:cs="宋体"/>
                <w:color w:val="auto"/>
                <w:kern w:val="0"/>
                <w:sz w:val="21"/>
                <w:szCs w:val="21"/>
              </w:rPr>
              <w:br w:type="textWrapping"/>
            </w:r>
            <w:r>
              <w:rPr>
                <w:rFonts w:hint="eastAsia" w:ascii="宋体" w:hAnsi="宋体" w:eastAsia="宋体" w:cs="宋体"/>
                <w:b/>
                <w:bCs/>
                <w:color w:val="auto"/>
                <w:sz w:val="21"/>
                <w:szCs w:val="21"/>
              </w:rPr>
              <w:t>▲</w:t>
            </w:r>
            <w:r>
              <w:rPr>
                <w:rFonts w:hint="eastAsia" w:ascii="宋体" w:hAnsi="宋体" w:eastAsia="宋体" w:cs="宋体"/>
                <w:color w:val="auto"/>
                <w:kern w:val="0"/>
                <w:sz w:val="21"/>
                <w:szCs w:val="21"/>
              </w:rPr>
              <w:t>一、管理云平台功能：</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1.自带仪器云管理平台包含C/S架构，可将所有便携式设备及在线设备数据进行汇总分析，数据备份不丢失，查看操作方式包括网页端及手机端（安卓/苹果系统均可用）；</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2.显示每种传感器采集到的数据、检测时间、采集地点GPS坐标信息；</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3.数据可通过5G/4G网络方式或者USB数据线导入方式上传至管理云平台。平台内数据可下载，分析，打印；</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4.平台支持设备数据存储，提供足够容量可不限量保存；</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5.平台为设备数据提供曲线与表格等报表形式，且数据可导出与导入；</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6.平台可以结合数据进行报表制作，报表打印，报表导出功能；</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7.软件可在线升级。</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二、技术参数</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（一）手持机参数：</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1.记录容量：设备内部Flash可存不少于3万条数据，标配4G内存卡可不限量存储</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2.采集时间间隔：5分～99小时</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3.语音播报：中文普通话</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4.工作电源：锂电池供电</w:t>
            </w:r>
          </w:p>
          <w:p w14:paraId="2FBF3383">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lang w:val="en-US" w:eastAsia="zh-CN"/>
              </w:rPr>
              <w:t>二</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t>土壤温度技术参数：</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1.温度单位：℃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2.测试范围：-40℃～100℃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3.精度：±0.5℃</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4.传感器长度：≥25cm</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5.分辨率：0.1℃</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（三）土壤水分技术参数：</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1.水分单位： %VWC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2.响应时间：≤2秒</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3.土壤水分分辨率：0.1%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4.含水率测试范围：0～100%</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5.相对百分误差：≤3%</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（四）大气温度技术参数：</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1.范围：-40℃～120℃ 精度：±0.4℃</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2.分辨率：0.1℃</w:t>
            </w:r>
          </w:p>
          <w:p w14:paraId="7800E983">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b/>
                <w:bCs/>
                <w:color w:val="auto"/>
                <w:sz w:val="21"/>
                <w:szCs w:val="21"/>
              </w:rPr>
              <w:t>▲</w:t>
            </w:r>
            <w:r>
              <w:rPr>
                <w:rFonts w:hint="eastAsia" w:ascii="宋体" w:hAnsi="宋体" w:eastAsia="宋体" w:cs="宋体"/>
                <w:color w:val="auto"/>
                <w:sz w:val="21"/>
                <w:szCs w:val="21"/>
              </w:rPr>
              <w:t>3.</w:t>
            </w:r>
            <w:r>
              <w:rPr>
                <w:rFonts w:hint="eastAsia" w:ascii="宋体" w:hAnsi="宋体" w:eastAsia="宋体" w:cs="宋体"/>
                <w:b/>
                <w:bCs/>
                <w:color w:val="auto"/>
                <w:kern w:val="0"/>
                <w:sz w:val="21"/>
                <w:szCs w:val="21"/>
              </w:rPr>
              <w:t>误差率：≤0.3℃（</w:t>
            </w:r>
            <w:r>
              <w:rPr>
                <w:rFonts w:hint="eastAsia" w:ascii="宋体" w:hAnsi="宋体" w:cs="宋体"/>
                <w:b/>
                <w:bCs/>
                <w:color w:val="auto"/>
                <w:kern w:val="0"/>
                <w:sz w:val="21"/>
                <w:szCs w:val="21"/>
                <w:lang w:val="en-US" w:eastAsia="zh-CN"/>
              </w:rPr>
              <w:t>供货时</w:t>
            </w:r>
            <w:r>
              <w:rPr>
                <w:rFonts w:hint="eastAsia" w:ascii="宋体" w:hAnsi="宋体" w:eastAsia="宋体" w:cs="宋体"/>
                <w:b/>
                <w:bCs/>
                <w:color w:val="auto"/>
                <w:kern w:val="0"/>
                <w:sz w:val="21"/>
                <w:szCs w:val="21"/>
              </w:rPr>
              <w:t>提供国家认可的第三方检测机构出具的校准证书加盖竞标供应商公章）</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（五）大气湿度技术参数：</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1.范围：0～100%RH 精度：±3%RH</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2.分辨率：0.1%RH</w:t>
            </w:r>
          </w:p>
          <w:p w14:paraId="560B4BE3">
            <w:pPr>
              <w:widowControl/>
              <w:spacing w:line="440" w:lineRule="exact"/>
              <w:jc w:val="left"/>
              <w:textAlignment w:val="center"/>
              <w:rPr>
                <w:rFonts w:hint="eastAsia" w:ascii="宋体" w:hAnsi="宋体" w:eastAsia="宋体" w:cs="宋体"/>
                <w:color w:val="auto"/>
                <w:sz w:val="21"/>
                <w:szCs w:val="21"/>
              </w:rPr>
            </w:pPr>
            <w:r>
              <w:rPr>
                <w:rFonts w:hint="eastAsia" w:ascii="宋体" w:hAnsi="宋体" w:eastAsia="宋体" w:cs="宋体"/>
                <w:b/>
                <w:bCs/>
                <w:color w:val="auto"/>
                <w:sz w:val="21"/>
                <w:szCs w:val="21"/>
              </w:rPr>
              <w:t>▲</w:t>
            </w:r>
            <w:r>
              <w:rPr>
                <w:rFonts w:hint="eastAsia" w:ascii="宋体" w:hAnsi="宋体" w:eastAsia="宋体" w:cs="宋体"/>
                <w:b/>
                <w:bCs/>
                <w:color w:val="auto"/>
                <w:kern w:val="0"/>
                <w:sz w:val="21"/>
                <w:szCs w:val="21"/>
              </w:rPr>
              <w:t>3.误差率：≤2%RH。（</w:t>
            </w:r>
            <w:r>
              <w:rPr>
                <w:rFonts w:hint="eastAsia" w:ascii="宋体" w:hAnsi="宋体" w:cs="宋体"/>
                <w:b/>
                <w:bCs/>
                <w:color w:val="auto"/>
                <w:kern w:val="0"/>
                <w:sz w:val="21"/>
                <w:szCs w:val="21"/>
                <w:lang w:val="en-US" w:eastAsia="zh-CN"/>
              </w:rPr>
              <w:t>供货时</w:t>
            </w:r>
            <w:r>
              <w:rPr>
                <w:rFonts w:hint="eastAsia" w:ascii="宋体" w:hAnsi="宋体" w:eastAsia="宋体" w:cs="宋体"/>
                <w:b/>
                <w:bCs/>
                <w:color w:val="auto"/>
                <w:kern w:val="0"/>
                <w:sz w:val="21"/>
                <w:szCs w:val="21"/>
              </w:rPr>
              <w:t>提供国家认可的第三方检测机构出具的校准证书加盖竞标供应商公章）</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（六）露点技术参数：</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1.范围：-40℃～120℃  精度：±0.4℃</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2.分辨率：0.1℃</w:t>
            </w:r>
          </w:p>
        </w:tc>
      </w:tr>
      <w:tr w14:paraId="35BEE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4B1F01B2">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7F90ED3D">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土壤水分测定仪</w:t>
            </w:r>
          </w:p>
        </w:tc>
        <w:tc>
          <w:tcPr>
            <w:tcW w:w="496" w:type="dxa"/>
            <w:vAlign w:val="center"/>
          </w:tcPr>
          <w:p w14:paraId="75EA4CB8">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459" w:type="dxa"/>
            <w:vAlign w:val="center"/>
          </w:tcPr>
          <w:p w14:paraId="388E2FF2">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c>
          <w:tcPr>
            <w:tcW w:w="6848" w:type="dxa"/>
            <w:vAlign w:val="center"/>
          </w:tcPr>
          <w:p w14:paraId="468AA52D">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1.无线通讯功能：</w:t>
            </w:r>
            <w:r>
              <w:rPr>
                <w:rFonts w:hint="eastAsia" w:ascii="宋体" w:hAnsi="宋体" w:cs="宋体"/>
                <w:color w:val="auto"/>
                <w:kern w:val="0"/>
                <w:sz w:val="21"/>
                <w:szCs w:val="21"/>
                <w:lang w:val="en-US" w:eastAsia="zh-CN"/>
              </w:rPr>
              <w:t>应</w:t>
            </w:r>
            <w:r>
              <w:rPr>
                <w:rFonts w:hint="eastAsia" w:ascii="宋体" w:hAnsi="宋体" w:eastAsia="宋体" w:cs="宋体"/>
                <w:color w:val="auto"/>
                <w:kern w:val="0"/>
                <w:sz w:val="21"/>
                <w:szCs w:val="21"/>
              </w:rPr>
              <w:t>支持自动上传测量数据，设备通过5G/4G网络方式与服务器通讯，实时发送至服务器，上网页查看数据，无论身在何处只要能上网，均可查看下载数据；</w:t>
            </w:r>
            <w:r>
              <w:rPr>
                <w:rFonts w:hint="eastAsia" w:ascii="宋体" w:hAnsi="宋体" w:eastAsia="宋体" w:cs="宋体"/>
                <w:color w:val="auto"/>
                <w:kern w:val="0"/>
                <w:sz w:val="21"/>
                <w:szCs w:val="21"/>
              </w:rPr>
              <w:br w:type="textWrapping"/>
            </w:r>
            <w:r>
              <w:rPr>
                <w:rFonts w:hint="eastAsia" w:ascii="宋体" w:hAnsi="宋体" w:eastAsia="宋体" w:cs="宋体"/>
                <w:b/>
                <w:bCs/>
                <w:color w:val="auto"/>
                <w:sz w:val="21"/>
                <w:szCs w:val="21"/>
              </w:rPr>
              <w:t>▲</w:t>
            </w:r>
            <w:r>
              <w:rPr>
                <w:rFonts w:hint="eastAsia" w:ascii="宋体" w:hAnsi="宋体" w:eastAsia="宋体" w:cs="宋体"/>
                <w:color w:val="auto"/>
                <w:kern w:val="0"/>
                <w:sz w:val="21"/>
                <w:szCs w:val="21"/>
              </w:rPr>
              <w:t>2.含手机APP；</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3.低功耗设计：增加系统监控和保护措施，避免系统死机；</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4.中文液晶显示：可显示当前日期时间，各传感器测量数据，存储容量，已存储数据条数等信息；</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5.主机数据存储容量大：设备内部Flash可存储最近不少于3万条数据，标配4G内存卡可不限量存储，亦可与Flash中数据同时存储；</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6.内置锂电池供电，具有充电保护、电压过低提示功能。外接电源为直流电源；</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7.采集设置：在无人看守的情况下使用，可设置定时采集，也可手动采集；</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8.语音设置：可根据需要设置语音播报功能开/关/超限开；</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9.语音报警功能：主机语音设置为超限开后，即可语音播报超限信息；</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10.主机可通过集线器接入不同类型的传感器，互不影响精度；</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11.自带GPS定位功能，数据采集时可自动显示采集点地理坐标；经度：0~180°  纬度：0~90°；</w:t>
            </w:r>
          </w:p>
          <w:p w14:paraId="54CF5EF3">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12.传感器技术参数要求：</w:t>
            </w:r>
          </w:p>
          <w:p w14:paraId="7273B328">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12.1土壤水分测量范围:0~100%；</w:t>
            </w:r>
          </w:p>
          <w:p w14:paraId="5BACF420">
            <w:pPr>
              <w:widowControl/>
              <w:spacing w:line="440" w:lineRule="exact"/>
              <w:ind w:firstLine="420" w:firstLineChars="200"/>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12.</w:t>
            </w:r>
            <w:r>
              <w:rPr>
                <w:rFonts w:hint="eastAsia" w:ascii="宋体" w:hAnsi="宋体" w:eastAsia="宋体" w:cs="宋体"/>
                <w:color w:val="auto"/>
                <w:sz w:val="21"/>
                <w:szCs w:val="21"/>
              </w:rPr>
              <w:t>2</w:t>
            </w:r>
            <w:r>
              <w:rPr>
                <w:rFonts w:hint="eastAsia" w:ascii="宋体" w:hAnsi="宋体" w:eastAsia="宋体" w:cs="宋体"/>
                <w:color w:val="auto"/>
                <w:kern w:val="0"/>
                <w:sz w:val="21"/>
                <w:szCs w:val="21"/>
              </w:rPr>
              <w:t>分辨率:0.1%；</w:t>
            </w:r>
          </w:p>
          <w:p w14:paraId="151E4D5D">
            <w:pPr>
              <w:widowControl/>
              <w:spacing w:line="440" w:lineRule="exact"/>
              <w:ind w:firstLine="420" w:firstLineChars="200"/>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12.</w:t>
            </w:r>
            <w:r>
              <w:rPr>
                <w:rFonts w:hint="eastAsia" w:ascii="宋体" w:hAnsi="宋体" w:eastAsia="宋体" w:cs="宋体"/>
                <w:color w:val="auto"/>
                <w:sz w:val="21"/>
                <w:szCs w:val="21"/>
              </w:rPr>
              <w:t>3</w:t>
            </w:r>
            <w:r>
              <w:rPr>
                <w:rFonts w:hint="eastAsia" w:ascii="宋体" w:hAnsi="宋体" w:eastAsia="宋体" w:cs="宋体"/>
                <w:color w:val="auto"/>
                <w:kern w:val="0"/>
                <w:sz w:val="21"/>
                <w:szCs w:val="21"/>
              </w:rPr>
              <w:t>精度:±3%（0-50%）；</w:t>
            </w:r>
          </w:p>
          <w:p w14:paraId="620BE546">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12.</w:t>
            </w:r>
            <w:r>
              <w:rPr>
                <w:rFonts w:hint="eastAsia" w:ascii="宋体" w:hAnsi="宋体" w:eastAsia="宋体" w:cs="宋体"/>
                <w:color w:val="auto"/>
                <w:sz w:val="21"/>
                <w:szCs w:val="21"/>
              </w:rPr>
              <w:t>4</w:t>
            </w:r>
            <w:r>
              <w:rPr>
                <w:rFonts w:hint="eastAsia" w:ascii="宋体" w:hAnsi="宋体" w:eastAsia="宋体" w:cs="宋体"/>
                <w:color w:val="auto"/>
                <w:kern w:val="0"/>
                <w:sz w:val="21"/>
                <w:szCs w:val="21"/>
              </w:rPr>
              <w:t>测试时间：≤2秒；</w:t>
            </w:r>
          </w:p>
        </w:tc>
      </w:tr>
      <w:tr w14:paraId="7BBD1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78A8E909">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0300F350">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鼓风干燥箱</w:t>
            </w:r>
          </w:p>
        </w:tc>
        <w:tc>
          <w:tcPr>
            <w:tcW w:w="496" w:type="dxa"/>
            <w:vAlign w:val="center"/>
          </w:tcPr>
          <w:p w14:paraId="5682ED0C">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459" w:type="dxa"/>
            <w:vAlign w:val="center"/>
          </w:tcPr>
          <w:p w14:paraId="77CCCCE9">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个</w:t>
            </w:r>
          </w:p>
        </w:tc>
        <w:tc>
          <w:tcPr>
            <w:tcW w:w="6848" w:type="dxa"/>
            <w:vAlign w:val="center"/>
          </w:tcPr>
          <w:p w14:paraId="06DDF88A">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1.采用具有控温保护、带有定时功能的LED数字高亮显示微电脑温度控制器，控温精确可靠。</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2.箱体内均采用普通镜面不锈钢或拉丝板制作而成，箱体外采用普通钢板材料。</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3.热风循环系统由能在高温下连续运转的风机和合适风道组成。工作室温度均匀。</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4.采用风机和可控硅，可以避免频繁更换。</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5.具有超温报警、温度传感器损坏报警双重保护，保证实验室安全，不发生意外。</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6.技术参数：</w:t>
            </w:r>
          </w:p>
          <w:p w14:paraId="0C947D35">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6.1电源电压：220V 50Hz</w:t>
            </w:r>
          </w:p>
          <w:p w14:paraId="37942123">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6.2控温范围：RT +5~250 ℃</w:t>
            </w:r>
          </w:p>
          <w:p w14:paraId="48C80F1C">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6.3恒温波动度：± 1 ℃</w:t>
            </w:r>
          </w:p>
          <w:p w14:paraId="3DF88561">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6.4温度分辨率：0.1 ℃</w:t>
            </w:r>
          </w:p>
          <w:p w14:paraId="0221BCC6">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6.5工作环境温度：+5~40 ℃</w:t>
            </w:r>
          </w:p>
          <w:p w14:paraId="6353A5EF">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6.6输入功率：2070W</w:t>
            </w:r>
          </w:p>
          <w:p w14:paraId="1B11AFE6">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6.7内胆尺寸（ mm ）：W×D×H ≥550 × 450 × 550</w:t>
            </w:r>
          </w:p>
          <w:p w14:paraId="1095CE85">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6.8外形尺寸 (mm)： W×D×H  ≥830 ×650 ×730</w:t>
            </w:r>
          </w:p>
          <w:p w14:paraId="5E206E20">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6.9载物托架（标配）：2 块</w:t>
            </w:r>
          </w:p>
          <w:p w14:paraId="1D2DA91A">
            <w:pPr>
              <w:widowControl/>
              <w:spacing w:line="440" w:lineRule="exact"/>
              <w:ind w:firstLine="420" w:firstLineChars="200"/>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6.10定时范围1-9999 分钟</w:t>
            </w:r>
          </w:p>
        </w:tc>
      </w:tr>
      <w:tr w14:paraId="72C3B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2142C069">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18DC41E8">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便携式土壤水势测定仪</w:t>
            </w:r>
          </w:p>
        </w:tc>
        <w:tc>
          <w:tcPr>
            <w:tcW w:w="496" w:type="dxa"/>
            <w:vAlign w:val="center"/>
          </w:tcPr>
          <w:p w14:paraId="54D918E1">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459" w:type="dxa"/>
            <w:vAlign w:val="center"/>
          </w:tcPr>
          <w:p w14:paraId="279C410A">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c>
          <w:tcPr>
            <w:tcW w:w="6848" w:type="dxa"/>
            <w:vAlign w:val="center"/>
          </w:tcPr>
          <w:p w14:paraId="3077D32F">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xml:space="preserve">1.便携式土壤水势测定仪具有高精度高分辨率，可同时测量土壤的水势和温度。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2.具有自动抓取土壤水势峰值功能。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3.具有时间设置功能、满量程设置功能、自动保存功能。</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4.可同时记录温度、水势、时间、存储序号具有背光灯功能。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5.自动关机功能。在无操作显示器按键情况下，10分钟及以上显示器自动关机。</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6.技术参数</w:t>
            </w:r>
          </w:p>
          <w:p w14:paraId="7FED6E8A">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6.1水势最大负荷：-100Kpa</w:t>
            </w:r>
          </w:p>
          <w:p w14:paraId="52B69460">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6.2分辨率：0.01Kpa</w:t>
            </w:r>
          </w:p>
          <w:p w14:paraId="4167049C">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6.3精度：±0.25KPa，±0.5%F.S</w:t>
            </w:r>
          </w:p>
          <w:p w14:paraId="2828B76E">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6.4土壤温度测量范围：-55～+150℃</w:t>
            </w:r>
          </w:p>
          <w:p w14:paraId="3D11B9DF">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6.5温度精度：±0.5</w:t>
            </w:r>
          </w:p>
          <w:p w14:paraId="6C1481B7">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6.6标准配置探头数量：3个水势探头，1个土壤温度探头</w:t>
            </w:r>
          </w:p>
          <w:p w14:paraId="69C14449">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6.7响应时间：≤30S</w:t>
            </w:r>
          </w:p>
          <w:p w14:paraId="366599A2">
            <w:pPr>
              <w:widowControl/>
              <w:spacing w:line="440" w:lineRule="exact"/>
              <w:ind w:firstLine="420" w:firstLineChars="200"/>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6.8土壤温度传感器长度：≥20CM</w:t>
            </w:r>
          </w:p>
        </w:tc>
      </w:tr>
      <w:tr w14:paraId="4D2CA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58913F4F">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57369D47">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真空干燥箱</w:t>
            </w:r>
          </w:p>
        </w:tc>
        <w:tc>
          <w:tcPr>
            <w:tcW w:w="496" w:type="dxa"/>
            <w:vAlign w:val="center"/>
          </w:tcPr>
          <w:p w14:paraId="653C95FE">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459" w:type="dxa"/>
            <w:vAlign w:val="center"/>
          </w:tcPr>
          <w:p w14:paraId="60530C03">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个</w:t>
            </w:r>
          </w:p>
        </w:tc>
        <w:tc>
          <w:tcPr>
            <w:tcW w:w="6848" w:type="dxa"/>
            <w:vAlign w:val="center"/>
          </w:tcPr>
          <w:p w14:paraId="6D00A7A7">
            <w:pPr>
              <w:widowControl/>
              <w:spacing w:line="4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1.电源电压 220V   50Hz</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2.输入功率 1450W</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3.控温范围 RT+10~250℃</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4.温度分辨率 0.1℃</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5.恒温波动度 ±1℃</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6.达到真空度 ≤133Pa</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7.工作环境温度 +5~40℃</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8.内胆尺寸（mm）W×D×H ≥415×370×345</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9.外形尺寸(mm)W×D×H ≥750×560×550</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10.搁板 </w:t>
            </w:r>
            <w:r>
              <w:rPr>
                <w:rFonts w:hint="eastAsia" w:ascii="宋体" w:hAnsi="宋体" w:cs="宋体"/>
                <w:color w:val="auto"/>
                <w:kern w:val="0"/>
                <w:sz w:val="21"/>
                <w:szCs w:val="21"/>
                <w:lang w:val="en-US" w:eastAsia="zh-CN"/>
              </w:rPr>
              <w:t>不少于</w:t>
            </w:r>
            <w:r>
              <w:rPr>
                <w:rFonts w:hint="eastAsia" w:ascii="宋体" w:hAnsi="宋体" w:eastAsia="宋体" w:cs="宋体"/>
                <w:color w:val="auto"/>
                <w:kern w:val="0"/>
                <w:sz w:val="21"/>
                <w:szCs w:val="21"/>
              </w:rPr>
              <w:t>2块 四周加热</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11.工作室材料 普通不锈钢</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12.定时范围 1-9999 分钟</w:t>
            </w:r>
          </w:p>
        </w:tc>
      </w:tr>
      <w:tr w14:paraId="5A8AE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44F5DDAD">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274604AD">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土壤团聚粒检测仪</w:t>
            </w:r>
          </w:p>
        </w:tc>
        <w:tc>
          <w:tcPr>
            <w:tcW w:w="496" w:type="dxa"/>
            <w:vAlign w:val="center"/>
          </w:tcPr>
          <w:p w14:paraId="442E179F">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459" w:type="dxa"/>
            <w:vAlign w:val="center"/>
          </w:tcPr>
          <w:p w14:paraId="374D0022">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c>
          <w:tcPr>
            <w:tcW w:w="6848" w:type="dxa"/>
            <w:vAlign w:val="center"/>
          </w:tcPr>
          <w:p w14:paraId="200AFC3C">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1.土壤团粒分析系统遵照农业标准（NY/T 1121.19-2008）设计</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2.系统设计：整机结构布局合理，方便操作，符合人体工程学设计，采用土壤水稳性大团聚体组成的检测原理，可有效分析土壤中含有钙、镁、有机质、菌丝等胶结起来的土粒，确保分析后仍维持土壤原来结构。</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3.控制系统：采用按键调频，旋钮定时。高精度数码显示时间和频率，数据精准，操作快捷。</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4.可靠性：系统整机性能稳定、自带漏电保护设计、自带接地保护线设计、产品低能耗、低噪音，符合环境保护标准。</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5.保护方式：系统采用急停按钮设计方式，确保仪器在运行中可随时暂时停止土壤团粒检测分析工作。</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6.主机尺寸：≥635mm*635mm*895mm（长*宽*高）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7.运行方式：垂直运动，行程≥50mm，确保被检测土壤团粒按土壤筛标准规格进行样品标准留样。</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8.定时范围：在0~60分钟时间段内，根据检测样品质地所需，可通过调节旋钮进行任意时间及速度设置，到达设定时间后系统自动发出提示音，提示操作完毕。</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9.电机转速：不低于1350 转/分钟，采用高精度调速电机，确保转速与土壤团聚体组成分析完全匹配。</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10.振荡频率：4-45次/分钟可任意设置，快慢可调，确保样品有序稳定检测。</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11.工作电压：采用安全市电AC220V ，50HZ频率，确保在实验室等任意场合都可正常使用。</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12.最大功率：120W大功率设计，确保系统在此功率下稳定运行。</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13.土壤筛及相关组件（遵照农业标准（NY/T 1121.19-2008）标准配备）</w:t>
            </w:r>
          </w:p>
          <w:p w14:paraId="607B4224">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13.1尺寸：每一个土壤筛的直径≥20cm ，高5cm，易标准排布、叠加。</w:t>
            </w:r>
          </w:p>
          <w:p w14:paraId="73A54FB1">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xml:space="preserve">13.2规格：系统配备≥8个规格的土壤筛，孔径规格为10mm、7mm、5mm、3mm、2mm、1mm、0.5mm 、0.25mm </w:t>
            </w:r>
          </w:p>
          <w:p w14:paraId="27EF39BB">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13.3材质：采用普通不锈钢框、不锈钢网，保证材质在常年采集土样使用后不生锈、不腐蚀、不粘连土壤，易于清理 。</w:t>
            </w:r>
          </w:p>
          <w:p w14:paraId="26FFF251">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13.4水桶：采用普通不锈钢材质，配置≥4套直径25cm高度40cm。</w:t>
            </w:r>
          </w:p>
          <w:p w14:paraId="1F867B4D">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13.5</w:t>
            </w:r>
            <w:r>
              <w:rPr>
                <w:rFonts w:hint="eastAsia" w:ascii="宋体" w:hAnsi="宋体" w:eastAsia="宋体" w:cs="宋体"/>
                <w:color w:val="auto"/>
                <w:kern w:val="0"/>
                <w:sz w:val="21"/>
                <w:szCs w:val="21"/>
              </w:rPr>
              <w:t>振荡架采用十字型设计，使系统可同时放置不少于4套土壤振荡架，支持同时测定</w:t>
            </w:r>
            <w:r>
              <w:rPr>
                <w:rFonts w:hint="eastAsia" w:ascii="宋体" w:hAnsi="宋体" w:cs="宋体"/>
                <w:color w:val="auto"/>
                <w:kern w:val="0"/>
                <w:sz w:val="21"/>
                <w:szCs w:val="21"/>
                <w:lang w:val="en-US" w:eastAsia="zh-CN"/>
              </w:rPr>
              <w:t>不少于</w:t>
            </w:r>
            <w:r>
              <w:rPr>
                <w:rFonts w:hint="eastAsia" w:ascii="宋体" w:hAnsi="宋体" w:eastAsia="宋体" w:cs="宋体"/>
                <w:color w:val="auto"/>
                <w:kern w:val="0"/>
                <w:sz w:val="21"/>
                <w:szCs w:val="21"/>
              </w:rPr>
              <w:t>4个样品，大大提高工作效率。</w:t>
            </w:r>
          </w:p>
          <w:p w14:paraId="0534ED94">
            <w:pPr>
              <w:widowControl/>
              <w:spacing w:line="440" w:lineRule="exact"/>
              <w:ind w:firstLine="420" w:firstLineChars="200"/>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13.</w:t>
            </w:r>
            <w:r>
              <w:rPr>
                <w:rFonts w:hint="eastAsia" w:ascii="宋体" w:hAnsi="宋体" w:cs="宋体"/>
                <w:color w:val="auto"/>
                <w:kern w:val="0"/>
                <w:sz w:val="21"/>
                <w:szCs w:val="21"/>
                <w:lang w:val="en-US" w:eastAsia="zh-CN"/>
              </w:rPr>
              <w:t>6</w:t>
            </w:r>
            <w:r>
              <w:rPr>
                <w:rFonts w:hint="eastAsia" w:ascii="宋体" w:hAnsi="宋体" w:eastAsia="宋体" w:cs="宋体"/>
                <w:color w:val="auto"/>
                <w:kern w:val="0"/>
                <w:sz w:val="21"/>
                <w:szCs w:val="21"/>
              </w:rPr>
              <w:t>筛架：采用普通不锈钢材质，便于安装固定筛组，结构设计组件化，可快速安装与拆卸。</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14.系统配置：主机一台、挂架4个、挡杆4根、不锈钢水桶4个、铝盒25个、取样盘2个、筛网4套（每套8个规格）、说明书1份、保修卡1份、合格证1份。</w:t>
            </w:r>
          </w:p>
        </w:tc>
      </w:tr>
      <w:tr w14:paraId="3EE49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1DE04E87">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413164E3">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土壤电导测定仪</w:t>
            </w:r>
          </w:p>
        </w:tc>
        <w:tc>
          <w:tcPr>
            <w:tcW w:w="496" w:type="dxa"/>
            <w:vAlign w:val="center"/>
          </w:tcPr>
          <w:p w14:paraId="1EF83C1F">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459" w:type="dxa"/>
            <w:vAlign w:val="center"/>
          </w:tcPr>
          <w:p w14:paraId="34273B11">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c>
          <w:tcPr>
            <w:tcW w:w="6848" w:type="dxa"/>
            <w:vAlign w:val="center"/>
          </w:tcPr>
          <w:p w14:paraId="6011D1CB">
            <w:pPr>
              <w:widowControl/>
              <w:numPr>
                <w:ilvl w:val="0"/>
                <w:numId w:val="5"/>
              </w:numPr>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无线通讯功能：</w:t>
            </w:r>
            <w:r>
              <w:rPr>
                <w:rFonts w:hint="eastAsia" w:ascii="宋体" w:hAnsi="宋体" w:cs="宋体"/>
                <w:color w:val="auto"/>
                <w:kern w:val="0"/>
                <w:sz w:val="21"/>
                <w:szCs w:val="21"/>
                <w:lang w:val="en-US" w:eastAsia="zh-CN"/>
              </w:rPr>
              <w:t>应</w:t>
            </w:r>
            <w:r>
              <w:rPr>
                <w:rFonts w:hint="eastAsia" w:ascii="宋体" w:hAnsi="宋体" w:eastAsia="宋体" w:cs="宋体"/>
                <w:color w:val="auto"/>
                <w:kern w:val="0"/>
                <w:sz w:val="21"/>
                <w:szCs w:val="21"/>
              </w:rPr>
              <w:t>自动上传测量数据，设备通过5G/4G网络方式与服务器通讯，实时发送至服务器，上网页查看数据，无论身在何处只要能上网，均可查看下载数据；</w:t>
            </w:r>
            <w:r>
              <w:rPr>
                <w:rFonts w:hint="eastAsia" w:ascii="宋体" w:hAnsi="宋体" w:eastAsia="宋体" w:cs="宋体"/>
                <w:color w:val="auto"/>
                <w:kern w:val="0"/>
                <w:sz w:val="21"/>
                <w:szCs w:val="21"/>
              </w:rPr>
              <w:br w:type="textWrapping"/>
            </w:r>
            <w:r>
              <w:rPr>
                <w:rFonts w:hint="eastAsia" w:ascii="宋体" w:hAnsi="宋体" w:eastAsia="宋体" w:cs="宋体"/>
                <w:b/>
                <w:bCs/>
                <w:color w:val="auto"/>
                <w:sz w:val="21"/>
                <w:szCs w:val="21"/>
              </w:rPr>
              <w:t>▲</w:t>
            </w:r>
            <w:r>
              <w:rPr>
                <w:rFonts w:hint="eastAsia" w:ascii="宋体" w:hAnsi="宋体" w:eastAsia="宋体" w:cs="宋体"/>
                <w:color w:val="auto"/>
                <w:kern w:val="0"/>
                <w:sz w:val="21"/>
                <w:szCs w:val="21"/>
              </w:rPr>
              <w:t>2.仪器含手机APP。</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3．低功耗设计，增加系统监控和保护措施，避免系统死机。</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4．中文液晶显示，可显示当前日期时间，各传感器测量数据，存储容量，已存储数据条数等信息。</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5.主机数据存储容量大：设备内部Flash可存储近期不少于3万条数据。</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6.内置锂电池供电：锂电池，具有充电保护、电压过低提示功能。</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7.采集设置：在无人看守的情况下使用，可设置定时采集，也可手动采集。</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8.语音设置：可根据需要设置语音播报功能开/关/超限开。</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9.语音报警功能：主机语音设置为超限开后，即可语音播报超限信息。</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10.主机可通过集线器接入不同类型的传感器，互不影响精度。</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11.自带GPS定位功能，数据采集时可自动显示采集点地理坐标。</w:t>
            </w:r>
          </w:p>
          <w:p w14:paraId="26AA31B0">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b/>
                <w:bCs/>
                <w:color w:val="auto"/>
                <w:sz w:val="21"/>
                <w:szCs w:val="21"/>
              </w:rPr>
              <w:t>▲</w:t>
            </w:r>
            <w:r>
              <w:rPr>
                <w:rFonts w:hint="eastAsia" w:ascii="宋体" w:hAnsi="宋体" w:eastAsia="宋体" w:cs="宋体"/>
                <w:color w:val="auto"/>
                <w:sz w:val="21"/>
                <w:szCs w:val="21"/>
              </w:rPr>
              <w:t>12.</w:t>
            </w:r>
            <w:r>
              <w:rPr>
                <w:rFonts w:hint="eastAsia" w:ascii="宋体" w:hAnsi="宋体" w:eastAsia="宋体" w:cs="宋体"/>
                <w:color w:val="auto"/>
                <w:kern w:val="0"/>
                <w:sz w:val="21"/>
                <w:szCs w:val="21"/>
              </w:rPr>
              <w:t>管理云平台功能：</w:t>
            </w:r>
          </w:p>
          <w:p w14:paraId="6A40F7B7">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12.1自带仪器云管理平台包含C/S架构，可将所有便携式设备及在线设备数据进行汇总分析，数据备份不丢失，查看操作方式包括网页端及手机端</w:t>
            </w:r>
          </w:p>
          <w:p w14:paraId="596C0BF5">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12.2显示每种传感器采集到的数据、检测时间、采集地点GPS坐标信息。</w:t>
            </w:r>
          </w:p>
          <w:p w14:paraId="2113A619">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12.3数据可通过5G/4G网络方式或者USB数据线导入方式上传至管理云平台。平台内数据可下载，分析，打印；</w:t>
            </w:r>
          </w:p>
          <w:p w14:paraId="09D7DCBC">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12.4平台支持设备数据存储，提供足够容量可长期保存。</w:t>
            </w:r>
          </w:p>
          <w:p w14:paraId="393BCEFF">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12.5平台为设备数据提供曲线与表格等报表形式，且数据可导出与导入。</w:t>
            </w:r>
          </w:p>
          <w:p w14:paraId="4680D70A">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12.6平台可以结合数据进行报表制作，报表打印，报表导出功能。</w:t>
            </w:r>
          </w:p>
          <w:p w14:paraId="57C682A2">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12.7软件可在线升级。</w:t>
            </w:r>
            <w:r>
              <w:rPr>
                <w:rFonts w:hint="eastAsia" w:ascii="宋体" w:hAnsi="宋体" w:eastAsia="宋体" w:cs="宋体"/>
                <w:color w:val="auto"/>
                <w:kern w:val="0"/>
                <w:sz w:val="21"/>
                <w:szCs w:val="21"/>
              </w:rPr>
              <w:br w:type="textWrapping"/>
            </w:r>
            <w:r>
              <w:rPr>
                <w:rFonts w:hint="eastAsia" w:ascii="宋体" w:hAnsi="宋体" w:eastAsia="宋体" w:cs="宋体"/>
                <w:color w:val="auto"/>
                <w:sz w:val="21"/>
                <w:szCs w:val="21"/>
              </w:rPr>
              <w:t>13.</w:t>
            </w:r>
            <w:r>
              <w:rPr>
                <w:rFonts w:hint="eastAsia" w:ascii="宋体" w:hAnsi="宋体" w:eastAsia="宋体" w:cs="宋体"/>
                <w:color w:val="auto"/>
                <w:kern w:val="0"/>
                <w:sz w:val="21"/>
                <w:szCs w:val="21"/>
              </w:rPr>
              <w:t>土壤</w:t>
            </w:r>
            <w:r>
              <w:rPr>
                <w:rFonts w:hint="eastAsia" w:ascii="宋体" w:hAnsi="宋体" w:cs="宋体"/>
                <w:color w:val="auto"/>
                <w:kern w:val="0"/>
                <w:sz w:val="21"/>
                <w:szCs w:val="21"/>
                <w:lang w:val="en-US" w:eastAsia="zh-CN"/>
              </w:rPr>
              <w:t>电导率</w:t>
            </w:r>
            <w:r>
              <w:rPr>
                <w:rFonts w:hint="eastAsia" w:ascii="宋体" w:hAnsi="宋体" w:eastAsia="宋体" w:cs="宋体"/>
                <w:color w:val="auto"/>
                <w:kern w:val="0"/>
                <w:sz w:val="21"/>
                <w:szCs w:val="21"/>
              </w:rPr>
              <w:t>技术参数：</w:t>
            </w:r>
          </w:p>
          <w:p w14:paraId="5DD19C76">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sz w:val="21"/>
                <w:szCs w:val="21"/>
              </w:rPr>
              <w:t>13.</w:t>
            </w:r>
            <w:r>
              <w:rPr>
                <w:rFonts w:hint="eastAsia" w:ascii="宋体" w:hAnsi="宋体" w:eastAsia="宋体" w:cs="宋体"/>
                <w:color w:val="auto"/>
                <w:kern w:val="0"/>
                <w:sz w:val="21"/>
                <w:szCs w:val="21"/>
              </w:rPr>
              <w:t>1测量范围：0～19.99ms/cm</w:t>
            </w:r>
          </w:p>
          <w:p w14:paraId="424CA313">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13.2</w:t>
            </w:r>
            <w:r>
              <w:rPr>
                <w:rFonts w:hint="eastAsia" w:ascii="宋体" w:hAnsi="宋体" w:eastAsia="宋体" w:cs="宋体"/>
                <w:color w:val="auto"/>
                <w:kern w:val="0"/>
                <w:sz w:val="21"/>
                <w:szCs w:val="21"/>
              </w:rPr>
              <w:t>测量精度：±2%</w:t>
            </w:r>
          </w:p>
          <w:p w14:paraId="57C5D783">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13.3</w:t>
            </w:r>
            <w:r>
              <w:rPr>
                <w:rFonts w:hint="eastAsia" w:ascii="宋体" w:hAnsi="宋体" w:eastAsia="宋体" w:cs="宋体"/>
                <w:color w:val="auto"/>
                <w:kern w:val="0"/>
                <w:sz w:val="21"/>
                <w:szCs w:val="21"/>
              </w:rPr>
              <w:t>分辨率：0.01ms/cm</w:t>
            </w:r>
          </w:p>
          <w:p w14:paraId="758E5F2F">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sz w:val="21"/>
                <w:szCs w:val="21"/>
              </w:rPr>
              <w:t>13.</w:t>
            </w:r>
            <w:r>
              <w:rPr>
                <w:rFonts w:hint="eastAsia" w:ascii="宋体" w:hAnsi="宋体" w:cs="宋体"/>
                <w:color w:val="auto"/>
                <w:sz w:val="21"/>
                <w:szCs w:val="21"/>
                <w:lang w:val="en-US" w:eastAsia="zh-CN"/>
              </w:rPr>
              <w:t>4</w:t>
            </w:r>
            <w:r>
              <w:rPr>
                <w:rFonts w:hint="eastAsia" w:ascii="宋体" w:hAnsi="宋体" w:eastAsia="宋体" w:cs="宋体"/>
                <w:color w:val="auto"/>
                <w:kern w:val="0"/>
                <w:sz w:val="21"/>
                <w:szCs w:val="21"/>
              </w:rPr>
              <w:t xml:space="preserve">水分单位： %VWC </w:t>
            </w:r>
          </w:p>
          <w:p w14:paraId="71E68236">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sz w:val="21"/>
                <w:szCs w:val="21"/>
              </w:rPr>
              <w:t>13.</w:t>
            </w:r>
            <w:r>
              <w:rPr>
                <w:rFonts w:hint="eastAsia" w:ascii="宋体" w:hAnsi="宋体" w:cs="宋体"/>
                <w:color w:val="auto"/>
                <w:sz w:val="21"/>
                <w:szCs w:val="21"/>
                <w:lang w:val="en-US" w:eastAsia="zh-CN"/>
              </w:rPr>
              <w:t>5</w:t>
            </w:r>
            <w:r>
              <w:rPr>
                <w:rFonts w:hint="eastAsia" w:ascii="宋体" w:hAnsi="宋体" w:eastAsia="宋体" w:cs="宋体"/>
                <w:color w:val="auto"/>
                <w:kern w:val="0"/>
                <w:sz w:val="21"/>
                <w:szCs w:val="21"/>
              </w:rPr>
              <w:t xml:space="preserve">响应时间：≤2秒               </w:t>
            </w:r>
          </w:p>
          <w:p w14:paraId="331E4070">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sz w:val="21"/>
                <w:szCs w:val="21"/>
              </w:rPr>
              <w:t>13.</w:t>
            </w:r>
            <w:r>
              <w:rPr>
                <w:rFonts w:hint="eastAsia" w:ascii="宋体" w:hAnsi="宋体" w:cs="宋体"/>
                <w:color w:val="auto"/>
                <w:sz w:val="21"/>
                <w:szCs w:val="21"/>
                <w:lang w:val="en-US" w:eastAsia="zh-CN"/>
              </w:rPr>
              <w:t>6</w:t>
            </w:r>
            <w:r>
              <w:rPr>
                <w:rFonts w:hint="eastAsia" w:ascii="宋体" w:hAnsi="宋体" w:eastAsia="宋体" w:cs="宋体"/>
                <w:color w:val="auto"/>
                <w:kern w:val="0"/>
                <w:sz w:val="21"/>
                <w:szCs w:val="21"/>
              </w:rPr>
              <w:t>土壤水分分辨率：0.1%</w:t>
            </w:r>
          </w:p>
          <w:p w14:paraId="2A9AD50B">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sz w:val="21"/>
                <w:szCs w:val="21"/>
              </w:rPr>
              <w:t>13.</w:t>
            </w:r>
            <w:r>
              <w:rPr>
                <w:rFonts w:hint="eastAsia" w:ascii="宋体" w:hAnsi="宋体" w:cs="宋体"/>
                <w:color w:val="auto"/>
                <w:sz w:val="21"/>
                <w:szCs w:val="21"/>
                <w:lang w:val="en-US" w:eastAsia="zh-CN"/>
              </w:rPr>
              <w:t>7</w:t>
            </w:r>
            <w:r>
              <w:rPr>
                <w:rFonts w:hint="eastAsia" w:ascii="宋体" w:hAnsi="宋体" w:eastAsia="宋体" w:cs="宋体"/>
                <w:color w:val="auto"/>
                <w:kern w:val="0"/>
                <w:sz w:val="21"/>
                <w:szCs w:val="21"/>
              </w:rPr>
              <w:t>含水率测试范围：0～100%</w:t>
            </w:r>
          </w:p>
          <w:p w14:paraId="10EBBDFF">
            <w:pPr>
              <w:widowControl/>
              <w:spacing w:line="440" w:lineRule="exact"/>
              <w:ind w:firstLine="420" w:firstLineChars="200"/>
              <w:jc w:val="left"/>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13.</w:t>
            </w:r>
            <w:r>
              <w:rPr>
                <w:rFonts w:hint="eastAsia" w:ascii="宋体" w:hAnsi="宋体" w:cs="宋体"/>
                <w:color w:val="auto"/>
                <w:sz w:val="21"/>
                <w:szCs w:val="21"/>
                <w:lang w:val="en-US" w:eastAsia="zh-CN"/>
              </w:rPr>
              <w:t>8</w:t>
            </w:r>
            <w:r>
              <w:rPr>
                <w:rFonts w:hint="eastAsia" w:ascii="宋体" w:hAnsi="宋体" w:eastAsia="宋体" w:cs="宋体"/>
                <w:color w:val="auto"/>
                <w:kern w:val="0"/>
                <w:sz w:val="21"/>
                <w:szCs w:val="21"/>
              </w:rPr>
              <w:t>相对百分误差：≤3%</w:t>
            </w:r>
          </w:p>
        </w:tc>
      </w:tr>
      <w:tr w14:paraId="6F338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63C9BBBD">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4D34217E">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可控温电热消解仪（消化炉）</w:t>
            </w:r>
          </w:p>
        </w:tc>
        <w:tc>
          <w:tcPr>
            <w:tcW w:w="496" w:type="dxa"/>
            <w:vAlign w:val="center"/>
          </w:tcPr>
          <w:p w14:paraId="63F5C4D3">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459" w:type="dxa"/>
            <w:vAlign w:val="center"/>
          </w:tcPr>
          <w:p w14:paraId="668CBBA0">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个</w:t>
            </w:r>
          </w:p>
        </w:tc>
        <w:tc>
          <w:tcPr>
            <w:tcW w:w="6848" w:type="dxa"/>
            <w:vAlign w:val="center"/>
          </w:tcPr>
          <w:p w14:paraId="4006D552">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xml:space="preserve">1.加热方式 ：红外加热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2.热传导方式 ：空气传导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3.控温方式 ：两级开关，通过控制电压实现控温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4.控温阶段： 2阶段控温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5.隔热保温模式： 采用空气隔热层和硅酸铝隔热层，双重隔热效果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6.升温速度 ：30℃/min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7.控温精度 ：±2℃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8.外观： 整机采用喷塑钢板，工作台采用耐酸碱不锈钢材料。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9.加热方式采用适应红外加热管。</w:t>
            </w:r>
          </w:p>
          <w:p w14:paraId="61328FB7">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sz w:val="21"/>
                <w:szCs w:val="21"/>
              </w:rPr>
              <w:t>10.</w:t>
            </w:r>
            <w:r>
              <w:rPr>
                <w:rFonts w:hint="eastAsia" w:ascii="宋体" w:hAnsi="宋体" w:eastAsia="宋体" w:cs="宋体"/>
                <w:color w:val="auto"/>
                <w:kern w:val="0"/>
                <w:sz w:val="21"/>
                <w:szCs w:val="21"/>
              </w:rPr>
              <w:t>技术参数：</w:t>
            </w:r>
          </w:p>
          <w:p w14:paraId="6BC05304">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sz w:val="21"/>
                <w:szCs w:val="21"/>
              </w:rPr>
              <w:t>10.</w:t>
            </w:r>
            <w:r>
              <w:rPr>
                <w:rFonts w:hint="eastAsia" w:ascii="宋体" w:hAnsi="宋体" w:eastAsia="宋体" w:cs="宋体"/>
                <w:color w:val="auto"/>
                <w:kern w:val="0"/>
                <w:sz w:val="21"/>
                <w:szCs w:val="21"/>
              </w:rPr>
              <w:t>1控温范围：室温～600℃</w:t>
            </w:r>
          </w:p>
          <w:p w14:paraId="4C3DC41A">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sz w:val="21"/>
                <w:szCs w:val="21"/>
              </w:rPr>
              <w:t>10.</w:t>
            </w:r>
            <w:r>
              <w:rPr>
                <w:rFonts w:hint="eastAsia" w:ascii="宋体" w:hAnsi="宋体" w:eastAsia="宋体" w:cs="宋体"/>
                <w:color w:val="auto"/>
                <w:kern w:val="0"/>
                <w:sz w:val="21"/>
                <w:szCs w:val="21"/>
              </w:rPr>
              <w:t>2测定范围：0.1mgN～200mgN(毫克氮)</w:t>
            </w:r>
          </w:p>
          <w:p w14:paraId="7898F8D3">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sz w:val="21"/>
                <w:szCs w:val="21"/>
              </w:rPr>
              <w:t>10.</w:t>
            </w:r>
            <w:r>
              <w:rPr>
                <w:rFonts w:hint="eastAsia" w:ascii="宋体" w:hAnsi="宋体" w:eastAsia="宋体" w:cs="宋体"/>
                <w:color w:val="auto"/>
                <w:kern w:val="0"/>
                <w:sz w:val="21"/>
                <w:szCs w:val="21"/>
              </w:rPr>
              <w:t>3测定数量：一次同时测量8孔</w:t>
            </w:r>
          </w:p>
          <w:p w14:paraId="1F8EBFA0">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sz w:val="21"/>
                <w:szCs w:val="21"/>
              </w:rPr>
              <w:t>10.</w:t>
            </w:r>
            <w:r>
              <w:rPr>
                <w:rFonts w:hint="eastAsia" w:ascii="宋体" w:hAnsi="宋体" w:eastAsia="宋体" w:cs="宋体"/>
                <w:color w:val="auto"/>
                <w:kern w:val="0"/>
                <w:sz w:val="21"/>
                <w:szCs w:val="21"/>
              </w:rPr>
              <w:t>4消化时间：60～90分钟／批（按样品量而定）</w:t>
            </w:r>
          </w:p>
          <w:p w14:paraId="425A1219">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sz w:val="21"/>
                <w:szCs w:val="21"/>
              </w:rPr>
              <w:t>10.</w:t>
            </w:r>
            <w:r>
              <w:rPr>
                <w:rFonts w:hint="eastAsia" w:ascii="宋体" w:hAnsi="宋体" w:eastAsia="宋体" w:cs="宋体"/>
                <w:color w:val="auto"/>
                <w:kern w:val="0"/>
                <w:sz w:val="21"/>
                <w:szCs w:val="21"/>
              </w:rPr>
              <w:t>5消化管容量：</w:t>
            </w:r>
            <w:r>
              <w:rPr>
                <w:rFonts w:hint="eastAsia" w:ascii="宋体" w:hAnsi="宋体" w:cs="宋体"/>
                <w:color w:val="auto"/>
                <w:kern w:val="0"/>
                <w:sz w:val="21"/>
                <w:szCs w:val="21"/>
                <w:lang w:val="en-US" w:eastAsia="zh-CN"/>
              </w:rPr>
              <w:t>不小于</w:t>
            </w:r>
            <w:r>
              <w:rPr>
                <w:rFonts w:hint="eastAsia" w:ascii="宋体" w:hAnsi="宋体" w:eastAsia="宋体" w:cs="宋体"/>
                <w:color w:val="auto"/>
                <w:kern w:val="0"/>
                <w:sz w:val="21"/>
                <w:szCs w:val="21"/>
              </w:rPr>
              <w:t>300ml</w:t>
            </w:r>
          </w:p>
          <w:p w14:paraId="14753309">
            <w:pPr>
              <w:widowControl/>
              <w:spacing w:line="440" w:lineRule="exact"/>
              <w:ind w:firstLine="420" w:firstLineChars="200"/>
              <w:jc w:val="left"/>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10.</w:t>
            </w:r>
            <w:r>
              <w:rPr>
                <w:rFonts w:hint="eastAsia" w:ascii="宋体" w:hAnsi="宋体" w:eastAsia="宋体" w:cs="宋体"/>
                <w:color w:val="auto"/>
                <w:kern w:val="0"/>
                <w:sz w:val="21"/>
                <w:szCs w:val="21"/>
              </w:rPr>
              <w:t>6电源：AC220（V）50Hz</w:t>
            </w:r>
          </w:p>
        </w:tc>
      </w:tr>
      <w:tr w14:paraId="61BDC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27CC22AA">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5D5AA5CE">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恒温振荡器</w:t>
            </w:r>
          </w:p>
        </w:tc>
        <w:tc>
          <w:tcPr>
            <w:tcW w:w="496" w:type="dxa"/>
            <w:vAlign w:val="center"/>
          </w:tcPr>
          <w:p w14:paraId="7997A5B3">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459" w:type="dxa"/>
            <w:vAlign w:val="center"/>
          </w:tcPr>
          <w:p w14:paraId="49BCCA60">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个</w:t>
            </w:r>
          </w:p>
        </w:tc>
        <w:tc>
          <w:tcPr>
            <w:tcW w:w="6848" w:type="dxa"/>
            <w:vAlign w:val="center"/>
          </w:tcPr>
          <w:p w14:paraId="6AAC9293">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1.大屏幕液晶显示屏，能连续、精确、实时显示温度以及转速和工作时间，并且菜单式操作界面，操作简便。</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2.采用微电脑控制温度和振荡频率，带有定时功能；内置断电保护功能,可在电源正常供电后自动恢复运转。</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3.工作室内部独特风道微风循环，温度均匀性好；大观察视窗设计，便于观察样品，启闭方便。</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4.转速控制：直流无刷电机智能反馈控制，转速精度高。慢启动设计，转速失控后，自动锁定，启动速度可调，防止了骤然启动造成的摇瓶液体外溅，有效保证了定量实验的准确性。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5.开盖自动切断UV灯功能。</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6.工作室底具有防水功能，溶液洒落不会影响机器正常运行。</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7.技术参数：</w:t>
            </w:r>
          </w:p>
          <w:p w14:paraId="797FF91A">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7.1方式：回旋振荡</w:t>
            </w:r>
          </w:p>
          <w:p w14:paraId="3D844345">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7.2性能：</w:t>
            </w:r>
          </w:p>
          <w:p w14:paraId="16158C67">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7.2.1回旋震荡幅度：φ20 mm</w:t>
            </w:r>
          </w:p>
          <w:p w14:paraId="53B81931">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7.2.2温度分辨率：0.1℃</w:t>
            </w:r>
          </w:p>
          <w:p w14:paraId="58AB5B78">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7.2.3温度波动度：±0.1℃</w:t>
            </w:r>
          </w:p>
          <w:p w14:paraId="40E0EF4C">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7.2.4温度分布精度：±1℃</w:t>
            </w:r>
          </w:p>
          <w:p w14:paraId="1049153F">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7.2.5使用温度范围：RT+5-65℃</w:t>
            </w:r>
          </w:p>
          <w:p w14:paraId="5EC0D52C">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7.2.6回旋频率范围：30-300rpm</w:t>
            </w:r>
          </w:p>
          <w:p w14:paraId="26BED72C">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7.2.7回旋频率精度：±1rpm</w:t>
            </w:r>
          </w:p>
          <w:p w14:paraId="025172D4">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7.3构成：</w:t>
            </w:r>
          </w:p>
          <w:p w14:paraId="09AED934">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7.3.1工作室：镜面不锈钢</w:t>
            </w:r>
          </w:p>
          <w:p w14:paraId="13CF5D7D">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7.3.2外壳：ABS</w:t>
            </w:r>
          </w:p>
          <w:p w14:paraId="1542345C">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7.3.3观察窗：树脂</w:t>
            </w:r>
          </w:p>
          <w:p w14:paraId="27DF5B3E">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7.3.4保温层：聚氨酯</w:t>
            </w:r>
          </w:p>
          <w:p w14:paraId="3EBC22FE">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7.3.5加热器：不锈钢加热管</w:t>
            </w:r>
          </w:p>
          <w:p w14:paraId="529734B7">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7.3.6驱动方式：三轴水平</w:t>
            </w:r>
          </w:p>
          <w:p w14:paraId="0DCE28C0">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7.3.7标配托盘样式：万能弹簧网格托盘</w:t>
            </w:r>
          </w:p>
          <w:p w14:paraId="38FE002D">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7.3.8风循环方式：水平</w:t>
            </w:r>
          </w:p>
          <w:p w14:paraId="0359A18F">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7.3.9额定功率：0.6 kw</w:t>
            </w:r>
          </w:p>
          <w:p w14:paraId="20978AF2">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7.4.控制器：</w:t>
            </w:r>
          </w:p>
          <w:p w14:paraId="70BA2EE4">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7.4.1温度控制方式：液晶PID智能控制</w:t>
            </w:r>
          </w:p>
          <w:p w14:paraId="31A5DDE2">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7.4.2回旋控制方式：程序设定自动方向切换</w:t>
            </w:r>
          </w:p>
          <w:p w14:paraId="433E0716">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7.4.3设定方式：轻触按键设定</w:t>
            </w:r>
          </w:p>
          <w:p w14:paraId="3DA2A49E">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7.4.4温度表示方式：液晶显示</w:t>
            </w:r>
          </w:p>
          <w:p w14:paraId="23922222">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xml:space="preserve">7.4.5速度表示方式：液晶显示               </w:t>
            </w:r>
          </w:p>
          <w:p w14:paraId="383438EF">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7.4.6定时器：0-9999分钟</w:t>
            </w:r>
          </w:p>
          <w:p w14:paraId="467906B6">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7.4.7运行功能：定值运行、定时运行、双向自动切换、自动停止、快速停止启动</w:t>
            </w:r>
          </w:p>
          <w:p w14:paraId="2C033E73">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7.4.8温度传感器：Pt100</w:t>
            </w:r>
          </w:p>
          <w:p w14:paraId="137F7C73">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7.4.9速度传感器：霍尔</w:t>
            </w:r>
          </w:p>
          <w:p w14:paraId="1CD603DF">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7.4.10门控系统：有</w:t>
            </w:r>
          </w:p>
          <w:p w14:paraId="595F4F69">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7.4.11附加功能：偏差修正、菜单按键锁定、停电记忆</w:t>
            </w:r>
          </w:p>
          <w:p w14:paraId="38766156">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7.5.安全装置：超温报警、菜单锁定、门控系统、断电保护、堵转保护</w:t>
            </w:r>
          </w:p>
          <w:p w14:paraId="3080F330">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xml:space="preserve">7.6.规格： </w:t>
            </w:r>
          </w:p>
          <w:p w14:paraId="5DFE5532">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7.6.1内尺寸（宽*深*高）：</w:t>
            </w:r>
            <w:r>
              <w:rPr>
                <w:rFonts w:hint="eastAsia" w:ascii="宋体" w:hAnsi="宋体" w:eastAsia="宋体" w:cs="宋体"/>
                <w:color w:val="auto"/>
                <w:sz w:val="21"/>
                <w:szCs w:val="21"/>
              </w:rPr>
              <w:t>≥</w:t>
            </w:r>
            <w:r>
              <w:rPr>
                <w:rFonts w:hint="eastAsia" w:ascii="宋体" w:hAnsi="宋体" w:eastAsia="宋体" w:cs="宋体"/>
                <w:color w:val="auto"/>
                <w:kern w:val="0"/>
                <w:sz w:val="21"/>
                <w:szCs w:val="21"/>
              </w:rPr>
              <w:t>455*380*290mm</w:t>
            </w:r>
          </w:p>
          <w:p w14:paraId="01175A6D">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7.6.2外尺寸（宽*深*高）：</w:t>
            </w:r>
            <w:r>
              <w:rPr>
                <w:rFonts w:hint="eastAsia" w:ascii="宋体" w:hAnsi="宋体" w:eastAsia="宋体" w:cs="宋体"/>
                <w:color w:val="auto"/>
                <w:sz w:val="21"/>
                <w:szCs w:val="21"/>
              </w:rPr>
              <w:t>≥</w:t>
            </w:r>
            <w:r>
              <w:rPr>
                <w:rFonts w:hint="eastAsia" w:ascii="宋体" w:hAnsi="宋体" w:eastAsia="宋体" w:cs="宋体"/>
                <w:color w:val="auto"/>
                <w:kern w:val="0"/>
                <w:sz w:val="21"/>
                <w:szCs w:val="21"/>
              </w:rPr>
              <w:t>500*640*480mm</w:t>
            </w:r>
          </w:p>
          <w:p w14:paraId="77F4B35A">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7.6.3外包装尺寸（宽*深*高）：</w:t>
            </w:r>
            <w:r>
              <w:rPr>
                <w:rFonts w:hint="eastAsia" w:ascii="宋体" w:hAnsi="宋体" w:eastAsia="宋体" w:cs="宋体"/>
                <w:color w:val="auto"/>
                <w:sz w:val="21"/>
                <w:szCs w:val="21"/>
              </w:rPr>
              <w:t>≥</w:t>
            </w:r>
            <w:r>
              <w:rPr>
                <w:rFonts w:hint="eastAsia" w:ascii="宋体" w:hAnsi="宋体" w:eastAsia="宋体" w:cs="宋体"/>
                <w:color w:val="auto"/>
                <w:kern w:val="0"/>
                <w:sz w:val="21"/>
                <w:szCs w:val="21"/>
              </w:rPr>
              <w:t>802*620*685mm</w:t>
            </w:r>
          </w:p>
          <w:p w14:paraId="019186E6">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7.6.4托盘尺寸（mm):</w:t>
            </w:r>
            <w:r>
              <w:rPr>
                <w:rFonts w:hint="eastAsia" w:ascii="宋体" w:hAnsi="宋体" w:eastAsia="宋体" w:cs="宋体"/>
                <w:color w:val="auto"/>
                <w:sz w:val="21"/>
                <w:szCs w:val="21"/>
              </w:rPr>
              <w:t>≥</w:t>
            </w:r>
            <w:r>
              <w:rPr>
                <w:rFonts w:hint="eastAsia" w:ascii="宋体" w:hAnsi="宋体" w:eastAsia="宋体" w:cs="宋体"/>
                <w:color w:val="auto"/>
                <w:kern w:val="0"/>
                <w:sz w:val="21"/>
                <w:szCs w:val="21"/>
              </w:rPr>
              <w:t>380*320</w:t>
            </w:r>
          </w:p>
          <w:p w14:paraId="46F0E6AB">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7.6.5托盘最大单一规格容量：100ml*16个/250ml*9个/500ml*5个/1000ml*4个</w:t>
            </w:r>
          </w:p>
          <w:p w14:paraId="22CE020B">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7.6.6内容积：</w:t>
            </w:r>
            <w:r>
              <w:rPr>
                <w:rFonts w:hint="eastAsia" w:ascii="宋体" w:hAnsi="宋体" w:eastAsia="宋体" w:cs="宋体"/>
                <w:color w:val="auto"/>
                <w:sz w:val="21"/>
                <w:szCs w:val="21"/>
              </w:rPr>
              <w:t>≥</w:t>
            </w:r>
            <w:r>
              <w:rPr>
                <w:rFonts w:hint="eastAsia" w:ascii="宋体" w:hAnsi="宋体" w:eastAsia="宋体" w:cs="宋体"/>
                <w:color w:val="auto"/>
                <w:kern w:val="0"/>
                <w:sz w:val="21"/>
                <w:szCs w:val="21"/>
              </w:rPr>
              <w:t>50 L</w:t>
            </w:r>
          </w:p>
          <w:p w14:paraId="54312FB8">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7.6.7托盘承重：≤10kg/层</w:t>
            </w:r>
          </w:p>
          <w:p w14:paraId="7E0089DF">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7.6.8托盘层数：1</w:t>
            </w:r>
          </w:p>
          <w:p w14:paraId="75B61CA8">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7.6.9电源（50/60Hz）额定电流：AC220/2.5A</w:t>
            </w:r>
          </w:p>
          <w:p w14:paraId="6676418E">
            <w:pPr>
              <w:widowControl/>
              <w:spacing w:line="440" w:lineRule="exact"/>
              <w:ind w:firstLine="420" w:firstLineChars="200"/>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7.6.10净重/毛重kg：约45/55</w:t>
            </w:r>
          </w:p>
        </w:tc>
      </w:tr>
      <w:tr w14:paraId="57E2A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497E1367">
            <w:pPr>
              <w:numPr>
                <w:ilvl w:val="0"/>
                <w:numId w:val="4"/>
              </w:numPr>
              <w:tabs>
                <w:tab w:val="clear" w:pos="0"/>
              </w:tabs>
              <w:spacing w:line="440" w:lineRule="exact"/>
              <w:jc w:val="center"/>
              <w:rPr>
                <w:rFonts w:hint="eastAsia" w:ascii="宋体" w:hAnsi="宋体" w:eastAsia="宋体" w:cs="宋体"/>
                <w:color w:val="auto"/>
                <w:sz w:val="21"/>
                <w:szCs w:val="21"/>
              </w:rPr>
            </w:pPr>
            <w:bookmarkStart w:id="37" w:name="OLE_LINK1" w:colFirst="0" w:colLast="1"/>
            <w:bookmarkStart w:id="38" w:name="OLE_LINK2" w:colFirst="0" w:colLast="1"/>
            <w:bookmarkStart w:id="39" w:name="_Hlk235479195"/>
          </w:p>
        </w:tc>
        <w:tc>
          <w:tcPr>
            <w:tcW w:w="1277" w:type="dxa"/>
            <w:vAlign w:val="center"/>
          </w:tcPr>
          <w:p w14:paraId="04BB4398">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马弗炉</w:t>
            </w:r>
          </w:p>
          <w:bookmarkEnd w:id="37"/>
          <w:bookmarkEnd w:id="38"/>
        </w:tc>
        <w:tc>
          <w:tcPr>
            <w:tcW w:w="496" w:type="dxa"/>
            <w:vAlign w:val="center"/>
          </w:tcPr>
          <w:p w14:paraId="1F1CC449">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459" w:type="dxa"/>
            <w:vAlign w:val="center"/>
          </w:tcPr>
          <w:p w14:paraId="2DA2E27D">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个</w:t>
            </w:r>
          </w:p>
        </w:tc>
        <w:tc>
          <w:tcPr>
            <w:tcW w:w="6848" w:type="dxa"/>
            <w:vAlign w:val="center"/>
          </w:tcPr>
          <w:p w14:paraId="5CD79134">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1.外壳采用冷轧钢板制作，表面静电涂喷。</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2.工作室为耐火材料制作内嵌加热丝，耐用。</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3.微电脑智能控制仪，控温精度高。</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4.炉控连体设计，节省使用空间。</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5.工作环境</w:t>
            </w:r>
          </w:p>
          <w:p w14:paraId="54EA4FC8">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5.1.环境温度：5~40℃；</w:t>
            </w:r>
          </w:p>
          <w:p w14:paraId="3C0387F8">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5.2.环境湿度：≤85％；</w:t>
            </w:r>
          </w:p>
          <w:p w14:paraId="6E84068A">
            <w:pPr>
              <w:pStyle w:val="16"/>
              <w:widowControl/>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6.主要技术参数</w:t>
            </w:r>
          </w:p>
          <w:p w14:paraId="59FBC6FB">
            <w:pPr>
              <w:pStyle w:val="16"/>
              <w:widowControl/>
              <w:ind w:firstLine="420" w:firstLineChars="200"/>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6.1.电源电压：220V</w:t>
            </w:r>
          </w:p>
          <w:p w14:paraId="2B0D65EC">
            <w:pPr>
              <w:pStyle w:val="16"/>
              <w:widowControl/>
              <w:ind w:firstLine="420" w:firstLineChars="200"/>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6.2.额定温度：1200℃</w:t>
            </w:r>
          </w:p>
          <w:p w14:paraId="3C0BE74D">
            <w:pPr>
              <w:pStyle w:val="16"/>
              <w:widowControl/>
              <w:ind w:firstLine="420" w:firstLineChars="200"/>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6.3.额定功率：2.5KW</w:t>
            </w:r>
          </w:p>
          <w:p w14:paraId="2FB54346">
            <w:pPr>
              <w:pStyle w:val="16"/>
              <w:widowControl/>
              <w:ind w:firstLine="420" w:firstLineChars="200"/>
              <w:rPr>
                <w:rFonts w:hint="eastAsia" w:ascii="宋体" w:hAnsi="宋体" w:eastAsia="宋体" w:cs="宋体"/>
                <w:color w:val="auto"/>
                <w:sz w:val="21"/>
                <w:szCs w:val="21"/>
              </w:rPr>
            </w:pPr>
            <w:r>
              <w:rPr>
                <w:rFonts w:hint="eastAsia" w:ascii="宋体" w:hAnsi="宋体" w:eastAsia="宋体" w:cs="宋体"/>
                <w:color w:val="auto"/>
                <w:kern w:val="0"/>
                <w:sz w:val="21"/>
                <w:szCs w:val="21"/>
              </w:rPr>
              <w:t>6.4.炉膛尺寸</w:t>
            </w:r>
            <w:r>
              <w:rPr>
                <w:rFonts w:hint="eastAsia" w:ascii="宋体" w:hAnsi="宋体" w:eastAsia="宋体" w:cs="宋体"/>
                <w:color w:val="auto"/>
                <w:sz w:val="21"/>
                <w:szCs w:val="21"/>
              </w:rPr>
              <w:t>(长×宽×高)</w:t>
            </w:r>
            <w:r>
              <w:rPr>
                <w:rFonts w:hint="eastAsia" w:ascii="宋体" w:hAnsi="宋体" w:eastAsia="宋体" w:cs="宋体"/>
                <w:color w:val="auto"/>
                <w:kern w:val="0"/>
                <w:sz w:val="21"/>
                <w:szCs w:val="21"/>
              </w:rPr>
              <w:t>：</w:t>
            </w:r>
            <w:r>
              <w:rPr>
                <w:rFonts w:hint="eastAsia" w:ascii="宋体" w:hAnsi="宋体" w:eastAsia="宋体" w:cs="宋体"/>
                <w:color w:val="auto"/>
                <w:sz w:val="21"/>
                <w:szCs w:val="21"/>
              </w:rPr>
              <w:t>≥</w:t>
            </w:r>
            <w:r>
              <w:rPr>
                <w:rFonts w:hint="eastAsia" w:ascii="宋体" w:hAnsi="宋体" w:eastAsia="宋体" w:cs="宋体"/>
                <w:color w:val="auto"/>
                <w:kern w:val="0"/>
                <w:sz w:val="21"/>
                <w:szCs w:val="21"/>
              </w:rPr>
              <w:t>200X120X80mm</w:t>
            </w:r>
          </w:p>
        </w:tc>
      </w:tr>
      <w:bookmarkEnd w:id="39"/>
      <w:tr w14:paraId="48766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2D334B07">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23D20670">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土壤原位酸度计</w:t>
            </w:r>
          </w:p>
        </w:tc>
        <w:tc>
          <w:tcPr>
            <w:tcW w:w="496" w:type="dxa"/>
            <w:vAlign w:val="center"/>
          </w:tcPr>
          <w:p w14:paraId="4B4DC7AF">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459" w:type="dxa"/>
            <w:vAlign w:val="center"/>
          </w:tcPr>
          <w:p w14:paraId="01F26BFB">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c>
          <w:tcPr>
            <w:tcW w:w="6848" w:type="dxa"/>
            <w:vAlign w:val="center"/>
          </w:tcPr>
          <w:p w14:paraId="4C2522C5">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1.无线通讯功能：</w:t>
            </w:r>
            <w:r>
              <w:rPr>
                <w:rFonts w:hint="eastAsia" w:ascii="宋体" w:hAnsi="宋体" w:cs="宋体"/>
                <w:color w:val="auto"/>
                <w:kern w:val="0"/>
                <w:sz w:val="21"/>
                <w:szCs w:val="21"/>
                <w:lang w:val="en-US" w:eastAsia="zh-CN"/>
              </w:rPr>
              <w:t>应</w:t>
            </w:r>
            <w:r>
              <w:rPr>
                <w:rFonts w:hint="eastAsia" w:ascii="宋体" w:hAnsi="宋体" w:eastAsia="宋体" w:cs="宋体"/>
                <w:color w:val="auto"/>
                <w:kern w:val="0"/>
                <w:sz w:val="21"/>
                <w:szCs w:val="21"/>
              </w:rPr>
              <w:t>自动上传测量数据，设备通过5G/4G网络方式与服务器通讯，实时发送至服务器，上网页查看数据，无论身在何处只要能上网，均可查看下载数据；</w:t>
            </w:r>
            <w:r>
              <w:rPr>
                <w:rFonts w:hint="eastAsia" w:ascii="宋体" w:hAnsi="宋体" w:eastAsia="宋体" w:cs="宋体"/>
                <w:color w:val="auto"/>
                <w:kern w:val="0"/>
                <w:sz w:val="21"/>
                <w:szCs w:val="21"/>
              </w:rPr>
              <w:br w:type="textWrapping"/>
            </w:r>
            <w:r>
              <w:rPr>
                <w:rFonts w:hint="eastAsia" w:ascii="宋体" w:hAnsi="宋体" w:eastAsia="宋体" w:cs="宋体"/>
                <w:b/>
                <w:bCs/>
                <w:color w:val="auto"/>
                <w:sz w:val="21"/>
                <w:szCs w:val="21"/>
              </w:rPr>
              <w:t>▲</w:t>
            </w:r>
            <w:r>
              <w:rPr>
                <w:rFonts w:hint="eastAsia" w:ascii="宋体" w:hAnsi="宋体" w:eastAsia="宋体" w:cs="宋体"/>
                <w:color w:val="auto"/>
                <w:kern w:val="0"/>
                <w:sz w:val="21"/>
                <w:szCs w:val="21"/>
              </w:rPr>
              <w:t>2.仪器含手机APP。</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3．低功耗设计，增加系统监控和保护措施，避免系统死机。</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4．中文液晶显示，可显示当前日期时间，各传感器测量数据，存储容量，已存储数据条数等信息。</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5.主机数据存储容量大：设备内部Flash可存储不少于近期3万条数据。</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6.内置锂电池供电：锂电池，具有充电保护、电压过低提示功能。</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7.采集设置：在无人看守的情况下使用，可设置定时采集，也可手动采集。</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8.语音设置：可根据需要设置语音播报功能开/关/超限开。</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9.语音报警功能：主机语音设置为超限开后，即可语音播报超限信息。</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10.主机可通过集线器接入不同类型的传感器，互不影响精度。</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11.自带GPS定位功能，数据采集时可自动显示采集点地理坐标。</w:t>
            </w:r>
          </w:p>
          <w:p w14:paraId="47B3CE50">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sz w:val="21"/>
                <w:szCs w:val="21"/>
              </w:rPr>
              <w:t>12.</w:t>
            </w:r>
            <w:r>
              <w:rPr>
                <w:rFonts w:hint="eastAsia" w:ascii="宋体" w:hAnsi="宋体" w:eastAsia="宋体" w:cs="宋体"/>
                <w:color w:val="auto"/>
                <w:kern w:val="0"/>
                <w:sz w:val="21"/>
                <w:szCs w:val="21"/>
              </w:rPr>
              <w:t>土壤pH技术参数：</w:t>
            </w:r>
          </w:p>
          <w:p w14:paraId="57FEAF5F">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sz w:val="21"/>
                <w:szCs w:val="21"/>
              </w:rPr>
              <w:t>12.</w:t>
            </w:r>
            <w:r>
              <w:rPr>
                <w:rFonts w:hint="eastAsia" w:ascii="宋体" w:hAnsi="宋体" w:eastAsia="宋体" w:cs="宋体"/>
                <w:color w:val="auto"/>
                <w:kern w:val="0"/>
                <w:sz w:val="21"/>
                <w:szCs w:val="21"/>
              </w:rPr>
              <w:t>1范围：0-14</w:t>
            </w:r>
          </w:p>
          <w:p w14:paraId="609AC752">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sz w:val="21"/>
                <w:szCs w:val="21"/>
              </w:rPr>
              <w:t>12.</w:t>
            </w:r>
            <w:r>
              <w:rPr>
                <w:rFonts w:hint="eastAsia" w:ascii="宋体" w:hAnsi="宋体" w:eastAsia="宋体" w:cs="宋体"/>
                <w:color w:val="auto"/>
                <w:kern w:val="0"/>
                <w:sz w:val="21"/>
                <w:szCs w:val="21"/>
              </w:rPr>
              <w:t>2精度：≤0.2ph</w:t>
            </w:r>
          </w:p>
          <w:p w14:paraId="2CDD7FA3">
            <w:pPr>
              <w:widowControl/>
              <w:spacing w:line="440" w:lineRule="exact"/>
              <w:ind w:firstLine="420" w:firstLineChars="200"/>
              <w:jc w:val="left"/>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12.</w:t>
            </w:r>
            <w:r>
              <w:rPr>
                <w:rFonts w:hint="eastAsia" w:ascii="宋体" w:hAnsi="宋体" w:eastAsia="宋体" w:cs="宋体"/>
                <w:color w:val="auto"/>
                <w:kern w:val="0"/>
                <w:sz w:val="21"/>
                <w:szCs w:val="21"/>
              </w:rPr>
              <w:t>3测试时间：≤2秒</w:t>
            </w:r>
          </w:p>
        </w:tc>
      </w:tr>
      <w:tr w14:paraId="2A051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01EC2B78">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5C4C4AC5">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电导率仪</w:t>
            </w:r>
          </w:p>
        </w:tc>
        <w:tc>
          <w:tcPr>
            <w:tcW w:w="496" w:type="dxa"/>
            <w:vAlign w:val="center"/>
          </w:tcPr>
          <w:p w14:paraId="75DD5FE7">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5</w:t>
            </w:r>
          </w:p>
        </w:tc>
        <w:tc>
          <w:tcPr>
            <w:tcW w:w="459" w:type="dxa"/>
            <w:vAlign w:val="center"/>
          </w:tcPr>
          <w:p w14:paraId="48B506D2">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c>
          <w:tcPr>
            <w:tcW w:w="6848" w:type="dxa"/>
            <w:vAlign w:val="center"/>
          </w:tcPr>
          <w:p w14:paraId="63D38153">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1.仪器级别：1.0级</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2.测量参数：电导率、电阻率、TDS、盐度值、温度</w:t>
            </w:r>
          </w:p>
          <w:p w14:paraId="44154197">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2.1电导率：</w:t>
            </w:r>
          </w:p>
          <w:p w14:paraId="7E822208">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2.1.1范围：0.000μS/cm～ 1000mS/cm</w:t>
            </w:r>
          </w:p>
          <w:p w14:paraId="6160877D">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2.1.2最小分辨率：0.001 μS/cm，根据量程自动切换</w:t>
            </w:r>
          </w:p>
          <w:p w14:paraId="4F3AA68B">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2.1.3电子单元引用误差：± 1.0% FS</w:t>
            </w:r>
          </w:p>
          <w:p w14:paraId="1813FE10">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2.2电阻率：范围：5.00Ω ·cm～20.00MΩ ·cm</w:t>
            </w:r>
          </w:p>
          <w:p w14:paraId="52065DF0">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2.2.1最小分辨率：0.01Ω ·cm，根据量程自动切换</w:t>
            </w:r>
          </w:p>
          <w:p w14:paraId="594EADE2">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2.2.2电子单元引用误差：±1.0％ FS</w:t>
            </w:r>
          </w:p>
          <w:p w14:paraId="3A718DF2">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2.3 TDS：范围：0.00mg/L～300g/L</w:t>
            </w:r>
          </w:p>
          <w:p w14:paraId="315F4466">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2.3.1最小分辨率：0.01mg/L，根据量程自动切换</w:t>
            </w:r>
          </w:p>
          <w:p w14:paraId="2ECFBB79">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2.3.2电子单元引用误差：±1.0％ FS</w:t>
            </w:r>
          </w:p>
          <w:p w14:paraId="7257D032">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2.4 盐度:范围:(0.00～8.00)%</w:t>
            </w:r>
          </w:p>
          <w:p w14:paraId="2DDAF3B1">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2.4.1最小分辨率: 0.01%</w:t>
            </w:r>
          </w:p>
          <w:p w14:paraId="43C3ABEF">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2.4.2电子单元引用误差:±0.2％</w:t>
            </w:r>
          </w:p>
          <w:p w14:paraId="44A7D979">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2.5 温度:范围:(-5.0～110.0)℃ /(23.0~230.0)℉</w:t>
            </w:r>
          </w:p>
          <w:p w14:paraId="764ED524">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2.5.1最小分辨率:0.1℃/0.1℉</w:t>
            </w:r>
          </w:p>
          <w:p w14:paraId="4953AC48">
            <w:pPr>
              <w:widowControl/>
              <w:spacing w:line="440" w:lineRule="exact"/>
              <w:ind w:firstLine="420" w:firstLineChars="200"/>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2.5.2电子单元示值误差:±0.2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3.电源:电源适配器(输入：AC(100~240)V ，输出：DC9V)</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4.尺寸(</w:t>
            </w:r>
            <w:r>
              <w:rPr>
                <w:rFonts w:hint="eastAsia" w:ascii="宋体" w:hAnsi="宋体" w:eastAsia="宋体" w:cs="宋体"/>
                <w:color w:val="auto"/>
                <w:sz w:val="21"/>
                <w:szCs w:val="21"/>
              </w:rPr>
              <w:t>长×宽×高，</w:t>
            </w:r>
            <w:r>
              <w:rPr>
                <w:rFonts w:hint="eastAsia" w:ascii="宋体" w:hAnsi="宋体" w:eastAsia="宋体" w:cs="宋体"/>
                <w:color w:val="auto"/>
                <w:kern w:val="0"/>
                <w:sz w:val="21"/>
                <w:szCs w:val="21"/>
              </w:rPr>
              <w:t>mm)，重量(kg): ≥242×195×68，0.9</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5.包装尺寸(</w:t>
            </w:r>
            <w:r>
              <w:rPr>
                <w:rFonts w:hint="eastAsia" w:ascii="宋体" w:hAnsi="宋体" w:eastAsia="宋体" w:cs="宋体"/>
                <w:color w:val="auto"/>
                <w:sz w:val="21"/>
                <w:szCs w:val="21"/>
              </w:rPr>
              <w:t>长×宽×高，</w:t>
            </w:r>
            <w:r>
              <w:rPr>
                <w:rFonts w:hint="eastAsia" w:ascii="宋体" w:hAnsi="宋体" w:eastAsia="宋体" w:cs="宋体"/>
                <w:color w:val="auto"/>
                <w:kern w:val="0"/>
                <w:sz w:val="21"/>
                <w:szCs w:val="21"/>
              </w:rPr>
              <w:t>mm)，毛重(kg) :≥370×305×330，2.5</w:t>
            </w:r>
          </w:p>
        </w:tc>
      </w:tr>
      <w:tr w14:paraId="25C04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2044DB59">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0C9FA4A6">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土壤养分速测仪</w:t>
            </w:r>
          </w:p>
        </w:tc>
        <w:tc>
          <w:tcPr>
            <w:tcW w:w="496" w:type="dxa"/>
            <w:vAlign w:val="center"/>
          </w:tcPr>
          <w:p w14:paraId="637C3A70">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459" w:type="dxa"/>
            <w:vAlign w:val="center"/>
          </w:tcPr>
          <w:p w14:paraId="2FDAB521">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c>
          <w:tcPr>
            <w:tcW w:w="6848" w:type="dxa"/>
            <w:vAlign w:val="center"/>
          </w:tcPr>
          <w:p w14:paraId="5E474134">
            <w:pPr>
              <w:keepNext w:val="0"/>
              <w:keepLines w:val="0"/>
              <w:pageBreakBefore w:val="0"/>
              <w:widowControl/>
              <w:kinsoku/>
              <w:wordWrap/>
              <w:overflowPunct/>
              <w:topLinePunct w:val="0"/>
              <w:autoSpaceDE/>
              <w:autoSpaceDN/>
              <w:bidi w:val="0"/>
              <w:adjustRightInd/>
              <w:snapToGrid/>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1.土壤肥料养分速测仪可检测包括土壤及化肥中的铵态氮、速效磷、有效钾、有机质、pH、盐分（非玻璃电极的固态传感器，可直接埋入土壤中测试直接出结果）。</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2.暗盒部分采用</w:t>
            </w:r>
            <w:r>
              <w:rPr>
                <w:rFonts w:hint="eastAsia" w:ascii="宋体" w:hAnsi="宋体" w:cs="宋体"/>
                <w:color w:val="auto"/>
                <w:kern w:val="0"/>
                <w:sz w:val="21"/>
                <w:szCs w:val="21"/>
                <w:lang w:val="en-US" w:eastAsia="zh-CN"/>
              </w:rPr>
              <w:t>不小于</w:t>
            </w:r>
            <w:r>
              <w:rPr>
                <w:rFonts w:hint="eastAsia" w:ascii="宋体" w:hAnsi="宋体" w:eastAsia="宋体" w:cs="宋体"/>
                <w:color w:val="auto"/>
                <w:kern w:val="0"/>
                <w:sz w:val="21"/>
                <w:szCs w:val="21"/>
              </w:rPr>
              <w:t>8</w:t>
            </w:r>
            <w:r>
              <w:rPr>
                <w:rFonts w:hint="eastAsia" w:ascii="宋体" w:hAnsi="宋体" w:cs="宋体"/>
                <w:color w:val="auto"/>
                <w:kern w:val="0"/>
                <w:sz w:val="21"/>
                <w:szCs w:val="21"/>
                <w:lang w:eastAsia="zh-CN"/>
              </w:rPr>
              <w:t>个</w:t>
            </w:r>
            <w:r>
              <w:rPr>
                <w:rFonts w:hint="eastAsia" w:ascii="宋体" w:hAnsi="宋体" w:eastAsia="宋体" w:cs="宋体"/>
                <w:color w:val="auto"/>
                <w:kern w:val="0"/>
                <w:sz w:val="21"/>
                <w:szCs w:val="21"/>
              </w:rPr>
              <w:t>通道固态化模块、</w:t>
            </w:r>
            <w:r>
              <w:rPr>
                <w:rFonts w:hint="eastAsia" w:ascii="宋体" w:hAnsi="宋体" w:cs="宋体"/>
                <w:color w:val="auto"/>
                <w:kern w:val="0"/>
                <w:sz w:val="21"/>
                <w:szCs w:val="21"/>
                <w:lang w:val="en-US" w:eastAsia="zh-CN"/>
              </w:rPr>
              <w:t>不小于</w:t>
            </w:r>
            <w:r>
              <w:rPr>
                <w:rFonts w:hint="eastAsia" w:ascii="宋体" w:hAnsi="宋体" w:eastAsia="宋体" w:cs="宋体"/>
                <w:color w:val="auto"/>
                <w:kern w:val="0"/>
                <w:sz w:val="21"/>
                <w:szCs w:val="21"/>
              </w:rPr>
              <w:t>8个光路与接收、可同时测量也可单独测量，比色暗箱体部分融为一体，无机械位移及磨损，保证测定结果精度。</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w:t>
            </w:r>
            <w:r>
              <w:rPr>
                <w:rFonts w:hint="eastAsia" w:ascii="宋体" w:hAnsi="宋体" w:cs="宋体"/>
                <w:color w:val="auto"/>
                <w:kern w:val="0"/>
                <w:sz w:val="21"/>
                <w:szCs w:val="21"/>
                <w:lang w:val="en-US" w:eastAsia="zh-CN"/>
              </w:rPr>
              <w:t>不小于</w:t>
            </w:r>
            <w:r>
              <w:rPr>
                <w:rFonts w:hint="eastAsia" w:ascii="宋体" w:hAnsi="宋体" w:eastAsia="宋体" w:cs="宋体"/>
                <w:color w:val="auto"/>
                <w:kern w:val="0"/>
                <w:sz w:val="21"/>
                <w:szCs w:val="21"/>
              </w:rPr>
              <w:t>7寸彩色触摸液晶显示屏。</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4.内置时钟芯片，屏幕可同步显示北京时间。当前的年、月、日、小时、分钟。</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5.GPS定位功能：具有卫星定位经度、纬度、海拔功能。</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6.所有功能数据为同屏幕显示，仪器在检测的同时可显示操作步骤。</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7.内置数据存储器，测试数据自动存储，断电不丢失数据库。</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8.可在主机上对数据进行单条删除、全部删除、打印数据、打印环境参数、正反排序、按项目名排序，按日期筛选等功能。</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9.土壤肥料养分速测仪内置微型热敏打印机（无需更换色带），测试结果可在本机上存储和打印，存储和打印内容包含：检测单位名称，检测日期，检测时间，检测项目，样品含量，作物品种，肥料品种，施肥数量，计量单位等相关信息。</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10.不少于100种农业、果树、经济作物的目标产量计算推荐施肥量。</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11.数据传输可通过WiFi/4G无线远程传输数据至计算机。仪器带有系统云平台和手机APP,方便测量数据的管理。</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12.为防止误操作，主机内置客户管理系统，可设定用户名及密码，不同用户选择自己的用户名以防已测数据丢失。</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13.配置内置锂电池组，交直流两用，可实现野外流动测试。。</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14.养分测量技术参数要求</w:t>
            </w:r>
          </w:p>
          <w:p w14:paraId="4C8B5799">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(1)稳定性：A值（吸光度）三分钟内飘移小于0.003</w:t>
            </w:r>
          </w:p>
          <w:p w14:paraId="370B1EE6">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(2)重复性：A值（吸光度）小于0.005</w:t>
            </w:r>
          </w:p>
          <w:p w14:paraId="6EA6AB43">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(3)线性误差：小于3.0%</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15.Ph值（酸碱度）测量技术参数要求：</w:t>
            </w:r>
          </w:p>
          <w:p w14:paraId="7D35AD63">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(1)测试范围：1～14</w:t>
            </w:r>
          </w:p>
          <w:p w14:paraId="7BEA24BF">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(2)误差：±0.1</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16.盐量测量技术参数要求</w:t>
            </w:r>
          </w:p>
          <w:p w14:paraId="5CF94B9A">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xml:space="preserve">(1)范围：0～23.00ms/cm </w:t>
            </w:r>
          </w:p>
          <w:p w14:paraId="74636FAD">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(2)精度：±2%FS</w:t>
            </w:r>
          </w:p>
        </w:tc>
      </w:tr>
      <w:tr w14:paraId="1B73C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5C23BBEF">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61ED9CBC">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全项目土壤养分多参数检测仪</w:t>
            </w:r>
          </w:p>
        </w:tc>
        <w:tc>
          <w:tcPr>
            <w:tcW w:w="496" w:type="dxa"/>
            <w:vAlign w:val="center"/>
          </w:tcPr>
          <w:p w14:paraId="73A2BB20">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459" w:type="dxa"/>
            <w:vAlign w:val="center"/>
          </w:tcPr>
          <w:p w14:paraId="44F1AADE">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c>
          <w:tcPr>
            <w:tcW w:w="6848" w:type="dxa"/>
            <w:vAlign w:val="center"/>
          </w:tcPr>
          <w:p w14:paraId="0634E463">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1.通道数：不少于12通道，每2个通道为一组波长，有效降低通道组间光波长偏差，每个项目可同时测2个样品。</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2.操作：遵循“校准—标定—检测”标准步骤，对样品各类成份进行检测分析，检测数据结果自动保存；主机内置样品库，可将样品信息储存在本地或上传云端，并提供测土配方和施肥建议。</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3.科学评估体系：内置多种土壤养分的评价体系，包括土壤有机质、速效氮等11种养分类型，可根据不同地区土壤评价标准对检测结果进行等级评价。</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4.检测速度快：风干后的样品，检测氮、磷、钾从实验操作到检测结果时间约为30~60min，上机检测响应速度不超过2s。</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5.打印功能：主机内置微型热敏打印机，可一键对检测内容进行打印，包括检测项目、样品名称、样品编号、检测结果及单位、检测时间、检测单位等。</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6.数据导出：数据默认导出至本地（数据导出格式excel），配置USB接口，实现与电脑数据传输。</w:t>
            </w:r>
            <w:r>
              <w:rPr>
                <w:rFonts w:hint="eastAsia" w:ascii="宋体" w:hAnsi="宋体" w:eastAsia="宋体" w:cs="宋体"/>
                <w:color w:val="auto"/>
                <w:kern w:val="0"/>
                <w:sz w:val="21"/>
                <w:szCs w:val="21"/>
              </w:rPr>
              <w:br w:type="textWrapping"/>
            </w:r>
            <w:r>
              <w:rPr>
                <w:rFonts w:hint="eastAsia" w:ascii="宋体" w:hAnsi="宋体" w:eastAsia="宋体" w:cs="宋体"/>
                <w:b/>
                <w:bCs/>
                <w:color w:val="auto"/>
                <w:sz w:val="21"/>
                <w:szCs w:val="21"/>
              </w:rPr>
              <w:t>▲</w:t>
            </w:r>
            <w:r>
              <w:rPr>
                <w:rFonts w:hint="eastAsia" w:ascii="宋体" w:hAnsi="宋体" w:eastAsia="宋体" w:cs="宋体"/>
                <w:color w:val="auto"/>
                <w:kern w:val="0"/>
                <w:sz w:val="21"/>
                <w:szCs w:val="21"/>
              </w:rPr>
              <w:t>7.平台功能：数据可查看和导出，自带平台，在设备端检测数据后，手动上传数据至平台，可在云端查看、分析、下载、删除、批量导出数据（文件导出格式为excel）。云端展示内容包括检测时间、样品类型、样品名称、样品编号、检测项目、吸光度、浓度等；可根据时间（年月日范围）、样品类型、样品名称等捷查询样品详情。</w:t>
            </w:r>
            <w:r>
              <w:rPr>
                <w:rFonts w:hint="eastAsia" w:ascii="宋体" w:hAnsi="宋体" w:eastAsia="宋体" w:cs="宋体"/>
                <w:color w:val="auto"/>
                <w:kern w:val="0"/>
                <w:sz w:val="21"/>
                <w:szCs w:val="21"/>
              </w:rPr>
              <w:br w:type="textWrapping"/>
            </w:r>
            <w:r>
              <w:rPr>
                <w:rFonts w:hint="eastAsia" w:ascii="宋体" w:hAnsi="宋体" w:eastAsia="宋体" w:cs="宋体"/>
                <w:b/>
                <w:bCs/>
                <w:color w:val="auto"/>
                <w:sz w:val="21"/>
                <w:szCs w:val="21"/>
              </w:rPr>
              <w:t>▲</w:t>
            </w:r>
            <w:r>
              <w:rPr>
                <w:rFonts w:hint="eastAsia" w:ascii="宋体" w:hAnsi="宋体" w:eastAsia="宋体" w:cs="宋体"/>
                <w:color w:val="auto"/>
                <w:kern w:val="0"/>
                <w:sz w:val="21"/>
                <w:szCs w:val="21"/>
              </w:rPr>
              <w:t>8.数据对比分析：在平台中，可自由选择数据进行对比分析，生成基于样品名称/检测项目/检测时间/吸光度/浓度多种指标的二维分析图，支持柱状图、折线图、表格多种展示形式，图表均可导出。</w:t>
            </w:r>
            <w:r>
              <w:rPr>
                <w:rFonts w:hint="eastAsia" w:ascii="宋体" w:hAnsi="宋体" w:eastAsia="宋体" w:cs="宋体"/>
                <w:color w:val="auto"/>
                <w:kern w:val="0"/>
                <w:sz w:val="21"/>
                <w:szCs w:val="21"/>
              </w:rPr>
              <w:br w:type="textWrapping"/>
            </w:r>
            <w:r>
              <w:rPr>
                <w:rFonts w:hint="eastAsia" w:ascii="宋体" w:hAnsi="宋体" w:eastAsia="宋体" w:cs="宋体"/>
                <w:b/>
                <w:bCs/>
                <w:color w:val="auto"/>
                <w:sz w:val="21"/>
                <w:szCs w:val="21"/>
              </w:rPr>
              <w:t>▲</w:t>
            </w:r>
            <w:r>
              <w:rPr>
                <w:rFonts w:hint="eastAsia" w:ascii="宋体" w:hAnsi="宋体" w:eastAsia="宋体" w:cs="宋体"/>
                <w:color w:val="auto"/>
                <w:kern w:val="0"/>
                <w:sz w:val="21"/>
                <w:szCs w:val="21"/>
              </w:rPr>
              <w:t>9.科学评估体系：平台内置多种土壤养分标准评价体系以及100余种农作物生长发育所需养分含量，可根据作物品种、预期目标产量以及肥料种类，科学计算推荐施肥量。</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10.测量指标：</w:t>
            </w:r>
          </w:p>
          <w:p w14:paraId="362A665C">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10.1土壤养分：铵态氮、硝态氮、碱解氮、全氮、硝酸盐氮、亚硝酸盐氮、氨氮、有效磷、全磷、速效钾、全钾、有机质；</w:t>
            </w:r>
          </w:p>
          <w:p w14:paraId="13A59A56">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10.2土壤中微量元素：有效硫、交换性锰、还原态锰、有效铁、有效铜、有效硅、有效硼、有效锌、有效钼；</w:t>
            </w:r>
          </w:p>
          <w:p w14:paraId="531E9096">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10.3肥料养分：肥料氮、肥料磷、肥料钾、腐殖酸、肥料铁、肥料锰、肥料硫、肥料铜、肥料硅、肥料硼、肥料锌、肥料钼、肥料钛；</w:t>
            </w:r>
          </w:p>
          <w:p w14:paraId="569D9EEF">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10.4植株养分：植株全氮、植株全磷、植株全钾、植株铁、植株锰、植株钼、植株铜、植株锌、植株硫、植株硼、植株硅；</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11.技术参数：</w:t>
            </w:r>
          </w:p>
          <w:p w14:paraId="303C4ABD">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11.</w:t>
            </w:r>
            <w:r>
              <w:rPr>
                <w:rFonts w:hint="eastAsia" w:ascii="宋体" w:hAnsi="宋体" w:cs="宋体"/>
                <w:color w:val="auto"/>
                <w:kern w:val="0"/>
                <w:sz w:val="21"/>
                <w:szCs w:val="21"/>
                <w:lang w:val="en-US" w:eastAsia="zh-CN"/>
              </w:rPr>
              <w:t>1</w:t>
            </w:r>
            <w:r>
              <w:rPr>
                <w:rFonts w:hint="eastAsia" w:ascii="宋体" w:hAnsi="宋体" w:eastAsia="宋体" w:cs="宋体"/>
                <w:color w:val="auto"/>
                <w:kern w:val="0"/>
                <w:sz w:val="21"/>
                <w:szCs w:val="21"/>
              </w:rPr>
              <w:t>吸光度A 范围0.000-4.000A，分辨率≤0.001</w:t>
            </w:r>
          </w:p>
          <w:p w14:paraId="140BF879">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11.</w:t>
            </w:r>
            <w:r>
              <w:rPr>
                <w:rFonts w:hint="eastAsia" w:ascii="宋体" w:hAnsi="宋体" w:cs="宋体"/>
                <w:color w:val="auto"/>
                <w:kern w:val="0"/>
                <w:sz w:val="21"/>
                <w:szCs w:val="21"/>
                <w:lang w:val="en-US" w:eastAsia="zh-CN"/>
              </w:rPr>
              <w:t>2</w:t>
            </w:r>
            <w:r>
              <w:rPr>
                <w:rFonts w:hint="eastAsia" w:ascii="宋体" w:hAnsi="宋体" w:eastAsia="宋体" w:cs="宋体"/>
                <w:color w:val="auto"/>
                <w:kern w:val="0"/>
                <w:sz w:val="21"/>
                <w:szCs w:val="21"/>
              </w:rPr>
              <w:t>透光率T 范围0.00-100.00%T，分辨率≤0.001</w:t>
            </w:r>
          </w:p>
          <w:p w14:paraId="2A47FC32">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11.</w:t>
            </w:r>
            <w:r>
              <w:rPr>
                <w:rFonts w:hint="eastAsia" w:ascii="宋体" w:hAnsi="宋体" w:cs="宋体"/>
                <w:color w:val="auto"/>
                <w:kern w:val="0"/>
                <w:sz w:val="21"/>
                <w:szCs w:val="21"/>
                <w:lang w:val="en-US" w:eastAsia="zh-CN"/>
              </w:rPr>
              <w:t>3</w:t>
            </w:r>
            <w:r>
              <w:rPr>
                <w:rFonts w:hint="eastAsia" w:ascii="宋体" w:hAnsi="宋体" w:eastAsia="宋体" w:cs="宋体"/>
                <w:color w:val="auto"/>
                <w:kern w:val="0"/>
                <w:sz w:val="21"/>
                <w:szCs w:val="21"/>
              </w:rPr>
              <w:t>透射率准确度 ±2.0%</w:t>
            </w:r>
          </w:p>
          <w:p w14:paraId="26A2D385">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11.</w:t>
            </w:r>
            <w:r>
              <w:rPr>
                <w:rFonts w:hint="eastAsia" w:ascii="宋体" w:hAnsi="宋体" w:cs="宋体"/>
                <w:color w:val="auto"/>
                <w:kern w:val="0"/>
                <w:sz w:val="21"/>
                <w:szCs w:val="21"/>
                <w:lang w:val="en-US" w:eastAsia="zh-CN"/>
              </w:rPr>
              <w:t>4</w:t>
            </w:r>
            <w:r>
              <w:rPr>
                <w:rFonts w:hint="eastAsia" w:ascii="宋体" w:hAnsi="宋体" w:eastAsia="宋体" w:cs="宋体"/>
                <w:color w:val="auto"/>
                <w:kern w:val="0"/>
                <w:sz w:val="21"/>
                <w:szCs w:val="21"/>
              </w:rPr>
              <w:t>透射率重复性 ≤0.5%</w:t>
            </w:r>
          </w:p>
          <w:p w14:paraId="4F99687C">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11.</w:t>
            </w:r>
            <w:r>
              <w:rPr>
                <w:rFonts w:hint="eastAsia" w:ascii="宋体" w:hAnsi="宋体" w:cs="宋体"/>
                <w:color w:val="auto"/>
                <w:kern w:val="0"/>
                <w:sz w:val="21"/>
                <w:szCs w:val="21"/>
                <w:lang w:val="en-US" w:eastAsia="zh-CN"/>
              </w:rPr>
              <w:t>5</w:t>
            </w:r>
            <w:r>
              <w:rPr>
                <w:rFonts w:hint="eastAsia" w:ascii="宋体" w:hAnsi="宋体" w:eastAsia="宋体" w:cs="宋体"/>
                <w:color w:val="auto"/>
                <w:kern w:val="0"/>
                <w:sz w:val="21"/>
                <w:szCs w:val="21"/>
              </w:rPr>
              <w:t>光电流漂移 ≤0.5%（3分钟）</w:t>
            </w:r>
          </w:p>
          <w:p w14:paraId="4B4A4EB6">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11.</w:t>
            </w:r>
            <w:r>
              <w:rPr>
                <w:rFonts w:hint="eastAsia" w:ascii="宋体" w:hAnsi="宋体" w:cs="宋体"/>
                <w:color w:val="auto"/>
                <w:kern w:val="0"/>
                <w:sz w:val="21"/>
                <w:szCs w:val="21"/>
                <w:lang w:val="en-US" w:eastAsia="zh-CN"/>
              </w:rPr>
              <w:t>6</w:t>
            </w:r>
            <w:r>
              <w:rPr>
                <w:rFonts w:hint="eastAsia" w:ascii="宋体" w:hAnsi="宋体" w:eastAsia="宋体" w:cs="宋体"/>
                <w:color w:val="auto"/>
                <w:kern w:val="0"/>
                <w:sz w:val="21"/>
                <w:szCs w:val="21"/>
              </w:rPr>
              <w:t>电源 220V±10%  12V/5A</w:t>
            </w:r>
          </w:p>
          <w:p w14:paraId="7CBA8B02">
            <w:pPr>
              <w:widowControl/>
              <w:spacing w:line="440" w:lineRule="exact"/>
              <w:ind w:firstLine="420" w:firstLineChars="200"/>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11.</w:t>
            </w:r>
            <w:r>
              <w:rPr>
                <w:rFonts w:hint="eastAsia" w:ascii="宋体" w:hAnsi="宋体" w:cs="宋体"/>
                <w:color w:val="auto"/>
                <w:kern w:val="0"/>
                <w:sz w:val="21"/>
                <w:szCs w:val="21"/>
                <w:lang w:val="en-US" w:eastAsia="zh-CN"/>
              </w:rPr>
              <w:t>7</w:t>
            </w:r>
            <w:r>
              <w:rPr>
                <w:rFonts w:hint="eastAsia" w:ascii="宋体" w:hAnsi="宋体" w:eastAsia="宋体" w:cs="宋体"/>
                <w:color w:val="auto"/>
                <w:kern w:val="0"/>
                <w:sz w:val="21"/>
                <w:szCs w:val="21"/>
              </w:rPr>
              <w:t>功率 ≥20W</w:t>
            </w:r>
          </w:p>
        </w:tc>
      </w:tr>
      <w:tr w14:paraId="1F271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43664697">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45AEDA3C">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便携式作物株高测量仪</w:t>
            </w:r>
          </w:p>
        </w:tc>
        <w:tc>
          <w:tcPr>
            <w:tcW w:w="496" w:type="dxa"/>
            <w:vAlign w:val="center"/>
          </w:tcPr>
          <w:p w14:paraId="5FF6FF4B">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459" w:type="dxa"/>
            <w:vAlign w:val="center"/>
          </w:tcPr>
          <w:p w14:paraId="21ACD5BC">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c>
          <w:tcPr>
            <w:tcW w:w="6848" w:type="dxa"/>
            <w:vAlign w:val="center"/>
          </w:tcPr>
          <w:p w14:paraId="63081D8C">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1.适用于玉米、水稻、小麦、油菜、芝麻、大豆、高粱、棉花、各种果树等以及株高范围在100～3800mm内的作物。</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2.主机重量</w:t>
            </w:r>
            <w:r>
              <w:rPr>
                <w:rFonts w:hint="eastAsia" w:ascii="宋体" w:hAnsi="宋体" w:cs="宋体"/>
                <w:color w:val="auto"/>
                <w:kern w:val="0"/>
                <w:sz w:val="21"/>
                <w:szCs w:val="21"/>
                <w:lang w:val="en-US" w:eastAsia="zh-CN"/>
              </w:rPr>
              <w:t>不大于</w:t>
            </w:r>
            <w:r>
              <w:rPr>
                <w:rFonts w:hint="eastAsia" w:ascii="宋体" w:hAnsi="宋体" w:eastAsia="宋体" w:cs="宋体"/>
                <w:color w:val="auto"/>
                <w:kern w:val="0"/>
                <w:sz w:val="21"/>
                <w:szCs w:val="21"/>
              </w:rPr>
              <w:t>1.</w:t>
            </w:r>
            <w:r>
              <w:rPr>
                <w:rFonts w:hint="eastAsia" w:ascii="宋体" w:hAnsi="宋体" w:cs="宋体"/>
                <w:color w:val="auto"/>
                <w:kern w:val="0"/>
                <w:sz w:val="21"/>
                <w:szCs w:val="21"/>
                <w:lang w:val="en-US" w:eastAsia="zh-CN"/>
              </w:rPr>
              <w:t>3</w:t>
            </w:r>
            <w:r>
              <w:rPr>
                <w:rFonts w:hint="eastAsia" w:ascii="宋体" w:hAnsi="宋体" w:eastAsia="宋体" w:cs="宋体"/>
                <w:color w:val="auto"/>
                <w:kern w:val="0"/>
                <w:sz w:val="21"/>
                <w:szCs w:val="21"/>
              </w:rPr>
              <w:t>kg，无其他辅助设备，主机可固定在固定杆上，用户可自行调节高度方便查看，产品测量时占地空间非常小，对测量场地无要求，适合户外田间测量。</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株高和穗位测量可自由切换：产品集成了株高和玉米穗位两种测量功能，可通过系统内的模式切换，即可实现测量同一植株的株高和穗位或者测量处理多个株高，之后测量穗位两种方式，用户可根据测量需求自由切换，轻松操作。</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4.主机上内嵌了一块</w:t>
            </w:r>
            <w:r>
              <w:rPr>
                <w:rFonts w:hint="eastAsia" w:ascii="宋体" w:hAnsi="宋体" w:cs="宋体"/>
                <w:color w:val="auto"/>
                <w:kern w:val="0"/>
                <w:sz w:val="21"/>
                <w:szCs w:val="21"/>
                <w:lang w:val="en-US" w:eastAsia="zh-CN"/>
              </w:rPr>
              <w:t>不小于</w:t>
            </w:r>
            <w:r>
              <w:rPr>
                <w:rFonts w:hint="eastAsia" w:ascii="宋体" w:hAnsi="宋体" w:eastAsia="宋体" w:cs="宋体"/>
                <w:color w:val="auto"/>
                <w:kern w:val="0"/>
                <w:sz w:val="21"/>
                <w:szCs w:val="21"/>
              </w:rPr>
              <w:t>3.5寸高清全彩液晶屏，方便测量过程中的数据呈现及用户查看及查询；同时，主机每次测量按下记录的时候会有声音提示，大大提升了用户体验和降低漏记频率。</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5.内置大容量可充电锂电池，一次充满电，便可长时间移动式测量，无繁杂连接线缆限制。</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6.集测量、数据记录、导出于一体，闭环流程提高了工作效率；实际测量时，用户设定完成后，只需根据测量时使用的指针，按下对应按钮，完成测量和记录。</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7.仪器自带U盘，接口为通用USB接口，数据记录直接存储在U盘中，当用户完成了测量后，只需将U盘插入与笔记本电脑或台式机电脑的USB接口中将测量数据导出，数据记录格式为Excel文件。</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8.产品系统设有误操作保护，避免用户错误操作导致测量数据的丢失或删除。同时用户也根据需要备份好数据，清空数据库，避免数据被做他用。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9.技术参数</w:t>
            </w:r>
          </w:p>
          <w:p w14:paraId="03BD87CE">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9.1株高测量范围：100-3800 mm</w:t>
            </w:r>
          </w:p>
          <w:p w14:paraId="190FA901">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9.2分辨率：1mm</w:t>
            </w:r>
          </w:p>
          <w:p w14:paraId="08D34390">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9.3精度：±0.5%</w:t>
            </w:r>
          </w:p>
          <w:p w14:paraId="2BD3A7A2">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9.4响应时间：≤1s</w:t>
            </w:r>
          </w:p>
          <w:p w14:paraId="71D2ADCB">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9.5储存空间：一次可存储</w:t>
            </w:r>
            <w:r>
              <w:rPr>
                <w:rFonts w:hint="eastAsia" w:ascii="宋体" w:hAnsi="宋体" w:eastAsia="宋体" w:cs="宋体"/>
                <w:color w:val="auto"/>
                <w:sz w:val="21"/>
                <w:szCs w:val="21"/>
              </w:rPr>
              <w:t>不少于</w:t>
            </w:r>
            <w:r>
              <w:rPr>
                <w:rFonts w:hint="eastAsia" w:ascii="宋体" w:hAnsi="宋体" w:eastAsia="宋体" w:cs="宋体"/>
                <w:color w:val="auto"/>
                <w:kern w:val="0"/>
                <w:sz w:val="21"/>
                <w:szCs w:val="21"/>
              </w:rPr>
              <w:t>200组数据</w:t>
            </w:r>
          </w:p>
          <w:p w14:paraId="3A622A93">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9.6供电方式：可充电锂电池</w:t>
            </w:r>
          </w:p>
          <w:p w14:paraId="1BA761BF">
            <w:pPr>
              <w:widowControl/>
              <w:spacing w:line="440" w:lineRule="exact"/>
              <w:ind w:firstLine="420" w:firstLineChars="200"/>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9.7续航时间：设备持续工作可以使用3-4小时</w:t>
            </w:r>
          </w:p>
        </w:tc>
      </w:tr>
      <w:tr w14:paraId="5D89D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398E4084">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214DCD90">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植物营养测定仪</w:t>
            </w:r>
          </w:p>
        </w:tc>
        <w:tc>
          <w:tcPr>
            <w:tcW w:w="496" w:type="dxa"/>
            <w:vAlign w:val="center"/>
          </w:tcPr>
          <w:p w14:paraId="40D3DD56">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459" w:type="dxa"/>
            <w:vAlign w:val="center"/>
          </w:tcPr>
          <w:p w14:paraId="1ADF05C9">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c>
          <w:tcPr>
            <w:tcW w:w="6848" w:type="dxa"/>
            <w:vAlign w:val="center"/>
          </w:tcPr>
          <w:p w14:paraId="78EDA5D1">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1.采用非破坏性测量方法，确保植物生长不受影响。快速、准确地获取叶片生理指标，为植物健康提供实时监测。</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2.通过多点多段标定技术，确保每一次测量的精确性和可靠性</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3.结构上内置多层抗干扰设计，有效屏蔽外部光线及环境温度对测量结果的影响，确保数据采集的稳定性和准确性。</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4.一次获取：一次性测定叶片的叶绿素含量、温度、湿度及氮含量，满足多项植物生理参数的检测需求。</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5.配备高清OLED显示屏，提供高亮度与对比度，数据展示更加清晰直观，便于快速解读测量结果。</w:t>
            </w:r>
            <w:r>
              <w:rPr>
                <w:rFonts w:hint="eastAsia" w:ascii="宋体" w:hAnsi="宋体" w:eastAsia="宋体" w:cs="宋体"/>
                <w:color w:val="auto"/>
                <w:kern w:val="0"/>
                <w:sz w:val="21"/>
                <w:szCs w:val="21"/>
              </w:rPr>
              <w:br w:type="textWrapping"/>
            </w:r>
            <w:r>
              <w:rPr>
                <w:rFonts w:hint="eastAsia" w:ascii="宋体" w:hAnsi="宋体" w:eastAsia="宋体" w:cs="宋体"/>
                <w:b/>
                <w:bCs/>
                <w:color w:val="auto"/>
                <w:sz w:val="21"/>
                <w:szCs w:val="21"/>
              </w:rPr>
              <w:t>▲</w:t>
            </w:r>
            <w:r>
              <w:rPr>
                <w:rFonts w:hint="eastAsia" w:ascii="宋体" w:hAnsi="宋体" w:eastAsia="宋体" w:cs="宋体"/>
                <w:color w:val="auto"/>
                <w:kern w:val="0"/>
                <w:sz w:val="21"/>
                <w:szCs w:val="21"/>
              </w:rPr>
              <w:t>6.能够显示最近30组以内测量数据的平均值、最高值和最低值，帮助用户快速把握数据变化趋势。</w:t>
            </w:r>
            <w:r>
              <w:rPr>
                <w:rFonts w:hint="eastAsia" w:ascii="宋体" w:hAnsi="宋体" w:eastAsia="宋体" w:cs="宋体"/>
                <w:color w:val="auto"/>
                <w:kern w:val="0"/>
                <w:sz w:val="21"/>
                <w:szCs w:val="21"/>
              </w:rPr>
              <w:br w:type="textWrapping"/>
            </w:r>
            <w:r>
              <w:rPr>
                <w:rFonts w:hint="eastAsia" w:ascii="宋体" w:hAnsi="宋体" w:eastAsia="宋体" w:cs="宋体"/>
                <w:b/>
                <w:bCs/>
                <w:color w:val="auto"/>
                <w:sz w:val="21"/>
                <w:szCs w:val="21"/>
              </w:rPr>
              <w:t>▲</w:t>
            </w:r>
            <w:r>
              <w:rPr>
                <w:rFonts w:hint="eastAsia" w:ascii="宋体" w:hAnsi="宋体" w:eastAsia="宋体" w:cs="宋体"/>
                <w:color w:val="auto"/>
                <w:kern w:val="0"/>
                <w:sz w:val="21"/>
                <w:szCs w:val="21"/>
              </w:rPr>
              <w:t>7.通过蓝牙无线传输，实现与手机APP的便捷连接，数据实时同步，无限制存储测量数据，</w:t>
            </w:r>
            <w:r>
              <w:rPr>
                <w:rFonts w:hint="eastAsia" w:ascii="宋体" w:hAnsi="宋体" w:cs="宋体"/>
                <w:color w:val="auto"/>
                <w:kern w:val="0"/>
                <w:sz w:val="21"/>
                <w:szCs w:val="21"/>
                <w:lang w:val="en-US" w:eastAsia="zh-CN"/>
              </w:rPr>
              <w:t>帮助客户</w:t>
            </w:r>
            <w:r>
              <w:rPr>
                <w:rFonts w:hint="eastAsia" w:ascii="宋体" w:hAnsi="宋体" w:eastAsia="宋体" w:cs="宋体"/>
                <w:color w:val="auto"/>
                <w:kern w:val="0"/>
                <w:sz w:val="21"/>
                <w:szCs w:val="21"/>
              </w:rPr>
              <w:t>提高工作效率。</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8.当电池电源耗尽时可以迅速更换电池，保证设备持续运行。</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9.当仪器电量剩余20%时系统会进行低电量提醒，确保仪器不会突然关机。</w:t>
            </w:r>
            <w:r>
              <w:rPr>
                <w:rFonts w:hint="eastAsia" w:ascii="宋体" w:hAnsi="宋体" w:eastAsia="宋体" w:cs="宋体"/>
                <w:color w:val="auto"/>
                <w:kern w:val="0"/>
                <w:sz w:val="21"/>
                <w:szCs w:val="21"/>
              </w:rPr>
              <w:br w:type="textWrapping"/>
            </w:r>
            <w:r>
              <w:rPr>
                <w:rFonts w:hint="eastAsia" w:ascii="宋体" w:hAnsi="宋体" w:eastAsia="宋体" w:cs="宋体"/>
                <w:b/>
                <w:bCs/>
                <w:color w:val="auto"/>
                <w:sz w:val="21"/>
                <w:szCs w:val="21"/>
              </w:rPr>
              <w:t>▲</w:t>
            </w:r>
            <w:r>
              <w:rPr>
                <w:rFonts w:hint="eastAsia" w:ascii="宋体" w:hAnsi="宋体" w:eastAsia="宋体" w:cs="宋体"/>
                <w:color w:val="auto"/>
                <w:kern w:val="0"/>
                <w:sz w:val="21"/>
                <w:szCs w:val="21"/>
              </w:rPr>
              <w:t>10.专属叶绿素应用程序，提供便捷的数据查看、分析和管理功能，便于用户随时随地查看与导出测量结果。</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11.支持数据上传至云端平台，实现远程访问、数据管理和施肥指导。便于用户进行大数据分析与长期跟踪研究，优化植物管理策略。</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12.手机App端：</w:t>
            </w:r>
          </w:p>
          <w:p w14:paraId="4FFF2CCC">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12.1专属叶绿素应用程序，专为移动设备设计，提供便捷的数据查看、分析和管理功能。用户可以随时随地访问测量结果，保持数据的实时更新和监控。</w:t>
            </w:r>
          </w:p>
          <w:p w14:paraId="0B668147">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12.2.支持对样品名称、编号、测试点位进行详细记录，并拍照保存样品记录，确保信息的完整性和可追溯性。</w:t>
            </w:r>
          </w:p>
          <w:p w14:paraId="767A3B3C">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12.3.测试数据及关联图片可通过一键操作导出Excel表，方便用户进行进一步的数据分析、报告制作或数据分享。</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13.技术参数</w:t>
            </w:r>
          </w:p>
          <w:p w14:paraId="4A3F60B6">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（1）测量范围：</w:t>
            </w:r>
          </w:p>
          <w:p w14:paraId="7C6DFFF4">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xml:space="preserve">1.叶绿素：0.0~99.9SPAD </w:t>
            </w:r>
          </w:p>
          <w:p w14:paraId="23012BAE">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2.叶面温度：0-50℃（其他温度可定制）</w:t>
            </w:r>
          </w:p>
          <w:p w14:paraId="7EF56562">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3.叶面湿度：0.0~99.9%R</w:t>
            </w:r>
          </w:p>
          <w:p w14:paraId="273F6321">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4.氮含量：0.0~99.9mg/g</w:t>
            </w:r>
          </w:p>
          <w:p w14:paraId="45CAACA6">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（2）测量精度：</w:t>
            </w:r>
          </w:p>
          <w:p w14:paraId="0B4E36F9">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1.叶绿素：±1 SPAD (室温下，SPAD值介于0~50)</w:t>
            </w:r>
          </w:p>
          <w:p w14:paraId="529F99B1">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2.叶面温度：±0.5℃</w:t>
            </w:r>
          </w:p>
          <w:p w14:paraId="4FD7EDB9">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3.叶面湿度：±5%</w:t>
            </w:r>
          </w:p>
          <w:p w14:paraId="29C7A48E">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4.氮含量：±5%</w:t>
            </w:r>
          </w:p>
          <w:p w14:paraId="6B00A6F6">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（3）重复性：</w:t>
            </w:r>
          </w:p>
          <w:p w14:paraId="1312213C">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1.叶绿素±0.3SPAD单位(室温下，SPAD值介于0-50)</w:t>
            </w:r>
          </w:p>
          <w:p w14:paraId="3991A3A2">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2.叶面温度±0.2℃</w:t>
            </w:r>
          </w:p>
          <w:p w14:paraId="233F5778">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3.叶面湿度±0.5%</w:t>
            </w:r>
          </w:p>
          <w:p w14:paraId="500B535C">
            <w:pPr>
              <w:widowControl/>
              <w:spacing w:line="440" w:lineRule="exact"/>
              <w:ind w:firstLine="420" w:firstLineChars="200"/>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4.氮含量±0.5mg/g</w:t>
            </w:r>
          </w:p>
        </w:tc>
      </w:tr>
      <w:tr w14:paraId="403C3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0BEA4974">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36109718">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便携式叶面积测定仪</w:t>
            </w:r>
          </w:p>
        </w:tc>
        <w:tc>
          <w:tcPr>
            <w:tcW w:w="496" w:type="dxa"/>
            <w:vAlign w:val="center"/>
          </w:tcPr>
          <w:p w14:paraId="35815726">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3</w:t>
            </w:r>
          </w:p>
        </w:tc>
        <w:tc>
          <w:tcPr>
            <w:tcW w:w="459" w:type="dxa"/>
            <w:vAlign w:val="center"/>
          </w:tcPr>
          <w:p w14:paraId="3DF92811">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c>
          <w:tcPr>
            <w:tcW w:w="6848" w:type="dxa"/>
            <w:vAlign w:val="center"/>
          </w:tcPr>
          <w:p w14:paraId="1D8DDCEA">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1.测量原理：接触式图像传感器（CIS）扫描</w:t>
            </w:r>
          </w:p>
          <w:p w14:paraId="0669076F">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2.测量方式：原位非破坏性测量，也可离体测量；同时测定并记录叶片长、宽、长宽比、周长、面积、形状系数、形状因子、环境温度等数据；</w:t>
            </w:r>
          </w:p>
          <w:p w14:paraId="6E95D9EE">
            <w:pPr>
              <w:widowControl/>
              <w:spacing w:line="440" w:lineRule="exact"/>
              <w:ind w:firstLine="420" w:firstLineChars="200"/>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rPr>
              <w:t>3.全彩触摸屏幕：不小于480*854 RGB触摸彩屏，全中文界面显示</w:t>
            </w:r>
            <w:r>
              <w:rPr>
                <w:rFonts w:hint="eastAsia" w:ascii="宋体" w:hAnsi="宋体" w:cs="宋体"/>
                <w:color w:val="auto"/>
                <w:kern w:val="0"/>
                <w:sz w:val="21"/>
                <w:szCs w:val="21"/>
                <w:lang w:eastAsia="zh-CN"/>
              </w:rPr>
              <w:t>；</w:t>
            </w:r>
          </w:p>
          <w:p w14:paraId="21A16FD0">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4.直观显示：实时显示当前时间“年月日，时分秒”，采集显示各项参数与叶片图形，数据查看可在同一界面显示叶片图形与所有测量计算参数；</w:t>
            </w:r>
          </w:p>
          <w:p w14:paraId="5853D164">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5.可直接将测量的叶片直观呈现叶片轮廓图像和叶片形态数据指标；</w:t>
            </w:r>
          </w:p>
          <w:p w14:paraId="4FDB46AE">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6.针对叶形具体情况可选择“矩形补偿，三角形补偿”两种数据补偿方式，对数据进行补偿，计算结果更加准确。</w:t>
            </w:r>
          </w:p>
          <w:p w14:paraId="2366326D">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7.一次性可测量较大叶片面积（长*宽≥3000mm*210mm）；</w:t>
            </w:r>
          </w:p>
          <w:p w14:paraId="048D2DC8">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8.设备分为内置储存区可储存不少于1000条数据；扩展储存区容量不少于32GB，数据约可存储100万条以上；</w:t>
            </w:r>
          </w:p>
          <w:p w14:paraId="1D91B0B5">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9.配置5Ah锂电池，满电状态可在田间工作不少于16小时；</w:t>
            </w:r>
          </w:p>
          <w:p w14:paraId="62F8D969">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10.蓝牙传输：可蓝牙连接手机app，具有GPS功能，实现边测量边对测量的样本进行GPS坐标获取；</w:t>
            </w:r>
          </w:p>
          <w:p w14:paraId="74DC855A">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11.仪器实时显示电池电量百分比信息，电量低于15%设备提示“设备电量低”需充电后使用，适用于野外测量，防止数据丢失；</w:t>
            </w:r>
          </w:p>
          <w:p w14:paraId="7D14EC0D">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12.设备采用Type-C接口，可直接通过数据线连接电脑进行数据导出查看与删除（充电，数据二合一）连接电脑即可如同U盘一样，查看导出excel数据表和叶形图；</w:t>
            </w:r>
          </w:p>
          <w:p w14:paraId="28B1B835">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13.采集设置：可设置自动或手动采集两种模式，适应不同场景测量；</w:t>
            </w:r>
          </w:p>
          <w:p w14:paraId="3EB95195">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▲14.仪器可连接手机app，实时同步仪器测量数据；可获取仪器历史测量数据到app中；可单独或批量选择历史数据导出，以excel表格形式呈现；</w:t>
            </w:r>
          </w:p>
          <w:p w14:paraId="55B98C30">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15.仪器内部自带时间、日期功能，可在测量时对测量时间进行记录；</w:t>
            </w:r>
          </w:p>
          <w:p w14:paraId="682415C5">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▲16.配套</w:t>
            </w:r>
            <w:r>
              <w:rPr>
                <w:rFonts w:hint="eastAsia" w:ascii="宋体" w:hAnsi="宋体" w:cs="宋体"/>
                <w:color w:val="auto"/>
                <w:kern w:val="0"/>
                <w:sz w:val="21"/>
                <w:szCs w:val="21"/>
                <w:lang w:val="en-US" w:eastAsia="zh-CN"/>
              </w:rPr>
              <w:t>虫类</w:t>
            </w:r>
            <w:r>
              <w:rPr>
                <w:rFonts w:hint="eastAsia" w:ascii="宋体" w:hAnsi="宋体" w:eastAsia="宋体" w:cs="宋体"/>
                <w:color w:val="auto"/>
                <w:kern w:val="0"/>
                <w:sz w:val="21"/>
                <w:szCs w:val="21"/>
              </w:rPr>
              <w:t>识别端，可通过≥2种植物类型数据模型进行拍照虫类识别，通过对作物的叶片、茎秆等进行已有数据库图像病害识别，数据包含虫害、病害简介，虫害形态特征，病害病原特征，分布区域及防治建议。</w:t>
            </w:r>
            <w:r>
              <w:rPr>
                <w:rFonts w:hint="eastAsia" w:ascii="宋体" w:hAnsi="宋体" w:eastAsia="宋体" w:cs="宋体"/>
                <w:b/>
                <w:bCs/>
                <w:color w:val="auto"/>
                <w:kern w:val="0"/>
                <w:sz w:val="21"/>
                <w:szCs w:val="21"/>
              </w:rPr>
              <w:t>（竞标时需提供符合本项参数的截图，并加盖竞标供应商公章）</w:t>
            </w:r>
          </w:p>
          <w:p w14:paraId="22510277">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17.技术参数要求：</w:t>
            </w:r>
          </w:p>
          <w:p w14:paraId="2231BED4">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17.1测量单位：毫米（mm），平方毫米（mm2）</w:t>
            </w:r>
          </w:p>
          <w:p w14:paraId="69729378">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17.2误差：±2%</w:t>
            </w:r>
          </w:p>
          <w:p w14:paraId="6B90553B">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17.3分辨率：0.1mm</w:t>
            </w:r>
          </w:p>
          <w:p w14:paraId="1B22B531">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17.4最大扫描长度：≥3000mm，最大测量宽度：≥210mm，最大测量厚度：≥6.5mm，最大扫描面积：≥3000*210mm</w:t>
            </w:r>
            <w:r>
              <w:rPr>
                <w:rFonts w:hint="eastAsia" w:ascii="宋体" w:hAnsi="宋体" w:eastAsia="宋体" w:cs="宋体"/>
                <w:color w:val="auto"/>
                <w:kern w:val="0"/>
                <w:sz w:val="21"/>
                <w:szCs w:val="21"/>
                <w:vertAlign w:val="superscript"/>
              </w:rPr>
              <w:t>2</w:t>
            </w:r>
            <w:r>
              <w:rPr>
                <w:rFonts w:hint="eastAsia" w:ascii="宋体" w:hAnsi="宋体" w:eastAsia="宋体" w:cs="宋体"/>
                <w:color w:val="auto"/>
                <w:kern w:val="0"/>
                <w:sz w:val="21"/>
                <w:szCs w:val="21"/>
              </w:rPr>
              <w:t xml:space="preserve"> </w:t>
            </w:r>
          </w:p>
          <w:p w14:paraId="1B655E92">
            <w:pPr>
              <w:widowControl/>
              <w:spacing w:line="440" w:lineRule="exact"/>
              <w:ind w:firstLine="420" w:firstLineChars="200"/>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17.5扫描速度：150mm/s</w:t>
            </w:r>
          </w:p>
        </w:tc>
      </w:tr>
      <w:tr w14:paraId="15D56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62236994">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03963BF8">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智能光合作用测定仪</w:t>
            </w:r>
          </w:p>
        </w:tc>
        <w:tc>
          <w:tcPr>
            <w:tcW w:w="496" w:type="dxa"/>
            <w:vAlign w:val="center"/>
          </w:tcPr>
          <w:p w14:paraId="35874D78">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459" w:type="dxa"/>
            <w:vAlign w:val="center"/>
          </w:tcPr>
          <w:p w14:paraId="22B3CD29">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c>
          <w:tcPr>
            <w:tcW w:w="6848" w:type="dxa"/>
            <w:vAlign w:val="center"/>
          </w:tcPr>
          <w:p w14:paraId="66D26C31">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一、技术参数要求:</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▲1.测定参数要求：开机自动预热自检，可自定义文件名称和测量时长，可检测显示进气温湿度、叶室温湿度、光合有效辐射强度(PAR)、叶面温度(TI)、叶片净光合速率(Pn )、气孔导度(Gs)、蒸腾速率(Tr)、瞬时水分利用率(WUE)等共12项参数，测量精度均可达0.01。</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测量模式要求：内置热释电红外传感器，内部的自动温补系统能准确测定植物呼吸;主机采用开放式气路系统，开机默认进行气路循环，模拟更接近植物真实生长环境;叶室头部配置光合有效辐射传感器检测外界光强;叶室手柄内置温湿度传感器用于检测气体温湿度与面温度。</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▲3.显示屏要求：≥</w:t>
            </w:r>
            <w:r>
              <w:rPr>
                <w:rFonts w:hint="eastAsia" w:ascii="宋体" w:hAnsi="宋体" w:cs="宋体"/>
                <w:color w:val="auto"/>
                <w:kern w:val="0"/>
                <w:sz w:val="21"/>
                <w:szCs w:val="21"/>
                <w:lang w:val="en-US" w:eastAsia="zh-CN"/>
              </w:rPr>
              <w:t>6</w:t>
            </w:r>
            <w:r>
              <w:rPr>
                <w:rFonts w:hint="eastAsia" w:ascii="宋体" w:hAnsi="宋体" w:eastAsia="宋体" w:cs="宋体"/>
                <w:color w:val="auto"/>
                <w:kern w:val="0"/>
                <w:sz w:val="21"/>
                <w:szCs w:val="21"/>
              </w:rPr>
              <w:t>英寸彩色触摸液晶显示屏，软件中文操作界面，支持中英文语言，切换系统语言即可同步成英文模式。实时显示当前日期时间(年月日时分秒)、主机电池电量。电池处于低电量和充电状态时状态栏会同步显示。</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4.叶室规格要求：标配</w:t>
            </w:r>
            <w:r>
              <w:rPr>
                <w:rFonts w:hint="eastAsia" w:ascii="宋体" w:hAnsi="宋体" w:cs="宋体"/>
                <w:color w:val="auto"/>
                <w:kern w:val="0"/>
                <w:sz w:val="21"/>
                <w:szCs w:val="21"/>
                <w:lang w:val="en-US" w:eastAsia="zh-CN"/>
              </w:rPr>
              <w:t>≤</w:t>
            </w:r>
            <w:r>
              <w:rPr>
                <w:rFonts w:hint="eastAsia" w:ascii="宋体" w:hAnsi="宋体" w:eastAsia="宋体" w:cs="宋体"/>
                <w:color w:val="auto"/>
                <w:kern w:val="0"/>
                <w:sz w:val="21"/>
                <w:szCs w:val="21"/>
              </w:rPr>
              <w:t>3cm×3cm透明窗口，满足大部分阔形叶片测量,支持用户定制叶室窗口尺寸。</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测量设置要求：参数设置:默认按测量日期命名新文件，默认给出上次测量次数(时长)支持用户自定义修改。用户备注:支持用户针对个人实验情况输入实验备注信息，该备注内容会随对应的测量数据保存在同一excel文件中，同步导出。一键测量，各项参数均为自动采集，每5秒采集一组数据，程序运行完成后会自动结束并保存，也可手动结束测量进程。</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6.主机数据查看要求：可在主机上根据筛选时间范围快速查询数据。支持单条数据查看、上传、导出、删除，也支持批量上传、导出、删除数据。测量参数支持曲线图和表格2种展示形式，按曲线图展示时可双击放大单图查看。</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7.数据储存/导出要求：自带云平台，所测数据和图表均可上传云平台，也配备USB接口，在没有网络的情况下可U盘导出。本地存储</w:t>
            </w:r>
            <w:r>
              <w:rPr>
                <w:rFonts w:hint="eastAsia" w:ascii="宋体" w:hAnsi="宋体" w:eastAsia="宋体" w:cs="宋体"/>
                <w:color w:val="auto"/>
                <w:sz w:val="21"/>
                <w:szCs w:val="21"/>
              </w:rPr>
              <w:t>≥</w:t>
            </w:r>
            <w:r>
              <w:rPr>
                <w:rFonts w:hint="eastAsia" w:ascii="宋体" w:hAnsi="宋体" w:eastAsia="宋体" w:cs="宋体"/>
                <w:color w:val="auto"/>
                <w:kern w:val="0"/>
                <w:sz w:val="21"/>
                <w:szCs w:val="21"/>
              </w:rPr>
              <w:t>8G大内存，配置USB接口，支持excel格式文件导出至本地/U盘，导出的文件可直接使用无需转换。</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8.单机独立工作模式：仪器支持单机独立使用，含有使用教程视频，手机扫描二维码即可查看仪器安装方式和操作流程等。</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9.数据保护要求：若仪器意外关闭，已测量的数据会自动保存，避免田间使用仪器电量耗尽关机数据丢失的情况。</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10.电量预警及断电保护要求：当主机电量低于一定程度时提示低电量，条件允许的情况下要及时给设备接入电源，避免突然关机对实验测量造成影响。若仪器意外关闭，已测量的数据会自动保存，避免田.间使用设备电量耗尽关机数据丢失的情况。</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11.自带平台：设备联网状态下，可手动上传文件至平台，支持查看、导出和管理文件。</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▲12.数据展示要求:</w:t>
            </w:r>
          </w:p>
          <w:p w14:paraId="318D8CE3">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rPr>
              <w:t>a.数据展示可根据时间、文件名称等快捷查询文件，支持图、表和数据报告3种形式展示实验数据</w:t>
            </w:r>
            <w:r>
              <w:rPr>
                <w:rFonts w:hint="eastAsia" w:ascii="宋体" w:hAnsi="宋体" w:cs="宋体"/>
                <w:color w:val="auto"/>
                <w:kern w:val="0"/>
                <w:sz w:val="21"/>
                <w:szCs w:val="21"/>
                <w:lang w:eastAsia="zh-CN"/>
              </w:rPr>
              <w:t>；</w:t>
            </w:r>
          </w:p>
          <w:p w14:paraId="1E62A853">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rPr>
              <w:t>b.查看数据时，可按时分秒精细时间快速筛选数据</w:t>
            </w:r>
            <w:r>
              <w:rPr>
                <w:rFonts w:hint="eastAsia" w:ascii="宋体" w:hAnsi="宋体" w:cs="宋体"/>
                <w:color w:val="auto"/>
                <w:kern w:val="0"/>
                <w:sz w:val="21"/>
                <w:szCs w:val="21"/>
                <w:lang w:eastAsia="zh-CN"/>
              </w:rPr>
              <w:t>；</w:t>
            </w:r>
          </w:p>
          <w:p w14:paraId="49E0330C">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c.以曲线图形式查看数据时，可勾选多项指标查看文件，方便查看特定时间段内的数据，亦可支持数据报告的形式查看。</w:t>
            </w:r>
            <w:r>
              <w:rPr>
                <w:rFonts w:hint="eastAsia" w:ascii="宋体" w:hAnsi="宋体" w:eastAsia="宋体" w:cs="宋体"/>
                <w:b/>
                <w:bCs/>
                <w:color w:val="auto"/>
                <w:sz w:val="21"/>
                <w:szCs w:val="21"/>
              </w:rPr>
              <w:t>（</w:t>
            </w:r>
            <w:r>
              <w:rPr>
                <w:rFonts w:hint="eastAsia" w:ascii="宋体" w:hAnsi="宋体" w:eastAsia="宋体" w:cs="宋体"/>
                <w:b/>
                <w:bCs/>
                <w:color w:val="auto"/>
                <w:kern w:val="0"/>
                <w:sz w:val="21"/>
                <w:szCs w:val="21"/>
              </w:rPr>
              <w:t>竞标时需提供符合本项参数的截图，并加盖竞标供应商公章</w:t>
            </w:r>
            <w:r>
              <w:rPr>
                <w:rFonts w:hint="eastAsia" w:ascii="宋体" w:hAnsi="宋体" w:eastAsia="宋体" w:cs="宋体"/>
                <w:b/>
                <w:bCs/>
                <w:color w:val="auto"/>
                <w:sz w:val="21"/>
                <w:szCs w:val="21"/>
              </w:rPr>
              <w:t>）</w:t>
            </w:r>
            <w:r>
              <w:rPr>
                <w:rFonts w:hint="eastAsia" w:ascii="宋体" w:hAnsi="宋体" w:eastAsia="宋体" w:cs="宋体"/>
                <w:b/>
                <w:bCs/>
                <w:color w:val="auto"/>
                <w:kern w:val="0"/>
                <w:sz w:val="21"/>
                <w:szCs w:val="21"/>
              </w:rPr>
              <w:br w:type="textWrapping"/>
            </w:r>
            <w:r>
              <w:rPr>
                <w:rFonts w:hint="eastAsia" w:ascii="宋体" w:hAnsi="宋体" w:eastAsia="宋体" w:cs="宋体"/>
                <w:color w:val="auto"/>
                <w:kern w:val="0"/>
                <w:sz w:val="21"/>
                <w:szCs w:val="21"/>
              </w:rPr>
              <w:t>13.对比分析:</w:t>
            </w:r>
          </w:p>
          <w:p w14:paraId="3913245C">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a.可多选不同仪器、不同时间的文件进行横向对比分析，支持按时间范围、关键字快捷搜索目标文件，搜索范围为该账号下所有仪器。</w:t>
            </w:r>
          </w:p>
          <w:p w14:paraId="7E7BF403">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cs="宋体"/>
                <w:color w:val="auto"/>
                <w:kern w:val="0"/>
                <w:sz w:val="21"/>
                <w:szCs w:val="21"/>
                <w:lang w:eastAsia="zh-CN"/>
              </w:rPr>
            </w:pPr>
            <w:r>
              <w:rPr>
                <w:rFonts w:hint="eastAsia" w:ascii="宋体" w:hAnsi="宋体" w:eastAsia="宋体" w:cs="宋体"/>
                <w:color w:val="auto"/>
                <w:kern w:val="0"/>
                <w:sz w:val="21"/>
                <w:szCs w:val="21"/>
              </w:rPr>
              <w:t>b.可多选文件横向对比12项指标，分析结果支持图、表和数据报告3种展示形式，曲线图位置可鼠标拖动位置方便直观比较</w:t>
            </w:r>
            <w:r>
              <w:rPr>
                <w:rFonts w:hint="eastAsia" w:ascii="宋体" w:hAnsi="宋体" w:cs="宋体"/>
                <w:color w:val="auto"/>
                <w:kern w:val="0"/>
                <w:sz w:val="21"/>
                <w:szCs w:val="21"/>
                <w:lang w:eastAsia="zh-CN"/>
              </w:rPr>
              <w:t>；</w:t>
            </w:r>
          </w:p>
          <w:p w14:paraId="31D9E1D2">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c.对比分析记录会保存在云端，数据亦可导出，也可手动删除数据，导出格式有图片、表格以及包含二者的压缩包文件，用户直接解压缩操作即可。</w:t>
            </w:r>
          </w:p>
          <w:p w14:paraId="0EB8FDAC">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14.权限分级:平台多级功能权限均为可配置，“删除”功能为配置项，管理员可为下属人员分配账号、设置功能权限，避免失误操作。</w:t>
            </w:r>
          </w:p>
          <w:p w14:paraId="69E874CA">
            <w:pPr>
              <w:widowControl/>
              <w:spacing w:line="4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二、技术要求：</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1.热释电红外：测量范围0- -2000 μ mol/mol (ppm)分辨率0.01误差≤</w:t>
            </w:r>
            <w:r>
              <w:rPr>
                <w:rFonts w:hint="eastAsia" w:ascii="宋体" w:hAnsi="宋体" w:cs="宋体"/>
                <w:color w:val="auto"/>
                <w:kern w:val="0"/>
                <w:sz w:val="21"/>
                <w:szCs w:val="21"/>
                <w:lang w:val="en-US" w:eastAsia="zh-CN"/>
              </w:rPr>
              <w:t>±</w:t>
            </w:r>
            <w:r>
              <w:rPr>
                <w:rFonts w:hint="eastAsia" w:ascii="宋体" w:hAnsi="宋体" w:eastAsia="宋体" w:cs="宋体"/>
                <w:color w:val="auto"/>
                <w:kern w:val="0"/>
                <w:sz w:val="21"/>
                <w:szCs w:val="21"/>
              </w:rPr>
              <w:t>3%FS。</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2.进气温度：测量范围0-50℃  分辨率0.01  误差≤±0.3℃</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3.叶室温度：测量范围0-50℃  分辨率0.01  误差≤±0.3℃</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4.叶面温度：测量范围0-50℃  分辨率0.01  误差≤±0.2℃</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5.进气湿度：测量范围0-100%RH  分辨率0.01  误差≤±5%RH</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6.叶室湿度：测量范围0-100%RH  分辨率0.01  误差≤±5%RH</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7.光合有效辐射强度PAR：测量范围0-2500μmol·m-2·s-1  分辨率0.01  误差≤±5μmol·m-2·s-1</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8.净光合速率Pn分辨率0.01</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9.气孔导度Gs  分辨率0.01</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10.蒸腾速率Tr  分辨率0.01</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11.胞间CO2浓度Ci  分辨率0.01</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12.瞬时水分利用率WUE  分辨率0.01</w:t>
            </w:r>
          </w:p>
        </w:tc>
      </w:tr>
      <w:tr w14:paraId="1E086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375A5000">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1EBBEAAA">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植物冠层分析仪</w:t>
            </w:r>
          </w:p>
        </w:tc>
        <w:tc>
          <w:tcPr>
            <w:tcW w:w="496" w:type="dxa"/>
            <w:vAlign w:val="center"/>
          </w:tcPr>
          <w:p w14:paraId="2A264D5B">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459" w:type="dxa"/>
            <w:vAlign w:val="center"/>
          </w:tcPr>
          <w:p w14:paraId="1A726E7B">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c>
          <w:tcPr>
            <w:tcW w:w="6848" w:type="dxa"/>
            <w:vAlign w:val="center"/>
          </w:tcPr>
          <w:p w14:paraId="263B23F5">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无损测量冠层叶面积指数、叶片平均倾角以及冠层结构。参数包括：叶面积指数、平均叶倾角、光合有效辐射、散射辐射透光率、不同太阳高度角下的直射辐射透过率、不同太阳高度角下的消光系数、叶面积密度方位分布。</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2.探头体积小巧，装在测杆上可任意角度测量植物冠层结构。</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3.USB接口，测量时测杆连接电脑实时查看图像，即时选取所需图像并保存。</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4.外接大容量锂电池，适用于野外工作和长时间测量。</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5.可测冠层内外的光合有效辐射和光斑值</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6.手持测杆万向式接头，鱼眼镜头可自动保持水平状态获取冠层图像。</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7.可选择手动和自动两种冠层图像采集方式，可自定义自动采集测量间隔。</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8.测量冠层不同高度，可得到群体内光透过率和叶面积指数垂直分布图。</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9.配有专用分析软件，有选择所需图像区域的功能（天顶角可分10区，方位角可分10区），可屏蔽不合理的冠层部分（如缺株、边行等），仅对有效图像区域进行分析，使测量数据更加精确。</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10.可手动调节天顶角的起始角和终止角的阈值，避开不合适的冠层孔隙条件，可以更精准的计算叶面积指数等参数。</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11.电脑端储存测量数据时可自定义文件保存位置。</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12.配置笔记本背带，便于野外携带电脑操作。</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▲13.软件要求：</w:t>
            </w:r>
          </w:p>
          <w:p w14:paraId="6A1CF948">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13.1应能够兼容包括仪器云系统，手机APP系统，专家系统，可在线升级。</w:t>
            </w:r>
          </w:p>
          <w:p w14:paraId="74943504">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13.2应能够进行数据分析功能，可以根据选择的时间段展示数据，并且支持数据表格，线状图，柱形图，饼状图4种方式查看，平台内数据可下载，分析，打印。</w:t>
            </w:r>
          </w:p>
          <w:p w14:paraId="74C2CFF0">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13.3应能够对环境数据进行历史数据曲线查看，可以选择天、周、月、生长季、半小时平均、24小时平均进行历史数据曲线查询，可以自定义设置查询时间段可环比、同比统计该时间段最大、最小及平均值。</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▲14.植物长势分析软件要求：</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可以通过手机APP对植物冠层覆盖度进行计算，数据有助于为用户提供科学的判断植物长势依据，并表述植物幼苗生长和早期生长状态；在植物生长中，可以通过对不同冠层覆盖度的判断来分析太阳辐射并遮蔽土壤的比例，从而助力专业分析减少土壤内水分的蒸发及提高水分利用率。避免在干旱环境中则存在着提前耗尽土壤水分的风险，进而降低在生长季末期面临更严重的干旱协迫。</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15.技术参数：</w:t>
            </w:r>
          </w:p>
          <w:p w14:paraId="70B02332">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15.1镜头角度：150°</w:t>
            </w:r>
          </w:p>
          <w:p w14:paraId="30431C7E">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15.2分辨率：768×494pix</w:t>
            </w:r>
          </w:p>
          <w:p w14:paraId="19A8D3D6">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15.3测量范围：天顶角由0～75°（可分割成十个区域）；方位角0~360°（可分割十个区域）</w:t>
            </w:r>
          </w:p>
          <w:p w14:paraId="7CD365D8">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15.4 PAR感应范围：感应光谱400nm～ 700nm，</w:t>
            </w:r>
          </w:p>
          <w:p w14:paraId="54F71D02">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15.5 PAR测量范围：0～2000μmol/（㎡·S）</w:t>
            </w:r>
          </w:p>
          <w:p w14:paraId="2720B437">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15.6数据存储格式：设备数据存储为txt文件格式，可直接在电脑或手机端打开查看；</w:t>
            </w:r>
          </w:p>
          <w:p w14:paraId="2CAE5755">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15.7测杆重量：</w:t>
            </w:r>
            <w:r>
              <w:rPr>
                <w:rFonts w:hint="eastAsia" w:ascii="宋体" w:hAnsi="宋体" w:cs="宋体"/>
                <w:color w:val="auto"/>
                <w:kern w:val="0"/>
                <w:sz w:val="21"/>
                <w:szCs w:val="21"/>
                <w:lang w:val="en-US" w:eastAsia="zh-CN"/>
              </w:rPr>
              <w:t>≤</w:t>
            </w:r>
            <w:r>
              <w:rPr>
                <w:rFonts w:hint="eastAsia" w:ascii="宋体" w:hAnsi="宋体" w:eastAsia="宋体" w:cs="宋体"/>
                <w:color w:val="auto"/>
                <w:kern w:val="0"/>
                <w:sz w:val="21"/>
                <w:szCs w:val="21"/>
              </w:rPr>
              <w:t>500g</w:t>
            </w:r>
          </w:p>
          <w:p w14:paraId="6FF85E00">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15.</w:t>
            </w:r>
            <w:r>
              <w:rPr>
                <w:rFonts w:hint="eastAsia" w:ascii="宋体" w:hAnsi="宋体" w:cs="宋体"/>
                <w:color w:val="auto"/>
                <w:kern w:val="0"/>
                <w:sz w:val="21"/>
                <w:szCs w:val="21"/>
                <w:lang w:val="en-US" w:eastAsia="zh-CN"/>
              </w:rPr>
              <w:t>8</w:t>
            </w:r>
            <w:r>
              <w:rPr>
                <w:rFonts w:hint="eastAsia" w:ascii="宋体" w:hAnsi="宋体" w:eastAsia="宋体" w:cs="宋体"/>
                <w:color w:val="auto"/>
                <w:kern w:val="0"/>
                <w:sz w:val="21"/>
                <w:szCs w:val="21"/>
              </w:rPr>
              <w:t>电源：DC8.4V可充电锂电池组</w:t>
            </w:r>
          </w:p>
          <w:p w14:paraId="73D69811">
            <w:pPr>
              <w:widowControl/>
              <w:spacing w:line="440" w:lineRule="exact"/>
              <w:ind w:firstLine="420" w:firstLineChars="200"/>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15.</w:t>
            </w:r>
            <w:r>
              <w:rPr>
                <w:rFonts w:hint="eastAsia" w:ascii="宋体" w:hAnsi="宋体" w:cs="宋体"/>
                <w:color w:val="auto"/>
                <w:kern w:val="0"/>
                <w:sz w:val="21"/>
                <w:szCs w:val="21"/>
                <w:lang w:val="en-US" w:eastAsia="zh-CN"/>
              </w:rPr>
              <w:t>9</w:t>
            </w:r>
            <w:r>
              <w:rPr>
                <w:rFonts w:hint="eastAsia" w:ascii="宋体" w:hAnsi="宋体" w:eastAsia="宋体" w:cs="宋体"/>
                <w:color w:val="auto"/>
                <w:kern w:val="0"/>
                <w:sz w:val="21"/>
                <w:szCs w:val="21"/>
              </w:rPr>
              <w:t>传输接口：USB</w:t>
            </w:r>
          </w:p>
        </w:tc>
      </w:tr>
      <w:tr w14:paraId="738CF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435E9E6C">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1FF07E49">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植物呼吸测定仪</w:t>
            </w:r>
          </w:p>
        </w:tc>
        <w:tc>
          <w:tcPr>
            <w:tcW w:w="496" w:type="dxa"/>
            <w:vAlign w:val="center"/>
          </w:tcPr>
          <w:p w14:paraId="68298352">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459" w:type="dxa"/>
            <w:vAlign w:val="center"/>
          </w:tcPr>
          <w:p w14:paraId="1B9FC199">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c>
          <w:tcPr>
            <w:tcW w:w="6848" w:type="dxa"/>
            <w:vAlign w:val="center"/>
          </w:tcPr>
          <w:p w14:paraId="5AD2D822">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1.植物呼吸测定仪采用液晶显示屏。</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2.开路测量、闭路测量均可，电子流量计。</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3.按键开关机，数据线以及气管接口符合日常操作使用习惯。</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4.可测空气湿度。</w:t>
            </w:r>
          </w:p>
          <w:p w14:paraId="618F9BC3">
            <w:pPr>
              <w:keepNext w:val="0"/>
              <w:keepLines w:val="0"/>
              <w:pageBreakBefore w:val="0"/>
              <w:widowControl/>
              <w:kinsoku/>
              <w:wordWrap/>
              <w:overflowPunct/>
              <w:topLinePunct w:val="0"/>
              <w:autoSpaceDE/>
              <w:autoSpaceDN/>
              <w:bidi w:val="0"/>
              <w:adjustRightInd/>
              <w:snapToGrid/>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5.硬件组成</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植物呼吸测定仪主要由2大部分组成：</w:t>
            </w:r>
          </w:p>
          <w:p w14:paraId="46D50009">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xml:space="preserve">5.1.主机  </w:t>
            </w:r>
          </w:p>
          <w:p w14:paraId="65BA6A1D">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xml:space="preserve">5.2.手柄叶室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6.技术参数</w:t>
            </w:r>
          </w:p>
          <w:p w14:paraId="3B85CB9A">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xml:space="preserve">6.1二氧化碳量程：0～1000～2000ppm   </w:t>
            </w:r>
          </w:p>
          <w:p w14:paraId="16E0B075">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6.2分辨率：1ppm</w:t>
            </w:r>
          </w:p>
          <w:p w14:paraId="44DE465B">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xml:space="preserve">6.3精度：1%F.S </w:t>
            </w:r>
          </w:p>
          <w:p w14:paraId="1E3DE056">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6.4零点漂移：≤±3%F.S/4h</w:t>
            </w:r>
          </w:p>
          <w:p w14:paraId="46D3FD76">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xml:space="preserve">6.5量程漂移：≤±3%F.S/4h </w:t>
            </w:r>
          </w:p>
          <w:p w14:paraId="4DAF76E0">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xml:space="preserve">6.6线性度：≤±2%F.S    </w:t>
            </w:r>
          </w:p>
          <w:p w14:paraId="5F705580">
            <w:pPr>
              <w:widowControl/>
              <w:spacing w:line="440" w:lineRule="exact"/>
              <w:ind w:firstLine="420" w:firstLineChars="200"/>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6.7重复性：≤±1%</w:t>
            </w:r>
          </w:p>
        </w:tc>
      </w:tr>
      <w:tr w14:paraId="48378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03307A21">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75CA0300">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植物光谱仪</w:t>
            </w:r>
          </w:p>
        </w:tc>
        <w:tc>
          <w:tcPr>
            <w:tcW w:w="496" w:type="dxa"/>
            <w:vAlign w:val="center"/>
          </w:tcPr>
          <w:p w14:paraId="61E20DFD">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459" w:type="dxa"/>
            <w:vAlign w:val="center"/>
          </w:tcPr>
          <w:p w14:paraId="383F7E8C">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c>
          <w:tcPr>
            <w:tcW w:w="6848" w:type="dxa"/>
            <w:vAlign w:val="center"/>
          </w:tcPr>
          <w:p w14:paraId="17C14D0D">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1.植物光谱测量仪采用</w:t>
            </w:r>
            <w:r>
              <w:rPr>
                <w:rFonts w:hint="eastAsia" w:ascii="宋体" w:hAnsi="宋体" w:cs="宋体"/>
                <w:color w:val="auto"/>
                <w:kern w:val="0"/>
                <w:sz w:val="21"/>
                <w:szCs w:val="21"/>
                <w:lang w:val="en-US" w:eastAsia="zh-CN"/>
              </w:rPr>
              <w:t>不小于</w:t>
            </w:r>
            <w:r>
              <w:rPr>
                <w:rFonts w:hint="eastAsia" w:ascii="宋体" w:hAnsi="宋体" w:eastAsia="宋体" w:cs="宋体"/>
                <w:color w:val="auto"/>
                <w:kern w:val="0"/>
                <w:sz w:val="21"/>
                <w:szCs w:val="21"/>
              </w:rPr>
              <w:t>5英寸高清触摸屏操作，一键测量，快速检测光源光谱分布，可在光谱分布图上可查看任一波长下的辐射值；</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测量数据包含光照度、光合有效辐射PAR（400～700nm）、光合光子通量密度PPFD、不同光质组成（红外、红、绿、蓝、紫外光等）及辐射强度、红蓝光质辐照度比值、叶绿素加权辐照度、色温、中心波长等40余个光量子学参数和光学参数；</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3.分析结果图包含光谱分布图（350~800nm）、CIE标准色品图（1931.1960、1976）、色容差图、显色指数CRI图；</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4.可支持中文（简体、繁体）、英文双语言系统，支持屏幕180°旋转，屏幕亮度调节和按键截屏；</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5.数据导出：将系统设置切换为U盘模式，可将测量的数据文件导出至电脑。</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6.技术参数</w:t>
            </w:r>
          </w:p>
          <w:p w14:paraId="08A12D01">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6.1波长范围 350nm～800nm</w:t>
            </w:r>
          </w:p>
          <w:p w14:paraId="2A48304B">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6.2传感器 高精度CCD</w:t>
            </w:r>
          </w:p>
          <w:p w14:paraId="2E71782D">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6.3光谱带宽(FWHM) 2nm</w:t>
            </w:r>
          </w:p>
          <w:p w14:paraId="521C2266">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6.4光谱分辨率/重复性 0.2nm  X, Y重复性±0.0005</w:t>
            </w:r>
          </w:p>
          <w:p w14:paraId="1C608AE8">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6.5波长准确度 ±0.5nm</w:t>
            </w:r>
          </w:p>
          <w:p w14:paraId="3EBDB6AE">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6.6照度准确度不低于一级(±4%读数±1个读数）</w:t>
            </w:r>
          </w:p>
          <w:p w14:paraId="0F16073B">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6.7色品坐标准确度 ±0.0025（相对于溯源至 NIM 的稳定度优于±0.0005 的标准光源）</w:t>
            </w:r>
          </w:p>
          <w:p w14:paraId="5B2029FD">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6.8色温范围 1,000K～100,000K</w:t>
            </w:r>
          </w:p>
          <w:p w14:paraId="7BF7BAA7">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6.9杂散光 ≤0.3%</w:t>
            </w:r>
          </w:p>
          <w:p w14:paraId="69C0A083">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6.10照度测量范围 5lx～200klx</w:t>
            </w:r>
          </w:p>
          <w:p w14:paraId="1DDAA792">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6.11积分时间 50µs～10000ms</w:t>
            </w:r>
          </w:p>
          <w:p w14:paraId="685B47AE">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6.12通讯接口 Micro USB接口</w:t>
            </w:r>
          </w:p>
          <w:p w14:paraId="10D9CE88">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6.13使用温度/湿度范围 （-10～40）℃，相对湿度&lt;70%（无冷凝）</w:t>
            </w:r>
          </w:p>
          <w:p w14:paraId="0ED4F59A">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6.14存储温度/湿度范围 （-20～45）℃，相对湿度&lt;70%（无冷凝）</w:t>
            </w:r>
          </w:p>
          <w:p w14:paraId="1ADEBF48">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6.15通讯接口 Micro USB接口</w:t>
            </w:r>
          </w:p>
          <w:p w14:paraId="6E5CF8AE">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6.16存储容量 出厂标配 8G TF卡（Micro SD）</w:t>
            </w:r>
          </w:p>
          <w:p w14:paraId="7FBD2F02">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6.17供电方式 内置锂电池/电源适配器</w:t>
            </w:r>
          </w:p>
          <w:p w14:paraId="41E2040B">
            <w:pPr>
              <w:widowControl/>
              <w:spacing w:line="440" w:lineRule="exact"/>
              <w:ind w:firstLine="420" w:firstLineChars="200"/>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6.18连续工作时长 一次充电可使用</w:t>
            </w:r>
            <w:r>
              <w:rPr>
                <w:rFonts w:hint="eastAsia" w:ascii="宋体" w:hAnsi="宋体" w:eastAsia="宋体" w:cs="宋体"/>
                <w:color w:val="auto"/>
                <w:sz w:val="21"/>
                <w:szCs w:val="21"/>
              </w:rPr>
              <w:t>≥</w:t>
            </w:r>
            <w:r>
              <w:rPr>
                <w:rFonts w:hint="eastAsia" w:ascii="宋体" w:hAnsi="宋体" w:eastAsia="宋体" w:cs="宋体"/>
                <w:color w:val="auto"/>
                <w:kern w:val="0"/>
                <w:sz w:val="21"/>
                <w:szCs w:val="21"/>
              </w:rPr>
              <w:t xml:space="preserve">20小时 </w:t>
            </w:r>
          </w:p>
        </w:tc>
      </w:tr>
      <w:tr w14:paraId="127B5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148A710A">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1E1F3AF1">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稳态气孔计</w:t>
            </w:r>
          </w:p>
        </w:tc>
        <w:tc>
          <w:tcPr>
            <w:tcW w:w="496" w:type="dxa"/>
            <w:vAlign w:val="center"/>
          </w:tcPr>
          <w:p w14:paraId="2F24ECC5">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459" w:type="dxa"/>
            <w:vAlign w:val="center"/>
          </w:tcPr>
          <w:p w14:paraId="369C0467">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c>
          <w:tcPr>
            <w:tcW w:w="6848" w:type="dxa"/>
            <w:vAlign w:val="center"/>
          </w:tcPr>
          <w:p w14:paraId="1A61BE29">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1.植物气孔计（稳态气孔计）可用于测量空气温度、空气湿度、光强PAR、叶片温度、叶室湿度等参数；</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2.显示空气温度、空气湿度、叶片温度，叶室湿度、光强、蒸腾速率、气孔导度等测量值；</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3.植物气孔计可以设定开路测量和闭路测量两种模式，闭路测量模式可以选择自动测量与手动测量；</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4.SD卡数据存储，不低于15万组测量数据；</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5.轻便可携，带有充电电池，可供野外工作使用。</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6.技术参数</w:t>
            </w:r>
          </w:p>
          <w:p w14:paraId="32C8DD19">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6.1湿度传感器：范围：0～100%RH；分辨率：0.1%；精度：≤±1.8%RH</w:t>
            </w:r>
          </w:p>
          <w:p w14:paraId="5ED6D661">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6.2光量子传感器：范围：0～3000μmol/m2·s；</w:t>
            </w:r>
            <w:r>
              <w:rPr>
                <w:rFonts w:hint="eastAsia" w:ascii="宋体" w:hAnsi="宋体" w:cs="宋体"/>
                <w:color w:val="auto"/>
                <w:kern w:val="0"/>
                <w:sz w:val="21"/>
                <w:szCs w:val="21"/>
                <w:lang w:val="en-US" w:eastAsia="zh-CN"/>
              </w:rPr>
              <w:t>分辨率</w:t>
            </w:r>
            <w:r>
              <w:rPr>
                <w:rFonts w:hint="eastAsia" w:ascii="宋体" w:hAnsi="宋体" w:eastAsia="宋体" w:cs="宋体"/>
                <w:color w:val="auto"/>
                <w:kern w:val="0"/>
                <w:sz w:val="21"/>
                <w:szCs w:val="21"/>
              </w:rPr>
              <w:t>：1μmol/m2·s；</w:t>
            </w:r>
          </w:p>
          <w:p w14:paraId="72EB4052">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6.3误差：±5%</w:t>
            </w:r>
          </w:p>
          <w:p w14:paraId="460F7802">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6.4叶温传感器：范围：0～50℃；分辨率：≤0.1℃；误差：≤±0.2℃</w:t>
            </w:r>
          </w:p>
          <w:p w14:paraId="5A7BC60F">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6.5气温传感器：范围：0～50℃；分辨率：0.1℃；误差：±0.3℃</w:t>
            </w:r>
          </w:p>
          <w:p w14:paraId="596A056A">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6.6流量计：测量范围：0.3～1.0L/min；分辨率：0.01L/min；误差：±2.0%</w:t>
            </w:r>
          </w:p>
          <w:p w14:paraId="535E96C9">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6.7显示：液晶显示</w:t>
            </w:r>
          </w:p>
          <w:p w14:paraId="6ECB90B5">
            <w:pPr>
              <w:widowControl/>
              <w:spacing w:line="440" w:lineRule="exact"/>
              <w:ind w:firstLine="420" w:firstLineChars="200"/>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6.8电源：可充锂电，续航能力不低于10小时</w:t>
            </w:r>
          </w:p>
        </w:tc>
      </w:tr>
      <w:tr w14:paraId="00D59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215DFFF7">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2E3163B9">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植物蒸腾速率测定仪</w:t>
            </w:r>
          </w:p>
        </w:tc>
        <w:tc>
          <w:tcPr>
            <w:tcW w:w="496" w:type="dxa"/>
            <w:vAlign w:val="center"/>
          </w:tcPr>
          <w:p w14:paraId="37CB8481">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459" w:type="dxa"/>
            <w:vAlign w:val="center"/>
          </w:tcPr>
          <w:p w14:paraId="15A7099B">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c>
          <w:tcPr>
            <w:tcW w:w="6848" w:type="dxa"/>
            <w:vAlign w:val="center"/>
          </w:tcPr>
          <w:p w14:paraId="44283063">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1.多参数测试：植物蒸腾速率测定仪可同时测量叶温、空气温湿度、光合有效辐射强度等指标计算出植物蒸腾速率。</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2.简单智能：中文菜单及光标引导操作，测定过程及最终结果可实时显示、存储；</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3.不同类型的叶室，可用于多种植物不同形状叶片的测定；</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4.技术参数</w:t>
            </w:r>
          </w:p>
          <w:p w14:paraId="54D51ED4">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4.1.空气温度：测量范围：0-50℃， 分辨率：0.1℃， 误差±0.2℃</w:t>
            </w:r>
          </w:p>
          <w:p w14:paraId="0F0C9531">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4.2.空气湿度：测量范围：0-100%，分辨率：0.1%，误差≤±3%</w:t>
            </w:r>
          </w:p>
          <w:p w14:paraId="70C43B09">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4.3.叶片温度：测量范围：0-50℃， 分辨率：0.1℃，误差±0.2℃</w:t>
            </w:r>
          </w:p>
          <w:p w14:paraId="3319B7FD">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4.4.光合有效辐射（PAR）：测量范围：0-2500µmolm ㎡/秒 ，</w:t>
            </w:r>
          </w:p>
          <w:p w14:paraId="7CB43827">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4.5. 精度≤5 µmolm ㎡/秒</w:t>
            </w:r>
          </w:p>
          <w:p w14:paraId="28DB28CE">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4.6.流量：测量范围：0~1 L/min，分辨率：0.1 L/min</w:t>
            </w:r>
          </w:p>
          <w:p w14:paraId="7AB92B64">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4.7.显示：液晶显示，中文界面</w:t>
            </w:r>
          </w:p>
          <w:p w14:paraId="2CC2A340">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4.8.叶室尺寸：</w:t>
            </w:r>
            <w:r>
              <w:rPr>
                <w:rFonts w:hint="eastAsia" w:ascii="宋体" w:hAnsi="宋体" w:cs="宋体"/>
                <w:color w:val="auto"/>
                <w:kern w:val="0"/>
                <w:sz w:val="21"/>
                <w:szCs w:val="21"/>
                <w:lang w:val="en-US" w:eastAsia="zh-CN"/>
              </w:rPr>
              <w:t>≤</w:t>
            </w:r>
            <w:r>
              <w:rPr>
                <w:rFonts w:hint="eastAsia" w:ascii="宋体" w:hAnsi="宋体" w:eastAsia="宋体" w:cs="宋体"/>
                <w:color w:val="auto"/>
                <w:kern w:val="0"/>
                <w:sz w:val="21"/>
                <w:szCs w:val="21"/>
              </w:rPr>
              <w:t>55×20mm，其它尺寸可根据客户需求定做</w:t>
            </w:r>
          </w:p>
          <w:p w14:paraId="41FD94E8">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4.9.数据存储：不少于2GB SD卡</w:t>
            </w:r>
          </w:p>
          <w:p w14:paraId="38466D23">
            <w:pPr>
              <w:widowControl/>
              <w:spacing w:line="440" w:lineRule="exact"/>
              <w:ind w:firstLine="420" w:firstLineChars="200"/>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4.10.电源：DC7.4V锂电池，可连续工作7-9小时</w:t>
            </w:r>
          </w:p>
        </w:tc>
      </w:tr>
      <w:tr w14:paraId="7860C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1E184825">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24946C04">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植物茎流仪</w:t>
            </w:r>
          </w:p>
        </w:tc>
        <w:tc>
          <w:tcPr>
            <w:tcW w:w="496" w:type="dxa"/>
            <w:vAlign w:val="center"/>
          </w:tcPr>
          <w:p w14:paraId="6D0099BF">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459" w:type="dxa"/>
            <w:vAlign w:val="center"/>
          </w:tcPr>
          <w:p w14:paraId="4B173719">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c>
          <w:tcPr>
            <w:tcW w:w="6848" w:type="dxa"/>
            <w:vAlign w:val="center"/>
          </w:tcPr>
          <w:p w14:paraId="54A9A24E">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1.探针可重复使用：双探针，配钻孔工具，不伤探针</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2.可恒温加热：植物茎流测量仪采用热消散法，数据稳定，可长期不间断读取数据。</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3.采集时间间隔（1-99）和结束时间均可设，标配SD卡，数据储存无上限，并可导出分析。</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4.可定制交直流两用型仪器。</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5.测量精度高：测量显示数据是实际数据的10万倍。</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6.技术指标</w:t>
            </w:r>
          </w:p>
          <w:p w14:paraId="0AC47D94">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6.1测量方式：热消散探针法（恒定热流传感器法）</w:t>
            </w:r>
          </w:p>
          <w:p w14:paraId="2F12582E">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6.2测量参数：瞬时液流密度</w:t>
            </w:r>
          </w:p>
          <w:p w14:paraId="6DCDA623">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6.3探针长度：≥33 mm</w:t>
            </w:r>
          </w:p>
          <w:p w14:paraId="056B8D39">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6.4探针数量：</w:t>
            </w:r>
            <w:r>
              <w:rPr>
                <w:rFonts w:hint="eastAsia" w:ascii="宋体" w:hAnsi="宋体" w:eastAsia="宋体" w:cs="宋体"/>
                <w:color w:val="auto"/>
                <w:sz w:val="21"/>
                <w:szCs w:val="21"/>
              </w:rPr>
              <w:t>≥</w:t>
            </w:r>
            <w:r>
              <w:rPr>
                <w:rFonts w:hint="eastAsia" w:ascii="宋体" w:hAnsi="宋体" w:eastAsia="宋体" w:cs="宋体"/>
                <w:color w:val="auto"/>
                <w:kern w:val="0"/>
                <w:sz w:val="21"/>
                <w:szCs w:val="21"/>
              </w:rPr>
              <w:t>2个</w:t>
            </w:r>
          </w:p>
          <w:p w14:paraId="0A15649B">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6.5显示：液晶显示屏</w:t>
            </w:r>
          </w:p>
          <w:p w14:paraId="71C137D1">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6.6存储容量：</w:t>
            </w:r>
            <w:r>
              <w:rPr>
                <w:rFonts w:hint="eastAsia" w:ascii="宋体" w:hAnsi="宋体" w:eastAsia="宋体" w:cs="宋体"/>
                <w:color w:val="auto"/>
                <w:sz w:val="21"/>
                <w:szCs w:val="21"/>
              </w:rPr>
              <w:t>≥</w:t>
            </w:r>
            <w:r>
              <w:rPr>
                <w:rFonts w:hint="eastAsia" w:ascii="宋体" w:hAnsi="宋体" w:eastAsia="宋体" w:cs="宋体"/>
                <w:color w:val="auto"/>
                <w:kern w:val="0"/>
                <w:sz w:val="21"/>
                <w:szCs w:val="21"/>
              </w:rPr>
              <w:t>2GB</w:t>
            </w:r>
          </w:p>
          <w:p w14:paraId="1C873EE5">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6.7采样时间间隔：1-99分钟可调</w:t>
            </w:r>
          </w:p>
          <w:p w14:paraId="0B84954F">
            <w:pPr>
              <w:widowControl/>
              <w:spacing w:line="440" w:lineRule="exact"/>
              <w:ind w:firstLine="420" w:firstLineChars="200"/>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6.8电源：可充电锂电池</w:t>
            </w:r>
          </w:p>
        </w:tc>
      </w:tr>
      <w:tr w14:paraId="483E3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32E9689C">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3F5F05CF">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植株茎秆强度测定仪</w:t>
            </w:r>
          </w:p>
        </w:tc>
        <w:tc>
          <w:tcPr>
            <w:tcW w:w="496" w:type="dxa"/>
            <w:vAlign w:val="center"/>
          </w:tcPr>
          <w:p w14:paraId="3B6EA792">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5</w:t>
            </w:r>
          </w:p>
        </w:tc>
        <w:tc>
          <w:tcPr>
            <w:tcW w:w="459" w:type="dxa"/>
            <w:vAlign w:val="center"/>
          </w:tcPr>
          <w:p w14:paraId="1F1F6FEC">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c>
          <w:tcPr>
            <w:tcW w:w="6848" w:type="dxa"/>
            <w:vAlign w:val="center"/>
          </w:tcPr>
          <w:p w14:paraId="14156915">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一、功能要求：</w:t>
            </w:r>
          </w:p>
          <w:p w14:paraId="146D14E3">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▲1.可直接显示测量日期、时间、峰值、角度、经纬度，最大值，最小值，平均值等数据。</w:t>
            </w:r>
            <w:r>
              <w:rPr>
                <w:rFonts w:hint="eastAsia" w:ascii="宋体" w:hAnsi="宋体" w:eastAsia="宋体" w:cs="宋体"/>
                <w:b/>
                <w:bCs/>
                <w:color w:val="auto"/>
                <w:kern w:val="0"/>
                <w:sz w:val="21"/>
                <w:szCs w:val="21"/>
              </w:rPr>
              <w:t>（竞标时需提供符合本项参数的截图，并加盖竞标供应商公章）</w:t>
            </w:r>
          </w:p>
          <w:p w14:paraId="37C6FC2B">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2.设备采用压力及倾角传感器，实时获取受力大小及倒伏倾斜角度，提供自动和手动两种测量模式。</w:t>
            </w:r>
          </w:p>
          <w:p w14:paraId="67C4BDD5">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3.背光亮度设置可根据外界光亮调节“0-100”；背光时间设置可控制屏幕常亮时间，分为“1min、2min、3min、5min、10min”5挡；自动关机设置可以设置屏幕在“1-60min”六个时间档次内无操作自动关机</w:t>
            </w:r>
            <w:r>
              <w:rPr>
                <w:rFonts w:hint="eastAsia" w:ascii="宋体" w:hAnsi="宋体" w:eastAsia="宋体" w:cs="宋体"/>
                <w:b/>
                <w:bCs/>
                <w:color w:val="auto"/>
                <w:kern w:val="0"/>
                <w:sz w:val="21"/>
                <w:szCs w:val="21"/>
              </w:rPr>
              <w:t>（竞标时需提供符合本项参数的截图，并加盖竞标供应商公章）</w:t>
            </w:r>
          </w:p>
          <w:p w14:paraId="01B387C6">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4.配备屏幕数字正反转功能，支持即时切换，显示单位KPa（千帕斯卡）和N（牛顿）；</w:t>
            </w:r>
          </w:p>
          <w:p w14:paraId="5F6C5FEA">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5.设备配置探针、拉钩、压板等多种形式测头，可进行茎秆抗折力测量、茎秆抗压强度测量、茎秆穿刺强度测量、茎秆拉伸强度测量；</w:t>
            </w:r>
          </w:p>
          <w:p w14:paraId="5BA87B8F">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▲6.具备角度测量系统，能够在茎秆达到峰值压力的瞬间，精确记录对应的测量角度；</w:t>
            </w:r>
          </w:p>
          <w:p w14:paraId="69990ED7">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7.支持不少于200组数据的测量，每组数据可包含不少于96条记录；</w:t>
            </w:r>
          </w:p>
          <w:p w14:paraId="2FDB2B8B">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8.数据列表界面能自动保存测量峰值、峰值角度、测量经纬度、测量时间、测量编号等数据，可按照测量时间、测量编号查看和删除多组历史数据；</w:t>
            </w:r>
          </w:p>
          <w:p w14:paraId="06223A62">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9.设备可存储≥1万条测量数据，单次充电可满足连续工作使用长达12h；</w:t>
            </w:r>
          </w:p>
          <w:p w14:paraId="6A266EA2">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10.数据既可在本机设备上查看，也可通过数据线导入电脑或手机端、云端中进行查看分析；</w:t>
            </w:r>
          </w:p>
          <w:p w14:paraId="5F6F1D0F">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▲11.通过无线蓝牙通讯方式，把数据传输到智能手机采集终端，APP端可以查看数据的设备名称、测量编号、峰值数据、峰值角度、坐标位置、测试位置、测量时间等。</w:t>
            </w:r>
            <w:r>
              <w:rPr>
                <w:rFonts w:hint="eastAsia" w:ascii="宋体" w:hAnsi="宋体" w:eastAsia="宋体" w:cs="宋体"/>
                <w:b/>
                <w:bCs/>
                <w:color w:val="auto"/>
                <w:kern w:val="0"/>
                <w:sz w:val="21"/>
                <w:szCs w:val="21"/>
              </w:rPr>
              <w:t>（竞标时需提供符合本项参数的截图，并加盖竞标供应商公章）</w:t>
            </w:r>
          </w:p>
          <w:p w14:paraId="40833019">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xml:space="preserve">▲12.设备配套app能直观显示植物受力与倾斜角度对应曲线关系，可详细分析不同角度下的植株受力情况，判断作物抗倒伏情况。数据曲线可以用折线图、柱状图的形式显示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二、技术参数</w:t>
            </w:r>
            <w:r>
              <w:rPr>
                <w:rFonts w:hint="eastAsia" w:ascii="宋体" w:hAnsi="宋体" w:eastAsia="宋体" w:cs="宋体"/>
                <w:color w:val="auto"/>
                <w:kern w:val="0"/>
                <w:sz w:val="21"/>
                <w:szCs w:val="21"/>
              </w:rPr>
              <w:br w:type="textWrapping"/>
            </w:r>
            <w:r>
              <w:rPr>
                <w:rFonts w:hint="eastAsia" w:ascii="宋体" w:hAnsi="宋体" w:cs="宋体"/>
                <w:color w:val="auto"/>
                <w:kern w:val="0"/>
                <w:sz w:val="21"/>
                <w:szCs w:val="21"/>
                <w:lang w:val="en-US" w:eastAsia="zh-CN"/>
              </w:rPr>
              <w:t>1</w:t>
            </w:r>
            <w:r>
              <w:rPr>
                <w:rFonts w:hint="eastAsia" w:ascii="宋体" w:hAnsi="宋体" w:eastAsia="宋体" w:cs="宋体"/>
                <w:color w:val="auto"/>
                <w:kern w:val="0"/>
                <w:sz w:val="21"/>
                <w:szCs w:val="21"/>
              </w:rPr>
              <w:t>.测量单位：N、Kpa</w:t>
            </w:r>
            <w:r>
              <w:rPr>
                <w:rFonts w:hint="eastAsia" w:ascii="宋体" w:hAnsi="宋体" w:eastAsia="宋体" w:cs="宋体"/>
                <w:color w:val="auto"/>
                <w:kern w:val="0"/>
                <w:sz w:val="21"/>
                <w:szCs w:val="21"/>
              </w:rPr>
              <w:br w:type="textWrapping"/>
            </w:r>
            <w:r>
              <w:rPr>
                <w:rFonts w:hint="eastAsia" w:ascii="宋体" w:hAnsi="宋体" w:cs="宋体"/>
                <w:color w:val="auto"/>
                <w:kern w:val="0"/>
                <w:sz w:val="21"/>
                <w:szCs w:val="21"/>
                <w:lang w:val="en-US" w:eastAsia="zh-CN"/>
              </w:rPr>
              <w:t>2</w:t>
            </w:r>
            <w:r>
              <w:rPr>
                <w:rFonts w:hint="eastAsia" w:ascii="宋体" w:hAnsi="宋体" w:eastAsia="宋体" w:cs="宋体"/>
                <w:color w:val="auto"/>
                <w:kern w:val="0"/>
                <w:sz w:val="21"/>
                <w:szCs w:val="21"/>
              </w:rPr>
              <w:t>.测量量程：50N</w:t>
            </w:r>
          </w:p>
          <w:p w14:paraId="44BAAAFB">
            <w:pPr>
              <w:widowControl/>
              <w:spacing w:line="440" w:lineRule="exact"/>
              <w:jc w:val="left"/>
              <w:textAlignment w:val="center"/>
              <w:rPr>
                <w:rFonts w:hint="eastAsia" w:ascii="宋体" w:hAnsi="宋体" w:eastAsia="宋体" w:cs="宋体"/>
                <w:color w:val="auto"/>
                <w:sz w:val="21"/>
                <w:szCs w:val="21"/>
              </w:rPr>
            </w:pPr>
            <w:r>
              <w:rPr>
                <w:rFonts w:hint="eastAsia" w:ascii="宋体" w:hAnsi="宋体" w:cs="宋体"/>
                <w:color w:val="auto"/>
                <w:kern w:val="0"/>
                <w:sz w:val="21"/>
                <w:szCs w:val="21"/>
                <w:lang w:val="en-US" w:eastAsia="zh-CN"/>
              </w:rPr>
              <w:t>3</w:t>
            </w:r>
            <w:r>
              <w:rPr>
                <w:rFonts w:hint="eastAsia" w:ascii="宋体" w:hAnsi="宋体" w:eastAsia="宋体" w:cs="宋体"/>
                <w:color w:val="auto"/>
                <w:kern w:val="0"/>
                <w:sz w:val="21"/>
                <w:szCs w:val="21"/>
              </w:rPr>
              <w:t>.分辨率：0.001 N</w:t>
            </w:r>
            <w:r>
              <w:rPr>
                <w:rFonts w:hint="eastAsia" w:ascii="宋体" w:hAnsi="宋体" w:eastAsia="宋体" w:cs="宋体"/>
                <w:color w:val="auto"/>
                <w:kern w:val="0"/>
                <w:sz w:val="21"/>
                <w:szCs w:val="21"/>
              </w:rPr>
              <w:br w:type="textWrapping"/>
            </w:r>
            <w:r>
              <w:rPr>
                <w:rFonts w:hint="eastAsia" w:ascii="宋体" w:hAnsi="宋体" w:cs="宋体"/>
                <w:color w:val="auto"/>
                <w:kern w:val="0"/>
                <w:sz w:val="21"/>
                <w:szCs w:val="21"/>
                <w:lang w:val="en-US" w:eastAsia="zh-CN"/>
              </w:rPr>
              <w:t>4</w:t>
            </w:r>
            <w:r>
              <w:rPr>
                <w:rFonts w:hint="eastAsia" w:ascii="宋体" w:hAnsi="宋体" w:eastAsia="宋体" w:cs="宋体"/>
                <w:color w:val="auto"/>
                <w:kern w:val="0"/>
                <w:sz w:val="21"/>
                <w:szCs w:val="21"/>
              </w:rPr>
              <w:t>.测量精度：0.1%FS</w:t>
            </w:r>
            <w:r>
              <w:rPr>
                <w:rFonts w:hint="eastAsia" w:ascii="宋体" w:hAnsi="宋体" w:eastAsia="宋体" w:cs="宋体"/>
                <w:color w:val="auto"/>
                <w:kern w:val="0"/>
                <w:sz w:val="21"/>
                <w:szCs w:val="21"/>
              </w:rPr>
              <w:br w:type="textWrapping"/>
            </w:r>
            <w:r>
              <w:rPr>
                <w:rFonts w:hint="eastAsia" w:ascii="宋体" w:hAnsi="宋体" w:cs="宋体"/>
                <w:color w:val="auto"/>
                <w:kern w:val="0"/>
                <w:sz w:val="21"/>
                <w:szCs w:val="21"/>
                <w:lang w:val="en-US" w:eastAsia="zh-CN"/>
              </w:rPr>
              <w:t>5</w:t>
            </w:r>
            <w:r>
              <w:rPr>
                <w:rFonts w:hint="eastAsia" w:ascii="宋体" w:hAnsi="宋体" w:eastAsia="宋体" w:cs="宋体"/>
                <w:color w:val="auto"/>
                <w:kern w:val="0"/>
                <w:sz w:val="21"/>
                <w:szCs w:val="21"/>
              </w:rPr>
              <w:t>.测量茎粗：0～40 mm</w:t>
            </w:r>
            <w:r>
              <w:rPr>
                <w:rFonts w:hint="eastAsia" w:ascii="宋体" w:hAnsi="宋体" w:eastAsia="宋体" w:cs="宋体"/>
                <w:color w:val="auto"/>
                <w:kern w:val="0"/>
                <w:sz w:val="21"/>
                <w:szCs w:val="21"/>
              </w:rPr>
              <w:br w:type="textWrapping"/>
            </w:r>
            <w:r>
              <w:rPr>
                <w:rFonts w:hint="eastAsia" w:ascii="宋体" w:hAnsi="宋体" w:cs="宋体"/>
                <w:color w:val="auto"/>
                <w:kern w:val="0"/>
                <w:sz w:val="21"/>
                <w:szCs w:val="21"/>
                <w:lang w:val="en-US" w:eastAsia="zh-CN"/>
              </w:rPr>
              <w:t>6</w:t>
            </w:r>
            <w:r>
              <w:rPr>
                <w:rFonts w:hint="eastAsia" w:ascii="宋体" w:hAnsi="宋体" w:eastAsia="宋体" w:cs="宋体"/>
                <w:color w:val="auto"/>
                <w:kern w:val="0"/>
                <w:sz w:val="21"/>
                <w:szCs w:val="21"/>
              </w:rPr>
              <w:t>.角度测量范围：0～±90°</w:t>
            </w:r>
            <w:r>
              <w:rPr>
                <w:rFonts w:hint="eastAsia" w:ascii="宋体" w:hAnsi="宋体" w:eastAsia="宋体" w:cs="宋体"/>
                <w:color w:val="auto"/>
                <w:kern w:val="0"/>
                <w:sz w:val="21"/>
                <w:szCs w:val="21"/>
              </w:rPr>
              <w:br w:type="textWrapping"/>
            </w:r>
            <w:r>
              <w:rPr>
                <w:rFonts w:hint="eastAsia" w:ascii="宋体" w:hAnsi="宋体" w:cs="宋体"/>
                <w:color w:val="auto"/>
                <w:kern w:val="0"/>
                <w:sz w:val="21"/>
                <w:szCs w:val="21"/>
                <w:lang w:val="en-US" w:eastAsia="zh-CN"/>
              </w:rPr>
              <w:t>7</w:t>
            </w:r>
            <w:r>
              <w:rPr>
                <w:rFonts w:hint="eastAsia" w:ascii="宋体" w:hAnsi="宋体" w:eastAsia="宋体" w:cs="宋体"/>
                <w:color w:val="auto"/>
                <w:kern w:val="0"/>
                <w:sz w:val="21"/>
                <w:szCs w:val="21"/>
              </w:rPr>
              <w:t>.角度分辨率：0.1°</w:t>
            </w:r>
            <w:r>
              <w:rPr>
                <w:rFonts w:hint="eastAsia" w:ascii="宋体" w:hAnsi="宋体" w:eastAsia="宋体" w:cs="宋体"/>
                <w:color w:val="auto"/>
                <w:kern w:val="0"/>
                <w:sz w:val="21"/>
                <w:szCs w:val="21"/>
              </w:rPr>
              <w:br w:type="textWrapping"/>
            </w:r>
            <w:r>
              <w:rPr>
                <w:rFonts w:hint="eastAsia" w:ascii="宋体" w:hAnsi="宋体" w:cs="宋体"/>
                <w:color w:val="auto"/>
                <w:kern w:val="0"/>
                <w:sz w:val="21"/>
                <w:szCs w:val="21"/>
                <w:lang w:val="en-US" w:eastAsia="zh-CN"/>
              </w:rPr>
              <w:t>8</w:t>
            </w:r>
            <w:r>
              <w:rPr>
                <w:rFonts w:hint="eastAsia" w:ascii="宋体" w:hAnsi="宋体" w:eastAsia="宋体" w:cs="宋体"/>
                <w:color w:val="auto"/>
                <w:kern w:val="0"/>
                <w:sz w:val="21"/>
                <w:szCs w:val="21"/>
              </w:rPr>
              <w:t>.角度精度：0.1 °</w:t>
            </w:r>
          </w:p>
        </w:tc>
      </w:tr>
      <w:tr w14:paraId="0287F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154C964C">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362E8E91">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植物水势测定仪</w:t>
            </w:r>
          </w:p>
        </w:tc>
        <w:tc>
          <w:tcPr>
            <w:tcW w:w="496" w:type="dxa"/>
            <w:vAlign w:val="center"/>
          </w:tcPr>
          <w:p w14:paraId="332029EB">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459" w:type="dxa"/>
            <w:vAlign w:val="center"/>
          </w:tcPr>
          <w:p w14:paraId="73F4DCA8">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c>
          <w:tcPr>
            <w:tcW w:w="6848" w:type="dxa"/>
            <w:vAlign w:val="center"/>
          </w:tcPr>
          <w:p w14:paraId="13C21364">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1.植物水势测定仪采用大屏幕液晶显示，全中文菜单操作。</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2.测量方式：自动测量、手动测量一键式切换。</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3.MPa与Bar两种测量单位可供选择。</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4.液晶屏显示的压力值就是当前植物的水势值。</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5.可存储不少于4000条记录。</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6.一键式删除所有测量数据。</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7.可以通过USB线上传电脑，上位机软件自动分析测量数据。</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8.测量数据可以报表的形式查看，并可以选择时段查询查看。</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9.可将存储记录的数据以EXCEL格式备份保存，方便以后调用。</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10.技术参数</w:t>
            </w:r>
          </w:p>
          <w:p w14:paraId="176EAEA2">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10.1检测范围：0-3.5Mpa</w:t>
            </w:r>
          </w:p>
          <w:p w14:paraId="0C2E4563">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10.2显示方式：液晶屏显示</w:t>
            </w:r>
          </w:p>
          <w:p w14:paraId="662893D8">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10.3读取精度：0.01Mpa</w:t>
            </w:r>
          </w:p>
          <w:p w14:paraId="0CD5D639">
            <w:pPr>
              <w:widowControl/>
              <w:spacing w:line="440" w:lineRule="exact"/>
              <w:ind w:firstLine="420" w:firstLineChars="200"/>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10.4电源：12v/2.5Ah锂电池，具有时钟功能</w:t>
            </w:r>
          </w:p>
        </w:tc>
      </w:tr>
      <w:tr w14:paraId="2DB14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34F3D37B">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0904EBDB">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保水种子水分测试粉碎磨</w:t>
            </w:r>
          </w:p>
        </w:tc>
        <w:tc>
          <w:tcPr>
            <w:tcW w:w="496" w:type="dxa"/>
            <w:vAlign w:val="center"/>
          </w:tcPr>
          <w:p w14:paraId="1CD8F6B2">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459" w:type="dxa"/>
            <w:vAlign w:val="center"/>
          </w:tcPr>
          <w:p w14:paraId="4A7CBEBD">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c>
          <w:tcPr>
            <w:tcW w:w="6848" w:type="dxa"/>
            <w:vAlign w:val="center"/>
          </w:tcPr>
          <w:p w14:paraId="2EAE3BB7">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1.粉碎过程设备没有明显发热，不会造成样品水分丢失。</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2.粉碎系统全密封，清理方便，不会造成样品存留。</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3.技术参数</w:t>
            </w:r>
          </w:p>
          <w:p w14:paraId="6D35BA43">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3.1磨盘直径：Φ80㎜；</w:t>
            </w:r>
          </w:p>
          <w:p w14:paraId="413793ED">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3.2粮食水分测试粉碎磨研磨能力：300g/min；</w:t>
            </w:r>
          </w:p>
          <w:p w14:paraId="0C32C10B">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3.3工作噪音：≤68dB；</w:t>
            </w:r>
          </w:p>
          <w:p w14:paraId="12248396">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3.4调节档位：≥20档；</w:t>
            </w:r>
          </w:p>
          <w:p w14:paraId="1DD8DB00">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3.5磨碎样品水分范围：≤17%；</w:t>
            </w:r>
          </w:p>
          <w:p w14:paraId="235649BF">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3.6收集容器的容积：≥200g；</w:t>
            </w:r>
          </w:p>
          <w:p w14:paraId="4057E773">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3.7电源：220V 50HZ；</w:t>
            </w:r>
          </w:p>
          <w:p w14:paraId="0756F010">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3.8进料斗直径：≥128mm；</w:t>
            </w:r>
          </w:p>
          <w:p w14:paraId="2D443BA7">
            <w:pPr>
              <w:widowControl/>
              <w:spacing w:line="440" w:lineRule="exact"/>
              <w:ind w:firstLine="420" w:firstLineChars="200"/>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3.9研磨细度：粉碎样品≥98％通过ф1.0mm筛； 粉碎样品≥90％通过ф0.5mm筛； 粉碎样品≥80％通过40目筛。</w:t>
            </w:r>
          </w:p>
        </w:tc>
      </w:tr>
      <w:tr w14:paraId="5EA8E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04B471E1">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19817525">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人工气候箱</w:t>
            </w:r>
          </w:p>
        </w:tc>
        <w:tc>
          <w:tcPr>
            <w:tcW w:w="496" w:type="dxa"/>
            <w:vAlign w:val="center"/>
          </w:tcPr>
          <w:p w14:paraId="1677CCF5">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4</w:t>
            </w:r>
          </w:p>
        </w:tc>
        <w:tc>
          <w:tcPr>
            <w:tcW w:w="459" w:type="dxa"/>
            <w:vAlign w:val="center"/>
          </w:tcPr>
          <w:p w14:paraId="0CFE958B">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个</w:t>
            </w:r>
          </w:p>
        </w:tc>
        <w:tc>
          <w:tcPr>
            <w:tcW w:w="6848" w:type="dxa"/>
            <w:vAlign w:val="center"/>
          </w:tcPr>
          <w:p w14:paraId="1DBBB45D">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1.智能人工气候箱采用大屏幕液晶屏显示，中文指导操作流程，操作简单，控制精度高，蓝色背光，便于夜间查看。</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2.采用镜面不锈钢内胆，无需工具可拆卸箱体内隔板，便于工作室消毒与清洗。</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3.程序可设时间、温度、照度等梯度控制。时段控制</w:t>
            </w:r>
            <w:r>
              <w:rPr>
                <w:rFonts w:hint="eastAsia" w:ascii="宋体" w:hAnsi="宋体" w:eastAsia="宋体" w:cs="宋体"/>
                <w:color w:val="auto"/>
                <w:sz w:val="21"/>
                <w:szCs w:val="21"/>
              </w:rPr>
              <w:t>≥</w:t>
            </w:r>
            <w:r>
              <w:rPr>
                <w:rFonts w:hint="eastAsia" w:ascii="宋体" w:hAnsi="宋体" w:eastAsia="宋体" w:cs="宋体"/>
                <w:color w:val="auto"/>
                <w:kern w:val="0"/>
                <w:sz w:val="21"/>
                <w:szCs w:val="21"/>
              </w:rPr>
              <w:t>99段编程，每个时段1-99小时，可设置不同的分段参数，以满足植物生长的不同参数。</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4.具有超温和传感器异常保护功能，保证仪器和样品安全，配置LED生长灯，照度更均匀，照度更高，有利于植物的生长，提高抗病性。</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5.直观显示北京时间，时段剩余时间，光照等级，箱内温度及环境温度。内胆设有温度保护装置，高于内胆保护温度软硬件自动切断电源，保护测试样品。</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6.具有杀菌功能，设定杀菌时间，杀菌时间结束自动关闭杀菌功能。</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7.具有掉电记忆、掉电时间自动补偿功能，停电后再次开机都可以延续原来的工作状态。</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8.智能人工气候培养箱光源采用适合植物生长的LED光源，能耗低，热量低等优势，光照度</w:t>
            </w:r>
            <w:r>
              <w:rPr>
                <w:rFonts w:hint="eastAsia" w:ascii="宋体" w:hAnsi="宋体" w:cs="宋体"/>
                <w:color w:val="auto"/>
                <w:kern w:val="0"/>
                <w:sz w:val="21"/>
                <w:szCs w:val="21"/>
                <w:lang w:val="en-US" w:eastAsia="zh-CN"/>
              </w:rPr>
              <w:t>应不少于</w:t>
            </w:r>
            <w:r>
              <w:rPr>
                <w:rFonts w:hint="eastAsia" w:ascii="宋体" w:hAnsi="宋体" w:eastAsia="宋体" w:cs="宋体"/>
                <w:color w:val="auto"/>
                <w:kern w:val="0"/>
                <w:sz w:val="21"/>
                <w:szCs w:val="21"/>
              </w:rPr>
              <w:t>10级可调。</w:t>
            </w:r>
          </w:p>
          <w:p w14:paraId="45031679">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9.技术参数：</w:t>
            </w:r>
          </w:p>
          <w:p w14:paraId="2281ECC3">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9.1容积：≥500L</w:t>
            </w:r>
          </w:p>
          <w:p w14:paraId="6D64AF48">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9.2控温范围：0～50℃</w:t>
            </w:r>
          </w:p>
          <w:p w14:paraId="4AA55112">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9.3湿度范围：50～95%RH(10℃以下不控湿)</w:t>
            </w:r>
          </w:p>
          <w:p w14:paraId="4323F961">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9.4温度波动度：±0.5℃</w:t>
            </w:r>
          </w:p>
          <w:p w14:paraId="5622CFE9">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9.5温度均匀度：±1℃</w:t>
            </w:r>
          </w:p>
          <w:p w14:paraId="108EF70A">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9.6湿度均匀度：±7%RH</w:t>
            </w:r>
          </w:p>
          <w:p w14:paraId="57A7E27E">
            <w:pPr>
              <w:widowControl/>
              <w:spacing w:line="440" w:lineRule="exact"/>
              <w:ind w:firstLine="420" w:firstLineChars="200"/>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9.7光照度：0~8000lux（常规）</w:t>
            </w:r>
          </w:p>
        </w:tc>
      </w:tr>
      <w:tr w14:paraId="66B00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11BB0FCF">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505A32B8">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低温低湿储藏箱</w:t>
            </w:r>
          </w:p>
        </w:tc>
        <w:tc>
          <w:tcPr>
            <w:tcW w:w="496" w:type="dxa"/>
            <w:vAlign w:val="center"/>
          </w:tcPr>
          <w:p w14:paraId="2F58915D">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459" w:type="dxa"/>
            <w:vAlign w:val="center"/>
          </w:tcPr>
          <w:p w14:paraId="73CD726D">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个</w:t>
            </w:r>
          </w:p>
        </w:tc>
        <w:tc>
          <w:tcPr>
            <w:tcW w:w="6848" w:type="dxa"/>
            <w:vAlign w:val="center"/>
          </w:tcPr>
          <w:p w14:paraId="2BABB10A">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一、功能要求：</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1.显示要求：大屏幕液晶屏程序控制显示指导操作流程，带背光，直观显示北京时间，时段剩余时间，箱内温度湿度值及室外温度。</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2.材质要求：静电喷塑外壳，普通不锈钢内胆，压缩机。</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3.制冷方式要求：风冷式不结霜。</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4.主机设置要求：可设置0-99个时段随意自动转换功能。</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5.杀菌功能要求：定时杀菌功能，设定杀菌时间，自动杀菌，杀菌时间结束自动关闭杀菌功能。</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6.报警要求：超高温超低温远程预警，如发现异常情况，系统会自动发送短信通知指定使用人</w:t>
            </w:r>
          </w:p>
          <w:p w14:paraId="74B3A6C5">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7.超温保护要求：可设置内胆保护温度，高于内胆保护温度软硬件自动切断电源，保护测试样品。</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8.安全保护功能：触电、漏电、过载、过流、压缩机延长启动。</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9.故障提示要求：仪器故障自动提示，故障解决方法。</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10.接口要求：可用无线WIFE连接。</w:t>
            </w:r>
          </w:p>
          <w:p w14:paraId="2B11C11D">
            <w:pPr>
              <w:widowControl/>
              <w:spacing w:line="4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▲11.箱体内部数据可上传网络，可利用 GPRS 传输模式将数据传输至网络中；用户可远程通过电脑端和 APP 上查看下载提取数据实现远程数据分析和在线升级。（竞标时需提供通过CNAS或CMA认证的第三方检测机构出具的检测报告，报告须体现该项技术参数检测合格）</w:t>
            </w:r>
          </w:p>
          <w:p w14:paraId="632A3E97">
            <w:pPr>
              <w:widowControl/>
              <w:spacing w:line="4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二、技术参数：</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1.容积：≥1000L</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2.温度范围：0-10℃</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3.控温精度：±1℃</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4.湿度范围：30%~60%RH可自动设定</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5.控湿精度：±5%RH</w:t>
            </w:r>
          </w:p>
        </w:tc>
      </w:tr>
      <w:tr w14:paraId="6D35C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09AA17BE">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5D5D9B0E">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超低温冰箱（-80℃）</w:t>
            </w:r>
          </w:p>
        </w:tc>
        <w:tc>
          <w:tcPr>
            <w:tcW w:w="496" w:type="dxa"/>
            <w:vAlign w:val="center"/>
          </w:tcPr>
          <w:p w14:paraId="6B12496A">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459" w:type="dxa"/>
            <w:vAlign w:val="center"/>
          </w:tcPr>
          <w:p w14:paraId="379765D6">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c>
          <w:tcPr>
            <w:tcW w:w="6848" w:type="dxa"/>
            <w:vAlign w:val="center"/>
          </w:tcPr>
          <w:p w14:paraId="2837B4DE">
            <w:pPr>
              <w:keepNext w:val="0"/>
              <w:keepLines w:val="0"/>
              <w:pageBreakBefore w:val="0"/>
              <w:widowControl/>
              <w:kinsoku/>
              <w:wordWrap/>
              <w:overflowPunct/>
              <w:topLinePunct w:val="0"/>
              <w:autoSpaceDE/>
              <w:autoSpaceDN/>
              <w:bidi w:val="0"/>
              <w:adjustRightInd/>
              <w:snapToGrid/>
              <w:spacing w:line="440" w:lineRule="exact"/>
              <w:ind w:firstLine="0" w:firstLineChars="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1.样式：立式。</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2.容积：≥7</w:t>
            </w:r>
            <w:r>
              <w:rPr>
                <w:rFonts w:hint="eastAsia" w:ascii="宋体" w:hAnsi="宋体" w:cs="宋体"/>
                <w:color w:val="auto"/>
                <w:kern w:val="0"/>
                <w:sz w:val="21"/>
                <w:szCs w:val="21"/>
                <w:lang w:val="en-US" w:eastAsia="zh-CN"/>
              </w:rPr>
              <w:t>00</w:t>
            </w:r>
            <w:r>
              <w:rPr>
                <w:rFonts w:hint="eastAsia" w:ascii="宋体" w:hAnsi="宋体" w:eastAsia="宋体" w:cs="宋体"/>
                <w:color w:val="auto"/>
                <w:kern w:val="0"/>
                <w:sz w:val="21"/>
                <w:szCs w:val="21"/>
              </w:rPr>
              <w:t xml:space="preserve">L，产品外部尺寸≤1250*980*2000（mm）；容量≥50400份样本2ml冻存管。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3.制冷系统：双压缩机系统制冷，其中一台压缩机故障，另一套系统仍可维持箱内-70℃以下，翅片冷凝器，标配2个膨胀罐。</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4.温度范围：-40℃～-86℃。</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w:t>
            </w:r>
            <w:r>
              <w:rPr>
                <w:rFonts w:hint="eastAsia" w:ascii="宋体" w:hAnsi="宋体" w:cs="宋体"/>
                <w:color w:val="auto"/>
                <w:kern w:val="0"/>
                <w:sz w:val="21"/>
                <w:szCs w:val="21"/>
                <w:lang w:val="en-US" w:eastAsia="zh-CN"/>
              </w:rPr>
              <w:t>.</w:t>
            </w:r>
            <w:r>
              <w:rPr>
                <w:rFonts w:hint="eastAsia" w:ascii="宋体" w:hAnsi="宋体" w:eastAsia="宋体" w:cs="宋体"/>
                <w:color w:val="auto"/>
                <w:kern w:val="0"/>
                <w:sz w:val="21"/>
                <w:szCs w:val="21"/>
              </w:rPr>
              <w:t>降噪设计：在产生噪音的位置装有减震材料，机组周围装有防火吸音棉。</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▲6.材质：外部材料：喷涂钢板；内部材料：不锈钢板。</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▲7.保温材料：高密度聚氨酯发泡，保温材料厚度≥150mm。</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8.外门：1扇，材质为喷涂钢板；隔热层为无CFC高密度聚氨酯发泡。</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▲9.内门：≥2扇，材质为304不锈钢；隔热层为无CFC高密度聚氨酯发泡。</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▲10.搁板：不低于3层,材质为不锈钢，可调节高度。</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▲11.把手：外门1个可拆卸式门把手；内门2个压紧式门把手。</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▲12.脚轮：4个，无需额外固定脚可直接做为调平固定脚。</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13.检测孔：2个，直径≥25mm。</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14.门封条：整机共设计4道硅胶材质门封。</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15.压缩机：压缩机2台。</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16.显示面板：</w:t>
            </w:r>
          </w:p>
          <w:p w14:paraId="72FBD7E2">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（1）显示：液晶触摸屏尺寸≥7英寸。</w:t>
            </w:r>
          </w:p>
          <w:p w14:paraId="617C285A">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xml:space="preserve">（2）屏幕显示信息包括：箱内温度、环境温度、输入电压、显示消音、设备运行模式、日期时间、屏幕状态、设备运行状态； </w:t>
            </w:r>
          </w:p>
          <w:p w14:paraId="71A7101B">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▲（3）屏幕显示温度历史曲线、异常信息、开门信息可直接查询及通过标配的USB接口下载；</w:t>
            </w:r>
          </w:p>
          <w:p w14:paraId="2D9BF62A">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▲（4）用户可根据实际需求选择高性能模式或节能模式进行切换；</w:t>
            </w:r>
          </w:p>
          <w:p w14:paraId="326A151D">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▲（5）“授权模式”“普通模式”两种权限管理方式供用户选择。</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17.温度控制：采用微电脑控制系统，调节精度为0.1℃。</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18.报警系统：具备高低温报警、传感器故障报警、冷凝器脏堵报警、环温异常报警、电压异常报警、断电报警、门开报警、电池电量低报警。</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19.报警方式：具备声光报警方式；所有报警可通过标配的远程报警端口实现远程报警。</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20.电器安全：</w:t>
            </w:r>
          </w:p>
          <w:p w14:paraId="581D44E0">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（1）备用电池确保断电后报警72小时，具备电池寿命提醒功能；</w:t>
            </w:r>
          </w:p>
          <w:p w14:paraId="462AA62C">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（2）标配独立电源开关，具备键盘锁定、密码保护、断电保护、断电记忆、宽电压功能。</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21.其实功能：具备文件插槽，标配USB数据接口、RS485接口、远程报警接口。</w:t>
            </w:r>
          </w:p>
        </w:tc>
      </w:tr>
      <w:tr w14:paraId="5F0B4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424370DE">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304DCC8A">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琼脂糖凝胶成像仪</w:t>
            </w:r>
          </w:p>
        </w:tc>
        <w:tc>
          <w:tcPr>
            <w:tcW w:w="496" w:type="dxa"/>
            <w:vAlign w:val="center"/>
          </w:tcPr>
          <w:p w14:paraId="33ACA672">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459" w:type="dxa"/>
            <w:vAlign w:val="center"/>
          </w:tcPr>
          <w:p w14:paraId="017A34DE">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c>
          <w:tcPr>
            <w:tcW w:w="6848" w:type="dxa"/>
            <w:vAlign w:val="center"/>
          </w:tcPr>
          <w:p w14:paraId="484AC6C5">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1.摄像头：高分辨率低照度积分摄像头</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2.检测灵敏度：可测出低至0.01ng的核酸</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3.有效像素：≥3084×2056(631万像素)</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4.高分辨率镜头：高分辨率镜头，可手动完成对焦</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5.数据位数：16bit(0-65536 灰阶)</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6.像素点大小：4.4μm×4.4μm</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7.信 噪：≥78dB</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8.光电转换效率：High</w:t>
            </w:r>
          </w:p>
          <w:p w14:paraId="77B84E27">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9.QE:79%@600nm</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10.动态范围：&gt;4.5个数量级</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11.模式：1x1.2x2高灵敏/高分辨率设置(可依据实际需求进行调整)</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12.曝光时间：长时间曝光，可连续采集和存储全部图片，并具有图像校正功能</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13.接口：标准C接口</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14.割胶装置：配置防护板，仪器可通过判断防护板情况开启光源，有效减少光伤害</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15.滤光片位置：1位滤光片轮</w:t>
            </w:r>
          </w:p>
          <w:p w14:paraId="749B2A9F">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16.样品托盘：智能感应样品托盘， (智能白光托盘/紫外托盘)</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17.智能拍摄：通过智能样品托盘识别系统，开启对应激发光源并完成拍摄操作</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18.机箱控制：可通过机箱面板进行透射紫外灯及反射灯的全自动控制。</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19.电脑控制：高度程序化(电脑控制暗箱/电源/紫外及白光灯的开关/焦距)</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20.定时关机：定时关机功能，有效延长紫外灯管和紫外玻璃的使用寿命</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21.紫外透射载样板：透射波长：302nm 尺寸：</w:t>
            </w:r>
            <w:bookmarkStart w:id="40" w:name="OLE_LINK3"/>
            <w:r>
              <w:rPr>
                <w:rFonts w:hint="eastAsia" w:ascii="宋体" w:hAnsi="宋体" w:eastAsia="宋体" w:cs="宋体"/>
                <w:color w:val="auto"/>
                <w:kern w:val="0"/>
                <w:sz w:val="21"/>
                <w:szCs w:val="21"/>
              </w:rPr>
              <w:t>≥</w:t>
            </w:r>
            <w:bookmarkEnd w:id="40"/>
            <w:r>
              <w:rPr>
                <w:rFonts w:hint="eastAsia" w:ascii="宋体" w:hAnsi="宋体" w:eastAsia="宋体" w:cs="宋体"/>
                <w:color w:val="auto"/>
                <w:kern w:val="0"/>
                <w:sz w:val="21"/>
                <w:szCs w:val="21"/>
              </w:rPr>
              <w:t xml:space="preserve">21×26 cm </w:t>
            </w:r>
          </w:p>
          <w:p w14:paraId="7FBF0AB9">
            <w:pPr>
              <w:widowControl/>
              <w:spacing w:line="4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22.白光透射载样板：(可选蓝光) 冷光，电压 12V(亮度可调),样品托盘自动识别，尺寸：≥21cm×26cm</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白光反射：冷光，电压12v</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23.模块化设计：集成控制电路模块化，自动休眠控制</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外观尺寸：≥长41cm×宽42cm×高60cm</w:t>
            </w:r>
          </w:p>
        </w:tc>
      </w:tr>
      <w:tr w14:paraId="0B54C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4F1DFB27">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4C38ECC5">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琼脂糖水平电泳仪</w:t>
            </w:r>
          </w:p>
        </w:tc>
        <w:tc>
          <w:tcPr>
            <w:tcW w:w="496" w:type="dxa"/>
            <w:vAlign w:val="center"/>
          </w:tcPr>
          <w:p w14:paraId="3EE02718">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459" w:type="dxa"/>
            <w:vAlign w:val="center"/>
          </w:tcPr>
          <w:p w14:paraId="3848A247">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c>
          <w:tcPr>
            <w:tcW w:w="6848" w:type="dxa"/>
            <w:vAlign w:val="center"/>
          </w:tcPr>
          <w:p w14:paraId="55866079">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1.外形尺寸（L×W×H）：≥400×250×120mm</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2.凝胶板规格（L×W）：≥250×220mm、120×220mm、60×220mm</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3.试样格：26.39.48齿，1.0、2.0mm厚</w:t>
            </w:r>
          </w:p>
          <w:p w14:paraId="1F2FE444">
            <w:pPr>
              <w:widowControl/>
              <w:spacing w:line="4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4.重量：≥4kg</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5.缓冲液总容量：≥1500ml</w:t>
            </w:r>
          </w:p>
        </w:tc>
      </w:tr>
      <w:tr w14:paraId="619C7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4DF679B1">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03A74D80">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掌上离心机</w:t>
            </w:r>
          </w:p>
        </w:tc>
        <w:tc>
          <w:tcPr>
            <w:tcW w:w="496" w:type="dxa"/>
            <w:vAlign w:val="center"/>
          </w:tcPr>
          <w:p w14:paraId="4454E4F1">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12</w:t>
            </w:r>
          </w:p>
        </w:tc>
        <w:tc>
          <w:tcPr>
            <w:tcW w:w="459" w:type="dxa"/>
            <w:vAlign w:val="center"/>
          </w:tcPr>
          <w:p w14:paraId="07DFC94C">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c>
          <w:tcPr>
            <w:tcW w:w="6848" w:type="dxa"/>
            <w:vAlign w:val="center"/>
          </w:tcPr>
          <w:p w14:paraId="2F3A109F">
            <w:pPr>
              <w:widowControl/>
              <w:spacing w:line="4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1.转子容量：2.0ml*8管；</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2.外形尺寸(mm)：≥175×148×118；速度：7000rpm；</w:t>
            </w:r>
          </w:p>
        </w:tc>
      </w:tr>
      <w:tr w14:paraId="5D00E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4B858EE0">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5DC70901">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甩板机</w:t>
            </w:r>
          </w:p>
        </w:tc>
        <w:tc>
          <w:tcPr>
            <w:tcW w:w="496" w:type="dxa"/>
            <w:vAlign w:val="center"/>
          </w:tcPr>
          <w:p w14:paraId="37B15F34">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459" w:type="dxa"/>
            <w:vAlign w:val="center"/>
          </w:tcPr>
          <w:p w14:paraId="2A9E20B0">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c>
          <w:tcPr>
            <w:tcW w:w="6848" w:type="dxa"/>
            <w:vAlign w:val="center"/>
          </w:tcPr>
          <w:p w14:paraId="0F58CEC4">
            <w:pPr>
              <w:widowControl/>
              <w:numPr>
                <w:ilvl w:val="0"/>
                <w:numId w:val="6"/>
              </w:numPr>
              <w:spacing w:line="4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≥2片96孔甩板机，八排管薄壁管离心</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2.转速：≥2500 rpm</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3.外形尺寸(mm)：≥230×190×190</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4.离心力：≥500g</w:t>
            </w:r>
          </w:p>
        </w:tc>
      </w:tr>
      <w:tr w14:paraId="2FEE2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0769A732">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7B3FE6AD">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高速台式冷冻离心机</w:t>
            </w:r>
          </w:p>
        </w:tc>
        <w:tc>
          <w:tcPr>
            <w:tcW w:w="496" w:type="dxa"/>
            <w:vAlign w:val="center"/>
          </w:tcPr>
          <w:p w14:paraId="5D817FEB">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459" w:type="dxa"/>
            <w:vAlign w:val="center"/>
          </w:tcPr>
          <w:p w14:paraId="4C154AFD">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c>
          <w:tcPr>
            <w:tcW w:w="6848" w:type="dxa"/>
            <w:vAlign w:val="center"/>
          </w:tcPr>
          <w:p w14:paraId="67EAA5F9">
            <w:pPr>
              <w:widowControl/>
              <w:spacing w:line="440" w:lineRule="exact"/>
              <w:jc w:val="left"/>
              <w:textAlignment w:val="center"/>
              <w:rPr>
                <w:rFonts w:hint="eastAsia" w:ascii="宋体" w:hAnsi="宋体" w:eastAsia="宋体" w:cs="宋体"/>
                <w:color w:val="auto"/>
                <w:spacing w:val="-6"/>
                <w:sz w:val="21"/>
                <w:szCs w:val="21"/>
              </w:rPr>
            </w:pPr>
            <w:r>
              <w:rPr>
                <w:rFonts w:hint="eastAsia" w:ascii="宋体" w:hAnsi="宋体" w:eastAsia="宋体" w:cs="宋体"/>
                <w:color w:val="auto"/>
                <w:kern w:val="0"/>
                <w:sz w:val="21"/>
                <w:szCs w:val="21"/>
              </w:rPr>
              <w:t>1.最高转速≥18500r/min，</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2.转速精度≤±10r/min；</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3.最大相对离心力≥29300xg，</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4.最大容量：≥6×100ml，可选配不少于19款转子；</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5.整机噪音≤62dB(A)；</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6.定时范围：1s～99min59s、1min～99h59min；具有启动计时、到转速计时、连续计时三种计时模式；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7.温度设置范围：-20℃～+40℃，温度控制精度±1℃；</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8.加/减速曲线：11档加速曲线、12档减速曲线，10档为自定义档位，使离心效果达到最佳。</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9.具超速、超温、电机过热、门盖自锁、不锈钢内套、保护套等多重保护、确保人身机器的安全。</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10.控制系统：7寸高清触摸屏控制,操作简便,显示直观。</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11.用户可设置多组程序，并可对每组程序进行简易命名，更方便使用时调取。</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12.具有冷凝水槽及防护、避免冷凝水集聚、防止腐蚀，提高仪器使用寿命。</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13.前板、门盖需一次模具成型，符合人机工程学。</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14.压缩机组：变频压缩机组</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15.预冷：有</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16.转子识别：有</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17.点动功能：有</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18.外形尺寸(L×W×H)：不超过380*660*330mm，</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19.净重≤62kg；</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20.配置要求：48*1.5/2.0ml角转子（最高转速≥13000r/min，最大相对离心力≥18525xg）；12*10ml角转子（最高转速≥15000r/min，最大相对离心力≥23120xg）；12*5ml角转子（最高转速≥17000r/min，最大相对离心力≥20345xg）；6*50ml尖底角转子（最高转速≥12500r/min，最大相对离心力≥16593xg）；6*100ml角转子（最高转速≥10000r/min，最大相对离心力≥11960xg）；</w:t>
            </w:r>
          </w:p>
        </w:tc>
      </w:tr>
      <w:tr w14:paraId="4A850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5E82AE4B">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566568F5">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移液枪</w:t>
            </w:r>
          </w:p>
        </w:tc>
        <w:tc>
          <w:tcPr>
            <w:tcW w:w="496" w:type="dxa"/>
            <w:vAlign w:val="center"/>
          </w:tcPr>
          <w:p w14:paraId="0B78668F">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10</w:t>
            </w:r>
          </w:p>
        </w:tc>
        <w:tc>
          <w:tcPr>
            <w:tcW w:w="459" w:type="dxa"/>
            <w:vAlign w:val="center"/>
          </w:tcPr>
          <w:p w14:paraId="2503307A">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套</w:t>
            </w:r>
          </w:p>
        </w:tc>
        <w:tc>
          <w:tcPr>
            <w:tcW w:w="6848" w:type="dxa"/>
            <w:vAlign w:val="center"/>
          </w:tcPr>
          <w:p w14:paraId="06677876">
            <w:pPr>
              <w:widowControl/>
              <w:spacing w:line="440" w:lineRule="exact"/>
              <w:jc w:val="left"/>
              <w:textAlignment w:val="center"/>
              <w:rPr>
                <w:rFonts w:hint="eastAsia" w:ascii="宋体" w:hAnsi="宋体" w:eastAsia="宋体" w:cs="宋体"/>
                <w:color w:val="auto"/>
                <w:spacing w:val="-6"/>
                <w:sz w:val="21"/>
                <w:szCs w:val="21"/>
              </w:rPr>
            </w:pPr>
            <w:r>
              <w:rPr>
                <w:rFonts w:hint="eastAsia" w:ascii="宋体" w:hAnsi="宋体" w:eastAsia="宋体" w:cs="宋体"/>
                <w:color w:val="auto"/>
                <w:kern w:val="0"/>
                <w:sz w:val="21"/>
                <w:szCs w:val="21"/>
              </w:rPr>
              <w:t>1.量程1000µl，200µl，100µl，20µl，10µl，0.1-2.5µl。</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2.计数器内部有顶珠设计自锁功能，可锁定计数器，防止非旋动碰触情况下计数器滑动，从而锁定量程；</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3.轻便且设计符合人机功效学，数字视窗，所设量程一目了然；</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4.使用附件工具，能方便快捷的进行校准和维修；</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5.精确分液，移液器符合我国国标或行业标准；</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6.下半只可高温高压消毒，可拆卸式组件便于维护；</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7.管嘴连件具有高化学稳定性；</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8.方便在实验室校准，提供网上在线校准软件；</w:t>
            </w:r>
          </w:p>
        </w:tc>
      </w:tr>
      <w:tr w14:paraId="6D557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6D4DB391">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58EEA8DA">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摇床（中型）</w:t>
            </w:r>
          </w:p>
        </w:tc>
        <w:tc>
          <w:tcPr>
            <w:tcW w:w="496" w:type="dxa"/>
            <w:vAlign w:val="center"/>
          </w:tcPr>
          <w:p w14:paraId="56D091AE">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459" w:type="dxa"/>
            <w:vAlign w:val="center"/>
          </w:tcPr>
          <w:p w14:paraId="1A719BED">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c>
          <w:tcPr>
            <w:tcW w:w="6848" w:type="dxa"/>
            <w:vAlign w:val="center"/>
          </w:tcPr>
          <w:p w14:paraId="1377932A">
            <w:pPr>
              <w:widowControl/>
              <w:spacing w:line="440" w:lineRule="exact"/>
              <w:jc w:val="left"/>
              <w:textAlignment w:val="center"/>
              <w:rPr>
                <w:rFonts w:hint="eastAsia" w:ascii="宋体" w:hAnsi="宋体" w:eastAsia="宋体" w:cs="宋体"/>
                <w:color w:val="auto"/>
                <w:sz w:val="21"/>
                <w:szCs w:val="21"/>
              </w:rPr>
            </w:pPr>
            <w:r>
              <w:rPr>
                <w:rFonts w:hint="eastAsia" w:ascii="宋体" w:hAnsi="宋体" w:cs="宋体"/>
                <w:color w:val="auto"/>
                <w:kern w:val="0"/>
                <w:sz w:val="21"/>
                <w:szCs w:val="21"/>
                <w:lang w:val="en-US" w:eastAsia="zh-CN"/>
              </w:rPr>
              <w:t>1.</w:t>
            </w:r>
            <w:r>
              <w:rPr>
                <w:rFonts w:hint="eastAsia" w:ascii="宋体" w:hAnsi="宋体" w:eastAsia="宋体" w:cs="宋体"/>
                <w:color w:val="auto"/>
                <w:kern w:val="0"/>
                <w:sz w:val="21"/>
                <w:szCs w:val="21"/>
              </w:rPr>
              <w:t>振荡频率：40~500rpm；</w:t>
            </w:r>
            <w:r>
              <w:rPr>
                <w:rFonts w:hint="eastAsia" w:ascii="宋体" w:hAnsi="宋体" w:eastAsia="宋体" w:cs="宋体"/>
                <w:color w:val="auto"/>
                <w:kern w:val="0"/>
                <w:sz w:val="21"/>
                <w:szCs w:val="21"/>
              </w:rPr>
              <w:br w:type="textWrapping"/>
            </w:r>
            <w:r>
              <w:rPr>
                <w:rFonts w:hint="eastAsia" w:ascii="宋体" w:hAnsi="宋体" w:cs="宋体"/>
                <w:color w:val="auto"/>
                <w:kern w:val="0"/>
                <w:sz w:val="21"/>
                <w:szCs w:val="21"/>
                <w:lang w:val="en-US" w:eastAsia="zh-CN"/>
              </w:rPr>
              <w:t>2.</w:t>
            </w:r>
            <w:r>
              <w:rPr>
                <w:rFonts w:hint="eastAsia" w:ascii="宋体" w:hAnsi="宋体" w:eastAsia="宋体" w:cs="宋体"/>
                <w:color w:val="auto"/>
                <w:kern w:val="0"/>
                <w:sz w:val="21"/>
                <w:szCs w:val="21"/>
              </w:rPr>
              <w:t>控温范围：RT+5~65℃；</w:t>
            </w:r>
            <w:r>
              <w:rPr>
                <w:rFonts w:hint="eastAsia" w:ascii="宋体" w:hAnsi="宋体" w:eastAsia="宋体" w:cs="宋体"/>
                <w:color w:val="auto"/>
                <w:kern w:val="0"/>
                <w:sz w:val="21"/>
                <w:szCs w:val="21"/>
              </w:rPr>
              <w:br w:type="textWrapping"/>
            </w:r>
            <w:r>
              <w:rPr>
                <w:rFonts w:hint="eastAsia" w:ascii="宋体" w:hAnsi="宋体" w:cs="宋体"/>
                <w:color w:val="auto"/>
                <w:kern w:val="0"/>
                <w:sz w:val="21"/>
                <w:szCs w:val="21"/>
                <w:lang w:val="en-US" w:eastAsia="zh-CN"/>
              </w:rPr>
              <w:t>3.</w:t>
            </w:r>
            <w:r>
              <w:rPr>
                <w:rFonts w:hint="eastAsia" w:ascii="宋体" w:hAnsi="宋体" w:eastAsia="宋体" w:cs="宋体"/>
                <w:color w:val="auto"/>
                <w:kern w:val="0"/>
                <w:sz w:val="21"/>
                <w:szCs w:val="21"/>
              </w:rPr>
              <w:t>内部高度(mm)：265；</w:t>
            </w:r>
            <w:r>
              <w:rPr>
                <w:rFonts w:hint="eastAsia" w:ascii="宋体" w:hAnsi="宋体" w:eastAsia="宋体" w:cs="宋体"/>
                <w:color w:val="auto"/>
                <w:kern w:val="0"/>
                <w:sz w:val="21"/>
                <w:szCs w:val="21"/>
              </w:rPr>
              <w:br w:type="textWrapping"/>
            </w:r>
            <w:r>
              <w:rPr>
                <w:rFonts w:hint="eastAsia" w:ascii="宋体" w:hAnsi="宋体" w:cs="宋体"/>
                <w:color w:val="auto"/>
                <w:kern w:val="0"/>
                <w:sz w:val="21"/>
                <w:szCs w:val="21"/>
                <w:lang w:val="en-US" w:eastAsia="zh-CN"/>
              </w:rPr>
              <w:t>4.</w:t>
            </w:r>
            <w:r>
              <w:rPr>
                <w:rFonts w:hint="eastAsia" w:ascii="宋体" w:hAnsi="宋体" w:eastAsia="宋体" w:cs="宋体"/>
                <w:color w:val="auto"/>
                <w:kern w:val="0"/>
                <w:sz w:val="21"/>
                <w:szCs w:val="21"/>
              </w:rPr>
              <w:t>托盘尺寸(mm)：</w:t>
            </w:r>
            <w:r>
              <w:rPr>
                <w:rFonts w:hint="eastAsia" w:ascii="宋体" w:hAnsi="宋体" w:eastAsia="宋体" w:cs="宋体"/>
                <w:color w:val="auto"/>
                <w:sz w:val="21"/>
                <w:szCs w:val="21"/>
              </w:rPr>
              <w:t>≥</w:t>
            </w:r>
            <w:r>
              <w:rPr>
                <w:rFonts w:hint="eastAsia" w:ascii="宋体" w:hAnsi="宋体" w:eastAsia="宋体" w:cs="宋体"/>
                <w:color w:val="auto"/>
                <w:kern w:val="0"/>
                <w:sz w:val="21"/>
                <w:szCs w:val="21"/>
              </w:rPr>
              <w:t>350×350；</w:t>
            </w:r>
            <w:r>
              <w:rPr>
                <w:rFonts w:hint="eastAsia" w:ascii="宋体" w:hAnsi="宋体" w:eastAsia="宋体" w:cs="宋体"/>
                <w:color w:val="auto"/>
                <w:kern w:val="0"/>
                <w:sz w:val="21"/>
                <w:szCs w:val="21"/>
              </w:rPr>
              <w:br w:type="textWrapping"/>
            </w:r>
            <w:r>
              <w:rPr>
                <w:rFonts w:hint="eastAsia" w:ascii="宋体" w:hAnsi="宋体" w:cs="宋体"/>
                <w:color w:val="auto"/>
                <w:kern w:val="0"/>
                <w:sz w:val="21"/>
                <w:szCs w:val="21"/>
                <w:lang w:val="en-US" w:eastAsia="zh-CN"/>
              </w:rPr>
              <w:t>5.</w:t>
            </w:r>
            <w:r>
              <w:rPr>
                <w:rFonts w:hint="eastAsia" w:ascii="宋体" w:hAnsi="宋体" w:eastAsia="宋体" w:cs="宋体"/>
                <w:color w:val="auto"/>
                <w:kern w:val="0"/>
                <w:sz w:val="21"/>
                <w:szCs w:val="21"/>
              </w:rPr>
              <w:t>输入功率：650W；</w:t>
            </w:r>
            <w:r>
              <w:rPr>
                <w:rFonts w:hint="eastAsia" w:ascii="宋体" w:hAnsi="宋体" w:eastAsia="宋体" w:cs="宋体"/>
                <w:color w:val="auto"/>
                <w:kern w:val="0"/>
                <w:sz w:val="21"/>
                <w:szCs w:val="21"/>
              </w:rPr>
              <w:br w:type="textWrapping"/>
            </w:r>
            <w:r>
              <w:rPr>
                <w:rFonts w:hint="eastAsia" w:ascii="宋体" w:hAnsi="宋体" w:cs="宋体"/>
                <w:color w:val="auto"/>
                <w:kern w:val="0"/>
                <w:sz w:val="21"/>
                <w:szCs w:val="21"/>
                <w:lang w:val="en-US" w:eastAsia="zh-CN"/>
              </w:rPr>
              <w:t>6.</w:t>
            </w:r>
            <w:r>
              <w:rPr>
                <w:rFonts w:hint="eastAsia" w:ascii="宋体" w:hAnsi="宋体" w:eastAsia="宋体" w:cs="宋体"/>
                <w:color w:val="auto"/>
                <w:kern w:val="0"/>
                <w:sz w:val="21"/>
                <w:szCs w:val="21"/>
              </w:rPr>
              <w:t>烧瓶固定夹数量：</w:t>
            </w:r>
            <w:r>
              <w:rPr>
                <w:rFonts w:hint="eastAsia" w:ascii="宋体" w:hAnsi="宋体" w:eastAsia="宋体" w:cs="宋体"/>
                <w:color w:val="auto"/>
                <w:sz w:val="21"/>
                <w:szCs w:val="21"/>
              </w:rPr>
              <w:t>≥</w:t>
            </w:r>
            <w:r>
              <w:rPr>
                <w:rFonts w:hint="eastAsia" w:ascii="宋体" w:hAnsi="宋体" w:eastAsia="宋体" w:cs="宋体"/>
                <w:color w:val="auto"/>
                <w:kern w:val="0"/>
                <w:sz w:val="21"/>
                <w:szCs w:val="21"/>
              </w:rPr>
              <w:t>250mL×13；</w:t>
            </w:r>
            <w:r>
              <w:rPr>
                <w:rFonts w:hint="eastAsia" w:ascii="宋体" w:hAnsi="宋体" w:eastAsia="宋体" w:cs="宋体"/>
                <w:color w:val="auto"/>
                <w:kern w:val="0"/>
                <w:sz w:val="21"/>
                <w:szCs w:val="21"/>
              </w:rPr>
              <w:br w:type="textWrapping"/>
            </w:r>
            <w:r>
              <w:rPr>
                <w:rFonts w:hint="eastAsia" w:ascii="宋体" w:hAnsi="宋体" w:cs="宋体"/>
                <w:color w:val="auto"/>
                <w:kern w:val="0"/>
                <w:sz w:val="21"/>
                <w:szCs w:val="21"/>
                <w:lang w:val="en-US" w:eastAsia="zh-CN"/>
              </w:rPr>
              <w:t>7.</w:t>
            </w:r>
            <w:r>
              <w:rPr>
                <w:rFonts w:hint="eastAsia" w:ascii="宋体" w:hAnsi="宋体" w:eastAsia="宋体" w:cs="宋体"/>
                <w:color w:val="auto"/>
                <w:kern w:val="0"/>
                <w:sz w:val="21"/>
                <w:szCs w:val="21"/>
              </w:rPr>
              <w:t>控制器：液晶控制器</w:t>
            </w:r>
          </w:p>
        </w:tc>
      </w:tr>
      <w:tr w14:paraId="3120E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01EA3AED">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11E3569D">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太阳能辐射测量仪</w:t>
            </w:r>
          </w:p>
        </w:tc>
        <w:tc>
          <w:tcPr>
            <w:tcW w:w="496" w:type="dxa"/>
            <w:vAlign w:val="center"/>
          </w:tcPr>
          <w:p w14:paraId="597E8793">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459" w:type="dxa"/>
            <w:vAlign w:val="center"/>
          </w:tcPr>
          <w:p w14:paraId="6623E845">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c>
          <w:tcPr>
            <w:tcW w:w="6848" w:type="dxa"/>
            <w:vAlign w:val="center"/>
          </w:tcPr>
          <w:p w14:paraId="0A927F0E">
            <w:pPr>
              <w:widowControl/>
              <w:spacing w:line="440" w:lineRule="exac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1.通道数：标配1～12通道；</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2.存储容量：4Mbit字节，可连续存储数据</w:t>
            </w:r>
            <w:r>
              <w:rPr>
                <w:rFonts w:hint="eastAsia" w:ascii="宋体" w:hAnsi="宋体" w:eastAsia="宋体" w:cs="宋体"/>
                <w:color w:val="auto"/>
                <w:sz w:val="21"/>
                <w:szCs w:val="21"/>
              </w:rPr>
              <w:t>≥</w:t>
            </w:r>
            <w:r>
              <w:rPr>
                <w:rFonts w:hint="eastAsia" w:ascii="宋体" w:hAnsi="宋体" w:eastAsia="宋体" w:cs="宋体"/>
                <w:color w:val="auto"/>
                <w:kern w:val="0"/>
                <w:sz w:val="21"/>
                <w:szCs w:val="21"/>
              </w:rPr>
              <w:t>20000条；</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3.显示方式：大屏幕液晶显示（115*45(mm)），配有轻触薄膜按键，可随时查阅实时数据和设置参数；</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4.工作环境：-40℃～+80℃，相对湿度≤90%；</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5.输入范围：0～±2.5v，4～20mA，0～150Ω，脉冲信号，RS-485数字信号；</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6.准确度：0.5％；</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7.内分辨率：±1μV；</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8.显示周期：3秒；</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9.结构材质：通体铝合金材质铸造，便携式铝制提手，表面喷塑工艺处理；咬合式密封机箱，内置密封防雨硅胶圈，下端预留有出线口；</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10.仪器尺寸：铝合金外壳</w:t>
            </w:r>
            <w:r>
              <w:rPr>
                <w:rFonts w:hint="eastAsia" w:ascii="宋体" w:hAnsi="宋体" w:eastAsia="宋体" w:cs="宋体"/>
                <w:color w:val="auto"/>
                <w:sz w:val="21"/>
                <w:szCs w:val="21"/>
              </w:rPr>
              <w:t>≥</w:t>
            </w:r>
            <w:r>
              <w:rPr>
                <w:rFonts w:hint="eastAsia" w:ascii="宋体" w:hAnsi="宋体" w:eastAsia="宋体" w:cs="宋体"/>
                <w:color w:val="auto"/>
                <w:kern w:val="0"/>
                <w:sz w:val="21"/>
                <w:szCs w:val="21"/>
              </w:rPr>
              <w:t>300*220*100（mm）</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11.存储显示内容：日期，时间，辐射瞬时值，小时累计值，日累计值测量数据；</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12.通讯接口：标准USB、RS232.RS485.GPRS等多种通讯接口；</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13.供电电源：采集仪具体交直流两用电源接口，集成有电源开关，便于控制采集仪工作状态，适用于野外便携监测使用。交流电AC：220V±10％?50Hz；直流电DC：12V～24V，可外接太阳能电池板+蓄电池+电池防护箱，电量充满后可实现全天候野外无人值守，自动连续观测。</w:t>
            </w:r>
          </w:p>
        </w:tc>
      </w:tr>
      <w:tr w14:paraId="12491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55BEAE10">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0F2888C3">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游标卡尺</w:t>
            </w:r>
          </w:p>
        </w:tc>
        <w:tc>
          <w:tcPr>
            <w:tcW w:w="496" w:type="dxa"/>
            <w:vAlign w:val="center"/>
          </w:tcPr>
          <w:p w14:paraId="2113585D">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30</w:t>
            </w:r>
          </w:p>
        </w:tc>
        <w:tc>
          <w:tcPr>
            <w:tcW w:w="459" w:type="dxa"/>
            <w:vAlign w:val="center"/>
          </w:tcPr>
          <w:p w14:paraId="7E31B21C">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把</w:t>
            </w:r>
          </w:p>
        </w:tc>
        <w:tc>
          <w:tcPr>
            <w:tcW w:w="6848" w:type="dxa"/>
            <w:vAlign w:val="center"/>
          </w:tcPr>
          <w:p w14:paraId="538AE391">
            <w:pPr>
              <w:widowControl/>
              <w:spacing w:line="440" w:lineRule="exact"/>
              <w:textAlignment w:val="center"/>
              <w:rPr>
                <w:rFonts w:hint="eastAsia" w:ascii="宋体" w:hAnsi="宋体" w:eastAsia="宋体" w:cs="宋体"/>
                <w:color w:val="auto"/>
                <w:sz w:val="21"/>
                <w:szCs w:val="21"/>
              </w:rPr>
            </w:pPr>
            <w:r>
              <w:rPr>
                <w:rStyle w:val="84"/>
                <w:rFonts w:hint="eastAsia" w:ascii="宋体" w:hAnsi="宋体" w:eastAsia="宋体" w:cs="宋体"/>
                <w:color w:val="auto"/>
                <w:sz w:val="21"/>
                <w:szCs w:val="21"/>
              </w:rPr>
              <w:t>1.规格：</w:t>
            </w:r>
            <w:r>
              <w:rPr>
                <w:rStyle w:val="85"/>
                <w:rFonts w:hint="eastAsia" w:ascii="宋体" w:hAnsi="宋体" w:eastAsia="宋体" w:cs="宋体"/>
                <w:color w:val="auto"/>
                <w:sz w:val="21"/>
                <w:szCs w:val="21"/>
              </w:rPr>
              <w:t>0-200mm</w:t>
            </w:r>
            <w:r>
              <w:rPr>
                <w:rStyle w:val="85"/>
                <w:rFonts w:hint="eastAsia" w:ascii="宋体" w:hAnsi="宋体" w:eastAsia="宋体" w:cs="宋体"/>
                <w:color w:val="auto"/>
                <w:sz w:val="21"/>
                <w:szCs w:val="21"/>
              </w:rPr>
              <w:br w:type="textWrapping"/>
            </w:r>
            <w:r>
              <w:rPr>
                <w:rStyle w:val="85"/>
                <w:rFonts w:hint="eastAsia" w:ascii="宋体" w:hAnsi="宋体" w:eastAsia="宋体" w:cs="宋体"/>
                <w:color w:val="auto"/>
                <w:sz w:val="21"/>
                <w:szCs w:val="21"/>
              </w:rPr>
              <w:t>2.</w:t>
            </w:r>
            <w:r>
              <w:rPr>
                <w:rStyle w:val="84"/>
                <w:rFonts w:hint="eastAsia" w:ascii="宋体" w:hAnsi="宋体" w:eastAsia="宋体" w:cs="宋体"/>
                <w:color w:val="auto"/>
                <w:sz w:val="21"/>
                <w:szCs w:val="21"/>
              </w:rPr>
              <w:t>不锈钢数显</w:t>
            </w:r>
          </w:p>
        </w:tc>
      </w:tr>
      <w:tr w14:paraId="4C875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189909A0">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421306D5">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智能石墨消解仪</w:t>
            </w:r>
          </w:p>
        </w:tc>
        <w:tc>
          <w:tcPr>
            <w:tcW w:w="496" w:type="dxa"/>
            <w:vAlign w:val="center"/>
          </w:tcPr>
          <w:p w14:paraId="6EF9ECB2">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459" w:type="dxa"/>
            <w:vAlign w:val="center"/>
          </w:tcPr>
          <w:p w14:paraId="04FA6845">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c>
          <w:tcPr>
            <w:tcW w:w="6848" w:type="dxa"/>
            <w:vAlign w:val="center"/>
          </w:tcPr>
          <w:p w14:paraId="157EDF6F">
            <w:pPr>
              <w:widowControl/>
              <w:spacing w:line="440" w:lineRule="exact"/>
              <w:ind w:firstLine="0" w:firstLineChars="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1.工作环境温度：10℃～40℃；</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2.相对湿度：0～90%不结露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3.工作电压：AC220V±10%，50～60Hz。</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4.功能参数</w:t>
            </w:r>
          </w:p>
          <w:p w14:paraId="3BDCA035">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4.1消化能力：≥20个样品；</w:t>
            </w:r>
          </w:p>
          <w:p w14:paraId="19FAD332">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4.2 加热方式：采用红外一体式加热及高纯石墨传导；</w:t>
            </w:r>
          </w:p>
          <w:p w14:paraId="4684D2A5">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4.3 控温方式：PID控温；嵌入式软件控温技术；</w:t>
            </w:r>
          </w:p>
          <w:p w14:paraId="7091E798">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4.4可存储：要求可存贮</w:t>
            </w:r>
            <w:r>
              <w:rPr>
                <w:rFonts w:hint="eastAsia" w:ascii="宋体" w:hAnsi="宋体" w:eastAsia="宋体" w:cs="宋体"/>
                <w:color w:val="auto"/>
                <w:sz w:val="21"/>
                <w:szCs w:val="21"/>
              </w:rPr>
              <w:t>≥</w:t>
            </w:r>
            <w:r>
              <w:rPr>
                <w:rFonts w:hint="eastAsia" w:ascii="宋体" w:hAnsi="宋体" w:eastAsia="宋体" w:cs="宋体"/>
                <w:color w:val="auto"/>
                <w:kern w:val="0"/>
                <w:sz w:val="21"/>
                <w:szCs w:val="21"/>
              </w:rPr>
              <w:t>10组消解方法；</w:t>
            </w:r>
          </w:p>
          <w:p w14:paraId="286EA263">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4.5 控温范围:室温+5℃～450℃（从室温到400℃≤25 分钟）；</w:t>
            </w:r>
          </w:p>
          <w:p w14:paraId="375886A8">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4.6 升温计时方式：消解开始计时或达至设定温度计时两种可选；</w:t>
            </w:r>
          </w:p>
          <w:p w14:paraId="5A32BAF0">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4.7 显示系统：</w:t>
            </w:r>
            <w:r>
              <w:rPr>
                <w:rFonts w:hint="eastAsia" w:ascii="宋体" w:hAnsi="宋体" w:eastAsia="宋体" w:cs="宋体"/>
                <w:color w:val="auto"/>
                <w:sz w:val="21"/>
                <w:szCs w:val="21"/>
              </w:rPr>
              <w:t>≥</w:t>
            </w:r>
            <w:r>
              <w:rPr>
                <w:rFonts w:hint="eastAsia" w:ascii="宋体" w:hAnsi="宋体" w:eastAsia="宋体" w:cs="宋体"/>
                <w:color w:val="auto"/>
                <w:kern w:val="0"/>
                <w:sz w:val="21"/>
                <w:szCs w:val="21"/>
              </w:rPr>
              <w:t>4.3寸真彩液晶显示屏；</w:t>
            </w:r>
          </w:p>
          <w:p w14:paraId="673A7635">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4.8 隔热方式：陶瓷及风道隔热；</w:t>
            </w:r>
          </w:p>
          <w:p w14:paraId="48D5B41B">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4.9 控温精度：±1℃；</w:t>
            </w:r>
          </w:p>
          <w:p w14:paraId="496B5C61">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4.10 消化管容量：</w:t>
            </w:r>
            <w:r>
              <w:rPr>
                <w:rFonts w:hint="eastAsia" w:ascii="宋体" w:hAnsi="宋体" w:eastAsia="宋体" w:cs="宋体"/>
                <w:color w:val="auto"/>
                <w:sz w:val="21"/>
                <w:szCs w:val="21"/>
              </w:rPr>
              <w:t>≥</w:t>
            </w:r>
            <w:r>
              <w:rPr>
                <w:rFonts w:hint="eastAsia" w:ascii="宋体" w:hAnsi="宋体" w:eastAsia="宋体" w:cs="宋体"/>
                <w:color w:val="auto"/>
                <w:kern w:val="0"/>
                <w:sz w:val="21"/>
                <w:szCs w:val="21"/>
              </w:rPr>
              <w:t>300ml（满容量水，20℃）</w:t>
            </w:r>
          </w:p>
          <w:p w14:paraId="36C3D6A5">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4.11 表面外壳需喷涂特氟龙涂层，防止消解过程中产生的酸气或酸液对仪器的腐蚀；</w:t>
            </w:r>
          </w:p>
          <w:p w14:paraId="120E56E1">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4.12 自动检测加热单元工作故障并可判断出故障模块，便于维护；</w:t>
            </w:r>
          </w:p>
          <w:p w14:paraId="4B27AE89">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4.13具备过压、过流、过热报警，故障自动报警功能；</w:t>
            </w:r>
          </w:p>
          <w:p w14:paraId="4C5F8B78">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4.14 具备导流槽结构，防止酸液腐蚀仪器；</w:t>
            </w:r>
          </w:p>
          <w:p w14:paraId="0876624C">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4.15石墨表面处理方式：要求采用气相沉积技术，防止石墨高温氧化。排废系统</w:t>
            </w:r>
          </w:p>
          <w:p w14:paraId="40A5C012">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4.16 PFA密封盖废气收集罩，防腐耐温；</w:t>
            </w:r>
          </w:p>
          <w:p w14:paraId="31C650CD">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4.17自来水真空泵，保证足够负压；</w:t>
            </w:r>
          </w:p>
          <w:p w14:paraId="20168F48">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4.18具备滴盘设计，防止消解结束酸液滴落污损实验台。废气吸收系统</w:t>
            </w:r>
          </w:p>
          <w:p w14:paraId="1C838996">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4.19采用半透明的中和单元设计，易于观察，更换方便；</w:t>
            </w:r>
          </w:p>
          <w:p w14:paraId="7D41FD74">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4.20采用水过滤、碱中和、活性炭过滤的三重过滤系统，能够中和凯氏分析或其它过程中产生的酸雾和反应气体，且无需连接自来水使用；</w:t>
            </w:r>
          </w:p>
          <w:p w14:paraId="67A553A8">
            <w:pPr>
              <w:widowControl/>
              <w:spacing w:line="440" w:lineRule="exact"/>
              <w:ind w:firstLine="420" w:firstLineChars="200"/>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4.21采用PTFE材质耐腐蚀管路，使用寿命有效延长。</w:t>
            </w:r>
          </w:p>
        </w:tc>
      </w:tr>
      <w:tr w14:paraId="26014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7E725692">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03700E9C">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土壤氧化还原测定仪</w:t>
            </w:r>
          </w:p>
        </w:tc>
        <w:tc>
          <w:tcPr>
            <w:tcW w:w="496" w:type="dxa"/>
            <w:vAlign w:val="center"/>
          </w:tcPr>
          <w:p w14:paraId="7CED3BFA">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459" w:type="dxa"/>
            <w:vAlign w:val="center"/>
          </w:tcPr>
          <w:p w14:paraId="3422E6B3">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c>
          <w:tcPr>
            <w:tcW w:w="6848" w:type="dxa"/>
            <w:vAlign w:val="center"/>
          </w:tcPr>
          <w:p w14:paraId="39F924B0">
            <w:pPr>
              <w:widowControl/>
              <w:spacing w:line="4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一、功能特点：</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1.土壤氧化还原电位仪测定项目有ORP、温度和pH测定，可以一个一个测定，可以三个参数同时测定（与PC机联用时）。</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2.单片机与PC机兼容的（能在野外独立使用也可以与PC机联用）</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3.通过USB口与PC机联用。</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4.可以与电脑联用，全部过程在程序控制下自动完成测量和数据处理，此外它能自动绘制曲线和自动将结果存盘，也可以根据需要选择单次测量或进行循环数据采集。</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5.由可充电的锂电池供电，方便野外使用。</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6.仪器可以在野外使用，也可在实验室使用。</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二、技术参数：</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1.测量范围：pH:0-14pH；最小读数为0.01pH；精度为 0.02pH±1个字；</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mV:0-±1999mV,最小读数1mV；</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2.pH测量输入阻抗≥1×1012欧。</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3.可以在≤2分钟得到较为精确的结果，通常配套测量≤10mV。</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4.温度测量范围为-10℃-+60℃；</w:t>
            </w:r>
            <w:r>
              <w:rPr>
                <w:rFonts w:hint="eastAsia" w:ascii="宋体" w:hAnsi="宋体" w:cs="宋体"/>
                <w:color w:val="auto"/>
                <w:kern w:val="0"/>
                <w:sz w:val="21"/>
                <w:szCs w:val="21"/>
                <w:lang w:eastAsia="zh-CN"/>
              </w:rPr>
              <w:t>分辨率</w:t>
            </w:r>
            <w:r>
              <w:rPr>
                <w:rFonts w:hint="eastAsia" w:ascii="宋体" w:hAnsi="宋体" w:eastAsia="宋体" w:cs="宋体"/>
                <w:color w:val="auto"/>
                <w:kern w:val="0"/>
                <w:sz w:val="21"/>
                <w:szCs w:val="21"/>
              </w:rPr>
              <w:t>为 0.1℃，在室温下精度为±0.25℃,全量程±0.75℃。</w:t>
            </w:r>
          </w:p>
        </w:tc>
      </w:tr>
      <w:tr w14:paraId="713BE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1B313B8B">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4AC615EB">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叶面积分析系统</w:t>
            </w:r>
          </w:p>
        </w:tc>
        <w:tc>
          <w:tcPr>
            <w:tcW w:w="496" w:type="dxa"/>
            <w:vAlign w:val="center"/>
          </w:tcPr>
          <w:p w14:paraId="2C43AAB8">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459" w:type="dxa"/>
            <w:vAlign w:val="center"/>
          </w:tcPr>
          <w:p w14:paraId="3AF92039">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套</w:t>
            </w:r>
          </w:p>
        </w:tc>
        <w:tc>
          <w:tcPr>
            <w:tcW w:w="6848" w:type="dxa"/>
            <w:vAlign w:val="center"/>
          </w:tcPr>
          <w:p w14:paraId="0255FA36">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1.功能要求：</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2.配备≥2200万像素折叠/伸缩式拍摄仪及专用调光装置。</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可单片叶片分析，也可多片叶片同时分析，精准测量植物叶片参数：1）叶面积、2）叶长、3）叶宽、4）长宽比、5）周长、6）颜色分析、7）形状因子、8）形状系数、9）叶绿素参考值、10）锯齿面积、11）包膜、12）穿孔面积；</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整体数据计算：同一图片的多片叶片分析，可输出多片叶片的总面积、平均周长、平均长、平均宽及平均颜色，且在同一页面展示；分析数据可导出、追加：分析标记图可导出，统计分析结果能导出或追加至Excel表，方便进行二次分析；</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5.目标区分析：可针对同一图片中的部分叶片进行分析，也可针对单片叶片中的某一部分进行分析；</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6.填充孔洞：可将叶片中的孔洞填充后计算完整叶片面积，也可单独计算孔洞面积；</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7.分割叶柄：可选择自动或手动分割叶柄，满足多种分析需求；</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8.软件提供图片名称修改功能，可在分析界面进行图片名称修改，无需保存至电脑后再进行修改；</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9.病斑虫损分析：可针对叶片中颜色差异的部分进行提取，也可手动绘制进行填充，擦除填等修补操作，最后计算出准确的叶片病斑、缺损等相关参数，计算结果可导出；</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▲10.病斑虫损颜色分区标记，提供不少于15种颜色进行不同位置标记，并输出图片和数据，便于用户分析叶片情况。</w:t>
            </w:r>
            <w:r>
              <w:rPr>
                <w:rFonts w:hint="eastAsia" w:ascii="宋体" w:hAnsi="宋体" w:eastAsia="宋体" w:cs="宋体"/>
                <w:b/>
                <w:bCs/>
                <w:color w:val="auto"/>
                <w:kern w:val="0"/>
                <w:sz w:val="21"/>
                <w:szCs w:val="21"/>
              </w:rPr>
              <w:t>（竞标时需提供符合本项参数的截图，并加盖竞标供应商公章）</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11.残叶匹配：可对缺损较多（包括大面积严重缺损）的叶片进行匹配，方便进行缺叶和整叶面积的分析和计算；</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12.叶色分档：可将多片叶片进行颜色对比分析及排序；</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13.叶片颜色分析：系统内置皇家园林比色卡、潘通比色卡等三种比色卡，每个叶片可根据颜色进行比对，分析比色卡中最接近的颜色（颜色有中文名称显示），也可定制使用自己定义的颜色库进行对比分析；</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14.可测量植物的相叶绿素对含量或“绿色程度”，以便快速对比不同植株营养状态；</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15.辅助测量：可手动标记测量直线距离或者区域范围内的周长及面积；</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16.批量分析：单次可批量全自动分析不少于100张图片，自动保存分析后的图片及结果，批量分析进度可视化展示。</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17.自定义锯齿高度：可自定义需要分析的锯齿高度，匹配更多叶片锯齿尺寸，使锯齿分析更精准；</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▲18.自定义最小叶片长度：可设置叶片最小长度，来实现对不同长度的叶片筛选分析；</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19.软件加密：采用动态二维码+密码狗加密，登记具体使用单位的信息，防止加密狗的丢失。</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20.数据上传：图像及分析结果可上传至仪器云平台，app和网页端可登录查看和下载数据。</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▲21.配套</w:t>
            </w:r>
            <w:r>
              <w:rPr>
                <w:rFonts w:hint="eastAsia" w:ascii="宋体" w:hAnsi="宋体" w:cs="宋体"/>
                <w:color w:val="auto"/>
                <w:kern w:val="0"/>
                <w:sz w:val="21"/>
                <w:szCs w:val="21"/>
                <w:lang w:val="en-US" w:eastAsia="zh-CN"/>
              </w:rPr>
              <w:t>虫类</w:t>
            </w:r>
            <w:r>
              <w:rPr>
                <w:rFonts w:hint="eastAsia" w:ascii="宋体" w:hAnsi="宋体" w:eastAsia="宋体" w:cs="宋体"/>
                <w:color w:val="auto"/>
                <w:kern w:val="0"/>
                <w:sz w:val="21"/>
                <w:szCs w:val="21"/>
              </w:rPr>
              <w:t>识别端，可通过≥2种植物类型数据模型进行拍照虫类识别，通过对作物的叶等进行已有数据库图像病害识别，数据包含虫害、病害简介，虫害形态特征，病害病原特征，分布区域及防治建议。</w:t>
            </w:r>
            <w:r>
              <w:rPr>
                <w:rFonts w:hint="eastAsia" w:ascii="宋体" w:hAnsi="宋体" w:eastAsia="宋体" w:cs="宋体"/>
                <w:b/>
                <w:bCs/>
                <w:color w:val="auto"/>
                <w:kern w:val="0"/>
                <w:sz w:val="21"/>
                <w:szCs w:val="21"/>
              </w:rPr>
              <w:t>（竞标时需提供符合本项参数的截图，并加盖竞标供应商公章）</w:t>
            </w:r>
          </w:p>
          <w:p w14:paraId="376C9261">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22.功能特点：</w:t>
            </w:r>
          </w:p>
          <w:p w14:paraId="5B3865E3">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22.1叶片长测量范围：0-400 mm，精度：±1%</w:t>
            </w:r>
          </w:p>
          <w:p w14:paraId="1DA98D5C">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22.2叶片宽测量范围：0-280 mm，精度：±1%</w:t>
            </w:r>
          </w:p>
          <w:p w14:paraId="0CA0B860">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22.3长宽比测量精度：±2%，周长测量精度：±2</w:t>
            </w:r>
          </w:p>
          <w:p w14:paraId="0CCDE5F6">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22.4面积测量精度：±2%，形状因子精度：±2%</w:t>
            </w:r>
          </w:p>
          <w:p w14:paraId="51FBD2DA">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22.5形状系数精度：±2%，锯齿数精度：±1%</w:t>
            </w:r>
          </w:p>
          <w:p w14:paraId="44D4CFC9">
            <w:pPr>
              <w:widowControl/>
              <w:spacing w:line="440" w:lineRule="exact"/>
              <w:ind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22.6穿孔面积精度：±2%，穿孔周长精度：±2%</w:t>
            </w:r>
          </w:p>
          <w:p w14:paraId="33341CA6">
            <w:pPr>
              <w:widowControl/>
              <w:spacing w:line="440" w:lineRule="exact"/>
              <w:ind w:firstLine="420" w:firstLineChars="200"/>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22.7病斑面积精度：±2%，缺叶面积精度：±2%</w:t>
            </w:r>
          </w:p>
        </w:tc>
      </w:tr>
      <w:tr w14:paraId="35210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217A70CE">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71465DE2">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组织切片机</w:t>
            </w:r>
          </w:p>
        </w:tc>
        <w:tc>
          <w:tcPr>
            <w:tcW w:w="496" w:type="dxa"/>
            <w:vAlign w:val="center"/>
          </w:tcPr>
          <w:p w14:paraId="338C9925">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459" w:type="dxa"/>
            <w:vAlign w:val="center"/>
          </w:tcPr>
          <w:p w14:paraId="33DBE59A">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c>
          <w:tcPr>
            <w:tcW w:w="6848" w:type="dxa"/>
            <w:vAlign w:val="center"/>
          </w:tcPr>
          <w:p w14:paraId="16041186">
            <w:pPr>
              <w:widowControl/>
              <w:spacing w:line="4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1.切片厚度：0μm～60μm</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2.设置范围：0μm～2μm增量值0.5μm、2μm～10μm增量值1μm、10μm～20μm增量值2μm、20μm～60μm增量值5μm</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3.标本垂直运动行程：50mm，标本水平运动行程：20mm</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4.最大切片截面：55*45mm</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5.切片精度：±5%</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6.标本调节方向：水平8°，垂直8°，转动360°</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7.刀架基座移动范围：前后±25mm 左右±25mm</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8.刀架角度0~15°</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9.净重：</w:t>
            </w:r>
            <w:r>
              <w:rPr>
                <w:rFonts w:hint="eastAsia" w:ascii="宋体" w:hAnsi="宋体" w:eastAsia="宋体" w:cs="宋体"/>
                <w:color w:val="auto"/>
                <w:sz w:val="21"/>
                <w:szCs w:val="21"/>
              </w:rPr>
              <w:t>≥</w:t>
            </w:r>
            <w:r>
              <w:rPr>
                <w:rFonts w:hint="eastAsia" w:ascii="宋体" w:hAnsi="宋体" w:eastAsia="宋体" w:cs="宋体"/>
                <w:color w:val="auto"/>
                <w:kern w:val="0"/>
                <w:sz w:val="21"/>
                <w:szCs w:val="21"/>
              </w:rPr>
              <w:t>27kg</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10.产品尺寸</w:t>
            </w:r>
            <w:r>
              <w:rPr>
                <w:rFonts w:hint="eastAsia" w:ascii="宋体" w:hAnsi="宋体" w:eastAsia="宋体" w:cs="宋体"/>
                <w:color w:val="auto"/>
                <w:sz w:val="21"/>
                <w:szCs w:val="21"/>
              </w:rPr>
              <w:t>(长×宽×高)</w:t>
            </w:r>
            <w:r>
              <w:rPr>
                <w:rFonts w:hint="eastAsia" w:ascii="宋体" w:hAnsi="宋体" w:eastAsia="宋体" w:cs="宋体"/>
                <w:color w:val="auto"/>
                <w:kern w:val="0"/>
                <w:sz w:val="21"/>
                <w:szCs w:val="21"/>
              </w:rPr>
              <w:t>：</w:t>
            </w:r>
            <w:r>
              <w:rPr>
                <w:rFonts w:hint="eastAsia" w:ascii="宋体" w:hAnsi="宋体" w:eastAsia="宋体" w:cs="宋体"/>
                <w:color w:val="auto"/>
                <w:sz w:val="21"/>
                <w:szCs w:val="21"/>
              </w:rPr>
              <w:t>≥</w:t>
            </w:r>
            <w:r>
              <w:rPr>
                <w:rFonts w:hint="eastAsia" w:ascii="宋体" w:hAnsi="宋体" w:eastAsia="宋体" w:cs="宋体"/>
                <w:color w:val="auto"/>
                <w:kern w:val="0"/>
                <w:sz w:val="21"/>
                <w:szCs w:val="21"/>
              </w:rPr>
              <w:t>496*390*267mm</w:t>
            </w:r>
          </w:p>
        </w:tc>
      </w:tr>
      <w:tr w14:paraId="1F981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5012E70B">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003669A4">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旋转蒸发仪</w:t>
            </w:r>
          </w:p>
        </w:tc>
        <w:tc>
          <w:tcPr>
            <w:tcW w:w="496" w:type="dxa"/>
            <w:vAlign w:val="center"/>
          </w:tcPr>
          <w:p w14:paraId="427F677C">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459" w:type="dxa"/>
            <w:vAlign w:val="center"/>
          </w:tcPr>
          <w:p w14:paraId="2CB1CEA6">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c>
          <w:tcPr>
            <w:tcW w:w="6848" w:type="dxa"/>
            <w:vAlign w:val="center"/>
          </w:tcPr>
          <w:p w14:paraId="3C518CEC">
            <w:pPr>
              <w:widowControl/>
              <w:spacing w:line="440" w:lineRule="exact"/>
              <w:jc w:val="left"/>
              <w:textAlignment w:val="center"/>
              <w:rPr>
                <w:rFonts w:hint="eastAsia" w:ascii="宋体" w:hAnsi="宋体" w:eastAsia="宋体" w:cs="宋体"/>
                <w:color w:val="auto"/>
                <w:sz w:val="21"/>
                <w:szCs w:val="21"/>
              </w:rPr>
            </w:pPr>
            <w:r>
              <w:rPr>
                <w:rFonts w:hint="eastAsia" w:ascii="宋体" w:hAnsi="宋体" w:cs="宋体"/>
                <w:color w:val="auto"/>
                <w:kern w:val="0"/>
                <w:sz w:val="21"/>
                <w:szCs w:val="21"/>
                <w:lang w:val="en-US" w:eastAsia="zh-CN"/>
              </w:rPr>
              <w:t>1.</w:t>
            </w:r>
            <w:r>
              <w:rPr>
                <w:rFonts w:hint="eastAsia" w:ascii="宋体" w:hAnsi="宋体" w:eastAsia="宋体" w:cs="宋体"/>
                <w:color w:val="auto"/>
                <w:kern w:val="0"/>
                <w:sz w:val="21"/>
                <w:szCs w:val="21"/>
              </w:rPr>
              <w:t>旋转瓶容积：</w:t>
            </w:r>
            <w:r>
              <w:rPr>
                <w:rFonts w:hint="eastAsia" w:ascii="宋体" w:hAnsi="宋体" w:eastAsia="宋体" w:cs="宋体"/>
                <w:color w:val="auto"/>
                <w:sz w:val="21"/>
                <w:szCs w:val="21"/>
              </w:rPr>
              <w:t>≥</w:t>
            </w:r>
            <w:r>
              <w:rPr>
                <w:rFonts w:hint="eastAsia" w:ascii="宋体" w:hAnsi="宋体" w:eastAsia="宋体" w:cs="宋体"/>
                <w:color w:val="auto"/>
                <w:kern w:val="0"/>
                <w:sz w:val="21"/>
                <w:szCs w:val="21"/>
              </w:rPr>
              <w:t>5L；</w:t>
            </w:r>
            <w:r>
              <w:rPr>
                <w:rFonts w:hint="eastAsia" w:ascii="宋体" w:hAnsi="宋体" w:eastAsia="宋体" w:cs="宋体"/>
                <w:color w:val="auto"/>
                <w:kern w:val="0"/>
                <w:sz w:val="21"/>
                <w:szCs w:val="21"/>
              </w:rPr>
              <w:br w:type="textWrapping"/>
            </w:r>
            <w:r>
              <w:rPr>
                <w:rFonts w:hint="eastAsia" w:ascii="宋体" w:hAnsi="宋体" w:cs="宋体"/>
                <w:color w:val="auto"/>
                <w:kern w:val="0"/>
                <w:sz w:val="21"/>
                <w:szCs w:val="21"/>
                <w:lang w:val="en-US" w:eastAsia="zh-CN"/>
              </w:rPr>
              <w:t>2.</w:t>
            </w:r>
            <w:r>
              <w:rPr>
                <w:rFonts w:hint="eastAsia" w:ascii="宋体" w:hAnsi="宋体" w:eastAsia="宋体" w:cs="宋体"/>
                <w:color w:val="auto"/>
                <w:kern w:val="0"/>
                <w:sz w:val="21"/>
                <w:szCs w:val="21"/>
              </w:rPr>
              <w:t>旋转速度：0-199rpm；</w:t>
            </w:r>
            <w:r>
              <w:rPr>
                <w:rFonts w:hint="eastAsia" w:ascii="宋体" w:hAnsi="宋体" w:eastAsia="宋体" w:cs="宋体"/>
                <w:color w:val="auto"/>
                <w:kern w:val="0"/>
                <w:sz w:val="21"/>
                <w:szCs w:val="21"/>
              </w:rPr>
              <w:br w:type="textWrapping"/>
            </w:r>
            <w:r>
              <w:rPr>
                <w:rFonts w:hint="eastAsia" w:ascii="宋体" w:hAnsi="宋体" w:cs="宋体"/>
                <w:color w:val="auto"/>
                <w:kern w:val="0"/>
                <w:sz w:val="21"/>
                <w:szCs w:val="21"/>
                <w:lang w:val="en-US" w:eastAsia="zh-CN"/>
              </w:rPr>
              <w:t>3.</w:t>
            </w:r>
            <w:r>
              <w:rPr>
                <w:rFonts w:hint="eastAsia" w:ascii="宋体" w:hAnsi="宋体" w:eastAsia="宋体" w:cs="宋体"/>
                <w:color w:val="auto"/>
                <w:kern w:val="0"/>
                <w:sz w:val="21"/>
                <w:szCs w:val="21"/>
              </w:rPr>
              <w:t>电机功率：80W；</w:t>
            </w:r>
            <w:r>
              <w:rPr>
                <w:rFonts w:hint="eastAsia" w:ascii="宋体" w:hAnsi="宋体" w:eastAsia="宋体" w:cs="宋体"/>
                <w:color w:val="auto"/>
                <w:kern w:val="0"/>
                <w:sz w:val="21"/>
                <w:szCs w:val="21"/>
              </w:rPr>
              <w:br w:type="textWrapping"/>
            </w:r>
            <w:r>
              <w:rPr>
                <w:rFonts w:hint="eastAsia" w:ascii="宋体" w:hAnsi="宋体" w:cs="宋体"/>
                <w:color w:val="auto"/>
                <w:kern w:val="0"/>
                <w:sz w:val="21"/>
                <w:szCs w:val="21"/>
                <w:lang w:val="en-US" w:eastAsia="zh-CN"/>
              </w:rPr>
              <w:t>4.</w:t>
            </w:r>
            <w:r>
              <w:rPr>
                <w:rFonts w:hint="eastAsia" w:ascii="宋体" w:hAnsi="宋体" w:eastAsia="宋体" w:cs="宋体"/>
                <w:color w:val="auto"/>
                <w:kern w:val="0"/>
                <w:sz w:val="21"/>
                <w:szCs w:val="21"/>
              </w:rPr>
              <w:t>浴锅加热功率：2KW</w:t>
            </w:r>
          </w:p>
        </w:tc>
      </w:tr>
      <w:tr w14:paraId="2F380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281141A1">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390F7B9B">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实时荧光定量PCR系统</w:t>
            </w:r>
          </w:p>
        </w:tc>
        <w:tc>
          <w:tcPr>
            <w:tcW w:w="496" w:type="dxa"/>
            <w:vAlign w:val="center"/>
          </w:tcPr>
          <w:p w14:paraId="2205B30A">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459" w:type="dxa"/>
            <w:vAlign w:val="center"/>
          </w:tcPr>
          <w:p w14:paraId="4FB25648">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套</w:t>
            </w:r>
          </w:p>
        </w:tc>
        <w:tc>
          <w:tcPr>
            <w:tcW w:w="6848" w:type="dxa"/>
            <w:vAlign w:val="center"/>
          </w:tcPr>
          <w:p w14:paraId="07A4E539">
            <w:pPr>
              <w:widowControl/>
              <w:spacing w:line="44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1.半导体技术，最快变温速率可达6度/秒。</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2.采用半导体技术，使用寿命可达100万次循环。</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3.采用顶部检测技术，使用白管可屏蔽背景干扰，提高荧光信号灵敏度和信噪比，获得更佳结果。</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4.屏幕角度可90度调节，适合不同视角使用。</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5.可检测≥96个样品，同一通道荧光同步检测，减少延时误差。</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6.仪器自带10寸触控屏，可实时查看荧光定量PCR反应过程。无需电脑连接，也可运行实时定量PCR和普通PCR程序。</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7.采用短光程静态荧光CCD成像技术，荧光信号更稳定，灵敏度更高（竞标需提供官方彩页资料</w:t>
            </w:r>
            <w:bookmarkStart w:id="41" w:name="OLE_LINK7"/>
            <w:r>
              <w:rPr>
                <w:rFonts w:hint="eastAsia" w:ascii="宋体" w:hAnsi="宋体" w:eastAsia="宋体" w:cs="宋体"/>
                <w:color w:val="auto"/>
                <w:kern w:val="0"/>
                <w:sz w:val="21"/>
                <w:szCs w:val="21"/>
              </w:rPr>
              <w:t>加盖竞标供应商公章</w:t>
            </w:r>
            <w:bookmarkEnd w:id="41"/>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8.抽屉式样品台设计，取放样品更方便。</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9.可完成绝对定量，熔解曲线，相对定量、基因分型和阴阳性判定等分析。</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10.样品台容量：可适用0.1ml白色单管，8联排管和96孔板。</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11.样品台温度范围：0~105℃，具有温度梯度功能。</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12.样品台温度均匀性≤±0.2℃（样品台达到90℃时）,温控精度≤±0.1℃（样品台达到90℃时）供货时提供国家认可的第三方检测机构出具的检测报告</w:t>
            </w:r>
          </w:p>
          <w:p w14:paraId="5BFA5FBF">
            <w:pPr>
              <w:widowControl/>
              <w:spacing w:line="440" w:lineRule="exact"/>
              <w:jc w:val="left"/>
              <w:textAlignment w:val="center"/>
              <w:rPr>
                <w:rFonts w:hint="eastAsia" w:ascii="宋体" w:hAnsi="宋体" w:eastAsia="宋体" w:cs="宋体"/>
                <w:color w:val="auto"/>
                <w:sz w:val="21"/>
                <w:szCs w:val="21"/>
                <w:lang w:eastAsia="en-US"/>
              </w:rPr>
            </w:pPr>
            <w:r>
              <w:rPr>
                <w:rFonts w:hint="eastAsia" w:ascii="宋体" w:hAnsi="宋体" w:eastAsia="宋体" w:cs="宋体"/>
                <w:color w:val="auto"/>
                <w:kern w:val="0"/>
                <w:sz w:val="21"/>
                <w:szCs w:val="21"/>
              </w:rPr>
              <w:t>13.灵敏度：≥1个拷贝。</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14.六个荧光检测通道，可检测的荧光素基染料：通道1：FAM，SYBR Green；通道2：VIC，HEX，JOE，CY3，TET*；通道3：ROX，TEXAS-RED，TAMRA*；通道4：CY5，Quasar670；通道5：CY5.5</w:t>
            </w:r>
            <w:r>
              <w:rPr>
                <w:rFonts w:hint="eastAsia" w:ascii="宋体" w:hAnsi="宋体" w:cs="宋体"/>
                <w:color w:val="auto"/>
                <w:kern w:val="0"/>
                <w:sz w:val="21"/>
                <w:szCs w:val="21"/>
                <w:lang w:eastAsia="zh-CN"/>
              </w:rPr>
              <w:t>；</w:t>
            </w:r>
            <w:r>
              <w:rPr>
                <w:rFonts w:hint="eastAsia" w:ascii="宋体" w:hAnsi="宋体" w:cs="宋体"/>
                <w:color w:val="auto"/>
                <w:kern w:val="0"/>
                <w:sz w:val="21"/>
                <w:szCs w:val="21"/>
                <w:lang w:val="en-US" w:eastAsia="zh-CN"/>
              </w:rPr>
              <w:t>通道6：定制</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w:t>
            </w:r>
            <w:r>
              <w:rPr>
                <w:rFonts w:hint="eastAsia" w:ascii="宋体" w:hAnsi="宋体" w:cs="宋体"/>
                <w:color w:val="auto"/>
                <w:kern w:val="0"/>
                <w:sz w:val="21"/>
                <w:szCs w:val="21"/>
                <w:lang w:val="en-US" w:eastAsia="zh-CN"/>
              </w:rPr>
              <w:t>5</w:t>
            </w:r>
            <w:r>
              <w:rPr>
                <w:rFonts w:hint="eastAsia" w:ascii="宋体" w:hAnsi="宋体" w:eastAsia="宋体" w:cs="宋体"/>
                <w:color w:val="auto"/>
                <w:kern w:val="0"/>
                <w:sz w:val="21"/>
                <w:szCs w:val="21"/>
              </w:rPr>
              <w:t>.荧光检测波长：500-800nm。</w:t>
            </w:r>
          </w:p>
        </w:tc>
      </w:tr>
      <w:tr w14:paraId="53F41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dxa"/>
            <w:vAlign w:val="center"/>
          </w:tcPr>
          <w:p w14:paraId="13F3564D">
            <w:pPr>
              <w:numPr>
                <w:ilvl w:val="0"/>
                <w:numId w:val="4"/>
              </w:numPr>
              <w:tabs>
                <w:tab w:val="clear" w:pos="0"/>
              </w:tabs>
              <w:spacing w:line="440" w:lineRule="exact"/>
              <w:jc w:val="center"/>
              <w:rPr>
                <w:rFonts w:hint="eastAsia" w:ascii="宋体" w:hAnsi="宋体" w:eastAsia="宋体" w:cs="宋体"/>
                <w:color w:val="auto"/>
                <w:sz w:val="21"/>
                <w:szCs w:val="21"/>
              </w:rPr>
            </w:pPr>
          </w:p>
        </w:tc>
        <w:tc>
          <w:tcPr>
            <w:tcW w:w="1277" w:type="dxa"/>
            <w:vAlign w:val="center"/>
          </w:tcPr>
          <w:p w14:paraId="794295BF">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制冰机</w:t>
            </w:r>
          </w:p>
        </w:tc>
        <w:tc>
          <w:tcPr>
            <w:tcW w:w="496" w:type="dxa"/>
            <w:vAlign w:val="center"/>
          </w:tcPr>
          <w:p w14:paraId="0A77AF0F">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459" w:type="dxa"/>
            <w:vAlign w:val="center"/>
          </w:tcPr>
          <w:p w14:paraId="2C8390DE">
            <w:pPr>
              <w:widowControl/>
              <w:spacing w:line="440" w:lineRule="exact"/>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c>
          <w:tcPr>
            <w:tcW w:w="6848" w:type="dxa"/>
            <w:vAlign w:val="center"/>
          </w:tcPr>
          <w:p w14:paraId="4E5953E3">
            <w:pPr>
              <w:widowControl/>
              <w:spacing w:line="4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1.制冰量(kg/24h)：70</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2.储冰量(kg)：20</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3.冷凝方式：风冷</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4.耗水量(L/H)：≤2.0</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5.输入功率(w)：280</w:t>
            </w:r>
          </w:p>
        </w:tc>
      </w:tr>
      <w:tr w14:paraId="1671D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7" w:type="dxa"/>
            <w:gridSpan w:val="5"/>
            <w:vAlign w:val="center"/>
          </w:tcPr>
          <w:p w14:paraId="553CBED5">
            <w:pPr>
              <w:tabs>
                <w:tab w:val="left" w:pos="180"/>
                <w:tab w:val="left" w:pos="1620"/>
              </w:tabs>
              <w:spacing w:line="400" w:lineRule="exact"/>
              <w:jc w:val="left"/>
              <w:rPr>
                <w:rFonts w:hint="eastAsia" w:ascii="宋体" w:hAnsi="宋体" w:eastAsia="宋体" w:cs="宋体"/>
                <w:color w:val="auto"/>
                <w:sz w:val="21"/>
                <w:szCs w:val="21"/>
              </w:rPr>
            </w:pPr>
            <w:r>
              <w:rPr>
                <w:rFonts w:hint="eastAsia" w:ascii="宋体" w:hAnsi="宋体" w:eastAsia="宋体" w:cs="宋体"/>
                <w:b/>
                <w:color w:val="auto"/>
                <w:sz w:val="21"/>
                <w:szCs w:val="21"/>
              </w:rPr>
              <w:t>一、商务要求表：</w:t>
            </w:r>
            <w:r>
              <w:rPr>
                <w:rFonts w:hint="eastAsia" w:ascii="宋体" w:hAnsi="宋体" w:eastAsia="宋体" w:cs="宋体"/>
                <w:color w:val="auto"/>
                <w:sz w:val="21"/>
                <w:szCs w:val="21"/>
              </w:rPr>
              <w:t xml:space="preserve"> </w:t>
            </w:r>
          </w:p>
        </w:tc>
      </w:tr>
      <w:tr w14:paraId="0D220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0" w:type="dxa"/>
            <w:gridSpan w:val="3"/>
            <w:vAlign w:val="center"/>
          </w:tcPr>
          <w:p w14:paraId="27E125C2">
            <w:pPr>
              <w:spacing w:line="4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交货时间及地点</w:t>
            </w:r>
          </w:p>
        </w:tc>
        <w:tc>
          <w:tcPr>
            <w:tcW w:w="7307" w:type="dxa"/>
            <w:gridSpan w:val="2"/>
            <w:vAlign w:val="center"/>
          </w:tcPr>
          <w:p w14:paraId="037242F2">
            <w:pPr>
              <w:pStyle w:val="83"/>
              <w:spacing w:after="0" w:line="400" w:lineRule="exact"/>
              <w:ind w:firstLine="420" w:firstLineChars="200"/>
              <w:rPr>
                <w:rFonts w:hint="eastAsia" w:ascii="宋体" w:hAnsi="宋体" w:eastAsia="宋体" w:cs="宋体"/>
                <w:color w:val="auto"/>
                <w:sz w:val="21"/>
                <w:szCs w:val="21"/>
                <w:u w:val="single"/>
                <w:lang w:eastAsia="zh-CN"/>
              </w:rPr>
            </w:pPr>
            <w:r>
              <w:rPr>
                <w:rFonts w:hint="eastAsia" w:ascii="宋体" w:hAnsi="宋体" w:eastAsia="宋体" w:cs="宋体"/>
                <w:color w:val="auto"/>
                <w:sz w:val="21"/>
                <w:szCs w:val="21"/>
                <w:lang w:eastAsia="zh-CN"/>
              </w:rPr>
              <w:t>1.交付时间：合同签订后</w:t>
            </w:r>
            <w:r>
              <w:rPr>
                <w:rFonts w:hint="eastAsia" w:ascii="宋体" w:hAnsi="宋体" w:eastAsia="宋体" w:cs="宋体"/>
                <w:color w:val="auto"/>
                <w:sz w:val="21"/>
                <w:szCs w:val="21"/>
                <w:u w:val="single"/>
                <w:lang w:eastAsia="zh-CN"/>
              </w:rPr>
              <w:t xml:space="preserve"> 60 </w:t>
            </w:r>
            <w:r>
              <w:rPr>
                <w:rFonts w:hint="eastAsia" w:ascii="宋体" w:hAnsi="宋体" w:eastAsia="宋体" w:cs="宋体"/>
                <w:color w:val="auto"/>
                <w:sz w:val="21"/>
                <w:szCs w:val="21"/>
                <w:lang w:eastAsia="zh-CN"/>
              </w:rPr>
              <w:t>日内。供应商应保证在要求时间内完成全部货物的供货、安装、调试和培训工作,符合国家标准、行业规范和合同等相关文件的要求。</w:t>
            </w:r>
          </w:p>
          <w:p w14:paraId="517EEB9F">
            <w:pPr>
              <w:pStyle w:val="83"/>
              <w:spacing w:after="0" w:line="400" w:lineRule="exact"/>
              <w:ind w:firstLine="420" w:firstLineChars="20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2.交货地点：广西科技师范学院内采购人指定地点</w:t>
            </w:r>
          </w:p>
        </w:tc>
      </w:tr>
      <w:tr w14:paraId="7C35D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0" w:type="dxa"/>
            <w:gridSpan w:val="3"/>
            <w:vAlign w:val="center"/>
          </w:tcPr>
          <w:p w14:paraId="6D250ECE">
            <w:pPr>
              <w:spacing w:line="400" w:lineRule="exact"/>
              <w:jc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w:t>
            </w:r>
            <w:r>
              <w:rPr>
                <w:rFonts w:hint="eastAsia" w:ascii="宋体" w:hAnsi="宋体" w:eastAsia="宋体" w:cs="宋体"/>
                <w:color w:val="auto"/>
                <w:sz w:val="21"/>
                <w:szCs w:val="21"/>
              </w:rPr>
              <w:t>质量保证期</w:t>
            </w:r>
          </w:p>
        </w:tc>
        <w:tc>
          <w:tcPr>
            <w:tcW w:w="7307" w:type="dxa"/>
            <w:gridSpan w:val="2"/>
            <w:vAlign w:val="center"/>
          </w:tcPr>
          <w:p w14:paraId="41B5F2F1">
            <w:pPr>
              <w:pStyle w:val="83"/>
              <w:spacing w:after="0" w:line="400" w:lineRule="exact"/>
              <w:ind w:firstLine="420" w:firstLineChars="20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本项目质量保证期要求不低于 1 年，如果厂家有优于该时间的质保期，以厂家的质保期为准之类。质量保证期从货物供货、安装、调试正常且经采购人综合运行验收合格后开始计算。</w:t>
            </w:r>
          </w:p>
        </w:tc>
      </w:tr>
      <w:tr w14:paraId="5B72E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0" w:type="dxa"/>
            <w:gridSpan w:val="3"/>
            <w:vAlign w:val="center"/>
          </w:tcPr>
          <w:p w14:paraId="385F9EA9">
            <w:pPr>
              <w:spacing w:line="4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安装调试要求</w:t>
            </w:r>
          </w:p>
        </w:tc>
        <w:tc>
          <w:tcPr>
            <w:tcW w:w="7307" w:type="dxa"/>
            <w:gridSpan w:val="2"/>
            <w:vAlign w:val="center"/>
          </w:tcPr>
          <w:p w14:paraId="47567929">
            <w:pPr>
              <w:pStyle w:val="83"/>
              <w:spacing w:after="0" w:line="400" w:lineRule="exact"/>
              <w:ind w:firstLine="420" w:firstLineChars="20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供应商需提前跟采购人相关使用人员进行沟通方可进行相关安装调试工作。</w:t>
            </w:r>
          </w:p>
        </w:tc>
      </w:tr>
      <w:tr w14:paraId="561AE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0" w:type="dxa"/>
            <w:gridSpan w:val="3"/>
            <w:vAlign w:val="center"/>
          </w:tcPr>
          <w:p w14:paraId="618D8108">
            <w:pPr>
              <w:spacing w:line="4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售后服务要求</w:t>
            </w:r>
          </w:p>
        </w:tc>
        <w:tc>
          <w:tcPr>
            <w:tcW w:w="7307" w:type="dxa"/>
            <w:gridSpan w:val="2"/>
            <w:vAlign w:val="center"/>
          </w:tcPr>
          <w:p w14:paraId="0C9BF536">
            <w:pPr>
              <w:pStyle w:val="83"/>
              <w:spacing w:after="0" w:line="400" w:lineRule="exact"/>
              <w:ind w:firstLine="420" w:firstLineChars="200"/>
              <w:rPr>
                <w:rFonts w:hint="eastAsia" w:ascii="宋体" w:hAnsi="宋体" w:eastAsia="宋体" w:cs="宋体"/>
                <w:color w:val="auto"/>
                <w:sz w:val="21"/>
                <w:szCs w:val="21"/>
                <w:lang w:eastAsia="zh-CN"/>
              </w:rPr>
            </w:pPr>
            <w:r>
              <w:rPr>
                <w:rFonts w:hint="eastAsia" w:ascii="宋体" w:hAnsi="宋体" w:cs="宋体"/>
                <w:color w:val="auto"/>
                <w:sz w:val="21"/>
                <w:szCs w:val="21"/>
                <w:lang w:val="en-US" w:eastAsia="zh-CN"/>
              </w:rPr>
              <w:t>供应商</w:t>
            </w:r>
            <w:r>
              <w:rPr>
                <w:rFonts w:hint="eastAsia" w:ascii="宋体" w:hAnsi="宋体" w:eastAsia="宋体" w:cs="宋体"/>
                <w:color w:val="auto"/>
                <w:sz w:val="21"/>
                <w:szCs w:val="21"/>
                <w:lang w:eastAsia="zh-CN"/>
              </w:rPr>
              <w:t>竞标时提供售后服务方案并加盖竞标供应商公章，到货后需提前跟采购人相关使用人进行沟通后方可进行相关安装调试工作。在质量保证期内，成交供应商必须安排至少一名专业人员作为售后服务专职人员，对服务出现的问题在12小时内到达（应急情况4小时内到达），负责处理解决并承担一切费用。</w:t>
            </w:r>
          </w:p>
        </w:tc>
      </w:tr>
      <w:tr w14:paraId="1C2AB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0" w:type="dxa"/>
            <w:gridSpan w:val="3"/>
            <w:vAlign w:val="center"/>
          </w:tcPr>
          <w:p w14:paraId="6067601C">
            <w:pPr>
              <w:spacing w:line="400" w:lineRule="exact"/>
              <w:jc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w:t>
            </w:r>
            <w:r>
              <w:rPr>
                <w:rFonts w:hint="eastAsia" w:ascii="宋体" w:hAnsi="宋体" w:eastAsia="宋体" w:cs="宋体"/>
                <w:color w:val="auto"/>
                <w:sz w:val="21"/>
                <w:szCs w:val="21"/>
              </w:rPr>
              <w:t>付款方式</w:t>
            </w:r>
          </w:p>
        </w:tc>
        <w:tc>
          <w:tcPr>
            <w:tcW w:w="7307" w:type="dxa"/>
            <w:gridSpan w:val="2"/>
            <w:vAlign w:val="center"/>
          </w:tcPr>
          <w:p w14:paraId="78DEF35A">
            <w:pPr>
              <w:pStyle w:val="83"/>
              <w:spacing w:after="0" w:line="400" w:lineRule="exact"/>
              <w:ind w:firstLine="420" w:firstLineChars="20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合同签订后5个工作日内，成交供应商向采购人提交合同总金额的2%的履约保证金，采购人在收到履约保证金后，设备到货并组装完毕双方组织验收后10个工作日内，成交供应商开具合同金额100%的增值税专用发票，采购人向成交供应商支付100%货款；履约保证金在验收合格后返还成交供应商。</w:t>
            </w:r>
          </w:p>
        </w:tc>
      </w:tr>
      <w:tr w14:paraId="52BAA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0" w:type="dxa"/>
            <w:gridSpan w:val="3"/>
            <w:vAlign w:val="center"/>
          </w:tcPr>
          <w:p w14:paraId="2D4B9B84">
            <w:pPr>
              <w:widowControl/>
              <w:adjustRightInd w:val="0"/>
              <w:spacing w:line="360" w:lineRule="atLeast"/>
              <w:ind w:firstLine="422"/>
              <w:textAlignment w:val="center"/>
              <w:rPr>
                <w:rFonts w:hint="eastAsia" w:ascii="宋体" w:hAnsi="宋体" w:eastAsia="宋体" w:cs="宋体"/>
                <w:color w:val="auto"/>
                <w:sz w:val="21"/>
                <w:szCs w:val="21"/>
              </w:rPr>
            </w:pPr>
            <w:r>
              <w:rPr>
                <w:rFonts w:hint="eastAsia" w:ascii="宋体" w:hAnsi="宋体" w:eastAsia="宋体" w:cs="宋体"/>
                <w:b/>
                <w:bCs/>
                <w:color w:val="auto"/>
                <w:kern w:val="0"/>
                <w:sz w:val="21"/>
                <w:szCs w:val="21"/>
              </w:rPr>
              <w:t>核心产品</w:t>
            </w:r>
          </w:p>
        </w:tc>
        <w:tc>
          <w:tcPr>
            <w:tcW w:w="7307" w:type="dxa"/>
            <w:gridSpan w:val="2"/>
            <w:vAlign w:val="center"/>
          </w:tcPr>
          <w:p w14:paraId="4899E388">
            <w:pPr>
              <w:widowControl/>
              <w:adjustRightInd w:val="0"/>
              <w:spacing w:line="440" w:lineRule="exact"/>
              <w:textAlignment w:val="center"/>
              <w:rPr>
                <w:rFonts w:hint="eastAsia" w:ascii="宋体" w:hAnsi="宋体" w:eastAsia="宋体" w:cs="宋体"/>
                <w:b/>
                <w:color w:val="auto"/>
                <w:sz w:val="21"/>
                <w:szCs w:val="21"/>
                <w:u w:val="none"/>
              </w:rPr>
            </w:pPr>
            <w:r>
              <w:rPr>
                <w:rFonts w:hint="eastAsia" w:ascii="宋体" w:hAnsi="宋体" w:cs="宋体"/>
                <w:b/>
                <w:color w:val="auto"/>
                <w:sz w:val="21"/>
                <w:szCs w:val="21"/>
                <w:u w:val="none"/>
                <w:lang w:val="en-US" w:eastAsia="zh-CN"/>
              </w:rPr>
              <w:t>1、</w:t>
            </w:r>
            <w:r>
              <w:rPr>
                <w:rFonts w:hint="eastAsia" w:ascii="宋体" w:hAnsi="宋体" w:eastAsia="宋体" w:cs="宋体"/>
                <w:b/>
                <w:color w:val="auto"/>
                <w:sz w:val="21"/>
                <w:szCs w:val="21"/>
                <w:u w:val="none"/>
              </w:rPr>
              <w:t>本项目第 71项产品“实时荧光定量PCR系统”为核心产品，提供相同品牌产品的不同供应商参加同一合同项下的采购活动的，取其中质量和服务均能满足谈判文件实质性响应要求且最后竞标总报价最低的供应商参加评审；最后报价相同时，则由采购人自主选择确定一家供应商参加评审，其他竞标无效。</w:t>
            </w:r>
          </w:p>
          <w:p w14:paraId="708F4C54">
            <w:pPr>
              <w:widowControl/>
              <w:adjustRightInd w:val="0"/>
              <w:spacing w:line="440" w:lineRule="exact"/>
              <w:textAlignment w:val="center"/>
              <w:rPr>
                <w:rFonts w:hint="default" w:ascii="宋体" w:hAnsi="宋体" w:eastAsia="宋体" w:cs="宋体"/>
                <w:b/>
                <w:color w:val="auto"/>
                <w:sz w:val="21"/>
                <w:szCs w:val="21"/>
                <w:u w:val="none"/>
                <w:lang w:val="en-US" w:eastAsia="zh-CN"/>
              </w:rPr>
            </w:pPr>
            <w:r>
              <w:rPr>
                <w:rFonts w:hint="eastAsia" w:ascii="宋体" w:hAnsi="宋体" w:cs="宋体"/>
                <w:b/>
                <w:color w:val="auto"/>
                <w:sz w:val="21"/>
                <w:szCs w:val="21"/>
                <w:u w:val="none"/>
                <w:lang w:val="en-US" w:eastAsia="zh-CN"/>
              </w:rPr>
              <w:t>2、供应商须为</w:t>
            </w:r>
            <w:r>
              <w:rPr>
                <w:rFonts w:hint="eastAsia" w:ascii="宋体" w:hAnsi="宋体" w:eastAsia="宋体" w:cs="宋体"/>
                <w:b/>
                <w:color w:val="auto"/>
                <w:sz w:val="21"/>
                <w:szCs w:val="21"/>
                <w:u w:val="none"/>
              </w:rPr>
              <w:t>第 71项产品“实时荧光定量PCR系统”</w:t>
            </w:r>
            <w:r>
              <w:rPr>
                <w:rFonts w:hint="eastAsia" w:ascii="宋体" w:hAnsi="宋体" w:cs="宋体"/>
                <w:b/>
                <w:color w:val="auto"/>
                <w:sz w:val="21"/>
                <w:szCs w:val="21"/>
                <w:u w:val="none"/>
                <w:lang w:val="en-US" w:eastAsia="zh-CN"/>
              </w:rPr>
              <w:t>购买产品责任险，保单的保险责任开始时间不得晚于货物交付验收之日，且保障期限不得短于项目的质量保证期。供货时需提供完整的保单，作为该项产品的验收资料之一，竞标时需提供承诺函。</w:t>
            </w:r>
          </w:p>
        </w:tc>
      </w:tr>
      <w:tr w14:paraId="38663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0" w:type="dxa"/>
            <w:gridSpan w:val="3"/>
            <w:vAlign w:val="center"/>
          </w:tcPr>
          <w:p w14:paraId="5D3E449D">
            <w:pPr>
              <w:spacing w:line="4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履约保证金</w:t>
            </w:r>
          </w:p>
        </w:tc>
        <w:tc>
          <w:tcPr>
            <w:tcW w:w="7307" w:type="dxa"/>
            <w:gridSpan w:val="2"/>
            <w:vAlign w:val="center"/>
          </w:tcPr>
          <w:p w14:paraId="38DB13AD">
            <w:pPr>
              <w:spacing w:line="36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1.成交供应商在收到成交通知书后，须在5个工作日内向采购人缴纳履约保证金。</w:t>
            </w:r>
          </w:p>
          <w:p w14:paraId="478EA91E">
            <w:pPr>
              <w:autoSpaceDE w:val="0"/>
              <w:autoSpaceDN w:val="0"/>
              <w:snapToGrid w:val="0"/>
              <w:spacing w:line="360" w:lineRule="exact"/>
              <w:ind w:firstLine="420" w:firstLineChars="200"/>
              <w:textAlignment w:val="bottom"/>
              <w:rPr>
                <w:rFonts w:hint="eastAsia" w:ascii="宋体" w:hAnsi="宋体" w:eastAsia="宋体" w:cs="宋体"/>
                <w:color w:val="auto"/>
                <w:sz w:val="21"/>
                <w:szCs w:val="21"/>
              </w:rPr>
            </w:pPr>
            <w:r>
              <w:rPr>
                <w:rFonts w:hint="eastAsia" w:ascii="宋体" w:hAnsi="宋体" w:eastAsia="宋体" w:cs="宋体"/>
                <w:color w:val="auto"/>
                <w:sz w:val="21"/>
                <w:szCs w:val="21"/>
              </w:rPr>
              <w:t>2.履约保证金金额：本项目成交金额的5%（中小企业缴纳数额为成交金额的2%）。</w:t>
            </w:r>
          </w:p>
          <w:p w14:paraId="46FAB280">
            <w:pPr>
              <w:autoSpaceDE w:val="0"/>
              <w:autoSpaceDN w:val="0"/>
              <w:snapToGrid w:val="0"/>
              <w:spacing w:line="360" w:lineRule="exact"/>
              <w:ind w:firstLine="420" w:firstLineChars="200"/>
              <w:textAlignment w:val="bottom"/>
              <w:rPr>
                <w:rFonts w:hint="eastAsia" w:ascii="宋体" w:hAnsi="宋体" w:eastAsia="宋体" w:cs="宋体"/>
                <w:color w:val="auto"/>
                <w:sz w:val="21"/>
                <w:szCs w:val="21"/>
              </w:rPr>
            </w:pPr>
            <w:r>
              <w:rPr>
                <w:rFonts w:hint="eastAsia" w:ascii="宋体" w:hAnsi="宋体" w:eastAsia="宋体" w:cs="宋体"/>
                <w:color w:val="auto"/>
                <w:sz w:val="21"/>
                <w:szCs w:val="21"/>
              </w:rPr>
              <w:t>3.履约保证金提交方式：支票、汇票、本票、银行转账或者金融机构、担保机构出具的保函等非现金形式。</w:t>
            </w:r>
          </w:p>
          <w:p w14:paraId="1A9EA0BC">
            <w:pPr>
              <w:autoSpaceDE w:val="0"/>
              <w:autoSpaceDN w:val="0"/>
              <w:snapToGrid w:val="0"/>
              <w:spacing w:line="360" w:lineRule="exact"/>
              <w:ind w:firstLine="420" w:firstLineChars="200"/>
              <w:textAlignment w:val="bottom"/>
              <w:rPr>
                <w:rFonts w:hint="eastAsia" w:ascii="宋体" w:hAnsi="宋体" w:eastAsia="宋体" w:cs="宋体"/>
                <w:color w:val="auto"/>
                <w:sz w:val="21"/>
                <w:szCs w:val="21"/>
              </w:rPr>
            </w:pPr>
            <w:r>
              <w:rPr>
                <w:rFonts w:hint="eastAsia" w:ascii="宋体" w:hAnsi="宋体" w:eastAsia="宋体" w:cs="宋体"/>
                <w:color w:val="auto"/>
                <w:sz w:val="21"/>
                <w:szCs w:val="21"/>
              </w:rPr>
              <w:t>4.履约保证金指定账户：</w:t>
            </w:r>
          </w:p>
          <w:p w14:paraId="528903AB">
            <w:pPr>
              <w:autoSpaceDE w:val="0"/>
              <w:autoSpaceDN w:val="0"/>
              <w:snapToGrid w:val="0"/>
              <w:spacing w:line="360" w:lineRule="exact"/>
              <w:ind w:firstLine="420" w:firstLineChars="200"/>
              <w:textAlignment w:val="bottom"/>
              <w:rPr>
                <w:rFonts w:hint="eastAsia" w:ascii="宋体" w:hAnsi="宋体" w:eastAsia="宋体" w:cs="宋体"/>
                <w:color w:val="auto"/>
                <w:sz w:val="21"/>
                <w:szCs w:val="21"/>
              </w:rPr>
            </w:pPr>
            <w:r>
              <w:rPr>
                <w:rFonts w:hint="eastAsia" w:ascii="宋体" w:hAnsi="宋体" w:eastAsia="宋体" w:cs="宋体"/>
                <w:color w:val="auto"/>
                <w:sz w:val="21"/>
                <w:szCs w:val="21"/>
              </w:rPr>
              <w:t>开户名：广西科技师范学院</w:t>
            </w:r>
          </w:p>
          <w:p w14:paraId="6D5E99E0">
            <w:pPr>
              <w:autoSpaceDE w:val="0"/>
              <w:autoSpaceDN w:val="0"/>
              <w:snapToGrid w:val="0"/>
              <w:spacing w:line="360" w:lineRule="exact"/>
              <w:ind w:firstLine="420" w:firstLineChars="200"/>
              <w:textAlignment w:val="bottom"/>
              <w:rPr>
                <w:rFonts w:hint="eastAsia" w:ascii="宋体" w:hAnsi="宋体" w:eastAsia="宋体" w:cs="宋体"/>
                <w:color w:val="auto"/>
                <w:sz w:val="21"/>
                <w:szCs w:val="21"/>
              </w:rPr>
            </w:pPr>
            <w:r>
              <w:rPr>
                <w:rFonts w:hint="eastAsia" w:ascii="宋体" w:hAnsi="宋体" w:eastAsia="宋体" w:cs="宋体"/>
                <w:color w:val="auto"/>
                <w:sz w:val="21"/>
                <w:szCs w:val="21"/>
              </w:rPr>
              <w:t>开户行：中国银行来宾分行营业部</w:t>
            </w:r>
          </w:p>
          <w:p w14:paraId="61420FA6">
            <w:pPr>
              <w:autoSpaceDE w:val="0"/>
              <w:autoSpaceDN w:val="0"/>
              <w:snapToGrid w:val="0"/>
              <w:spacing w:line="360" w:lineRule="exact"/>
              <w:ind w:firstLine="420" w:firstLineChars="200"/>
              <w:textAlignment w:val="bottom"/>
              <w:rPr>
                <w:rFonts w:hint="eastAsia" w:ascii="宋体" w:hAnsi="宋体" w:eastAsia="宋体" w:cs="宋体"/>
                <w:color w:val="auto"/>
                <w:sz w:val="21"/>
                <w:szCs w:val="21"/>
              </w:rPr>
            </w:pPr>
            <w:r>
              <w:rPr>
                <w:rFonts w:hint="eastAsia" w:ascii="宋体" w:hAnsi="宋体" w:eastAsia="宋体" w:cs="宋体"/>
                <w:color w:val="auto"/>
                <w:sz w:val="21"/>
                <w:szCs w:val="21"/>
              </w:rPr>
              <w:t>账  号：611967714057</w:t>
            </w:r>
          </w:p>
          <w:p w14:paraId="3E5F3516">
            <w:pPr>
              <w:autoSpaceDE w:val="0"/>
              <w:autoSpaceDN w:val="0"/>
              <w:snapToGrid w:val="0"/>
              <w:spacing w:line="360" w:lineRule="exact"/>
              <w:ind w:firstLine="420" w:firstLineChars="200"/>
              <w:textAlignment w:val="bottom"/>
              <w:rPr>
                <w:rFonts w:hint="eastAsia" w:ascii="宋体" w:hAnsi="宋体" w:eastAsia="宋体" w:cs="宋体"/>
                <w:color w:val="auto"/>
                <w:sz w:val="21"/>
                <w:szCs w:val="21"/>
              </w:rPr>
            </w:pPr>
            <w:r>
              <w:rPr>
                <w:rFonts w:hint="eastAsia" w:ascii="宋体" w:hAnsi="宋体" w:eastAsia="宋体" w:cs="宋体"/>
                <w:color w:val="auto"/>
                <w:sz w:val="21"/>
                <w:szCs w:val="21"/>
              </w:rPr>
              <w:t>联行号码：104615580022</w:t>
            </w:r>
          </w:p>
          <w:p w14:paraId="65846867">
            <w:pPr>
              <w:autoSpaceDE w:val="0"/>
              <w:autoSpaceDN w:val="0"/>
              <w:snapToGrid w:val="0"/>
              <w:spacing w:line="360" w:lineRule="exact"/>
              <w:ind w:firstLine="420" w:firstLineChars="200"/>
              <w:textAlignment w:val="bottom"/>
              <w:rPr>
                <w:rFonts w:hint="eastAsia" w:ascii="宋体" w:hAnsi="宋体" w:eastAsia="宋体" w:cs="宋体"/>
                <w:color w:val="auto"/>
                <w:sz w:val="21"/>
                <w:szCs w:val="21"/>
              </w:rPr>
            </w:pPr>
            <w:r>
              <w:rPr>
                <w:rFonts w:hint="eastAsia" w:ascii="宋体" w:hAnsi="宋体" w:eastAsia="宋体" w:cs="宋体"/>
                <w:color w:val="auto"/>
                <w:sz w:val="21"/>
                <w:szCs w:val="21"/>
              </w:rPr>
              <w:t>5.财务咨询电话：0772-6620778</w:t>
            </w:r>
          </w:p>
          <w:p w14:paraId="23A62856">
            <w:pPr>
              <w:pStyle w:val="83"/>
              <w:spacing w:after="0" w:line="400" w:lineRule="exact"/>
              <w:ind w:firstLine="420" w:firstLineChars="20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6.履约保证金的退还：履约保证金在成交供应商按合同履约完成并处理完相关违约问题（如有）后，经成交供应商申请，采购人收到申请后5个工作日内办理退还手续（无息）。</w:t>
            </w:r>
          </w:p>
        </w:tc>
      </w:tr>
      <w:tr w14:paraId="224E9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0" w:type="dxa"/>
            <w:gridSpan w:val="3"/>
            <w:vAlign w:val="center"/>
          </w:tcPr>
          <w:p w14:paraId="44EB3A05">
            <w:pPr>
              <w:spacing w:line="400" w:lineRule="exact"/>
              <w:jc w:val="center"/>
              <w:rPr>
                <w:rFonts w:hint="eastAsia" w:ascii="宋体" w:hAnsi="宋体" w:eastAsia="宋体" w:cs="宋体"/>
                <w:color w:val="auto"/>
                <w:sz w:val="21"/>
                <w:szCs w:val="21"/>
                <w:lang w:eastAsia="en-US"/>
              </w:rPr>
            </w:pPr>
            <w:r>
              <w:rPr>
                <w:rFonts w:hint="eastAsia" w:ascii="宋体" w:hAnsi="宋体" w:eastAsia="宋体" w:cs="宋体"/>
                <w:color w:val="auto"/>
                <w:sz w:val="21"/>
                <w:szCs w:val="21"/>
              </w:rPr>
              <w:t>包装和运输</w:t>
            </w:r>
          </w:p>
        </w:tc>
        <w:tc>
          <w:tcPr>
            <w:tcW w:w="7307" w:type="dxa"/>
            <w:gridSpan w:val="2"/>
          </w:tcPr>
          <w:p w14:paraId="0F1DA058">
            <w:pPr>
              <w:pStyle w:val="83"/>
              <w:spacing w:after="0" w:line="400" w:lineRule="exact"/>
              <w:ind w:firstLine="420" w:firstLineChars="20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（1）符合全新产品出厂包装及运输要求标准。</w:t>
            </w:r>
          </w:p>
          <w:p w14:paraId="7E9D113A">
            <w:pPr>
              <w:pStyle w:val="83"/>
              <w:spacing w:after="0" w:line="400" w:lineRule="exact"/>
              <w:ind w:firstLine="420" w:firstLineChars="20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（2）原厂原包装，包装完好、完整无破损、未开封。</w:t>
            </w:r>
          </w:p>
          <w:p w14:paraId="6AAAE64A">
            <w:pPr>
              <w:pStyle w:val="83"/>
              <w:spacing w:after="0" w:line="400" w:lineRule="exact"/>
              <w:ind w:firstLine="420" w:firstLineChars="20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（3）包装及运输方式应综合考虑运输距离、防潮、防震、防锈和防破损装卸等要求。</w:t>
            </w:r>
          </w:p>
          <w:p w14:paraId="3951876A">
            <w:pPr>
              <w:pStyle w:val="83"/>
              <w:spacing w:after="0" w:line="400" w:lineRule="exact"/>
              <w:ind w:firstLine="420" w:firstLineChars="20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（4）国家对包装及运输有相关强制性标准或要求的，供应商应当执行。</w:t>
            </w:r>
          </w:p>
          <w:p w14:paraId="07C4C1E1">
            <w:pPr>
              <w:pStyle w:val="83"/>
              <w:spacing w:after="0" w:line="400" w:lineRule="exact"/>
              <w:ind w:firstLine="420" w:firstLineChars="200"/>
              <w:rPr>
                <w:rFonts w:hint="eastAsia" w:ascii="宋体" w:hAnsi="宋体" w:eastAsia="宋体" w:cs="宋体"/>
                <w:color w:val="auto"/>
                <w:kern w:val="2"/>
                <w:sz w:val="21"/>
                <w:szCs w:val="21"/>
                <w:lang w:eastAsia="zh-CN"/>
              </w:rPr>
            </w:pPr>
            <w:r>
              <w:rPr>
                <w:rFonts w:hint="eastAsia" w:ascii="宋体" w:hAnsi="宋体" w:eastAsia="宋体" w:cs="宋体"/>
                <w:color w:val="auto"/>
                <w:sz w:val="21"/>
                <w:szCs w:val="21"/>
                <w:lang w:eastAsia="zh-CN"/>
              </w:rPr>
              <w:t>（5）产品(含包装)运抵采购人指定交付地点前发生损坏的，相关损失由供应商自行承担。</w:t>
            </w:r>
          </w:p>
        </w:tc>
      </w:tr>
      <w:tr w14:paraId="2FF27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0" w:type="dxa"/>
            <w:gridSpan w:val="3"/>
            <w:vAlign w:val="center"/>
          </w:tcPr>
          <w:p w14:paraId="3CD494BC">
            <w:pPr>
              <w:spacing w:line="400" w:lineRule="exact"/>
              <w:jc w:val="center"/>
              <w:rPr>
                <w:rFonts w:hint="eastAsia" w:ascii="宋体" w:hAnsi="宋体" w:eastAsia="宋体" w:cs="宋体"/>
                <w:color w:val="auto"/>
                <w:sz w:val="21"/>
                <w:szCs w:val="21"/>
                <w:lang w:eastAsia="en-US"/>
              </w:rPr>
            </w:pPr>
            <w:r>
              <w:rPr>
                <w:rFonts w:hint="eastAsia" w:ascii="宋体" w:hAnsi="宋体" w:eastAsia="宋体" w:cs="宋体"/>
                <w:color w:val="auto"/>
                <w:sz w:val="21"/>
                <w:szCs w:val="21"/>
              </w:rPr>
              <w:t>保险</w:t>
            </w:r>
          </w:p>
        </w:tc>
        <w:tc>
          <w:tcPr>
            <w:tcW w:w="7307" w:type="dxa"/>
            <w:gridSpan w:val="2"/>
          </w:tcPr>
          <w:p w14:paraId="425AC989">
            <w:pPr>
              <w:pStyle w:val="83"/>
              <w:spacing w:after="0" w:line="400" w:lineRule="exact"/>
              <w:ind w:firstLine="420" w:firstLineChars="200"/>
              <w:rPr>
                <w:rFonts w:hint="eastAsia" w:ascii="宋体" w:hAnsi="宋体" w:eastAsia="宋体" w:cs="宋体"/>
                <w:color w:val="auto"/>
                <w:kern w:val="2"/>
                <w:sz w:val="21"/>
                <w:szCs w:val="21"/>
                <w:lang w:eastAsia="zh-CN"/>
              </w:rPr>
            </w:pPr>
            <w:r>
              <w:rPr>
                <w:rFonts w:hint="eastAsia" w:ascii="宋体" w:hAnsi="宋体" w:eastAsia="宋体" w:cs="宋体"/>
                <w:color w:val="auto"/>
                <w:sz w:val="21"/>
                <w:szCs w:val="21"/>
                <w:lang w:eastAsia="zh-CN"/>
              </w:rPr>
              <w:t>若供应商为本项目标的及标的涉及的相关材料、设备、人员、运输等购买保险的，相关费用由供应商自行承担。</w:t>
            </w:r>
          </w:p>
        </w:tc>
      </w:tr>
      <w:tr w14:paraId="7B72C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0" w:type="dxa"/>
            <w:gridSpan w:val="3"/>
            <w:vAlign w:val="center"/>
          </w:tcPr>
          <w:p w14:paraId="0342CA3C">
            <w:pPr>
              <w:spacing w:line="400" w:lineRule="exact"/>
              <w:jc w:val="center"/>
              <w:rPr>
                <w:rFonts w:hint="eastAsia" w:ascii="宋体" w:hAnsi="宋体" w:eastAsia="宋体" w:cs="宋体"/>
                <w:color w:val="auto"/>
                <w:sz w:val="21"/>
                <w:szCs w:val="21"/>
                <w:lang w:eastAsia="en-US"/>
              </w:rPr>
            </w:pPr>
            <w:r>
              <w:rPr>
                <w:rFonts w:hint="eastAsia" w:ascii="宋体" w:hAnsi="宋体" w:eastAsia="宋体" w:cs="宋体"/>
                <w:color w:val="auto"/>
                <w:sz w:val="21"/>
                <w:szCs w:val="21"/>
              </w:rPr>
              <w:t>验收标准</w:t>
            </w:r>
          </w:p>
        </w:tc>
        <w:tc>
          <w:tcPr>
            <w:tcW w:w="7307" w:type="dxa"/>
            <w:gridSpan w:val="2"/>
          </w:tcPr>
          <w:p w14:paraId="345504AA">
            <w:pPr>
              <w:pStyle w:val="83"/>
              <w:spacing w:after="0" w:line="400" w:lineRule="exact"/>
              <w:ind w:firstLine="420" w:firstLineChars="200"/>
              <w:rPr>
                <w:rFonts w:hint="eastAsia" w:ascii="宋体" w:hAnsi="宋体" w:eastAsia="宋体" w:cs="宋体"/>
                <w:color w:val="auto"/>
                <w:kern w:val="2"/>
                <w:sz w:val="21"/>
                <w:szCs w:val="21"/>
                <w:lang w:eastAsia="zh-CN"/>
              </w:rPr>
            </w:pPr>
            <w:r>
              <w:rPr>
                <w:rFonts w:hint="eastAsia" w:ascii="宋体" w:hAnsi="宋体" w:eastAsia="宋体" w:cs="宋体"/>
                <w:color w:val="auto"/>
                <w:sz w:val="21"/>
                <w:szCs w:val="21"/>
                <w:lang w:eastAsia="zh-CN"/>
              </w:rPr>
              <w:t>▲</w:t>
            </w:r>
            <w:r>
              <w:rPr>
                <w:rFonts w:hint="eastAsia" w:ascii="宋体" w:hAnsi="宋体" w:eastAsia="宋体" w:cs="宋体"/>
                <w:color w:val="auto"/>
                <w:kern w:val="2"/>
                <w:sz w:val="21"/>
                <w:szCs w:val="21"/>
                <w:lang w:eastAsia="zh-CN"/>
              </w:rPr>
              <w:t>1.货物安装完成正常运行 7 天后，由</w:t>
            </w:r>
            <w:r>
              <w:rPr>
                <w:rFonts w:hint="eastAsia" w:ascii="宋体" w:hAnsi="宋体" w:eastAsia="宋体" w:cs="宋体"/>
                <w:color w:val="auto"/>
                <w:kern w:val="2"/>
                <w:sz w:val="21"/>
                <w:szCs w:val="21"/>
                <w:lang w:val="en-US" w:eastAsia="zh-CN"/>
              </w:rPr>
              <w:t>成交供应商</w:t>
            </w:r>
            <w:r>
              <w:rPr>
                <w:rFonts w:hint="eastAsia" w:ascii="宋体" w:hAnsi="宋体" w:eastAsia="宋体" w:cs="宋体"/>
                <w:color w:val="auto"/>
                <w:kern w:val="2"/>
                <w:sz w:val="21"/>
                <w:szCs w:val="21"/>
                <w:lang w:eastAsia="zh-CN"/>
              </w:rPr>
              <w:t>提出验收申请，</w:t>
            </w:r>
            <w:r>
              <w:rPr>
                <w:rFonts w:hint="eastAsia" w:ascii="宋体" w:hAnsi="宋体" w:eastAsia="宋体" w:cs="宋体"/>
                <w:color w:val="auto"/>
                <w:kern w:val="2"/>
                <w:sz w:val="21"/>
                <w:szCs w:val="21"/>
                <w:lang w:val="en-US" w:eastAsia="zh-CN"/>
              </w:rPr>
              <w:t>采购人</w:t>
            </w:r>
            <w:r>
              <w:rPr>
                <w:rFonts w:hint="eastAsia" w:ascii="宋体" w:hAnsi="宋体" w:eastAsia="宋体" w:cs="宋体"/>
                <w:color w:val="auto"/>
                <w:kern w:val="2"/>
                <w:sz w:val="21"/>
                <w:szCs w:val="21"/>
                <w:lang w:eastAsia="zh-CN"/>
              </w:rPr>
              <w:t>同意后，按照采购人验收的权限，相关部门及人员形成验收小组，验收小组根据采购文件、响应文件、合同等项目文件约定内容对项目进行综合运行验收。</w:t>
            </w:r>
          </w:p>
          <w:p w14:paraId="3CA0AF53">
            <w:pPr>
              <w:pStyle w:val="83"/>
              <w:spacing w:after="0" w:line="400" w:lineRule="exact"/>
              <w:ind w:firstLine="420" w:firstLineChars="200"/>
              <w:rPr>
                <w:rFonts w:hint="eastAsia" w:ascii="宋体" w:hAnsi="宋体" w:eastAsia="宋体" w:cs="宋体"/>
                <w:color w:val="auto"/>
                <w:kern w:val="2"/>
                <w:sz w:val="21"/>
                <w:szCs w:val="21"/>
                <w:lang w:eastAsia="zh-CN"/>
              </w:rPr>
            </w:pPr>
            <w:r>
              <w:rPr>
                <w:rFonts w:hint="eastAsia" w:ascii="宋体" w:hAnsi="宋体" w:eastAsia="宋体" w:cs="宋体"/>
                <w:color w:val="auto"/>
                <w:sz w:val="21"/>
                <w:szCs w:val="21"/>
                <w:lang w:eastAsia="zh-CN"/>
              </w:rPr>
              <w:t>▲</w:t>
            </w:r>
            <w:r>
              <w:rPr>
                <w:rFonts w:hint="eastAsia" w:ascii="宋体" w:hAnsi="宋体" w:eastAsia="宋体" w:cs="宋体"/>
                <w:color w:val="auto"/>
                <w:kern w:val="2"/>
                <w:sz w:val="21"/>
                <w:szCs w:val="21"/>
                <w:lang w:eastAsia="zh-CN"/>
              </w:rPr>
              <w:t>2.如验收达不到要求，采购人有权要求更换货物或拒绝付款，成交供应商若违约，采购人将依法追究相应法律责任。</w:t>
            </w:r>
          </w:p>
        </w:tc>
      </w:tr>
      <w:tr w14:paraId="78796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0" w:type="dxa"/>
            <w:gridSpan w:val="3"/>
            <w:vAlign w:val="center"/>
          </w:tcPr>
          <w:p w14:paraId="7DE8ACB9">
            <w:pPr>
              <w:spacing w:line="400" w:lineRule="exact"/>
              <w:jc w:val="center"/>
              <w:rPr>
                <w:rFonts w:hint="eastAsia" w:ascii="宋体" w:hAnsi="宋体" w:eastAsia="宋体" w:cs="宋体"/>
                <w:color w:val="auto"/>
                <w:sz w:val="21"/>
                <w:szCs w:val="21"/>
                <w:lang w:eastAsia="en-US"/>
              </w:rPr>
            </w:pPr>
            <w:r>
              <w:rPr>
                <w:rFonts w:hint="eastAsia" w:ascii="宋体" w:hAnsi="宋体" w:eastAsia="宋体" w:cs="宋体"/>
                <w:color w:val="auto"/>
                <w:sz w:val="21"/>
                <w:szCs w:val="21"/>
              </w:rPr>
              <w:t>知识产权</w:t>
            </w:r>
          </w:p>
        </w:tc>
        <w:tc>
          <w:tcPr>
            <w:tcW w:w="7307" w:type="dxa"/>
            <w:gridSpan w:val="2"/>
          </w:tcPr>
          <w:p w14:paraId="62372453">
            <w:pPr>
              <w:pStyle w:val="83"/>
              <w:spacing w:after="0" w:line="400" w:lineRule="exact"/>
              <w:ind w:firstLine="420" w:firstLineChars="200"/>
              <w:rPr>
                <w:rFonts w:hint="eastAsia" w:ascii="宋体" w:hAnsi="宋体" w:eastAsia="宋体" w:cs="宋体"/>
                <w:color w:val="auto"/>
                <w:kern w:val="2"/>
                <w:sz w:val="21"/>
                <w:szCs w:val="21"/>
                <w:lang w:eastAsia="zh-CN"/>
              </w:rPr>
            </w:pPr>
            <w:r>
              <w:rPr>
                <w:rFonts w:hint="eastAsia" w:ascii="宋体" w:hAnsi="宋体" w:eastAsia="宋体" w:cs="宋体"/>
                <w:color w:val="auto"/>
                <w:sz w:val="21"/>
                <w:szCs w:val="21"/>
                <w:lang w:eastAsia="zh-CN"/>
              </w:rPr>
              <w:t>供应商保证所提供的产品及服务涉及到的知识产权和相关技术资料 是合法取得的，采购人在使用产品及服务时不会侵犯任何第三方的专利权、商标权、工业设计权或其他权利，不会因为采购人的使用遭受第三方侵权指控，包括被责令致歉、停止使用、追偿或要求赔偿损失等。否则，供应商负责解决由此引起的一切纠纷，采购人有权追究供应商的法律责任，其不利后果由供应商全部承担。</w:t>
            </w:r>
          </w:p>
        </w:tc>
      </w:tr>
      <w:tr w14:paraId="3AAD4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0" w:type="dxa"/>
            <w:gridSpan w:val="3"/>
            <w:vAlign w:val="center"/>
          </w:tcPr>
          <w:p w14:paraId="653F921D">
            <w:pPr>
              <w:spacing w:line="4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其他要求</w:t>
            </w:r>
          </w:p>
        </w:tc>
        <w:tc>
          <w:tcPr>
            <w:tcW w:w="7307" w:type="dxa"/>
            <w:gridSpan w:val="2"/>
          </w:tcPr>
          <w:p w14:paraId="52D54A76">
            <w:pPr>
              <w:spacing w:line="400" w:lineRule="exact"/>
              <w:ind w:firstLine="420" w:firstLineChars="200"/>
              <w:jc w:val="left"/>
              <w:rPr>
                <w:rFonts w:hint="eastAsia" w:ascii="宋体" w:hAnsi="宋体" w:eastAsia="宋体" w:cs="宋体"/>
                <w:color w:val="auto"/>
                <w:sz w:val="21"/>
                <w:szCs w:val="21"/>
              </w:rPr>
            </w:pPr>
            <w:r>
              <w:rPr>
                <w:rFonts w:hint="eastAsia" w:ascii="宋体" w:hAnsi="宋体" w:eastAsia="宋体" w:cs="宋体"/>
                <w:color w:val="auto"/>
                <w:sz w:val="21"/>
                <w:szCs w:val="21"/>
              </w:rPr>
              <w:t>1.报价包括产品价格、运输费（含装卸费）、随配附件、备品备件、专用工具、包装、保险、运抵指定交货地点、送货上门服务、现场安装调试、保修、产品检测费等各种费用和售后服务、培训、税金及其他所有本项目所涉及费用的总和。如采购文件对其另有规定的，从其规定。</w:t>
            </w:r>
          </w:p>
          <w:p w14:paraId="5B96683B">
            <w:pPr>
              <w:pStyle w:val="4"/>
              <w:spacing w:before="0" w:beforeAutospacing="0" w:after="0" w:afterAutospacing="0" w:line="400" w:lineRule="exact"/>
              <w:ind w:firstLine="420" w:firstLineChars="200"/>
              <w:rPr>
                <w:rFonts w:hint="eastAsia" w:ascii="宋体" w:hAnsi="宋体" w:eastAsia="宋体" w:cs="宋体"/>
                <w:b w:val="0"/>
                <w:color w:val="auto"/>
                <w:kern w:val="2"/>
                <w:sz w:val="21"/>
                <w:szCs w:val="21"/>
              </w:rPr>
            </w:pPr>
            <w:r>
              <w:rPr>
                <w:rFonts w:hint="eastAsia" w:ascii="宋体" w:hAnsi="宋体" w:eastAsia="宋体" w:cs="宋体"/>
                <w:b w:val="0"/>
                <w:color w:val="auto"/>
                <w:kern w:val="2"/>
                <w:sz w:val="21"/>
                <w:szCs w:val="21"/>
              </w:rPr>
              <w:t>2.成交供应商向采购人提供的货物必须是全新的原装产品。</w:t>
            </w:r>
          </w:p>
          <w:p w14:paraId="342997B2">
            <w:pPr>
              <w:pStyle w:val="83"/>
              <w:spacing w:after="0" w:line="400" w:lineRule="exact"/>
              <w:ind w:firstLine="420" w:firstLineChars="200"/>
              <w:rPr>
                <w:rFonts w:hint="eastAsia" w:ascii="宋体" w:hAnsi="宋体" w:eastAsia="宋体" w:cs="宋体"/>
                <w:color w:val="auto"/>
                <w:sz w:val="21"/>
                <w:szCs w:val="21"/>
                <w:lang w:eastAsia="zh-CN"/>
              </w:rPr>
            </w:pPr>
            <w:r>
              <w:rPr>
                <w:rFonts w:hint="eastAsia" w:ascii="宋体" w:hAnsi="宋体" w:eastAsia="宋体" w:cs="宋体"/>
                <w:color w:val="auto"/>
                <w:kern w:val="2"/>
                <w:sz w:val="21"/>
                <w:szCs w:val="21"/>
                <w:lang w:eastAsia="zh-CN"/>
              </w:rPr>
              <w:t>3.在正常安装、使用过程中，凡是因产品质量问题所造成采购人损失的，成交供应商负责赔偿采购人的一切经济损失。</w:t>
            </w:r>
          </w:p>
        </w:tc>
      </w:tr>
      <w:tr w14:paraId="44D10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7" w:type="dxa"/>
            <w:gridSpan w:val="5"/>
            <w:vAlign w:val="center"/>
          </w:tcPr>
          <w:p w14:paraId="25D36272">
            <w:pPr>
              <w:tabs>
                <w:tab w:val="left" w:pos="180"/>
                <w:tab w:val="left" w:pos="1620"/>
              </w:tabs>
              <w:spacing w:line="400" w:lineRule="exact"/>
              <w:jc w:val="left"/>
              <w:rPr>
                <w:rFonts w:hint="eastAsia" w:ascii="宋体" w:hAnsi="宋体" w:eastAsia="宋体" w:cs="宋体"/>
                <w:b/>
                <w:color w:val="auto"/>
                <w:sz w:val="21"/>
                <w:szCs w:val="21"/>
              </w:rPr>
            </w:pPr>
            <w:r>
              <w:rPr>
                <w:rFonts w:hint="eastAsia" w:ascii="宋体" w:hAnsi="宋体" w:eastAsia="宋体" w:cs="宋体"/>
                <w:b/>
                <w:color w:val="auto"/>
                <w:sz w:val="21"/>
                <w:szCs w:val="21"/>
              </w:rPr>
              <w:t>二、</w:t>
            </w:r>
            <w:r>
              <w:rPr>
                <w:rFonts w:hint="eastAsia" w:ascii="宋体" w:hAnsi="宋体" w:eastAsia="宋体" w:cs="宋体"/>
                <w:b/>
                <w:color w:val="auto"/>
                <w:kern w:val="0"/>
                <w:sz w:val="21"/>
                <w:szCs w:val="21"/>
              </w:rPr>
              <w:t>谈判小组根据与供应商谈判情况可能实质性变动的内容</w:t>
            </w:r>
            <w:r>
              <w:rPr>
                <w:rFonts w:hint="eastAsia" w:ascii="宋体" w:hAnsi="宋体" w:eastAsia="宋体" w:cs="宋体"/>
                <w:b/>
                <w:color w:val="auto"/>
                <w:sz w:val="21"/>
                <w:szCs w:val="21"/>
              </w:rPr>
              <w:t xml:space="preserve">： </w:t>
            </w:r>
          </w:p>
          <w:p w14:paraId="39747C4B">
            <w:pPr>
              <w:tabs>
                <w:tab w:val="left" w:pos="180"/>
                <w:tab w:val="left" w:pos="1620"/>
              </w:tabs>
              <w:spacing w:line="400" w:lineRule="exact"/>
              <w:jc w:val="left"/>
              <w:rPr>
                <w:rFonts w:hint="eastAsia" w:ascii="宋体" w:hAnsi="宋体" w:eastAsia="宋体" w:cs="宋体"/>
                <w:color w:val="auto"/>
                <w:sz w:val="21"/>
                <w:szCs w:val="21"/>
              </w:rPr>
            </w:pPr>
            <w:r>
              <w:rPr>
                <w:rFonts w:hint="eastAsia" w:ascii="宋体" w:hAnsi="宋体" w:eastAsia="宋体" w:cs="宋体"/>
                <w:color w:val="auto"/>
                <w:sz w:val="21"/>
                <w:szCs w:val="21"/>
              </w:rPr>
              <w:t>谈判小组可与各供应商围绕报价、交付进度安排、质保服务细则等商务及实施方案内容开展谈判。</w:t>
            </w:r>
          </w:p>
        </w:tc>
      </w:tr>
    </w:tbl>
    <w:p w14:paraId="2292BED4">
      <w:pPr>
        <w:pStyle w:val="36"/>
        <w:rPr>
          <w:color w:val="auto"/>
          <w:sz w:val="44"/>
          <w:szCs w:val="44"/>
        </w:rPr>
      </w:pPr>
      <w:bookmarkStart w:id="42" w:name="_Toc476258665"/>
      <w:r>
        <w:rPr>
          <w:rFonts w:hint="eastAsia"/>
          <w:color w:val="auto"/>
          <w:sz w:val="44"/>
          <w:szCs w:val="44"/>
        </w:rPr>
        <w:br w:type="page"/>
      </w:r>
      <w:bookmarkStart w:id="43" w:name="_Toc12867"/>
      <w:r>
        <w:rPr>
          <w:rFonts w:hint="eastAsia"/>
          <w:color w:val="auto"/>
          <w:sz w:val="44"/>
          <w:szCs w:val="44"/>
        </w:rPr>
        <w:t>第四章  竞争性谈判响应文件格式</w:t>
      </w:r>
      <w:bookmarkEnd w:id="42"/>
      <w:bookmarkEnd w:id="43"/>
    </w:p>
    <w:p w14:paraId="72AF7ECA">
      <w:pPr>
        <w:spacing w:line="500" w:lineRule="exact"/>
        <w:jc w:val="center"/>
        <w:rPr>
          <w:rFonts w:hint="eastAsia" w:ascii="仿宋_GB2312" w:hAnsi="宋体" w:eastAsia="仿宋_GB2312"/>
          <w:b/>
          <w:color w:val="auto"/>
          <w:sz w:val="32"/>
          <w:szCs w:val="32"/>
        </w:rPr>
      </w:pPr>
    </w:p>
    <w:p w14:paraId="519FF8ED">
      <w:pPr>
        <w:spacing w:line="720" w:lineRule="auto"/>
        <w:jc w:val="center"/>
        <w:rPr>
          <w:rFonts w:hint="eastAsia" w:ascii="宋体" w:hAnsi="宋体"/>
          <w:b/>
          <w:bCs/>
          <w:color w:val="auto"/>
          <w:sz w:val="30"/>
          <w:szCs w:val="30"/>
        </w:rPr>
      </w:pPr>
      <w:r>
        <w:rPr>
          <w:rFonts w:hint="eastAsia" w:ascii="宋体" w:hAnsi="宋体"/>
          <w:b/>
          <w:bCs/>
          <w:color w:val="auto"/>
          <w:sz w:val="30"/>
          <w:szCs w:val="30"/>
        </w:rPr>
        <w:t>一、</w:t>
      </w:r>
      <w:r>
        <w:rPr>
          <w:rFonts w:hint="eastAsia"/>
          <w:b/>
          <w:color w:val="auto"/>
          <w:sz w:val="30"/>
          <w:szCs w:val="30"/>
        </w:rPr>
        <w:t>竞争性谈判响应文件</w:t>
      </w:r>
      <w:r>
        <w:rPr>
          <w:rFonts w:hint="eastAsia" w:ascii="宋体" w:hAnsi="宋体"/>
          <w:b/>
          <w:bCs/>
          <w:color w:val="auto"/>
          <w:sz w:val="30"/>
          <w:szCs w:val="30"/>
        </w:rPr>
        <w:t>格式</w:t>
      </w:r>
    </w:p>
    <w:p w14:paraId="011D8B85">
      <w:pPr>
        <w:spacing w:line="240" w:lineRule="atLeast"/>
        <w:rPr>
          <w:rFonts w:hint="eastAsia" w:ascii="仿宋_GB2312" w:hAnsi="宋体" w:eastAsia="仿宋_GB2312"/>
          <w:b/>
          <w:color w:val="auto"/>
          <w:sz w:val="32"/>
          <w:szCs w:val="32"/>
          <w:u w:val="single"/>
        </w:rPr>
      </w:pPr>
    </w:p>
    <w:p w14:paraId="657E249D">
      <w:pPr>
        <w:spacing w:line="240" w:lineRule="atLeast"/>
        <w:rPr>
          <w:rFonts w:hint="eastAsia" w:ascii="仿宋_GB2312" w:hAnsi="宋体" w:eastAsia="仿宋_GB2312"/>
          <w:b/>
          <w:color w:val="auto"/>
          <w:sz w:val="32"/>
          <w:szCs w:val="32"/>
        </w:rPr>
      </w:pPr>
    </w:p>
    <w:p w14:paraId="334F76D3">
      <w:pPr>
        <w:snapToGrid w:val="0"/>
        <w:spacing w:before="156" w:beforeLines="50" w:after="50" w:line="360" w:lineRule="exact"/>
        <w:ind w:left="8400" w:hanging="8400" w:hangingChars="3000"/>
        <w:rPr>
          <w:rFonts w:hint="eastAsia" w:ascii="仿宋_GB2312" w:hAnsi="宋体" w:eastAsia="仿宋_GB2312"/>
          <w:bCs/>
          <w:color w:val="auto"/>
          <w:sz w:val="28"/>
          <w:szCs w:val="28"/>
        </w:rPr>
      </w:pPr>
    </w:p>
    <w:p w14:paraId="0A8E4F27">
      <w:pPr>
        <w:snapToGrid w:val="0"/>
        <w:spacing w:before="156" w:beforeLines="50" w:after="50" w:line="360" w:lineRule="exact"/>
        <w:jc w:val="center"/>
        <w:rPr>
          <w:rFonts w:hint="eastAsia" w:ascii="仿宋_GB2312" w:hAnsi="宋体" w:eastAsia="仿宋_GB2312"/>
          <w:bCs/>
          <w:color w:val="auto"/>
          <w:sz w:val="24"/>
        </w:rPr>
      </w:pPr>
      <w:r>
        <w:rPr>
          <w:rFonts w:hint="eastAsia" w:ascii="仿宋_GB2312" w:hAnsi="宋体" w:eastAsia="仿宋_GB2312"/>
          <w:b/>
          <w:color w:val="auto"/>
          <w:sz w:val="44"/>
          <w:szCs w:val="44"/>
        </w:rPr>
        <w:t>竞争性谈判响应文件</w:t>
      </w:r>
    </w:p>
    <w:p w14:paraId="107F3E1F">
      <w:pPr>
        <w:spacing w:line="500" w:lineRule="exact"/>
        <w:ind w:firstLine="420" w:firstLineChars="200"/>
        <w:rPr>
          <w:rFonts w:hint="eastAsia" w:ascii="宋体" w:hAnsi="宋体"/>
          <w:color w:val="auto"/>
          <w:szCs w:val="21"/>
        </w:rPr>
      </w:pPr>
    </w:p>
    <w:p w14:paraId="7C7EF284">
      <w:pPr>
        <w:spacing w:line="500" w:lineRule="exact"/>
        <w:ind w:firstLine="420" w:firstLineChars="200"/>
        <w:rPr>
          <w:rFonts w:hint="eastAsia" w:ascii="宋体" w:hAnsi="宋体"/>
          <w:color w:val="auto"/>
          <w:szCs w:val="21"/>
        </w:rPr>
      </w:pPr>
    </w:p>
    <w:p w14:paraId="2D2AA831">
      <w:pPr>
        <w:spacing w:line="500" w:lineRule="exact"/>
        <w:ind w:firstLine="420" w:firstLineChars="200"/>
        <w:rPr>
          <w:rFonts w:hint="eastAsia" w:ascii="宋体" w:hAnsi="宋体"/>
          <w:color w:val="auto"/>
          <w:szCs w:val="21"/>
        </w:rPr>
      </w:pPr>
    </w:p>
    <w:p w14:paraId="58832B8D">
      <w:pPr>
        <w:spacing w:line="600" w:lineRule="auto"/>
        <w:ind w:firstLine="420" w:firstLineChars="200"/>
        <w:jc w:val="left"/>
        <w:rPr>
          <w:rFonts w:hint="eastAsia" w:ascii="宋体" w:hAnsi="宋体"/>
          <w:color w:val="auto"/>
          <w:sz w:val="28"/>
          <w:szCs w:val="28"/>
          <w:u w:val="single"/>
        </w:rPr>
      </w:pPr>
      <w:r>
        <w:rPr>
          <w:rFonts w:hint="eastAsia" w:ascii="宋体" w:hAnsi="宋体"/>
          <w:color w:val="auto"/>
          <w:szCs w:val="21"/>
        </w:rPr>
        <w:t xml:space="preserve">        </w:t>
      </w:r>
      <w:r>
        <w:rPr>
          <w:rFonts w:hint="eastAsia" w:ascii="宋体" w:hAnsi="宋体"/>
          <w:color w:val="auto"/>
          <w:sz w:val="28"/>
          <w:szCs w:val="28"/>
        </w:rPr>
        <w:t xml:space="preserve"> 采购项目名称：</w:t>
      </w:r>
      <w:r>
        <w:rPr>
          <w:rFonts w:hint="eastAsia" w:ascii="宋体" w:hAnsi="宋体"/>
          <w:color w:val="auto"/>
          <w:sz w:val="28"/>
          <w:szCs w:val="28"/>
          <w:u w:val="single"/>
        </w:rPr>
        <w:t xml:space="preserve">                          </w:t>
      </w:r>
    </w:p>
    <w:p w14:paraId="3B2AB290">
      <w:pPr>
        <w:spacing w:line="600" w:lineRule="auto"/>
        <w:rPr>
          <w:color w:val="auto"/>
        </w:rPr>
      </w:pPr>
      <w:r>
        <w:rPr>
          <w:rFonts w:hint="eastAsia"/>
          <w:color w:val="auto"/>
        </w:rPr>
        <w:t xml:space="preserve"> </w:t>
      </w:r>
      <w:r>
        <w:rPr>
          <w:rFonts w:hint="eastAsia" w:ascii="宋体" w:hAnsi="宋体"/>
          <w:color w:val="auto"/>
          <w:sz w:val="28"/>
          <w:szCs w:val="28"/>
        </w:rPr>
        <w:t xml:space="preserve">         采购项目编号：</w:t>
      </w:r>
      <w:r>
        <w:rPr>
          <w:rFonts w:hint="eastAsia" w:ascii="宋体" w:hAnsi="宋体"/>
          <w:color w:val="auto"/>
          <w:sz w:val="28"/>
          <w:szCs w:val="28"/>
          <w:u w:val="single"/>
        </w:rPr>
        <w:t xml:space="preserve">    </w:t>
      </w:r>
      <w:r>
        <w:rPr>
          <w:rFonts w:hint="eastAsia"/>
          <w:color w:val="auto"/>
          <w:u w:val="single"/>
        </w:rPr>
        <w:t xml:space="preserve">                             </w:t>
      </w:r>
    </w:p>
    <w:p w14:paraId="70111F31">
      <w:pPr>
        <w:spacing w:line="600" w:lineRule="auto"/>
        <w:ind w:firstLine="560" w:firstLineChars="200"/>
        <w:rPr>
          <w:rFonts w:hint="eastAsia" w:ascii="宋体" w:hAnsi="宋体"/>
          <w:color w:val="auto"/>
          <w:sz w:val="28"/>
          <w:szCs w:val="28"/>
          <w:u w:val="single"/>
        </w:rPr>
      </w:pPr>
      <w:r>
        <w:rPr>
          <w:rFonts w:hint="eastAsia"/>
          <w:bCs/>
          <w:color w:val="auto"/>
          <w:sz w:val="28"/>
          <w:szCs w:val="28"/>
        </w:rPr>
        <w:t xml:space="preserve">      分标号（如有）</w:t>
      </w:r>
      <w:r>
        <w:rPr>
          <w:rFonts w:hint="eastAsia" w:ascii="宋体" w:hAnsi="宋体"/>
          <w:color w:val="auto"/>
          <w:sz w:val="28"/>
          <w:szCs w:val="28"/>
        </w:rPr>
        <w:t>：</w:t>
      </w:r>
      <w:r>
        <w:rPr>
          <w:rFonts w:hint="eastAsia" w:ascii="宋体" w:hAnsi="宋体"/>
          <w:color w:val="auto"/>
          <w:sz w:val="28"/>
          <w:szCs w:val="28"/>
          <w:u w:val="single"/>
        </w:rPr>
        <w:t xml:space="preserve">                         </w:t>
      </w:r>
    </w:p>
    <w:p w14:paraId="5BE695AF">
      <w:pPr>
        <w:snapToGrid w:val="0"/>
        <w:spacing w:before="156" w:beforeLines="50" w:after="50" w:line="600" w:lineRule="auto"/>
        <w:ind w:firstLine="560" w:firstLineChars="200"/>
        <w:rPr>
          <w:rFonts w:hint="eastAsia" w:ascii="宋体" w:hAnsi="宋体"/>
          <w:bCs/>
          <w:color w:val="auto"/>
          <w:sz w:val="28"/>
          <w:szCs w:val="28"/>
        </w:rPr>
      </w:pPr>
      <w:r>
        <w:rPr>
          <w:rFonts w:hint="eastAsia" w:ascii="宋体" w:hAnsi="宋体"/>
          <w:color w:val="auto"/>
          <w:sz w:val="28"/>
          <w:szCs w:val="28"/>
        </w:rPr>
        <w:t xml:space="preserve">      谈判供应商名称</w:t>
      </w:r>
      <w:r>
        <w:rPr>
          <w:rFonts w:hint="eastAsia" w:ascii="宋体" w:hAnsi="宋体"/>
          <w:bCs/>
          <w:color w:val="auto"/>
          <w:sz w:val="28"/>
          <w:szCs w:val="28"/>
        </w:rPr>
        <w:t>：</w:t>
      </w:r>
      <w:r>
        <w:rPr>
          <w:rFonts w:hint="eastAsia" w:ascii="宋体" w:hAnsi="宋体"/>
          <w:color w:val="auto"/>
          <w:sz w:val="28"/>
          <w:szCs w:val="28"/>
          <w:u w:val="single"/>
        </w:rPr>
        <w:t xml:space="preserve">                        </w:t>
      </w:r>
    </w:p>
    <w:p w14:paraId="38093038">
      <w:pPr>
        <w:spacing w:line="500" w:lineRule="exact"/>
        <w:jc w:val="center"/>
        <w:rPr>
          <w:rFonts w:hint="eastAsia" w:ascii="宋体" w:hAnsi="宋体"/>
          <w:color w:val="auto"/>
          <w:szCs w:val="21"/>
        </w:rPr>
      </w:pPr>
      <w:r>
        <w:rPr>
          <w:rFonts w:hint="eastAsia" w:ascii="仿宋_GB2312" w:hAnsi="宋体" w:eastAsia="仿宋_GB2312"/>
          <w:color w:val="auto"/>
          <w:sz w:val="24"/>
        </w:rPr>
        <w:t xml:space="preserve">                      </w:t>
      </w:r>
    </w:p>
    <w:p w14:paraId="538B9F6C">
      <w:pPr>
        <w:rPr>
          <w:color w:val="auto"/>
          <w:sz w:val="28"/>
          <w:szCs w:val="28"/>
        </w:rPr>
      </w:pPr>
      <w:r>
        <w:rPr>
          <w:rFonts w:hint="eastAsia"/>
          <w:color w:val="auto"/>
        </w:rPr>
        <w:t xml:space="preserve">                                   </w:t>
      </w:r>
      <w:r>
        <w:rPr>
          <w:rFonts w:hint="eastAsia"/>
          <w:color w:val="auto"/>
          <w:sz w:val="28"/>
          <w:szCs w:val="28"/>
        </w:rPr>
        <w:t xml:space="preserve">                     年</w:t>
      </w:r>
      <w:r>
        <w:rPr>
          <w:rFonts w:hint="eastAsia" w:cs="宋体"/>
          <w:color w:val="auto"/>
          <w:sz w:val="28"/>
          <w:szCs w:val="28"/>
        </w:rPr>
        <w:t xml:space="preserve">    </w:t>
      </w:r>
      <w:r>
        <w:rPr>
          <w:rFonts w:hint="eastAsia"/>
          <w:color w:val="auto"/>
          <w:sz w:val="28"/>
          <w:szCs w:val="28"/>
        </w:rPr>
        <w:t>月    日</w:t>
      </w:r>
    </w:p>
    <w:p w14:paraId="2E6FCC3A">
      <w:pPr>
        <w:spacing w:line="520" w:lineRule="exact"/>
        <w:rPr>
          <w:rFonts w:hint="eastAsia" w:ascii="宋体" w:hAnsi="宋体"/>
          <w:color w:val="auto"/>
          <w:szCs w:val="21"/>
        </w:rPr>
      </w:pPr>
    </w:p>
    <w:p w14:paraId="11FA8652">
      <w:pPr>
        <w:spacing w:line="520" w:lineRule="exact"/>
        <w:ind w:firstLine="3767" w:firstLineChars="1340"/>
        <w:rPr>
          <w:rFonts w:hint="eastAsia" w:ascii="宋体" w:hAnsi="宋体"/>
          <w:b/>
          <w:color w:val="auto"/>
          <w:sz w:val="28"/>
          <w:szCs w:val="28"/>
        </w:rPr>
      </w:pPr>
    </w:p>
    <w:p w14:paraId="52FFA293">
      <w:pPr>
        <w:spacing w:line="520" w:lineRule="exact"/>
        <w:ind w:firstLine="3767" w:firstLineChars="1340"/>
        <w:rPr>
          <w:rFonts w:hint="eastAsia" w:ascii="宋体" w:hAnsi="宋体"/>
          <w:b/>
          <w:color w:val="auto"/>
          <w:sz w:val="28"/>
          <w:szCs w:val="28"/>
        </w:rPr>
      </w:pPr>
    </w:p>
    <w:p w14:paraId="340CB061">
      <w:pPr>
        <w:spacing w:line="520" w:lineRule="exact"/>
        <w:ind w:firstLine="3767" w:firstLineChars="1340"/>
        <w:rPr>
          <w:rFonts w:hint="eastAsia" w:ascii="宋体" w:hAnsi="宋体"/>
          <w:b/>
          <w:color w:val="auto"/>
          <w:sz w:val="28"/>
          <w:szCs w:val="28"/>
        </w:rPr>
      </w:pPr>
    </w:p>
    <w:p w14:paraId="65D73DF2">
      <w:pPr>
        <w:spacing w:line="520" w:lineRule="exact"/>
        <w:ind w:firstLine="3767" w:firstLineChars="1340"/>
        <w:rPr>
          <w:rFonts w:hint="eastAsia" w:ascii="宋体" w:hAnsi="宋体"/>
          <w:b/>
          <w:color w:val="auto"/>
          <w:sz w:val="28"/>
          <w:szCs w:val="28"/>
        </w:rPr>
      </w:pPr>
    </w:p>
    <w:p w14:paraId="0D705C69">
      <w:pPr>
        <w:spacing w:line="720" w:lineRule="auto"/>
        <w:jc w:val="center"/>
        <w:rPr>
          <w:rFonts w:hint="eastAsia" w:ascii="宋体" w:hAnsi="宋体"/>
          <w:b/>
          <w:color w:val="auto"/>
          <w:sz w:val="30"/>
          <w:szCs w:val="30"/>
        </w:rPr>
      </w:pPr>
      <w:r>
        <w:rPr>
          <w:rFonts w:ascii="宋体" w:hAnsi="宋体"/>
          <w:b/>
          <w:color w:val="auto"/>
          <w:sz w:val="30"/>
          <w:szCs w:val="30"/>
        </w:rPr>
        <w:br w:type="page"/>
      </w:r>
      <w:r>
        <w:rPr>
          <w:rFonts w:hint="eastAsia" w:ascii="宋体" w:hAnsi="宋体"/>
          <w:b/>
          <w:color w:val="auto"/>
          <w:sz w:val="30"/>
          <w:szCs w:val="30"/>
        </w:rPr>
        <w:t>二、附  件</w:t>
      </w:r>
    </w:p>
    <w:p w14:paraId="2A95E669">
      <w:pPr>
        <w:spacing w:line="500" w:lineRule="exact"/>
        <w:rPr>
          <w:rFonts w:hint="eastAsia" w:ascii="宋体" w:hAnsi="宋体"/>
          <w:b/>
          <w:color w:val="auto"/>
          <w:szCs w:val="21"/>
        </w:rPr>
      </w:pPr>
      <w:r>
        <w:rPr>
          <w:rFonts w:hint="eastAsia" w:ascii="宋体" w:hAnsi="宋体"/>
          <w:b/>
          <w:color w:val="auto"/>
          <w:szCs w:val="21"/>
        </w:rPr>
        <w:t xml:space="preserve">附件一 </w:t>
      </w:r>
    </w:p>
    <w:p w14:paraId="53B521CF">
      <w:pPr>
        <w:snapToGrid w:val="0"/>
        <w:spacing w:before="50" w:after="156" w:afterLines="50" w:line="360" w:lineRule="auto"/>
        <w:jc w:val="center"/>
        <w:rPr>
          <w:rFonts w:hint="eastAsia" w:ascii="宋体" w:hAnsi="宋体" w:cs="宋体"/>
          <w:b/>
          <w:color w:val="auto"/>
          <w:kern w:val="0"/>
          <w:sz w:val="28"/>
          <w:szCs w:val="28"/>
        </w:rPr>
      </w:pPr>
      <w:r>
        <w:rPr>
          <w:rFonts w:hint="eastAsia" w:ascii="宋体" w:hAnsi="宋体" w:cs="宋体"/>
          <w:b/>
          <w:color w:val="auto"/>
          <w:kern w:val="0"/>
          <w:sz w:val="28"/>
          <w:szCs w:val="28"/>
        </w:rPr>
        <w:t>供应商直接控股股东信息表</w:t>
      </w:r>
    </w:p>
    <w:tbl>
      <w:tblPr>
        <w:tblStyle w:val="39"/>
        <w:tblW w:w="0" w:type="auto"/>
        <w:tblInd w:w="125" w:type="dxa"/>
        <w:shd w:val="clear" w:color="auto" w:fill="FBFBFB"/>
        <w:tblLayout w:type="fixed"/>
        <w:tblCellMar>
          <w:top w:w="0" w:type="dxa"/>
          <w:left w:w="0" w:type="dxa"/>
          <w:bottom w:w="0" w:type="dxa"/>
          <w:right w:w="0" w:type="dxa"/>
        </w:tblCellMar>
      </w:tblPr>
      <w:tblGrid>
        <w:gridCol w:w="828"/>
        <w:gridCol w:w="2269"/>
        <w:gridCol w:w="1239"/>
        <w:gridCol w:w="3722"/>
        <w:gridCol w:w="1418"/>
      </w:tblGrid>
      <w:tr w14:paraId="16528761">
        <w:tblPrEx>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6DEEFF8">
            <w:pPr>
              <w:spacing w:line="360" w:lineRule="auto"/>
              <w:jc w:val="center"/>
              <w:rPr>
                <w:rFonts w:hint="eastAsia" w:ascii="宋体" w:hAnsi="宋体" w:cs="宋体"/>
                <w:b/>
                <w:bCs/>
                <w:color w:val="auto"/>
                <w:kern w:val="0"/>
                <w:szCs w:val="21"/>
              </w:rPr>
            </w:pPr>
            <w:r>
              <w:rPr>
                <w:rFonts w:hint="eastAsia" w:ascii="宋体" w:hAnsi="宋体" w:cs="宋体"/>
                <w:b/>
                <w:bCs/>
                <w:color w:val="auto"/>
                <w:kern w:val="0"/>
                <w:szCs w:val="21"/>
              </w:rPr>
              <w:t>序号</w:t>
            </w:r>
          </w:p>
        </w:tc>
        <w:tc>
          <w:tcPr>
            <w:tcW w:w="226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11A8DAE8">
            <w:pPr>
              <w:spacing w:line="360" w:lineRule="auto"/>
              <w:jc w:val="center"/>
              <w:rPr>
                <w:rFonts w:hint="eastAsia" w:ascii="宋体" w:hAnsi="宋体" w:cs="宋体"/>
                <w:b/>
                <w:bCs/>
                <w:color w:val="auto"/>
                <w:kern w:val="0"/>
                <w:szCs w:val="21"/>
              </w:rPr>
            </w:pPr>
            <w:r>
              <w:rPr>
                <w:rFonts w:hint="eastAsia" w:ascii="宋体" w:hAnsi="宋体" w:cs="宋体"/>
                <w:b/>
                <w:bCs/>
                <w:color w:val="auto"/>
                <w:kern w:val="0"/>
                <w:szCs w:val="21"/>
              </w:rPr>
              <w:t>直接控股股东名称</w:t>
            </w:r>
          </w:p>
        </w:tc>
        <w:tc>
          <w:tcPr>
            <w:tcW w:w="123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15E2B9A5">
            <w:pPr>
              <w:spacing w:line="360" w:lineRule="auto"/>
              <w:jc w:val="center"/>
              <w:rPr>
                <w:rFonts w:hint="eastAsia" w:ascii="宋体" w:hAnsi="宋体" w:cs="宋体"/>
                <w:b/>
                <w:bCs/>
                <w:color w:val="auto"/>
                <w:kern w:val="0"/>
                <w:szCs w:val="21"/>
              </w:rPr>
            </w:pPr>
            <w:r>
              <w:rPr>
                <w:rFonts w:hint="eastAsia" w:ascii="宋体" w:hAnsi="宋体" w:cs="宋体"/>
                <w:b/>
                <w:bCs/>
                <w:color w:val="auto"/>
                <w:kern w:val="0"/>
                <w:szCs w:val="21"/>
              </w:rPr>
              <w:t>出资比例</w:t>
            </w:r>
          </w:p>
        </w:tc>
        <w:tc>
          <w:tcPr>
            <w:tcW w:w="3722"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35F8ADBB">
            <w:pPr>
              <w:spacing w:line="360" w:lineRule="auto"/>
              <w:jc w:val="center"/>
              <w:rPr>
                <w:rFonts w:hint="eastAsia" w:ascii="宋体" w:hAnsi="宋体" w:cs="宋体"/>
                <w:b/>
                <w:bCs/>
                <w:color w:val="auto"/>
                <w:kern w:val="0"/>
                <w:szCs w:val="21"/>
              </w:rPr>
            </w:pPr>
            <w:r>
              <w:rPr>
                <w:rFonts w:hint="eastAsia" w:ascii="宋体" w:hAnsi="宋体" w:cs="宋体"/>
                <w:b/>
                <w:bCs/>
                <w:color w:val="auto"/>
                <w:kern w:val="0"/>
                <w:szCs w:val="21"/>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202DC104">
            <w:pPr>
              <w:spacing w:line="360" w:lineRule="auto"/>
              <w:jc w:val="center"/>
              <w:rPr>
                <w:rFonts w:hint="eastAsia" w:ascii="宋体" w:hAnsi="宋体" w:cs="宋体"/>
                <w:b/>
                <w:bCs/>
                <w:color w:val="auto"/>
                <w:kern w:val="0"/>
                <w:szCs w:val="21"/>
              </w:rPr>
            </w:pPr>
            <w:r>
              <w:rPr>
                <w:rFonts w:hint="eastAsia" w:ascii="宋体" w:hAnsi="宋体" w:cs="宋体"/>
                <w:b/>
                <w:bCs/>
                <w:color w:val="auto"/>
                <w:kern w:val="0"/>
                <w:szCs w:val="21"/>
              </w:rPr>
              <w:t>备注</w:t>
            </w:r>
          </w:p>
        </w:tc>
      </w:tr>
      <w:tr w14:paraId="7A0A5D97">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7204E4E">
            <w:pPr>
              <w:spacing w:line="360" w:lineRule="auto"/>
              <w:jc w:val="center"/>
              <w:rPr>
                <w:rFonts w:hint="eastAsia" w:ascii="宋体" w:hAnsi="宋体" w:cs="宋体"/>
                <w:color w:val="auto"/>
                <w:kern w:val="0"/>
                <w:szCs w:val="21"/>
              </w:rPr>
            </w:pPr>
            <w:r>
              <w:rPr>
                <w:rFonts w:hint="eastAsia" w:ascii="宋体" w:hAnsi="宋体" w:cs="宋体"/>
                <w:color w:val="auto"/>
                <w:kern w:val="0"/>
                <w:szCs w:val="21"/>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D68FDC6">
            <w:pPr>
              <w:spacing w:line="360" w:lineRule="auto"/>
              <w:jc w:val="center"/>
              <w:rPr>
                <w:rFonts w:hint="eastAsia" w:ascii="宋体" w:hAnsi="宋体" w:cs="宋体"/>
                <w:color w:val="auto"/>
                <w:kern w:val="0"/>
                <w:szCs w:val="21"/>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FDC5D16">
            <w:pPr>
              <w:spacing w:line="360" w:lineRule="auto"/>
              <w:jc w:val="center"/>
              <w:rPr>
                <w:rFonts w:hint="eastAsia" w:ascii="宋体" w:hAnsi="宋体" w:cs="宋体"/>
                <w:color w:val="auto"/>
                <w:kern w:val="0"/>
                <w:szCs w:val="21"/>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3EBEBC3">
            <w:pPr>
              <w:spacing w:line="360" w:lineRule="auto"/>
              <w:jc w:val="center"/>
              <w:rPr>
                <w:rFonts w:hint="eastAsia" w:ascii="宋体" w:hAnsi="宋体" w:cs="宋体"/>
                <w:color w:val="auto"/>
                <w:kern w:val="0"/>
                <w:szCs w:val="21"/>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CC0585A">
            <w:pPr>
              <w:spacing w:line="360" w:lineRule="auto"/>
              <w:jc w:val="center"/>
              <w:rPr>
                <w:rFonts w:hint="eastAsia" w:ascii="宋体" w:hAnsi="宋体" w:cs="宋体"/>
                <w:color w:val="auto"/>
                <w:kern w:val="0"/>
                <w:szCs w:val="21"/>
              </w:rPr>
            </w:pPr>
          </w:p>
        </w:tc>
      </w:tr>
      <w:tr w14:paraId="1D090A52">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AB57572">
            <w:pPr>
              <w:spacing w:line="360" w:lineRule="auto"/>
              <w:jc w:val="center"/>
              <w:rPr>
                <w:rFonts w:hint="eastAsia" w:ascii="宋体" w:hAnsi="宋体" w:cs="宋体"/>
                <w:color w:val="auto"/>
                <w:kern w:val="0"/>
                <w:szCs w:val="21"/>
              </w:rPr>
            </w:pPr>
            <w:r>
              <w:rPr>
                <w:rFonts w:hint="eastAsia" w:ascii="宋体" w:hAnsi="宋体" w:cs="宋体"/>
                <w:color w:val="auto"/>
                <w:kern w:val="0"/>
                <w:szCs w:val="21"/>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E677F8A">
            <w:pPr>
              <w:spacing w:line="360" w:lineRule="auto"/>
              <w:jc w:val="center"/>
              <w:rPr>
                <w:rFonts w:hint="eastAsia" w:ascii="宋体" w:hAnsi="宋体" w:cs="宋体"/>
                <w:color w:val="auto"/>
                <w:kern w:val="0"/>
                <w:szCs w:val="21"/>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394A4FB">
            <w:pPr>
              <w:spacing w:line="360" w:lineRule="auto"/>
              <w:jc w:val="center"/>
              <w:rPr>
                <w:rFonts w:hint="eastAsia" w:ascii="宋体" w:hAnsi="宋体" w:cs="宋体"/>
                <w:color w:val="auto"/>
                <w:kern w:val="0"/>
                <w:szCs w:val="21"/>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889EE79">
            <w:pPr>
              <w:spacing w:line="360" w:lineRule="auto"/>
              <w:jc w:val="center"/>
              <w:rPr>
                <w:rFonts w:hint="eastAsia" w:ascii="宋体" w:hAnsi="宋体" w:cs="宋体"/>
                <w:color w:val="auto"/>
                <w:kern w:val="0"/>
                <w:szCs w:val="21"/>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E8E8820">
            <w:pPr>
              <w:spacing w:line="360" w:lineRule="auto"/>
              <w:jc w:val="center"/>
              <w:rPr>
                <w:rFonts w:hint="eastAsia" w:ascii="宋体" w:hAnsi="宋体" w:cs="宋体"/>
                <w:color w:val="auto"/>
                <w:kern w:val="0"/>
                <w:szCs w:val="21"/>
              </w:rPr>
            </w:pPr>
          </w:p>
        </w:tc>
      </w:tr>
      <w:tr w14:paraId="015DD2A9">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EDDA555">
            <w:pPr>
              <w:spacing w:line="360" w:lineRule="auto"/>
              <w:jc w:val="center"/>
              <w:rPr>
                <w:rFonts w:hint="eastAsia" w:ascii="宋体" w:hAnsi="宋体" w:cs="宋体"/>
                <w:color w:val="auto"/>
                <w:kern w:val="0"/>
                <w:szCs w:val="21"/>
              </w:rPr>
            </w:pPr>
            <w:r>
              <w:rPr>
                <w:rFonts w:hint="eastAsia" w:ascii="宋体" w:hAnsi="宋体" w:cs="宋体"/>
                <w:color w:val="auto"/>
                <w:kern w:val="0"/>
                <w:szCs w:val="21"/>
              </w:rPr>
              <w:t>3</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81C9AE7">
            <w:pPr>
              <w:spacing w:line="360" w:lineRule="auto"/>
              <w:jc w:val="center"/>
              <w:rPr>
                <w:rFonts w:hint="eastAsia" w:ascii="宋体" w:hAnsi="宋体" w:cs="宋体"/>
                <w:color w:val="auto"/>
                <w:kern w:val="0"/>
                <w:szCs w:val="21"/>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C6F4E7C">
            <w:pPr>
              <w:spacing w:line="360" w:lineRule="auto"/>
              <w:jc w:val="center"/>
              <w:rPr>
                <w:rFonts w:hint="eastAsia" w:ascii="宋体" w:hAnsi="宋体" w:cs="宋体"/>
                <w:color w:val="auto"/>
                <w:kern w:val="0"/>
                <w:szCs w:val="21"/>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522B838">
            <w:pPr>
              <w:spacing w:line="360" w:lineRule="auto"/>
              <w:jc w:val="center"/>
              <w:rPr>
                <w:rFonts w:hint="eastAsia" w:ascii="宋体" w:hAnsi="宋体" w:cs="宋体"/>
                <w:color w:val="auto"/>
                <w:kern w:val="0"/>
                <w:szCs w:val="21"/>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0023FFE">
            <w:pPr>
              <w:spacing w:line="360" w:lineRule="auto"/>
              <w:jc w:val="center"/>
              <w:rPr>
                <w:rFonts w:hint="eastAsia" w:ascii="宋体" w:hAnsi="宋体" w:cs="宋体"/>
                <w:color w:val="auto"/>
                <w:kern w:val="0"/>
                <w:szCs w:val="21"/>
              </w:rPr>
            </w:pPr>
          </w:p>
        </w:tc>
      </w:tr>
      <w:tr w14:paraId="7EF64297">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76759A4">
            <w:pPr>
              <w:spacing w:line="360" w:lineRule="auto"/>
              <w:jc w:val="center"/>
              <w:rPr>
                <w:rFonts w:hint="eastAsia" w:ascii="宋体" w:hAnsi="宋体" w:cs="宋体"/>
                <w:color w:val="auto"/>
                <w:kern w:val="0"/>
                <w:szCs w:val="21"/>
              </w:rPr>
            </w:pPr>
            <w:r>
              <w:rPr>
                <w:rFonts w:hint="eastAsia" w:ascii="宋体" w:hAnsi="宋体" w:cs="宋体"/>
                <w:color w:val="auto"/>
                <w:kern w:val="0"/>
                <w:szCs w:val="21"/>
              </w:rPr>
              <w:t>……</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2E69D8E">
            <w:pPr>
              <w:spacing w:line="360" w:lineRule="auto"/>
              <w:jc w:val="center"/>
              <w:rPr>
                <w:rFonts w:hint="eastAsia" w:ascii="宋体" w:hAnsi="宋体" w:cs="宋体"/>
                <w:color w:val="auto"/>
                <w:kern w:val="0"/>
                <w:szCs w:val="21"/>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4371FAD">
            <w:pPr>
              <w:spacing w:line="360" w:lineRule="auto"/>
              <w:jc w:val="center"/>
              <w:rPr>
                <w:rFonts w:hint="eastAsia" w:ascii="宋体" w:hAnsi="宋体" w:cs="宋体"/>
                <w:color w:val="auto"/>
                <w:kern w:val="0"/>
                <w:szCs w:val="21"/>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1C6EBD4">
            <w:pPr>
              <w:spacing w:line="360" w:lineRule="auto"/>
              <w:jc w:val="center"/>
              <w:rPr>
                <w:rFonts w:hint="eastAsia" w:ascii="宋体" w:hAnsi="宋体" w:cs="宋体"/>
                <w:color w:val="auto"/>
                <w:kern w:val="0"/>
                <w:szCs w:val="21"/>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751FA25">
            <w:pPr>
              <w:spacing w:line="360" w:lineRule="auto"/>
              <w:jc w:val="center"/>
              <w:rPr>
                <w:rFonts w:hint="eastAsia" w:ascii="宋体" w:hAnsi="宋体" w:cs="宋体"/>
                <w:color w:val="auto"/>
                <w:kern w:val="0"/>
                <w:szCs w:val="21"/>
              </w:rPr>
            </w:pPr>
          </w:p>
        </w:tc>
      </w:tr>
    </w:tbl>
    <w:p w14:paraId="4865A34D">
      <w:pPr>
        <w:snapToGrid w:val="0"/>
        <w:spacing w:line="500" w:lineRule="exact"/>
        <w:jc w:val="left"/>
        <w:rPr>
          <w:rFonts w:hint="eastAsia" w:ascii="宋体" w:hAnsi="宋体" w:cs="宋体"/>
          <w:color w:val="auto"/>
          <w:szCs w:val="21"/>
        </w:rPr>
      </w:pPr>
      <w:r>
        <w:rPr>
          <w:rFonts w:hint="eastAsia" w:ascii="宋体" w:hAnsi="宋体" w:cs="宋体"/>
          <w:color w:val="auto"/>
          <w:szCs w:val="21"/>
        </w:rPr>
        <w:t>注：</w:t>
      </w:r>
    </w:p>
    <w:p w14:paraId="7E3691F7">
      <w:pPr>
        <w:snapToGrid w:val="0"/>
        <w:spacing w:line="500" w:lineRule="exact"/>
        <w:ind w:firstLine="420" w:firstLineChars="200"/>
        <w:jc w:val="left"/>
        <w:rPr>
          <w:rFonts w:hint="eastAsia" w:ascii="宋体" w:hAnsi="宋体" w:cs="宋体"/>
          <w:color w:val="auto"/>
          <w:szCs w:val="21"/>
        </w:rPr>
      </w:pPr>
      <w:r>
        <w:rPr>
          <w:rFonts w:hint="eastAsia" w:ascii="宋体" w:hAnsi="宋体" w:cs="宋体"/>
          <w:color w:val="auto"/>
          <w:szCs w:val="21"/>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0E8ABE80">
      <w:pPr>
        <w:snapToGrid w:val="0"/>
        <w:spacing w:line="500" w:lineRule="exact"/>
        <w:ind w:firstLine="420" w:firstLineChars="200"/>
        <w:jc w:val="left"/>
        <w:rPr>
          <w:rFonts w:hint="eastAsia" w:ascii="宋体" w:hAnsi="宋体" w:cs="宋体"/>
          <w:color w:val="auto"/>
          <w:szCs w:val="21"/>
        </w:rPr>
      </w:pPr>
      <w:r>
        <w:rPr>
          <w:rFonts w:hint="eastAsia" w:ascii="宋体" w:hAnsi="宋体" w:cs="宋体"/>
          <w:color w:val="auto"/>
          <w:szCs w:val="21"/>
        </w:rPr>
        <w:t>2.本表所指的控股关系仅限于直接控股关系，不包括间接的控股关系。公司实际控制人与公司之间的关系不属于本表所指的直接控股关系。</w:t>
      </w:r>
    </w:p>
    <w:p w14:paraId="7BBADB16">
      <w:pPr>
        <w:snapToGrid w:val="0"/>
        <w:spacing w:line="500" w:lineRule="exact"/>
        <w:ind w:firstLine="420" w:firstLineChars="200"/>
        <w:jc w:val="left"/>
        <w:rPr>
          <w:rFonts w:hint="eastAsia" w:ascii="宋体" w:hAnsi="宋体" w:cs="宋体"/>
          <w:color w:val="auto"/>
          <w:szCs w:val="21"/>
        </w:rPr>
      </w:pPr>
      <w:r>
        <w:rPr>
          <w:rFonts w:hint="eastAsia" w:ascii="宋体" w:hAnsi="宋体" w:cs="宋体"/>
          <w:color w:val="auto"/>
          <w:szCs w:val="21"/>
        </w:rPr>
        <w:t>3.供应商不存在直接控股股东的，则填“无”。</w:t>
      </w:r>
    </w:p>
    <w:p w14:paraId="4A73C9BC">
      <w:pPr>
        <w:snapToGrid w:val="0"/>
        <w:spacing w:line="500" w:lineRule="exact"/>
        <w:jc w:val="left"/>
        <w:rPr>
          <w:rFonts w:hint="eastAsia" w:ascii="宋体" w:hAnsi="宋体" w:cs="宋体"/>
          <w:color w:val="auto"/>
          <w:szCs w:val="21"/>
        </w:rPr>
      </w:pPr>
    </w:p>
    <w:p w14:paraId="570F1D1E">
      <w:pPr>
        <w:snapToGrid w:val="0"/>
        <w:spacing w:line="500" w:lineRule="exact"/>
        <w:jc w:val="left"/>
        <w:rPr>
          <w:rFonts w:hint="eastAsia" w:ascii="宋体" w:hAnsi="宋体" w:cs="宋体"/>
          <w:color w:val="auto"/>
          <w:szCs w:val="21"/>
        </w:rPr>
      </w:pPr>
    </w:p>
    <w:p w14:paraId="79DCF058">
      <w:pPr>
        <w:snapToGrid w:val="0"/>
        <w:spacing w:line="500" w:lineRule="exact"/>
        <w:ind w:firstLine="4410" w:firstLineChars="2100"/>
        <w:rPr>
          <w:rFonts w:hint="eastAsia" w:ascii="宋体" w:hAnsi="宋体" w:cs="宋体"/>
          <w:color w:val="auto"/>
          <w:kern w:val="0"/>
          <w:szCs w:val="21"/>
        </w:rPr>
      </w:pPr>
      <w:r>
        <w:rPr>
          <w:rFonts w:hint="eastAsia" w:ascii="宋体" w:hAnsi="宋体" w:cs="宋体"/>
          <w:color w:val="auto"/>
          <w:kern w:val="0"/>
          <w:szCs w:val="21"/>
          <w:lang w:val="zh-CN"/>
        </w:rPr>
        <w:t>谈判供应商名称(电子签章)：</w:t>
      </w:r>
    </w:p>
    <w:p w14:paraId="2BFD681D">
      <w:pPr>
        <w:snapToGrid w:val="0"/>
        <w:spacing w:line="500" w:lineRule="exact"/>
        <w:ind w:firstLine="4515" w:firstLineChars="2150"/>
        <w:rPr>
          <w:rFonts w:hint="eastAsia" w:ascii="宋体" w:hAnsi="宋体" w:cs="宋体"/>
          <w:color w:val="auto"/>
          <w:kern w:val="0"/>
          <w:szCs w:val="21"/>
          <w:lang w:val="zh-CN"/>
        </w:rPr>
      </w:pPr>
      <w:r>
        <w:rPr>
          <w:rFonts w:hint="eastAsia" w:ascii="宋体" w:hAnsi="宋体" w:cs="宋体"/>
          <w:color w:val="auto"/>
          <w:kern w:val="0"/>
          <w:szCs w:val="21"/>
          <w:lang w:val="zh-CN"/>
        </w:rPr>
        <w:t>日期</w:t>
      </w:r>
      <w:r>
        <w:rPr>
          <w:rFonts w:hint="eastAsia" w:ascii="宋体" w:hAnsi="宋体" w:cs="宋体"/>
          <w:color w:val="auto"/>
          <w:kern w:val="0"/>
          <w:szCs w:val="21"/>
        </w:rPr>
        <w:t xml:space="preserve">：    年  </w:t>
      </w:r>
      <w:r>
        <w:rPr>
          <w:rFonts w:hint="eastAsia" w:ascii="宋体" w:hAnsi="宋体" w:cs="宋体"/>
          <w:color w:val="auto"/>
          <w:kern w:val="0"/>
          <w:szCs w:val="21"/>
          <w:lang w:val="zh-CN"/>
        </w:rPr>
        <w:t>月</w:t>
      </w:r>
      <w:r>
        <w:rPr>
          <w:rFonts w:hint="eastAsia" w:ascii="宋体" w:hAnsi="宋体" w:cs="宋体"/>
          <w:color w:val="auto"/>
          <w:kern w:val="0"/>
          <w:szCs w:val="21"/>
        </w:rPr>
        <w:t xml:space="preserve">   </w:t>
      </w:r>
      <w:r>
        <w:rPr>
          <w:rFonts w:hint="eastAsia" w:ascii="宋体" w:hAnsi="宋体" w:cs="宋体"/>
          <w:color w:val="auto"/>
          <w:kern w:val="0"/>
          <w:szCs w:val="21"/>
          <w:lang w:val="zh-CN"/>
        </w:rPr>
        <w:t>日</w:t>
      </w:r>
    </w:p>
    <w:p w14:paraId="338FFC06">
      <w:pPr>
        <w:snapToGrid w:val="0"/>
        <w:jc w:val="center"/>
        <w:rPr>
          <w:rFonts w:hint="eastAsia" w:ascii="宋体" w:hAnsi="宋体" w:cs="宋体"/>
          <w:b/>
          <w:color w:val="auto"/>
          <w:szCs w:val="21"/>
        </w:rPr>
      </w:pPr>
      <w:r>
        <w:rPr>
          <w:rFonts w:hint="eastAsia" w:ascii="宋体" w:hAnsi="宋体" w:cs="宋体"/>
          <w:b/>
          <w:color w:val="auto"/>
          <w:szCs w:val="21"/>
        </w:rPr>
        <w:br w:type="page"/>
      </w:r>
    </w:p>
    <w:p w14:paraId="35C443B4">
      <w:pPr>
        <w:snapToGrid w:val="0"/>
        <w:spacing w:line="360" w:lineRule="auto"/>
        <w:jc w:val="center"/>
        <w:rPr>
          <w:rFonts w:hint="eastAsia" w:ascii="宋体" w:hAnsi="宋体" w:cs="宋体"/>
          <w:color w:val="auto"/>
          <w:sz w:val="28"/>
          <w:szCs w:val="28"/>
        </w:rPr>
      </w:pPr>
      <w:r>
        <w:rPr>
          <w:rFonts w:hint="eastAsia" w:ascii="宋体" w:hAnsi="宋体" w:cs="宋体"/>
          <w:b/>
          <w:color w:val="auto"/>
          <w:sz w:val="28"/>
          <w:szCs w:val="28"/>
        </w:rPr>
        <w:t>供应商直接管理关系信息表</w:t>
      </w:r>
    </w:p>
    <w:tbl>
      <w:tblPr>
        <w:tblStyle w:val="39"/>
        <w:tblW w:w="0" w:type="auto"/>
        <w:tblInd w:w="125" w:type="dxa"/>
        <w:shd w:val="clear" w:color="auto" w:fill="FBFBFB"/>
        <w:tblLayout w:type="fixed"/>
        <w:tblCellMar>
          <w:top w:w="0" w:type="dxa"/>
          <w:left w:w="0" w:type="dxa"/>
          <w:bottom w:w="0" w:type="dxa"/>
          <w:right w:w="0" w:type="dxa"/>
        </w:tblCellMar>
      </w:tblPr>
      <w:tblGrid>
        <w:gridCol w:w="1005"/>
        <w:gridCol w:w="2659"/>
        <w:gridCol w:w="3924"/>
        <w:gridCol w:w="2064"/>
      </w:tblGrid>
      <w:tr w14:paraId="57FBDEE3">
        <w:tblPrEx>
          <w:shd w:val="clear" w:color="auto" w:fill="FBFBFB"/>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45661BD8">
            <w:pPr>
              <w:spacing w:line="360" w:lineRule="auto"/>
              <w:jc w:val="center"/>
              <w:rPr>
                <w:rFonts w:hint="eastAsia" w:ascii="宋体" w:hAnsi="宋体" w:cs="宋体"/>
                <w:b/>
                <w:bCs/>
                <w:color w:val="auto"/>
                <w:kern w:val="0"/>
                <w:szCs w:val="21"/>
              </w:rPr>
            </w:pPr>
            <w:r>
              <w:rPr>
                <w:rFonts w:hint="eastAsia" w:ascii="宋体" w:hAnsi="宋体" w:cs="宋体"/>
                <w:b/>
                <w:bCs/>
                <w:color w:val="auto"/>
                <w:kern w:val="0"/>
                <w:szCs w:val="21"/>
              </w:rPr>
              <w:t>序号</w:t>
            </w:r>
          </w:p>
        </w:tc>
        <w:tc>
          <w:tcPr>
            <w:tcW w:w="265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794703EF">
            <w:pPr>
              <w:spacing w:line="360" w:lineRule="auto"/>
              <w:jc w:val="center"/>
              <w:rPr>
                <w:rFonts w:hint="eastAsia" w:ascii="宋体" w:hAnsi="宋体" w:cs="宋体"/>
                <w:b/>
                <w:bCs/>
                <w:color w:val="auto"/>
                <w:kern w:val="0"/>
                <w:szCs w:val="21"/>
              </w:rPr>
            </w:pPr>
            <w:r>
              <w:rPr>
                <w:rFonts w:hint="eastAsia" w:ascii="宋体" w:hAnsi="宋体" w:cs="宋体"/>
                <w:b/>
                <w:bCs/>
                <w:color w:val="auto"/>
                <w:kern w:val="0"/>
                <w:szCs w:val="21"/>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346ED931">
            <w:pPr>
              <w:spacing w:line="360" w:lineRule="auto"/>
              <w:jc w:val="center"/>
              <w:rPr>
                <w:rFonts w:hint="eastAsia" w:ascii="宋体" w:hAnsi="宋体" w:cs="宋体"/>
                <w:b/>
                <w:bCs/>
                <w:color w:val="auto"/>
                <w:kern w:val="0"/>
                <w:szCs w:val="21"/>
              </w:rPr>
            </w:pPr>
            <w:r>
              <w:rPr>
                <w:rFonts w:hint="eastAsia" w:ascii="宋体" w:hAnsi="宋体" w:cs="宋体"/>
                <w:b/>
                <w:bCs/>
                <w:color w:val="auto"/>
                <w:kern w:val="0"/>
                <w:szCs w:val="21"/>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1B8EFFE6">
            <w:pPr>
              <w:spacing w:line="360" w:lineRule="auto"/>
              <w:jc w:val="center"/>
              <w:rPr>
                <w:rFonts w:hint="eastAsia" w:ascii="宋体" w:hAnsi="宋体" w:cs="宋体"/>
                <w:b/>
                <w:bCs/>
                <w:color w:val="auto"/>
                <w:kern w:val="0"/>
                <w:szCs w:val="21"/>
              </w:rPr>
            </w:pPr>
            <w:r>
              <w:rPr>
                <w:rFonts w:hint="eastAsia" w:ascii="宋体" w:hAnsi="宋体" w:cs="宋体"/>
                <w:b/>
                <w:bCs/>
                <w:color w:val="auto"/>
                <w:kern w:val="0"/>
                <w:szCs w:val="21"/>
              </w:rPr>
              <w:t>备注</w:t>
            </w:r>
          </w:p>
        </w:tc>
      </w:tr>
      <w:tr w14:paraId="4CA53424">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4A29D7A">
            <w:pPr>
              <w:spacing w:line="360" w:lineRule="auto"/>
              <w:jc w:val="center"/>
              <w:rPr>
                <w:rFonts w:hint="eastAsia" w:ascii="宋体" w:hAnsi="宋体" w:cs="宋体"/>
                <w:color w:val="auto"/>
                <w:kern w:val="0"/>
                <w:szCs w:val="21"/>
              </w:rPr>
            </w:pPr>
            <w:r>
              <w:rPr>
                <w:rFonts w:hint="eastAsia" w:ascii="宋体" w:hAnsi="宋体" w:cs="宋体"/>
                <w:color w:val="auto"/>
                <w:kern w:val="0"/>
                <w:szCs w:val="21"/>
              </w:rPr>
              <w:t>1</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D804A8F">
            <w:pPr>
              <w:spacing w:line="360" w:lineRule="auto"/>
              <w:jc w:val="center"/>
              <w:rPr>
                <w:rFonts w:hint="eastAsia" w:ascii="宋体" w:hAnsi="宋体" w:cs="宋体"/>
                <w:color w:val="auto"/>
                <w:kern w:val="0"/>
                <w:szCs w:val="21"/>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DB8FF87">
            <w:pPr>
              <w:spacing w:line="360" w:lineRule="auto"/>
              <w:jc w:val="center"/>
              <w:rPr>
                <w:rFonts w:hint="eastAsia" w:ascii="宋体" w:hAnsi="宋体" w:cs="宋体"/>
                <w:color w:val="auto"/>
                <w:kern w:val="0"/>
                <w:szCs w:val="21"/>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D2FC4FF">
            <w:pPr>
              <w:spacing w:line="360" w:lineRule="auto"/>
              <w:jc w:val="center"/>
              <w:rPr>
                <w:rFonts w:hint="eastAsia" w:ascii="宋体" w:hAnsi="宋体" w:cs="宋体"/>
                <w:color w:val="auto"/>
                <w:kern w:val="0"/>
                <w:szCs w:val="21"/>
              </w:rPr>
            </w:pPr>
          </w:p>
        </w:tc>
      </w:tr>
      <w:tr w14:paraId="7CC3623C">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8CE2A2F">
            <w:pPr>
              <w:spacing w:line="360" w:lineRule="auto"/>
              <w:jc w:val="center"/>
              <w:rPr>
                <w:rFonts w:hint="eastAsia" w:ascii="宋体" w:hAnsi="宋体" w:cs="宋体"/>
                <w:color w:val="auto"/>
                <w:kern w:val="0"/>
                <w:szCs w:val="21"/>
              </w:rPr>
            </w:pPr>
            <w:r>
              <w:rPr>
                <w:rFonts w:hint="eastAsia" w:ascii="宋体" w:hAnsi="宋体" w:cs="宋体"/>
                <w:color w:val="auto"/>
                <w:kern w:val="0"/>
                <w:szCs w:val="21"/>
              </w:rPr>
              <w:t>2</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8353680">
            <w:pPr>
              <w:spacing w:line="360" w:lineRule="auto"/>
              <w:jc w:val="center"/>
              <w:rPr>
                <w:rFonts w:hint="eastAsia" w:ascii="宋体" w:hAnsi="宋体" w:cs="宋体"/>
                <w:color w:val="auto"/>
                <w:kern w:val="0"/>
                <w:szCs w:val="21"/>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C7895DB">
            <w:pPr>
              <w:spacing w:line="360" w:lineRule="auto"/>
              <w:jc w:val="center"/>
              <w:rPr>
                <w:rFonts w:hint="eastAsia" w:ascii="宋体" w:hAnsi="宋体" w:cs="宋体"/>
                <w:color w:val="auto"/>
                <w:kern w:val="0"/>
                <w:szCs w:val="21"/>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919C5BB">
            <w:pPr>
              <w:spacing w:line="360" w:lineRule="auto"/>
              <w:jc w:val="center"/>
              <w:rPr>
                <w:rFonts w:hint="eastAsia" w:ascii="宋体" w:hAnsi="宋体" w:cs="宋体"/>
                <w:color w:val="auto"/>
                <w:kern w:val="0"/>
                <w:szCs w:val="21"/>
              </w:rPr>
            </w:pPr>
          </w:p>
        </w:tc>
      </w:tr>
      <w:tr w14:paraId="62787A59">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E9C86B0">
            <w:pPr>
              <w:spacing w:line="360" w:lineRule="auto"/>
              <w:jc w:val="center"/>
              <w:rPr>
                <w:rFonts w:hint="eastAsia" w:ascii="宋体" w:hAnsi="宋体" w:cs="宋体"/>
                <w:color w:val="auto"/>
                <w:kern w:val="0"/>
                <w:szCs w:val="21"/>
              </w:rPr>
            </w:pPr>
            <w:r>
              <w:rPr>
                <w:rFonts w:hint="eastAsia" w:ascii="宋体" w:hAnsi="宋体" w:cs="宋体"/>
                <w:color w:val="auto"/>
                <w:kern w:val="0"/>
                <w:szCs w:val="21"/>
              </w:rPr>
              <w:t>3</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5E8078D">
            <w:pPr>
              <w:spacing w:line="360" w:lineRule="auto"/>
              <w:jc w:val="center"/>
              <w:rPr>
                <w:rFonts w:hint="eastAsia" w:ascii="宋体" w:hAnsi="宋体" w:cs="宋体"/>
                <w:color w:val="auto"/>
                <w:kern w:val="0"/>
                <w:szCs w:val="21"/>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1765835">
            <w:pPr>
              <w:spacing w:line="360" w:lineRule="auto"/>
              <w:jc w:val="center"/>
              <w:rPr>
                <w:rFonts w:hint="eastAsia" w:ascii="宋体" w:hAnsi="宋体" w:cs="宋体"/>
                <w:color w:val="auto"/>
                <w:kern w:val="0"/>
                <w:szCs w:val="21"/>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422B4A2">
            <w:pPr>
              <w:spacing w:line="360" w:lineRule="auto"/>
              <w:jc w:val="center"/>
              <w:rPr>
                <w:rFonts w:hint="eastAsia" w:ascii="宋体" w:hAnsi="宋体" w:cs="宋体"/>
                <w:color w:val="auto"/>
                <w:kern w:val="0"/>
                <w:szCs w:val="21"/>
              </w:rPr>
            </w:pPr>
          </w:p>
        </w:tc>
      </w:tr>
      <w:tr w14:paraId="228EB7C8">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2FA9DD2">
            <w:pPr>
              <w:spacing w:line="360" w:lineRule="auto"/>
              <w:jc w:val="center"/>
              <w:rPr>
                <w:rFonts w:hint="eastAsia" w:ascii="宋体" w:hAnsi="宋体" w:cs="宋体"/>
                <w:color w:val="auto"/>
                <w:kern w:val="0"/>
                <w:szCs w:val="21"/>
              </w:rPr>
            </w:pPr>
            <w:r>
              <w:rPr>
                <w:rFonts w:hint="eastAsia" w:ascii="宋体" w:hAnsi="宋体" w:cs="宋体"/>
                <w:color w:val="auto"/>
                <w:kern w:val="0"/>
                <w:szCs w:val="21"/>
              </w:rPr>
              <w:t>……</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38553F0">
            <w:pPr>
              <w:spacing w:line="360" w:lineRule="auto"/>
              <w:jc w:val="center"/>
              <w:rPr>
                <w:rFonts w:hint="eastAsia" w:ascii="宋体" w:hAnsi="宋体" w:cs="宋体"/>
                <w:color w:val="auto"/>
                <w:kern w:val="0"/>
                <w:szCs w:val="21"/>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CF1DF13">
            <w:pPr>
              <w:spacing w:line="360" w:lineRule="auto"/>
              <w:jc w:val="center"/>
              <w:rPr>
                <w:rFonts w:hint="eastAsia" w:ascii="宋体" w:hAnsi="宋体" w:cs="宋体"/>
                <w:color w:val="auto"/>
                <w:kern w:val="0"/>
                <w:szCs w:val="21"/>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607C147">
            <w:pPr>
              <w:spacing w:line="360" w:lineRule="auto"/>
              <w:jc w:val="center"/>
              <w:rPr>
                <w:rFonts w:hint="eastAsia" w:ascii="宋体" w:hAnsi="宋体" w:cs="宋体"/>
                <w:color w:val="auto"/>
                <w:kern w:val="0"/>
                <w:szCs w:val="21"/>
              </w:rPr>
            </w:pPr>
          </w:p>
        </w:tc>
      </w:tr>
    </w:tbl>
    <w:p w14:paraId="582D3837">
      <w:pPr>
        <w:snapToGrid w:val="0"/>
        <w:spacing w:line="500" w:lineRule="exact"/>
        <w:ind w:firstLine="420" w:firstLineChars="200"/>
        <w:jc w:val="left"/>
        <w:rPr>
          <w:rFonts w:hint="eastAsia" w:ascii="宋体" w:hAnsi="宋体" w:cs="宋体"/>
          <w:color w:val="auto"/>
          <w:szCs w:val="21"/>
        </w:rPr>
      </w:pPr>
      <w:r>
        <w:rPr>
          <w:rFonts w:hint="eastAsia" w:ascii="宋体" w:hAnsi="宋体" w:cs="宋体"/>
          <w:color w:val="auto"/>
          <w:szCs w:val="21"/>
        </w:rPr>
        <w:t>注：</w:t>
      </w:r>
    </w:p>
    <w:p w14:paraId="59D27789">
      <w:pPr>
        <w:snapToGrid w:val="0"/>
        <w:spacing w:line="500" w:lineRule="exact"/>
        <w:ind w:firstLine="420" w:firstLineChars="200"/>
        <w:jc w:val="left"/>
        <w:rPr>
          <w:rFonts w:hint="eastAsia" w:ascii="宋体" w:hAnsi="宋体" w:cs="宋体"/>
          <w:color w:val="auto"/>
          <w:szCs w:val="21"/>
        </w:rPr>
      </w:pPr>
      <w:r>
        <w:rPr>
          <w:rFonts w:hint="eastAsia" w:ascii="宋体" w:hAnsi="宋体" w:cs="宋体"/>
          <w:color w:val="auto"/>
          <w:szCs w:val="21"/>
        </w:rPr>
        <w:t>1.管理关系：是指不具有出资持股关系的其他单位之间存在的管理与被管理关系，如一些上下级关系的事业单位和团体组织。</w:t>
      </w:r>
    </w:p>
    <w:p w14:paraId="7A40AFA3">
      <w:pPr>
        <w:snapToGrid w:val="0"/>
        <w:spacing w:line="500" w:lineRule="exact"/>
        <w:ind w:firstLine="420" w:firstLineChars="200"/>
        <w:jc w:val="left"/>
        <w:rPr>
          <w:rFonts w:hint="eastAsia" w:ascii="宋体" w:hAnsi="宋体" w:cs="宋体"/>
          <w:color w:val="auto"/>
          <w:szCs w:val="21"/>
        </w:rPr>
      </w:pPr>
      <w:r>
        <w:rPr>
          <w:rFonts w:hint="eastAsia" w:ascii="宋体" w:hAnsi="宋体" w:cs="宋体"/>
          <w:color w:val="auto"/>
          <w:szCs w:val="21"/>
        </w:rPr>
        <w:t>2.本表所指的管理关系仅限于直接管理关系，不包括间接的管理关系。</w:t>
      </w:r>
    </w:p>
    <w:p w14:paraId="1E9EFD7F">
      <w:pPr>
        <w:snapToGrid w:val="0"/>
        <w:spacing w:line="500" w:lineRule="exact"/>
        <w:ind w:firstLine="420" w:firstLineChars="200"/>
        <w:jc w:val="left"/>
        <w:rPr>
          <w:rFonts w:hint="eastAsia" w:ascii="宋体" w:hAnsi="宋体" w:cs="宋体"/>
          <w:color w:val="auto"/>
          <w:szCs w:val="21"/>
        </w:rPr>
      </w:pPr>
      <w:r>
        <w:rPr>
          <w:rFonts w:hint="eastAsia" w:ascii="宋体" w:hAnsi="宋体" w:cs="宋体"/>
          <w:color w:val="auto"/>
          <w:szCs w:val="21"/>
        </w:rPr>
        <w:t>3.供应商不存在直接管理关系的，则填“无”。</w:t>
      </w:r>
    </w:p>
    <w:p w14:paraId="546FBF96">
      <w:pPr>
        <w:snapToGrid w:val="0"/>
        <w:spacing w:line="360" w:lineRule="auto"/>
        <w:jc w:val="left"/>
        <w:rPr>
          <w:rFonts w:hint="eastAsia" w:ascii="宋体" w:hAnsi="宋体" w:cs="宋体"/>
          <w:color w:val="auto"/>
          <w:szCs w:val="21"/>
        </w:rPr>
      </w:pPr>
    </w:p>
    <w:p w14:paraId="5E15BE26">
      <w:pPr>
        <w:snapToGrid w:val="0"/>
        <w:spacing w:line="360" w:lineRule="auto"/>
        <w:jc w:val="left"/>
        <w:rPr>
          <w:rFonts w:hint="eastAsia" w:ascii="宋体" w:hAnsi="宋体" w:cs="宋体"/>
          <w:color w:val="auto"/>
          <w:szCs w:val="21"/>
        </w:rPr>
      </w:pPr>
    </w:p>
    <w:p w14:paraId="032C9DC9">
      <w:pPr>
        <w:snapToGrid w:val="0"/>
        <w:spacing w:line="500" w:lineRule="exact"/>
        <w:ind w:firstLine="4410" w:firstLineChars="2100"/>
        <w:rPr>
          <w:rFonts w:hint="eastAsia" w:ascii="宋体" w:hAnsi="宋体" w:cs="宋体"/>
          <w:color w:val="auto"/>
          <w:kern w:val="0"/>
          <w:szCs w:val="21"/>
          <w:lang w:val="zh-CN"/>
        </w:rPr>
      </w:pPr>
      <w:r>
        <w:rPr>
          <w:rFonts w:hint="eastAsia" w:hAnsi="宋体"/>
          <w:color w:val="auto"/>
        </w:rPr>
        <w:t>谈判供应商</w:t>
      </w:r>
      <w:r>
        <w:rPr>
          <w:rFonts w:hint="eastAsia" w:ascii="宋体" w:hAnsi="宋体" w:cs="宋体"/>
          <w:color w:val="auto"/>
          <w:kern w:val="0"/>
          <w:szCs w:val="21"/>
          <w:lang w:val="zh-CN"/>
        </w:rPr>
        <w:t>名称(电子签章)：</w:t>
      </w:r>
    </w:p>
    <w:p w14:paraId="61ADE3A9">
      <w:pPr>
        <w:snapToGrid w:val="0"/>
        <w:spacing w:line="500" w:lineRule="exact"/>
        <w:ind w:firstLine="4410" w:firstLineChars="2100"/>
        <w:rPr>
          <w:rFonts w:hint="eastAsia" w:ascii="宋体" w:hAnsi="宋体" w:cs="宋体"/>
          <w:color w:val="auto"/>
          <w:kern w:val="0"/>
          <w:szCs w:val="21"/>
          <w:lang w:val="zh-CN"/>
        </w:rPr>
      </w:pPr>
      <w:r>
        <w:rPr>
          <w:rFonts w:hint="eastAsia" w:ascii="宋体" w:hAnsi="宋体" w:cs="宋体"/>
          <w:color w:val="auto"/>
          <w:kern w:val="0"/>
          <w:szCs w:val="21"/>
          <w:lang w:val="zh-CN"/>
        </w:rPr>
        <w:t>日期：  年  月   日</w:t>
      </w:r>
    </w:p>
    <w:p w14:paraId="6703BAB6">
      <w:pPr>
        <w:spacing w:line="500" w:lineRule="exact"/>
        <w:rPr>
          <w:rFonts w:hint="eastAsia" w:ascii="宋体" w:hAnsi="宋体"/>
          <w:b/>
          <w:color w:val="auto"/>
          <w:szCs w:val="21"/>
        </w:rPr>
      </w:pPr>
      <w:r>
        <w:rPr>
          <w:rFonts w:hint="eastAsia" w:ascii="宋体" w:hAnsi="宋体"/>
          <w:b/>
          <w:color w:val="auto"/>
          <w:szCs w:val="21"/>
        </w:rPr>
        <w:br w:type="page"/>
      </w:r>
      <w:r>
        <w:rPr>
          <w:rFonts w:hint="eastAsia" w:ascii="宋体" w:hAnsi="宋体"/>
          <w:b/>
          <w:color w:val="auto"/>
          <w:szCs w:val="21"/>
        </w:rPr>
        <w:t xml:space="preserve">附件二 </w:t>
      </w:r>
    </w:p>
    <w:p w14:paraId="151ED3AD">
      <w:pPr>
        <w:snapToGrid w:val="0"/>
        <w:spacing w:before="50" w:after="50"/>
        <w:jc w:val="center"/>
        <w:rPr>
          <w:rFonts w:hint="eastAsia" w:ascii="宋体" w:hAnsi="宋体" w:cs="宋体"/>
          <w:b/>
          <w:color w:val="auto"/>
          <w:sz w:val="28"/>
          <w:szCs w:val="22"/>
        </w:rPr>
      </w:pPr>
      <w:r>
        <w:rPr>
          <w:rFonts w:hint="eastAsia" w:ascii="宋体" w:hAnsi="宋体" w:cs="宋体"/>
          <w:b/>
          <w:color w:val="auto"/>
          <w:sz w:val="28"/>
          <w:szCs w:val="22"/>
        </w:rPr>
        <w:t>供应商参加本项目无围标串标行为的承诺函</w:t>
      </w:r>
    </w:p>
    <w:p w14:paraId="5AAB5B7A">
      <w:pPr>
        <w:pStyle w:val="38"/>
        <w:ind w:firstLine="210"/>
        <w:rPr>
          <w:color w:val="auto"/>
          <w:sz w:val="21"/>
          <w:szCs w:val="21"/>
        </w:rPr>
      </w:pPr>
    </w:p>
    <w:p w14:paraId="7AE14A08">
      <w:pPr>
        <w:spacing w:line="440" w:lineRule="exact"/>
        <w:contextualSpacing/>
        <w:jc w:val="left"/>
        <w:rPr>
          <w:rFonts w:hint="eastAsia" w:ascii="宋体" w:hAnsi="宋体" w:cs="宋体"/>
          <w:b/>
          <w:color w:val="auto"/>
          <w:szCs w:val="21"/>
        </w:rPr>
      </w:pPr>
      <w:bookmarkStart w:id="44" w:name="OLE_LINK44"/>
      <w:bookmarkStart w:id="45" w:name="OLE_LINK45"/>
      <w:r>
        <w:rPr>
          <w:rFonts w:hint="eastAsia" w:ascii="宋体" w:hAnsi="宋体" w:cs="宋体"/>
          <w:b/>
          <w:color w:val="auto"/>
          <w:szCs w:val="21"/>
        </w:rPr>
        <w:t>一、我方承诺无下列相互串通投标的情形：</w:t>
      </w:r>
    </w:p>
    <w:p w14:paraId="2FE218A2">
      <w:pPr>
        <w:spacing w:line="440" w:lineRule="exact"/>
        <w:ind w:firstLine="411" w:firstLineChars="196"/>
        <w:contextualSpacing/>
        <w:jc w:val="left"/>
        <w:rPr>
          <w:rFonts w:hint="eastAsia" w:ascii="宋体" w:hAnsi="宋体" w:cs="宋体"/>
          <w:color w:val="auto"/>
          <w:szCs w:val="21"/>
        </w:rPr>
      </w:pPr>
      <w:r>
        <w:rPr>
          <w:rFonts w:hint="eastAsia" w:ascii="宋体" w:hAnsi="宋体" w:cs="宋体"/>
          <w:color w:val="auto"/>
          <w:szCs w:val="21"/>
        </w:rPr>
        <w:t>1.不同谈判供应商的响应文件由同一单位或者个人编制；或者不同谈判供应商报名的IP地址一致的；或者编制标书硬件设备CPU编号、硬盘编号、网卡地址一致的情况；</w:t>
      </w:r>
    </w:p>
    <w:p w14:paraId="0FD7BEEB">
      <w:pPr>
        <w:spacing w:line="440" w:lineRule="exact"/>
        <w:ind w:firstLine="411" w:firstLineChars="196"/>
        <w:contextualSpacing/>
        <w:jc w:val="left"/>
        <w:rPr>
          <w:rFonts w:hint="eastAsia" w:ascii="宋体" w:hAnsi="宋体" w:cs="宋体"/>
          <w:color w:val="auto"/>
          <w:szCs w:val="21"/>
        </w:rPr>
      </w:pPr>
      <w:r>
        <w:rPr>
          <w:rFonts w:hint="eastAsia" w:ascii="宋体" w:hAnsi="宋体" w:cs="宋体"/>
          <w:color w:val="auto"/>
          <w:szCs w:val="21"/>
        </w:rPr>
        <w:t>2.不同谈判供应商委托同一单位或者个人办理竞标事宜；</w:t>
      </w:r>
    </w:p>
    <w:p w14:paraId="62C3FC75">
      <w:pPr>
        <w:spacing w:line="440" w:lineRule="exact"/>
        <w:ind w:firstLine="411" w:firstLineChars="196"/>
        <w:contextualSpacing/>
        <w:jc w:val="left"/>
        <w:rPr>
          <w:rFonts w:hint="eastAsia" w:ascii="宋体" w:hAnsi="宋体" w:cs="宋体"/>
          <w:color w:val="auto"/>
          <w:szCs w:val="21"/>
        </w:rPr>
      </w:pPr>
      <w:r>
        <w:rPr>
          <w:rFonts w:hint="eastAsia" w:ascii="宋体" w:hAnsi="宋体" w:cs="宋体"/>
          <w:color w:val="auto"/>
          <w:szCs w:val="21"/>
        </w:rPr>
        <w:t>3.不同的谈判供应商的响应文件载明的项目管理员为同一个人；</w:t>
      </w:r>
    </w:p>
    <w:p w14:paraId="13B91276">
      <w:pPr>
        <w:spacing w:line="440" w:lineRule="exact"/>
        <w:ind w:firstLine="411" w:firstLineChars="196"/>
        <w:contextualSpacing/>
        <w:jc w:val="left"/>
        <w:rPr>
          <w:rFonts w:hint="eastAsia" w:ascii="宋体" w:hAnsi="宋体" w:cs="宋体"/>
          <w:color w:val="auto"/>
          <w:szCs w:val="21"/>
        </w:rPr>
      </w:pPr>
      <w:r>
        <w:rPr>
          <w:rFonts w:hint="eastAsia" w:ascii="宋体" w:hAnsi="宋体" w:cs="宋体"/>
          <w:color w:val="auto"/>
          <w:szCs w:val="21"/>
        </w:rPr>
        <w:t>4.不同谈判供应商的响应文件异常一致或者竞标报价呈规律性差异；</w:t>
      </w:r>
    </w:p>
    <w:p w14:paraId="3E05F94E">
      <w:pPr>
        <w:spacing w:line="440" w:lineRule="exact"/>
        <w:ind w:firstLine="411" w:firstLineChars="196"/>
        <w:contextualSpacing/>
        <w:jc w:val="left"/>
        <w:rPr>
          <w:rFonts w:hint="eastAsia" w:ascii="宋体" w:hAnsi="宋体" w:cs="宋体"/>
          <w:color w:val="auto"/>
          <w:szCs w:val="21"/>
        </w:rPr>
      </w:pPr>
      <w:r>
        <w:rPr>
          <w:rFonts w:hint="eastAsia" w:ascii="宋体" w:hAnsi="宋体" w:cs="宋体"/>
          <w:color w:val="auto"/>
          <w:szCs w:val="21"/>
        </w:rPr>
        <w:t>5.不同谈判供应商的响应文件相互混装；</w:t>
      </w:r>
    </w:p>
    <w:p w14:paraId="063A0745">
      <w:pPr>
        <w:spacing w:line="440" w:lineRule="exact"/>
        <w:ind w:firstLine="411" w:firstLineChars="196"/>
        <w:contextualSpacing/>
        <w:jc w:val="left"/>
        <w:rPr>
          <w:rFonts w:hint="eastAsia" w:ascii="宋体" w:hAnsi="宋体" w:cs="宋体"/>
          <w:color w:val="auto"/>
          <w:szCs w:val="21"/>
        </w:rPr>
      </w:pPr>
      <w:r>
        <w:rPr>
          <w:rFonts w:hint="eastAsia" w:ascii="宋体" w:hAnsi="宋体" w:cs="宋体"/>
          <w:color w:val="auto"/>
          <w:szCs w:val="21"/>
        </w:rPr>
        <w:t>6.不同谈判供应商的谈判保证金从同一单位或者个人账户转出。</w:t>
      </w:r>
    </w:p>
    <w:p w14:paraId="7B35A50D">
      <w:pPr>
        <w:spacing w:line="440" w:lineRule="exact"/>
        <w:contextualSpacing/>
        <w:jc w:val="left"/>
        <w:rPr>
          <w:rFonts w:hint="eastAsia" w:ascii="宋体" w:hAnsi="宋体" w:cs="宋体"/>
          <w:color w:val="auto"/>
          <w:szCs w:val="21"/>
        </w:rPr>
      </w:pPr>
      <w:r>
        <w:rPr>
          <w:rFonts w:hint="eastAsia" w:ascii="宋体" w:hAnsi="宋体" w:cs="宋体"/>
          <w:b/>
          <w:color w:val="auto"/>
          <w:szCs w:val="21"/>
        </w:rPr>
        <w:t>二、我方承诺无下列恶意串通的情形：</w:t>
      </w:r>
    </w:p>
    <w:p w14:paraId="5409CC66">
      <w:pPr>
        <w:spacing w:line="440" w:lineRule="exact"/>
        <w:ind w:firstLine="411" w:firstLineChars="196"/>
        <w:contextualSpacing/>
        <w:jc w:val="left"/>
        <w:rPr>
          <w:rFonts w:hint="eastAsia" w:ascii="宋体" w:hAnsi="宋体" w:cs="宋体"/>
          <w:color w:val="auto"/>
          <w:szCs w:val="21"/>
        </w:rPr>
      </w:pPr>
      <w:r>
        <w:rPr>
          <w:rFonts w:hint="eastAsia" w:ascii="宋体" w:hAnsi="宋体" w:cs="宋体"/>
          <w:color w:val="auto"/>
          <w:szCs w:val="21"/>
        </w:rPr>
        <w:t>1.谈判供应商直接或者间接从采购人或者采购代理机构处获得其他供应商的相关信息并修改其投标文件或者响应文件；</w:t>
      </w:r>
    </w:p>
    <w:p w14:paraId="16F33575">
      <w:pPr>
        <w:spacing w:line="440" w:lineRule="exact"/>
        <w:ind w:firstLine="411" w:firstLineChars="196"/>
        <w:contextualSpacing/>
        <w:jc w:val="left"/>
        <w:rPr>
          <w:rFonts w:hint="eastAsia" w:ascii="宋体" w:hAnsi="宋体" w:cs="宋体"/>
          <w:color w:val="auto"/>
          <w:szCs w:val="21"/>
        </w:rPr>
      </w:pPr>
      <w:r>
        <w:rPr>
          <w:rFonts w:hint="eastAsia" w:ascii="宋体" w:hAnsi="宋体" w:cs="宋体"/>
          <w:color w:val="auto"/>
          <w:szCs w:val="21"/>
        </w:rPr>
        <w:t>2.谈判供应商按照采购人或者采购代理机构的授意撤换、修改投标文件或者响应文件；</w:t>
      </w:r>
    </w:p>
    <w:p w14:paraId="0B567929">
      <w:pPr>
        <w:spacing w:line="440" w:lineRule="exact"/>
        <w:ind w:firstLine="411" w:firstLineChars="196"/>
        <w:contextualSpacing/>
        <w:jc w:val="left"/>
        <w:rPr>
          <w:rFonts w:hint="eastAsia" w:ascii="宋体" w:hAnsi="宋体" w:cs="宋体"/>
          <w:color w:val="auto"/>
          <w:szCs w:val="21"/>
        </w:rPr>
      </w:pPr>
      <w:r>
        <w:rPr>
          <w:rFonts w:hint="eastAsia" w:ascii="宋体" w:hAnsi="宋体" w:cs="宋体"/>
          <w:color w:val="auto"/>
          <w:szCs w:val="21"/>
        </w:rPr>
        <w:t>3.谈判供应商之间协商报价、技术方案等投标文件或者响应文件的实质性内容；</w:t>
      </w:r>
    </w:p>
    <w:p w14:paraId="0F72E174">
      <w:pPr>
        <w:spacing w:line="440" w:lineRule="exact"/>
        <w:ind w:firstLine="411" w:firstLineChars="196"/>
        <w:contextualSpacing/>
        <w:jc w:val="left"/>
        <w:rPr>
          <w:rFonts w:hint="eastAsia" w:ascii="宋体" w:hAnsi="宋体" w:cs="宋体"/>
          <w:color w:val="auto"/>
          <w:szCs w:val="21"/>
        </w:rPr>
      </w:pPr>
      <w:r>
        <w:rPr>
          <w:rFonts w:hint="eastAsia" w:ascii="宋体" w:hAnsi="宋体" w:cs="宋体"/>
          <w:color w:val="auto"/>
          <w:szCs w:val="21"/>
        </w:rPr>
        <w:t>4.属于同一集团、协会、商会等组织成员的谈判供应商按照该组织要求协同参加政府采购活动；</w:t>
      </w:r>
    </w:p>
    <w:p w14:paraId="453FE486">
      <w:pPr>
        <w:spacing w:line="440" w:lineRule="exact"/>
        <w:ind w:firstLine="411" w:firstLineChars="196"/>
        <w:contextualSpacing/>
        <w:jc w:val="left"/>
        <w:rPr>
          <w:rFonts w:hint="eastAsia" w:ascii="宋体" w:hAnsi="宋体" w:cs="宋体"/>
          <w:color w:val="auto"/>
          <w:szCs w:val="21"/>
        </w:rPr>
      </w:pPr>
      <w:r>
        <w:rPr>
          <w:rFonts w:hint="eastAsia" w:ascii="宋体" w:hAnsi="宋体" w:cs="宋体"/>
          <w:color w:val="auto"/>
          <w:szCs w:val="21"/>
        </w:rPr>
        <w:t>5.谈判供应商之间事先约定一致抬高或者压低竞标报价，或者在招标项目中事先约定轮流以高价位或者低价位中标/成交，或者事先约定由某一特定谈判供应商中标/成交，然后再参加竞标；</w:t>
      </w:r>
    </w:p>
    <w:p w14:paraId="3F2ECA29">
      <w:pPr>
        <w:spacing w:line="440" w:lineRule="exact"/>
        <w:ind w:firstLine="411" w:firstLineChars="196"/>
        <w:contextualSpacing/>
        <w:jc w:val="left"/>
        <w:rPr>
          <w:rFonts w:hint="eastAsia" w:ascii="宋体" w:hAnsi="宋体" w:cs="宋体"/>
          <w:color w:val="auto"/>
          <w:szCs w:val="21"/>
        </w:rPr>
      </w:pPr>
      <w:r>
        <w:rPr>
          <w:rFonts w:hint="eastAsia" w:ascii="宋体" w:hAnsi="宋体" w:cs="宋体"/>
          <w:color w:val="auto"/>
          <w:szCs w:val="21"/>
        </w:rPr>
        <w:t>6.谈判供应商之间商定部分供应商放弃参加政府采购活动或者放弃中标/成交；</w:t>
      </w:r>
    </w:p>
    <w:p w14:paraId="010E6CCD">
      <w:pPr>
        <w:spacing w:line="440" w:lineRule="exact"/>
        <w:ind w:firstLine="411" w:firstLineChars="196"/>
        <w:contextualSpacing/>
        <w:jc w:val="left"/>
        <w:rPr>
          <w:rFonts w:hint="eastAsia" w:ascii="宋体" w:hAnsi="宋体" w:cs="宋体"/>
          <w:color w:val="auto"/>
          <w:szCs w:val="21"/>
        </w:rPr>
      </w:pPr>
      <w:r>
        <w:rPr>
          <w:rFonts w:hint="eastAsia" w:ascii="宋体" w:hAnsi="宋体" w:cs="宋体"/>
          <w:color w:val="auto"/>
          <w:szCs w:val="21"/>
        </w:rPr>
        <w:t>7.谈判供应商与采购人或者采购代理机构之间、供应商相互之间，为谋求特定供应商中标/成交或者排斥其他供应商的其他串通行为。</w:t>
      </w:r>
    </w:p>
    <w:p w14:paraId="2170A926">
      <w:pPr>
        <w:spacing w:line="440" w:lineRule="exact"/>
        <w:ind w:firstLine="413" w:firstLineChars="196"/>
        <w:contextualSpacing/>
        <w:jc w:val="left"/>
        <w:rPr>
          <w:rFonts w:hint="eastAsia" w:ascii="宋体" w:hAnsi="宋体" w:cs="宋体"/>
          <w:b/>
          <w:color w:val="auto"/>
          <w:szCs w:val="21"/>
        </w:rPr>
      </w:pPr>
      <w:r>
        <w:rPr>
          <w:rFonts w:hint="eastAsia" w:ascii="宋体" w:hAnsi="宋体" w:cs="宋体"/>
          <w:b/>
          <w:color w:val="auto"/>
          <w:szCs w:val="21"/>
        </w:rPr>
        <w:t>以上情形一经核查属实，接受政府采购监管部门对我方认定存在围标串标行为，我方愿意承担一切后果，并不再寻求任何旨在减轻或者免除法律责任的辩解。</w:t>
      </w:r>
      <w:bookmarkEnd w:id="44"/>
      <w:bookmarkEnd w:id="45"/>
    </w:p>
    <w:p w14:paraId="7A15E4E1">
      <w:pPr>
        <w:pStyle w:val="22"/>
        <w:spacing w:line="440" w:lineRule="exact"/>
        <w:ind w:firstLine="5985" w:firstLineChars="2850"/>
        <w:contextualSpacing/>
        <w:rPr>
          <w:rFonts w:hint="eastAsia" w:cs="宋体"/>
          <w:color w:val="auto"/>
        </w:rPr>
      </w:pPr>
    </w:p>
    <w:p w14:paraId="34FA7B6B">
      <w:pPr>
        <w:spacing w:line="360" w:lineRule="auto"/>
        <w:ind w:firstLine="420" w:firstLineChars="200"/>
        <w:contextualSpacing/>
        <w:rPr>
          <w:rFonts w:hint="eastAsia" w:ascii="宋体" w:hAnsi="宋体" w:cs="宋体"/>
          <w:color w:val="auto"/>
          <w:szCs w:val="21"/>
          <w:u w:val="single"/>
        </w:rPr>
      </w:pPr>
      <w:r>
        <w:rPr>
          <w:rFonts w:hint="eastAsia" w:hAnsi="宋体" w:cs="宋体"/>
          <w:color w:val="auto"/>
          <w:szCs w:val="21"/>
        </w:rPr>
        <w:t>谈判供应商名称（电子签章）：</w:t>
      </w:r>
    </w:p>
    <w:p w14:paraId="085D9ADB">
      <w:pPr>
        <w:spacing w:line="360" w:lineRule="auto"/>
        <w:ind w:firstLine="420" w:firstLineChars="200"/>
        <w:contextualSpacing/>
        <w:rPr>
          <w:rFonts w:hint="eastAsia" w:hAnsi="宋体" w:cs="宋体"/>
          <w:color w:val="auto"/>
          <w:szCs w:val="21"/>
        </w:rPr>
      </w:pPr>
      <w:r>
        <w:rPr>
          <w:rFonts w:hint="eastAsia" w:hAnsi="宋体" w:cs="宋体"/>
          <w:color w:val="auto"/>
          <w:szCs w:val="21"/>
        </w:rPr>
        <w:t>日期：  年  月   日</w:t>
      </w:r>
    </w:p>
    <w:p w14:paraId="0A0A7504">
      <w:pPr>
        <w:spacing w:line="500" w:lineRule="exact"/>
        <w:rPr>
          <w:rFonts w:hint="eastAsia" w:ascii="宋体" w:hAnsi="宋体"/>
          <w:b/>
          <w:color w:val="auto"/>
          <w:szCs w:val="21"/>
        </w:rPr>
      </w:pPr>
      <w:r>
        <w:rPr>
          <w:rFonts w:hint="eastAsia" w:ascii="宋体" w:hAnsi="宋体"/>
          <w:b/>
          <w:color w:val="auto"/>
          <w:szCs w:val="21"/>
        </w:rPr>
        <w:br w:type="page"/>
      </w:r>
      <w:r>
        <w:rPr>
          <w:rFonts w:hint="eastAsia" w:ascii="宋体" w:hAnsi="宋体"/>
          <w:b/>
          <w:color w:val="auto"/>
          <w:szCs w:val="21"/>
        </w:rPr>
        <w:t xml:space="preserve">附件三 </w:t>
      </w:r>
    </w:p>
    <w:p w14:paraId="4E37C96F">
      <w:pPr>
        <w:spacing w:line="500" w:lineRule="exact"/>
        <w:jc w:val="center"/>
        <w:rPr>
          <w:rFonts w:hint="eastAsia" w:ascii="仿宋_GB2312" w:hAnsi="宋体" w:eastAsia="仿宋_GB2312"/>
          <w:b/>
          <w:color w:val="auto"/>
          <w:sz w:val="32"/>
          <w:szCs w:val="32"/>
        </w:rPr>
      </w:pPr>
      <w:r>
        <w:rPr>
          <w:rFonts w:hint="eastAsia" w:ascii="仿宋_GB2312" w:hAnsi="宋体" w:eastAsia="仿宋_GB2312"/>
          <w:b/>
          <w:color w:val="auto"/>
          <w:sz w:val="32"/>
          <w:szCs w:val="32"/>
        </w:rPr>
        <w:t>报  价  表</w:t>
      </w:r>
    </w:p>
    <w:p w14:paraId="4D377CE4">
      <w:pPr>
        <w:spacing w:line="500" w:lineRule="exact"/>
        <w:rPr>
          <w:rFonts w:hint="eastAsia" w:ascii="宋体" w:hAnsi="宋体"/>
          <w:color w:val="auto"/>
          <w:szCs w:val="21"/>
          <w:u w:val="single"/>
        </w:rPr>
      </w:pPr>
      <w:r>
        <w:rPr>
          <w:rFonts w:hint="eastAsia" w:ascii="宋体" w:hAnsi="宋体"/>
          <w:color w:val="auto"/>
          <w:szCs w:val="21"/>
        </w:rPr>
        <w:t>采购项目名称:</w:t>
      </w:r>
      <w:r>
        <w:rPr>
          <w:rFonts w:hint="eastAsia" w:ascii="宋体" w:hAnsi="宋体"/>
          <w:color w:val="auto"/>
          <w:szCs w:val="21"/>
          <w:u w:val="single"/>
        </w:rPr>
        <w:t xml:space="preserve">                 </w:t>
      </w:r>
    </w:p>
    <w:p w14:paraId="64BF214D">
      <w:pPr>
        <w:spacing w:line="500" w:lineRule="exact"/>
        <w:rPr>
          <w:rFonts w:hint="eastAsia" w:ascii="宋体" w:hAnsi="宋体"/>
          <w:color w:val="auto"/>
          <w:szCs w:val="21"/>
          <w:u w:val="single"/>
        </w:rPr>
      </w:pPr>
      <w:r>
        <w:rPr>
          <w:rFonts w:hint="eastAsia" w:ascii="宋体" w:hAnsi="宋体"/>
          <w:color w:val="auto"/>
          <w:szCs w:val="21"/>
        </w:rPr>
        <w:t>采购项目编号:</w:t>
      </w:r>
      <w:r>
        <w:rPr>
          <w:rFonts w:hint="eastAsia" w:ascii="宋体" w:hAnsi="宋体"/>
          <w:color w:val="auto"/>
          <w:szCs w:val="21"/>
          <w:u w:val="single"/>
        </w:rPr>
        <w:t xml:space="preserve">                 </w:t>
      </w:r>
    </w:p>
    <w:tbl>
      <w:tblPr>
        <w:tblStyle w:val="39"/>
        <w:tblW w:w="101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5"/>
        <w:gridCol w:w="1011"/>
        <w:gridCol w:w="1267"/>
        <w:gridCol w:w="713"/>
        <w:gridCol w:w="845"/>
        <w:gridCol w:w="2645"/>
        <w:gridCol w:w="823"/>
        <w:gridCol w:w="1419"/>
        <w:gridCol w:w="996"/>
      </w:tblGrid>
      <w:tr w14:paraId="3CC7D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79" w:hRule="atLeast"/>
          <w:jc w:val="center"/>
        </w:trPr>
        <w:tc>
          <w:tcPr>
            <w:tcW w:w="445" w:type="dxa"/>
            <w:tcBorders>
              <w:bottom w:val="single" w:color="auto" w:sz="4" w:space="0"/>
            </w:tcBorders>
            <w:vAlign w:val="center"/>
          </w:tcPr>
          <w:p w14:paraId="136D6516">
            <w:pPr>
              <w:pStyle w:val="22"/>
              <w:spacing w:line="400" w:lineRule="exact"/>
              <w:jc w:val="center"/>
              <w:rPr>
                <w:rFonts w:hint="eastAsia"/>
                <w:color w:val="auto"/>
                <w:spacing w:val="-20"/>
              </w:rPr>
            </w:pPr>
            <w:r>
              <w:rPr>
                <w:rFonts w:hint="eastAsia"/>
                <w:color w:val="auto"/>
                <w:spacing w:val="-20"/>
              </w:rPr>
              <w:t>序号</w:t>
            </w:r>
          </w:p>
        </w:tc>
        <w:tc>
          <w:tcPr>
            <w:tcW w:w="1011" w:type="dxa"/>
            <w:tcBorders>
              <w:bottom w:val="single" w:color="auto" w:sz="4" w:space="0"/>
            </w:tcBorders>
            <w:vAlign w:val="center"/>
          </w:tcPr>
          <w:p w14:paraId="66CBB5DC">
            <w:pPr>
              <w:tabs>
                <w:tab w:val="left" w:pos="180"/>
                <w:tab w:val="left" w:pos="1620"/>
              </w:tabs>
              <w:spacing w:line="400" w:lineRule="exact"/>
              <w:jc w:val="center"/>
              <w:rPr>
                <w:rFonts w:hint="eastAsia" w:ascii="宋体" w:hAnsi="宋体"/>
                <w:color w:val="auto"/>
                <w:szCs w:val="21"/>
              </w:rPr>
            </w:pPr>
            <w:r>
              <w:rPr>
                <w:rFonts w:hint="eastAsia" w:ascii="宋体" w:hAnsi="宋体"/>
                <w:color w:val="auto"/>
                <w:szCs w:val="21"/>
              </w:rPr>
              <w:t>标的名称</w:t>
            </w:r>
          </w:p>
        </w:tc>
        <w:tc>
          <w:tcPr>
            <w:tcW w:w="1267" w:type="dxa"/>
            <w:tcBorders>
              <w:bottom w:val="single" w:color="auto" w:sz="4" w:space="0"/>
            </w:tcBorders>
            <w:vAlign w:val="center"/>
          </w:tcPr>
          <w:p w14:paraId="300CB3F5">
            <w:pPr>
              <w:tabs>
                <w:tab w:val="left" w:pos="180"/>
                <w:tab w:val="left" w:pos="1620"/>
              </w:tabs>
              <w:spacing w:line="400" w:lineRule="exact"/>
              <w:jc w:val="center"/>
              <w:rPr>
                <w:rFonts w:hint="eastAsia" w:ascii="宋体" w:hAnsi="宋体"/>
                <w:color w:val="auto"/>
                <w:szCs w:val="21"/>
              </w:rPr>
            </w:pPr>
            <w:r>
              <w:rPr>
                <w:rFonts w:hint="eastAsia" w:ascii="宋体" w:hAnsi="宋体"/>
                <w:color w:val="auto"/>
                <w:szCs w:val="21"/>
              </w:rPr>
              <w:t>品牌、型号规格、生产厂家</w:t>
            </w:r>
          </w:p>
        </w:tc>
        <w:tc>
          <w:tcPr>
            <w:tcW w:w="713" w:type="dxa"/>
            <w:tcBorders>
              <w:bottom w:val="single" w:color="auto" w:sz="4" w:space="0"/>
            </w:tcBorders>
            <w:vAlign w:val="center"/>
          </w:tcPr>
          <w:p w14:paraId="72607B38">
            <w:pPr>
              <w:tabs>
                <w:tab w:val="left" w:pos="180"/>
                <w:tab w:val="left" w:pos="1620"/>
              </w:tabs>
              <w:spacing w:line="400" w:lineRule="exact"/>
              <w:jc w:val="center"/>
              <w:rPr>
                <w:rFonts w:hint="eastAsia" w:ascii="宋体" w:hAnsi="宋体"/>
                <w:color w:val="auto"/>
                <w:szCs w:val="21"/>
              </w:rPr>
            </w:pPr>
            <w:r>
              <w:rPr>
                <w:rFonts w:hint="eastAsia" w:ascii="宋体" w:hAnsi="宋体"/>
                <w:color w:val="auto"/>
                <w:szCs w:val="21"/>
              </w:rPr>
              <w:t>数量</w:t>
            </w:r>
            <w:r>
              <w:rPr>
                <w:rFonts w:hint="eastAsia" w:hAnsi="宋体"/>
                <w:color w:val="auto"/>
              </w:rPr>
              <w:t>①</w:t>
            </w:r>
          </w:p>
        </w:tc>
        <w:tc>
          <w:tcPr>
            <w:tcW w:w="845" w:type="dxa"/>
            <w:tcBorders>
              <w:bottom w:val="single" w:color="auto" w:sz="4" w:space="0"/>
            </w:tcBorders>
            <w:vAlign w:val="center"/>
          </w:tcPr>
          <w:p w14:paraId="7A63FC8A">
            <w:pPr>
              <w:tabs>
                <w:tab w:val="left" w:pos="180"/>
                <w:tab w:val="left" w:pos="1620"/>
              </w:tabs>
              <w:spacing w:line="400" w:lineRule="exact"/>
              <w:jc w:val="center"/>
              <w:rPr>
                <w:rFonts w:hint="eastAsia" w:ascii="宋体" w:hAnsi="宋体"/>
                <w:color w:val="auto"/>
                <w:szCs w:val="21"/>
              </w:rPr>
            </w:pPr>
            <w:r>
              <w:rPr>
                <w:rFonts w:hint="eastAsia" w:ascii="宋体" w:hAnsi="宋体"/>
                <w:color w:val="auto"/>
                <w:szCs w:val="21"/>
              </w:rPr>
              <w:t>单位</w:t>
            </w:r>
          </w:p>
        </w:tc>
        <w:tc>
          <w:tcPr>
            <w:tcW w:w="2645" w:type="dxa"/>
            <w:tcBorders>
              <w:bottom w:val="single" w:color="auto" w:sz="4" w:space="0"/>
            </w:tcBorders>
            <w:vAlign w:val="center"/>
          </w:tcPr>
          <w:p w14:paraId="68DC3B3B">
            <w:pPr>
              <w:tabs>
                <w:tab w:val="left" w:pos="180"/>
                <w:tab w:val="left" w:pos="1620"/>
              </w:tabs>
              <w:spacing w:line="400" w:lineRule="exact"/>
              <w:jc w:val="center"/>
              <w:rPr>
                <w:rFonts w:hint="eastAsia" w:ascii="宋体" w:hAnsi="宋体"/>
                <w:color w:val="auto"/>
                <w:szCs w:val="21"/>
              </w:rPr>
            </w:pPr>
            <w:r>
              <w:rPr>
                <w:rFonts w:hint="eastAsia" w:ascii="宋体" w:hAnsi="宋体"/>
                <w:color w:val="auto"/>
                <w:szCs w:val="21"/>
              </w:rPr>
              <w:t>技术参数及性能配置要求</w:t>
            </w:r>
          </w:p>
        </w:tc>
        <w:tc>
          <w:tcPr>
            <w:tcW w:w="823" w:type="dxa"/>
            <w:tcBorders>
              <w:bottom w:val="single" w:color="auto" w:sz="4" w:space="0"/>
            </w:tcBorders>
            <w:vAlign w:val="center"/>
          </w:tcPr>
          <w:p w14:paraId="63D9456F">
            <w:pPr>
              <w:tabs>
                <w:tab w:val="left" w:pos="180"/>
                <w:tab w:val="left" w:pos="1620"/>
              </w:tabs>
              <w:spacing w:line="400" w:lineRule="exact"/>
              <w:jc w:val="center"/>
              <w:rPr>
                <w:rFonts w:hint="eastAsia" w:ascii="宋体" w:hAnsi="宋体"/>
                <w:color w:val="auto"/>
                <w:szCs w:val="21"/>
              </w:rPr>
            </w:pPr>
            <w:r>
              <w:rPr>
                <w:rFonts w:hint="eastAsia" w:ascii="宋体" w:hAnsi="宋体"/>
                <w:color w:val="auto"/>
                <w:szCs w:val="21"/>
              </w:rPr>
              <w:t>单价</w:t>
            </w:r>
            <w:r>
              <w:rPr>
                <w:rFonts w:hint="eastAsia" w:hAnsi="宋体"/>
                <w:color w:val="auto"/>
              </w:rPr>
              <w:t>②</w:t>
            </w:r>
          </w:p>
        </w:tc>
        <w:tc>
          <w:tcPr>
            <w:tcW w:w="1419" w:type="dxa"/>
            <w:tcBorders>
              <w:bottom w:val="single" w:color="auto" w:sz="4" w:space="0"/>
            </w:tcBorders>
            <w:vAlign w:val="center"/>
          </w:tcPr>
          <w:p w14:paraId="2149AEF5">
            <w:pPr>
              <w:pStyle w:val="22"/>
              <w:spacing w:line="400" w:lineRule="exact"/>
              <w:jc w:val="center"/>
              <w:rPr>
                <w:rFonts w:hint="eastAsia"/>
                <w:color w:val="auto"/>
              </w:rPr>
            </w:pPr>
            <w:r>
              <w:rPr>
                <w:rFonts w:hint="eastAsia"/>
                <w:color w:val="auto"/>
              </w:rPr>
              <w:t>单项合价</w:t>
            </w:r>
          </w:p>
          <w:p w14:paraId="22C9BB9B">
            <w:pPr>
              <w:pStyle w:val="22"/>
              <w:spacing w:line="400" w:lineRule="exact"/>
              <w:jc w:val="center"/>
              <w:rPr>
                <w:rFonts w:hint="eastAsia"/>
                <w:color w:val="auto"/>
              </w:rPr>
            </w:pPr>
            <w:r>
              <w:rPr>
                <w:rFonts w:hint="eastAsia"/>
                <w:color w:val="auto"/>
              </w:rPr>
              <w:t>（元）</w:t>
            </w:r>
          </w:p>
          <w:p w14:paraId="302EF18A">
            <w:pPr>
              <w:pStyle w:val="22"/>
              <w:spacing w:line="400" w:lineRule="exact"/>
              <w:jc w:val="center"/>
              <w:rPr>
                <w:rFonts w:hint="eastAsia"/>
                <w:color w:val="auto"/>
              </w:rPr>
            </w:pPr>
            <w:r>
              <w:rPr>
                <w:rFonts w:hint="eastAsia"/>
                <w:color w:val="auto"/>
              </w:rPr>
              <w:t>③</w:t>
            </w:r>
            <w:r>
              <w:rPr>
                <w:color w:val="auto"/>
              </w:rPr>
              <w:t>=</w:t>
            </w:r>
            <w:r>
              <w:rPr>
                <w:rFonts w:hint="eastAsia"/>
                <w:color w:val="auto"/>
              </w:rPr>
              <w:t>①×②</w:t>
            </w:r>
          </w:p>
        </w:tc>
        <w:tc>
          <w:tcPr>
            <w:tcW w:w="996" w:type="dxa"/>
            <w:tcBorders>
              <w:bottom w:val="single" w:color="auto" w:sz="4" w:space="0"/>
            </w:tcBorders>
            <w:vAlign w:val="center"/>
          </w:tcPr>
          <w:p w14:paraId="13F518DF">
            <w:pPr>
              <w:pStyle w:val="22"/>
              <w:spacing w:line="400" w:lineRule="exact"/>
              <w:jc w:val="center"/>
              <w:rPr>
                <w:rFonts w:hint="eastAsia"/>
                <w:color w:val="auto"/>
              </w:rPr>
            </w:pPr>
            <w:r>
              <w:rPr>
                <w:rFonts w:hint="eastAsia"/>
                <w:color w:val="auto"/>
              </w:rPr>
              <w:t>备注</w:t>
            </w:r>
          </w:p>
        </w:tc>
      </w:tr>
      <w:tr w14:paraId="5DCD7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445" w:type="dxa"/>
            <w:vAlign w:val="center"/>
          </w:tcPr>
          <w:p w14:paraId="5AD25BB1">
            <w:pPr>
              <w:jc w:val="center"/>
              <w:rPr>
                <w:rFonts w:hint="eastAsia" w:ascii="宋体" w:hAnsi="宋体"/>
                <w:color w:val="auto"/>
                <w:sz w:val="24"/>
              </w:rPr>
            </w:pPr>
            <w:r>
              <w:rPr>
                <w:rFonts w:hint="eastAsia" w:ascii="宋体" w:hAnsi="宋体"/>
                <w:color w:val="auto"/>
                <w:sz w:val="24"/>
              </w:rPr>
              <w:t>1</w:t>
            </w:r>
          </w:p>
        </w:tc>
        <w:tc>
          <w:tcPr>
            <w:tcW w:w="1011" w:type="dxa"/>
            <w:vAlign w:val="center"/>
          </w:tcPr>
          <w:p w14:paraId="53147702">
            <w:pPr>
              <w:jc w:val="center"/>
              <w:rPr>
                <w:rFonts w:hint="eastAsia" w:ascii="宋体" w:hAnsi="宋体"/>
                <w:color w:val="auto"/>
              </w:rPr>
            </w:pPr>
          </w:p>
        </w:tc>
        <w:tc>
          <w:tcPr>
            <w:tcW w:w="1267" w:type="dxa"/>
            <w:vAlign w:val="center"/>
          </w:tcPr>
          <w:p w14:paraId="53265C2B">
            <w:pPr>
              <w:jc w:val="center"/>
              <w:rPr>
                <w:rFonts w:hint="eastAsia" w:ascii="宋体" w:hAnsi="宋体"/>
                <w:color w:val="auto"/>
              </w:rPr>
            </w:pPr>
          </w:p>
        </w:tc>
        <w:tc>
          <w:tcPr>
            <w:tcW w:w="713" w:type="dxa"/>
            <w:vAlign w:val="center"/>
          </w:tcPr>
          <w:p w14:paraId="01AAD2AA">
            <w:pPr>
              <w:pStyle w:val="22"/>
              <w:rPr>
                <w:rFonts w:hint="eastAsia"/>
                <w:color w:val="auto"/>
              </w:rPr>
            </w:pPr>
          </w:p>
        </w:tc>
        <w:tc>
          <w:tcPr>
            <w:tcW w:w="845" w:type="dxa"/>
            <w:vAlign w:val="center"/>
          </w:tcPr>
          <w:p w14:paraId="11606C99">
            <w:pPr>
              <w:pStyle w:val="22"/>
              <w:rPr>
                <w:rFonts w:hint="eastAsia"/>
                <w:color w:val="auto"/>
              </w:rPr>
            </w:pPr>
          </w:p>
        </w:tc>
        <w:tc>
          <w:tcPr>
            <w:tcW w:w="2645" w:type="dxa"/>
            <w:vAlign w:val="center"/>
          </w:tcPr>
          <w:p w14:paraId="3B32DCD6">
            <w:pPr>
              <w:pStyle w:val="22"/>
              <w:rPr>
                <w:rFonts w:hint="eastAsia"/>
                <w:color w:val="auto"/>
              </w:rPr>
            </w:pPr>
          </w:p>
        </w:tc>
        <w:tc>
          <w:tcPr>
            <w:tcW w:w="823" w:type="dxa"/>
            <w:vAlign w:val="center"/>
          </w:tcPr>
          <w:p w14:paraId="294ED184">
            <w:pPr>
              <w:pStyle w:val="22"/>
              <w:rPr>
                <w:rFonts w:hint="eastAsia"/>
                <w:color w:val="auto"/>
              </w:rPr>
            </w:pPr>
          </w:p>
        </w:tc>
        <w:tc>
          <w:tcPr>
            <w:tcW w:w="1419" w:type="dxa"/>
            <w:vAlign w:val="center"/>
          </w:tcPr>
          <w:p w14:paraId="4FC86B47">
            <w:pPr>
              <w:pStyle w:val="22"/>
              <w:rPr>
                <w:rFonts w:hint="eastAsia"/>
                <w:color w:val="auto"/>
              </w:rPr>
            </w:pPr>
          </w:p>
        </w:tc>
        <w:tc>
          <w:tcPr>
            <w:tcW w:w="996" w:type="dxa"/>
            <w:vAlign w:val="center"/>
          </w:tcPr>
          <w:p w14:paraId="56C850B8">
            <w:pPr>
              <w:pStyle w:val="22"/>
              <w:rPr>
                <w:rFonts w:hint="eastAsia"/>
                <w:color w:val="auto"/>
                <w:spacing w:val="-6"/>
              </w:rPr>
            </w:pPr>
          </w:p>
        </w:tc>
      </w:tr>
      <w:tr w14:paraId="145B5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445" w:type="dxa"/>
            <w:vAlign w:val="center"/>
          </w:tcPr>
          <w:p w14:paraId="2EAB1D75">
            <w:pPr>
              <w:jc w:val="center"/>
              <w:rPr>
                <w:rFonts w:hint="eastAsia" w:ascii="宋体" w:hAnsi="宋体"/>
                <w:color w:val="auto"/>
                <w:sz w:val="24"/>
              </w:rPr>
            </w:pPr>
            <w:r>
              <w:rPr>
                <w:rFonts w:hint="eastAsia" w:ascii="宋体" w:hAnsi="宋体"/>
                <w:color w:val="auto"/>
                <w:sz w:val="24"/>
              </w:rPr>
              <w:t>…</w:t>
            </w:r>
          </w:p>
        </w:tc>
        <w:tc>
          <w:tcPr>
            <w:tcW w:w="1011" w:type="dxa"/>
            <w:vAlign w:val="center"/>
          </w:tcPr>
          <w:p w14:paraId="7595CA85">
            <w:pPr>
              <w:jc w:val="center"/>
              <w:rPr>
                <w:rFonts w:hint="eastAsia" w:ascii="宋体" w:hAnsi="宋体"/>
                <w:color w:val="auto"/>
              </w:rPr>
            </w:pPr>
          </w:p>
        </w:tc>
        <w:tc>
          <w:tcPr>
            <w:tcW w:w="1267" w:type="dxa"/>
            <w:vAlign w:val="center"/>
          </w:tcPr>
          <w:p w14:paraId="0E87594A">
            <w:pPr>
              <w:jc w:val="center"/>
              <w:rPr>
                <w:rFonts w:hint="eastAsia" w:ascii="宋体" w:hAnsi="宋体"/>
                <w:color w:val="auto"/>
              </w:rPr>
            </w:pPr>
          </w:p>
        </w:tc>
        <w:tc>
          <w:tcPr>
            <w:tcW w:w="713" w:type="dxa"/>
            <w:vAlign w:val="center"/>
          </w:tcPr>
          <w:p w14:paraId="797920DB">
            <w:pPr>
              <w:pStyle w:val="22"/>
              <w:rPr>
                <w:rFonts w:hint="eastAsia"/>
                <w:color w:val="auto"/>
              </w:rPr>
            </w:pPr>
          </w:p>
        </w:tc>
        <w:tc>
          <w:tcPr>
            <w:tcW w:w="845" w:type="dxa"/>
            <w:vAlign w:val="center"/>
          </w:tcPr>
          <w:p w14:paraId="36EE5B82">
            <w:pPr>
              <w:pStyle w:val="22"/>
              <w:rPr>
                <w:rFonts w:hint="eastAsia"/>
                <w:color w:val="auto"/>
              </w:rPr>
            </w:pPr>
          </w:p>
        </w:tc>
        <w:tc>
          <w:tcPr>
            <w:tcW w:w="2645" w:type="dxa"/>
            <w:vAlign w:val="center"/>
          </w:tcPr>
          <w:p w14:paraId="71395E12">
            <w:pPr>
              <w:pStyle w:val="22"/>
              <w:rPr>
                <w:rFonts w:hint="eastAsia"/>
                <w:color w:val="auto"/>
              </w:rPr>
            </w:pPr>
          </w:p>
        </w:tc>
        <w:tc>
          <w:tcPr>
            <w:tcW w:w="823" w:type="dxa"/>
            <w:vAlign w:val="center"/>
          </w:tcPr>
          <w:p w14:paraId="40DABC32">
            <w:pPr>
              <w:pStyle w:val="22"/>
              <w:rPr>
                <w:rFonts w:hint="eastAsia"/>
                <w:color w:val="auto"/>
              </w:rPr>
            </w:pPr>
          </w:p>
        </w:tc>
        <w:tc>
          <w:tcPr>
            <w:tcW w:w="1419" w:type="dxa"/>
            <w:vAlign w:val="center"/>
          </w:tcPr>
          <w:p w14:paraId="2272941F">
            <w:pPr>
              <w:pStyle w:val="22"/>
              <w:rPr>
                <w:rFonts w:hint="eastAsia"/>
                <w:color w:val="auto"/>
              </w:rPr>
            </w:pPr>
          </w:p>
        </w:tc>
        <w:tc>
          <w:tcPr>
            <w:tcW w:w="996" w:type="dxa"/>
            <w:vAlign w:val="center"/>
          </w:tcPr>
          <w:p w14:paraId="20A92774">
            <w:pPr>
              <w:pStyle w:val="22"/>
              <w:rPr>
                <w:rFonts w:hint="eastAsia"/>
                <w:color w:val="auto"/>
                <w:spacing w:val="-6"/>
              </w:rPr>
            </w:pPr>
          </w:p>
        </w:tc>
      </w:tr>
      <w:tr w14:paraId="5299D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445" w:type="dxa"/>
            <w:vAlign w:val="center"/>
          </w:tcPr>
          <w:p w14:paraId="102BCCA3">
            <w:pPr>
              <w:jc w:val="center"/>
              <w:rPr>
                <w:rFonts w:hint="eastAsia" w:ascii="宋体" w:hAnsi="宋体"/>
                <w:color w:val="auto"/>
                <w:sz w:val="24"/>
              </w:rPr>
            </w:pPr>
            <w:r>
              <w:rPr>
                <w:rFonts w:ascii="宋体" w:hAnsi="宋体"/>
                <w:color w:val="auto"/>
                <w:sz w:val="24"/>
              </w:rPr>
              <w:t>N</w:t>
            </w:r>
          </w:p>
        </w:tc>
        <w:tc>
          <w:tcPr>
            <w:tcW w:w="1011" w:type="dxa"/>
            <w:vAlign w:val="center"/>
          </w:tcPr>
          <w:p w14:paraId="7B564049">
            <w:pPr>
              <w:jc w:val="center"/>
              <w:rPr>
                <w:rFonts w:hint="eastAsia" w:ascii="宋体" w:hAnsi="宋体"/>
                <w:color w:val="auto"/>
              </w:rPr>
            </w:pPr>
          </w:p>
        </w:tc>
        <w:tc>
          <w:tcPr>
            <w:tcW w:w="1267" w:type="dxa"/>
            <w:vAlign w:val="center"/>
          </w:tcPr>
          <w:p w14:paraId="36ED1DC4">
            <w:pPr>
              <w:jc w:val="center"/>
              <w:rPr>
                <w:rFonts w:hint="eastAsia" w:ascii="宋体" w:hAnsi="宋体"/>
                <w:color w:val="auto"/>
              </w:rPr>
            </w:pPr>
          </w:p>
        </w:tc>
        <w:tc>
          <w:tcPr>
            <w:tcW w:w="713" w:type="dxa"/>
            <w:vAlign w:val="center"/>
          </w:tcPr>
          <w:p w14:paraId="419BBBC0">
            <w:pPr>
              <w:pStyle w:val="22"/>
              <w:rPr>
                <w:rFonts w:hint="eastAsia"/>
                <w:color w:val="auto"/>
              </w:rPr>
            </w:pPr>
          </w:p>
        </w:tc>
        <w:tc>
          <w:tcPr>
            <w:tcW w:w="845" w:type="dxa"/>
            <w:vAlign w:val="center"/>
          </w:tcPr>
          <w:p w14:paraId="0E7E7C89">
            <w:pPr>
              <w:pStyle w:val="22"/>
              <w:rPr>
                <w:rFonts w:hint="eastAsia"/>
                <w:color w:val="auto"/>
              </w:rPr>
            </w:pPr>
          </w:p>
        </w:tc>
        <w:tc>
          <w:tcPr>
            <w:tcW w:w="2645" w:type="dxa"/>
            <w:vAlign w:val="center"/>
          </w:tcPr>
          <w:p w14:paraId="257C47B2">
            <w:pPr>
              <w:pStyle w:val="22"/>
              <w:rPr>
                <w:rFonts w:hint="eastAsia"/>
                <w:color w:val="auto"/>
              </w:rPr>
            </w:pPr>
          </w:p>
        </w:tc>
        <w:tc>
          <w:tcPr>
            <w:tcW w:w="823" w:type="dxa"/>
            <w:vAlign w:val="center"/>
          </w:tcPr>
          <w:p w14:paraId="2BD74CC9">
            <w:pPr>
              <w:pStyle w:val="22"/>
              <w:rPr>
                <w:rFonts w:hint="eastAsia"/>
                <w:color w:val="auto"/>
              </w:rPr>
            </w:pPr>
          </w:p>
        </w:tc>
        <w:tc>
          <w:tcPr>
            <w:tcW w:w="1419" w:type="dxa"/>
            <w:vAlign w:val="center"/>
          </w:tcPr>
          <w:p w14:paraId="7DA97BAE">
            <w:pPr>
              <w:pStyle w:val="22"/>
              <w:rPr>
                <w:rFonts w:hint="eastAsia"/>
                <w:color w:val="auto"/>
              </w:rPr>
            </w:pPr>
          </w:p>
        </w:tc>
        <w:tc>
          <w:tcPr>
            <w:tcW w:w="996" w:type="dxa"/>
            <w:vAlign w:val="center"/>
          </w:tcPr>
          <w:p w14:paraId="69FAB90C">
            <w:pPr>
              <w:pStyle w:val="22"/>
              <w:rPr>
                <w:rFonts w:hint="eastAsia"/>
                <w:color w:val="auto"/>
                <w:spacing w:val="-6"/>
              </w:rPr>
            </w:pPr>
          </w:p>
        </w:tc>
      </w:tr>
      <w:tr w14:paraId="459D8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164" w:type="dxa"/>
            <w:gridSpan w:val="9"/>
            <w:vAlign w:val="center"/>
          </w:tcPr>
          <w:p w14:paraId="73F97F82">
            <w:pPr>
              <w:pStyle w:val="22"/>
              <w:rPr>
                <w:rFonts w:hint="eastAsia"/>
                <w:color w:val="auto"/>
                <w:spacing w:val="-6"/>
              </w:rPr>
            </w:pPr>
            <w:r>
              <w:rPr>
                <w:rFonts w:hint="eastAsia"/>
                <w:color w:val="auto"/>
                <w:spacing w:val="-6"/>
              </w:rPr>
              <w:t>总报价（人民币大写）：</w:t>
            </w:r>
            <w:r>
              <w:rPr>
                <w:rFonts w:hint="eastAsia"/>
                <w:color w:val="auto"/>
                <w:spacing w:val="-6"/>
                <w:u w:val="single"/>
              </w:rPr>
              <w:t xml:space="preserve">                                       </w:t>
            </w:r>
            <w:r>
              <w:rPr>
                <w:rFonts w:hint="eastAsia"/>
                <w:color w:val="auto"/>
                <w:spacing w:val="-6"/>
              </w:rPr>
              <w:t>（¥</w:t>
            </w:r>
            <w:r>
              <w:rPr>
                <w:rFonts w:hint="eastAsia"/>
                <w:color w:val="auto"/>
                <w:spacing w:val="-6"/>
                <w:u w:val="single"/>
              </w:rPr>
              <w:t xml:space="preserve">                </w:t>
            </w:r>
            <w:r>
              <w:rPr>
                <w:rFonts w:hint="eastAsia"/>
                <w:color w:val="auto"/>
                <w:spacing w:val="-6"/>
              </w:rPr>
              <w:t>元）</w:t>
            </w:r>
          </w:p>
        </w:tc>
      </w:tr>
    </w:tbl>
    <w:p w14:paraId="46952498">
      <w:pPr>
        <w:spacing w:line="400" w:lineRule="exact"/>
        <w:rPr>
          <w:rFonts w:hint="eastAsia" w:ascii="宋体" w:hAnsi="宋体"/>
          <w:color w:val="auto"/>
          <w:szCs w:val="21"/>
        </w:rPr>
      </w:pPr>
    </w:p>
    <w:p w14:paraId="62A9AC70">
      <w:pPr>
        <w:spacing w:line="400" w:lineRule="exact"/>
        <w:rPr>
          <w:rFonts w:hint="eastAsia" w:ascii="宋体" w:hAnsi="宋体"/>
          <w:color w:val="auto"/>
          <w:szCs w:val="21"/>
        </w:rPr>
      </w:pPr>
      <w:r>
        <w:rPr>
          <w:rFonts w:hint="eastAsia" w:ascii="宋体" w:hAnsi="宋体"/>
          <w:color w:val="auto"/>
          <w:szCs w:val="21"/>
        </w:rPr>
        <w:t>注：1、所有价格均用人民币表示，单位为元，精确到小数点后两位数。</w:t>
      </w:r>
    </w:p>
    <w:p w14:paraId="224940FF">
      <w:pPr>
        <w:spacing w:line="400" w:lineRule="exact"/>
        <w:ind w:firstLine="411" w:firstLineChars="196"/>
        <w:rPr>
          <w:rFonts w:hint="eastAsia" w:ascii="宋体" w:hAnsi="宋体"/>
          <w:color w:val="auto"/>
          <w:szCs w:val="21"/>
        </w:rPr>
      </w:pPr>
      <w:r>
        <w:rPr>
          <w:rFonts w:hint="eastAsia" w:hAnsi="宋体"/>
          <w:bCs/>
          <w:color w:val="auto"/>
        </w:rPr>
        <w:t>2、报价指货物、服务、随配附件、备品备件、工具、货物运抵指定交货地点、安装、调试的各种费用和售后服务、税金及其它所有成本、费用的总和</w:t>
      </w:r>
      <w:r>
        <w:rPr>
          <w:rFonts w:hint="eastAsia" w:ascii="宋体" w:hAnsi="宋体"/>
          <w:color w:val="auto"/>
          <w:szCs w:val="21"/>
        </w:rPr>
        <w:t>。</w:t>
      </w:r>
    </w:p>
    <w:p w14:paraId="6F4F3739">
      <w:pPr>
        <w:snapToGrid w:val="0"/>
        <w:spacing w:before="50" w:after="50" w:line="400" w:lineRule="exact"/>
        <w:ind w:firstLine="420" w:firstLineChars="200"/>
        <w:jc w:val="left"/>
        <w:rPr>
          <w:rFonts w:hint="eastAsia" w:ascii="宋体" w:hAnsi="宋体"/>
          <w:color w:val="auto"/>
          <w:szCs w:val="21"/>
        </w:rPr>
      </w:pPr>
      <w:r>
        <w:rPr>
          <w:rFonts w:hint="eastAsia" w:ascii="宋体" w:hAnsi="宋体"/>
          <w:color w:val="auto"/>
          <w:szCs w:val="21"/>
        </w:rPr>
        <w:t>3、凡需用专用辅材、耗材的专用设备类采购项目，应按采购文件规定的辅材、耗材量或按耗材的常规试用量提供报价。</w:t>
      </w:r>
    </w:p>
    <w:p w14:paraId="4D067593">
      <w:pPr>
        <w:snapToGrid w:val="0"/>
        <w:spacing w:before="50" w:after="50" w:line="400" w:lineRule="exact"/>
        <w:ind w:firstLine="420" w:firstLineChars="200"/>
        <w:jc w:val="left"/>
        <w:rPr>
          <w:rFonts w:hint="eastAsia" w:ascii="宋体" w:hAnsi="宋体"/>
          <w:color w:val="auto"/>
          <w:szCs w:val="21"/>
        </w:rPr>
      </w:pPr>
      <w:r>
        <w:rPr>
          <w:rFonts w:hint="eastAsia" w:ascii="宋体" w:hAnsi="宋体"/>
          <w:color w:val="auto"/>
          <w:szCs w:val="21"/>
        </w:rPr>
        <w:t>4、报价表中的“标的名称”、“数量”、“单位”、“单价”、“单项合价”列必须填写；设备类项目“品牌、型号规格、生产厂家”列必须填写（定制产品和服务除外）。</w:t>
      </w:r>
    </w:p>
    <w:p w14:paraId="0BD96996">
      <w:pPr>
        <w:pStyle w:val="22"/>
        <w:spacing w:line="500" w:lineRule="exact"/>
        <w:ind w:firstLine="420" w:firstLineChars="200"/>
        <w:rPr>
          <w:rFonts w:hint="eastAsia"/>
          <w:color w:val="auto"/>
        </w:rPr>
      </w:pPr>
    </w:p>
    <w:p w14:paraId="2EB46986">
      <w:pPr>
        <w:pStyle w:val="22"/>
        <w:spacing w:line="500" w:lineRule="exact"/>
        <w:ind w:firstLine="420" w:firstLineChars="200"/>
        <w:rPr>
          <w:rFonts w:hint="eastAsia"/>
          <w:color w:val="auto"/>
          <w:u w:val="single"/>
        </w:rPr>
      </w:pPr>
      <w:r>
        <w:rPr>
          <w:rFonts w:hint="eastAsia"/>
          <w:color w:val="auto"/>
        </w:rPr>
        <w:t>法定代表人或委托代理人（签字或盖章）:</w:t>
      </w:r>
      <w:r>
        <w:rPr>
          <w:rFonts w:hint="eastAsia"/>
          <w:color w:val="auto"/>
          <w:u w:val="single"/>
        </w:rPr>
        <w:t xml:space="preserve">              </w:t>
      </w:r>
    </w:p>
    <w:p w14:paraId="5A40FED6">
      <w:pPr>
        <w:pStyle w:val="22"/>
        <w:spacing w:line="500" w:lineRule="exact"/>
        <w:ind w:firstLine="420" w:firstLineChars="200"/>
        <w:rPr>
          <w:rFonts w:hint="eastAsia"/>
          <w:color w:val="auto"/>
          <w:u w:val="single"/>
        </w:rPr>
      </w:pPr>
      <w:r>
        <w:rPr>
          <w:rFonts w:hint="eastAsia"/>
          <w:color w:val="auto"/>
        </w:rPr>
        <w:t>谈判供应商名称（盖章）：</w:t>
      </w:r>
      <w:r>
        <w:rPr>
          <w:rFonts w:hint="eastAsia"/>
          <w:color w:val="auto"/>
          <w:u w:val="single"/>
        </w:rPr>
        <w:t xml:space="preserve">                             </w:t>
      </w:r>
    </w:p>
    <w:p w14:paraId="0A7D4AB0">
      <w:pPr>
        <w:spacing w:line="500" w:lineRule="exact"/>
        <w:ind w:firstLine="420" w:firstLineChars="200"/>
        <w:rPr>
          <w:rFonts w:hint="eastAsia" w:hAnsi="宋体"/>
          <w:color w:val="auto"/>
        </w:rPr>
      </w:pPr>
      <w:r>
        <w:rPr>
          <w:rFonts w:hint="eastAsia" w:hAnsi="宋体"/>
          <w:color w:val="auto"/>
        </w:rPr>
        <w:t>报价时间：</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w:t>
      </w:r>
    </w:p>
    <w:p w14:paraId="03A6E77B">
      <w:pPr>
        <w:adjustRightInd w:val="0"/>
        <w:snapToGrid w:val="0"/>
        <w:spacing w:line="500" w:lineRule="exact"/>
        <w:ind w:left="-88" w:leftChars="-42"/>
        <w:rPr>
          <w:rFonts w:hint="eastAsia" w:ascii="宋体" w:hAnsi="宋体"/>
          <w:color w:val="auto"/>
          <w:szCs w:val="21"/>
        </w:rPr>
      </w:pPr>
      <w:r>
        <w:rPr>
          <w:rFonts w:hAnsi="宋体"/>
          <w:color w:val="auto"/>
        </w:rPr>
        <w:br w:type="page"/>
      </w:r>
      <w:r>
        <w:rPr>
          <w:rFonts w:hint="eastAsia" w:ascii="宋体" w:hAnsi="宋体"/>
          <w:b/>
          <w:color w:val="auto"/>
          <w:szCs w:val="21"/>
        </w:rPr>
        <w:t>附件四</w:t>
      </w:r>
    </w:p>
    <w:p w14:paraId="350B0D3C">
      <w:pPr>
        <w:spacing w:line="520" w:lineRule="exact"/>
        <w:jc w:val="center"/>
        <w:rPr>
          <w:rFonts w:hint="eastAsia" w:ascii="仿宋_GB2312" w:hAnsi="宋体" w:eastAsia="仿宋_GB2312"/>
          <w:b/>
          <w:color w:val="auto"/>
          <w:sz w:val="32"/>
          <w:szCs w:val="32"/>
        </w:rPr>
      </w:pPr>
      <w:r>
        <w:rPr>
          <w:rFonts w:hint="eastAsia" w:ascii="仿宋_GB2312" w:hAnsi="宋体" w:eastAsia="仿宋_GB2312"/>
          <w:b/>
          <w:color w:val="auto"/>
          <w:sz w:val="32"/>
          <w:szCs w:val="32"/>
        </w:rPr>
        <w:t>谈  判  书</w:t>
      </w:r>
    </w:p>
    <w:p w14:paraId="04078F71">
      <w:pPr>
        <w:spacing w:line="520" w:lineRule="exact"/>
        <w:jc w:val="center"/>
        <w:rPr>
          <w:rFonts w:hint="eastAsia" w:ascii="宋体" w:hAnsi="宋体"/>
          <w:b/>
          <w:color w:val="auto"/>
          <w:szCs w:val="21"/>
        </w:rPr>
      </w:pPr>
    </w:p>
    <w:p w14:paraId="311690F5">
      <w:pPr>
        <w:pStyle w:val="22"/>
        <w:spacing w:line="520" w:lineRule="exact"/>
        <w:rPr>
          <w:rFonts w:hint="eastAsia"/>
          <w:color w:val="auto"/>
        </w:rPr>
      </w:pPr>
      <w:r>
        <w:rPr>
          <w:rFonts w:hint="eastAsia"/>
          <w:color w:val="auto"/>
          <w:u w:val="single"/>
        </w:rPr>
        <w:t>广西中吉银工程项目管理有限公司</w:t>
      </w:r>
      <w:r>
        <w:rPr>
          <w:rFonts w:hint="eastAsia"/>
          <w:color w:val="auto"/>
        </w:rPr>
        <w:t>：</w:t>
      </w:r>
    </w:p>
    <w:p w14:paraId="49C3D59A">
      <w:pPr>
        <w:pStyle w:val="22"/>
        <w:spacing w:line="520" w:lineRule="exact"/>
        <w:ind w:firstLine="480"/>
        <w:rPr>
          <w:rFonts w:hint="eastAsia"/>
          <w:color w:val="auto"/>
        </w:rPr>
      </w:pPr>
      <w:r>
        <w:rPr>
          <w:rFonts w:hint="eastAsia"/>
          <w:color w:val="auto"/>
        </w:rPr>
        <w:t>依据贵方</w:t>
      </w:r>
      <w:r>
        <w:rPr>
          <w:rFonts w:hint="eastAsia"/>
          <w:color w:val="auto"/>
          <w:u w:val="single"/>
        </w:rPr>
        <w:t>（采购项目名称/采购项目编号）</w:t>
      </w:r>
      <w:r>
        <w:rPr>
          <w:rFonts w:hint="eastAsia"/>
          <w:color w:val="auto"/>
        </w:rPr>
        <w:t>项目政府采购的谈判邀请，我方</w:t>
      </w:r>
      <w:r>
        <w:rPr>
          <w:rFonts w:hint="eastAsia"/>
          <w:color w:val="auto"/>
          <w:u w:val="single"/>
        </w:rPr>
        <w:t>（姓名和职务）</w:t>
      </w:r>
      <w:r>
        <w:rPr>
          <w:rFonts w:hint="eastAsia"/>
          <w:color w:val="auto"/>
        </w:rPr>
        <w:t>经正式授权并代表本单位</w:t>
      </w:r>
      <w:r>
        <w:rPr>
          <w:rFonts w:hint="eastAsia"/>
          <w:color w:val="auto"/>
          <w:u w:val="single"/>
        </w:rPr>
        <w:t>（谈判供应商名称、地址）</w:t>
      </w:r>
      <w:r>
        <w:rPr>
          <w:rFonts w:hint="eastAsia"/>
          <w:color w:val="auto"/>
        </w:rPr>
        <w:t>提交下述竞争性谈判响应文件</w:t>
      </w:r>
      <w:r>
        <w:rPr>
          <w:rFonts w:hint="eastAsia"/>
          <w:b/>
          <w:color w:val="auto"/>
        </w:rPr>
        <w:t>（资格文件、商务技术文件）。</w:t>
      </w:r>
    </w:p>
    <w:p w14:paraId="78E66389">
      <w:pPr>
        <w:pStyle w:val="22"/>
        <w:spacing w:line="520" w:lineRule="exact"/>
        <w:ind w:firstLine="480"/>
        <w:rPr>
          <w:rFonts w:hint="eastAsia"/>
          <w:color w:val="auto"/>
        </w:rPr>
      </w:pPr>
      <w:r>
        <w:rPr>
          <w:rFonts w:hint="eastAsia"/>
          <w:color w:val="auto"/>
        </w:rPr>
        <w:t>1. 资格文件；</w:t>
      </w:r>
    </w:p>
    <w:p w14:paraId="398582DE">
      <w:pPr>
        <w:pStyle w:val="22"/>
        <w:spacing w:line="520" w:lineRule="exact"/>
        <w:ind w:firstLine="480"/>
        <w:rPr>
          <w:rFonts w:hint="eastAsia"/>
          <w:color w:val="auto"/>
        </w:rPr>
      </w:pPr>
      <w:r>
        <w:rPr>
          <w:rFonts w:hint="eastAsia"/>
          <w:color w:val="auto"/>
        </w:rPr>
        <w:t>2. 商务技术文件；</w:t>
      </w:r>
    </w:p>
    <w:p w14:paraId="51FA617A">
      <w:pPr>
        <w:pStyle w:val="22"/>
        <w:spacing w:line="520" w:lineRule="exact"/>
        <w:ind w:firstLine="480"/>
        <w:rPr>
          <w:rFonts w:hint="eastAsia"/>
          <w:color w:val="auto"/>
        </w:rPr>
      </w:pPr>
      <w:r>
        <w:rPr>
          <w:rFonts w:hint="eastAsia"/>
          <w:color w:val="auto"/>
        </w:rPr>
        <w:t>3. 按竞争性谈判文件谈判供应商须知和采购需求提供的有关文件；</w:t>
      </w:r>
    </w:p>
    <w:p w14:paraId="0D7A7591">
      <w:pPr>
        <w:pStyle w:val="22"/>
        <w:spacing w:line="520" w:lineRule="exact"/>
        <w:ind w:firstLine="480"/>
        <w:rPr>
          <w:rFonts w:hint="eastAsia"/>
          <w:color w:val="auto"/>
        </w:rPr>
      </w:pPr>
      <w:r>
        <w:rPr>
          <w:rFonts w:hint="eastAsia"/>
          <w:color w:val="auto"/>
        </w:rPr>
        <w:t>在此，授权代表宣布同意如下：</w:t>
      </w:r>
    </w:p>
    <w:p w14:paraId="2DFCF2E6">
      <w:pPr>
        <w:pStyle w:val="22"/>
        <w:spacing w:line="520" w:lineRule="exact"/>
        <w:ind w:firstLine="480"/>
        <w:rPr>
          <w:rFonts w:hint="eastAsia"/>
          <w:color w:val="auto"/>
        </w:rPr>
      </w:pPr>
      <w:r>
        <w:rPr>
          <w:rFonts w:hint="eastAsia"/>
          <w:color w:val="auto"/>
        </w:rPr>
        <w:t>1. 将按竞争性谈判文件的约定履行合同责任和义务；</w:t>
      </w:r>
    </w:p>
    <w:p w14:paraId="5BFF365F">
      <w:pPr>
        <w:pStyle w:val="22"/>
        <w:spacing w:line="520" w:lineRule="exact"/>
        <w:ind w:firstLine="480"/>
        <w:rPr>
          <w:rFonts w:hint="eastAsia"/>
          <w:color w:val="auto"/>
        </w:rPr>
      </w:pPr>
      <w:r>
        <w:rPr>
          <w:rFonts w:hint="eastAsia"/>
          <w:color w:val="auto"/>
        </w:rPr>
        <w:t>2. 已详细审查全部竞争性谈判文件，包括</w:t>
      </w:r>
      <w:r>
        <w:rPr>
          <w:rFonts w:hint="eastAsia"/>
          <w:color w:val="auto"/>
          <w:u w:val="single"/>
        </w:rPr>
        <w:t>（补遗文件）（如果有的话）</w:t>
      </w:r>
      <w:r>
        <w:rPr>
          <w:rFonts w:hint="eastAsia"/>
          <w:color w:val="auto"/>
        </w:rPr>
        <w:t>；</w:t>
      </w:r>
    </w:p>
    <w:p w14:paraId="68D5CC07">
      <w:pPr>
        <w:pStyle w:val="22"/>
        <w:spacing w:line="520" w:lineRule="exact"/>
        <w:ind w:firstLine="480"/>
        <w:rPr>
          <w:rFonts w:hint="eastAsia"/>
          <w:color w:val="auto"/>
        </w:rPr>
      </w:pPr>
      <w:r>
        <w:rPr>
          <w:rFonts w:hint="eastAsia"/>
          <w:color w:val="auto"/>
        </w:rPr>
        <w:t>3. 同意提供按照贵方可能要求的与其谈判有关的一切数据或资料；</w:t>
      </w:r>
    </w:p>
    <w:p w14:paraId="6D01097F">
      <w:pPr>
        <w:pStyle w:val="22"/>
        <w:spacing w:line="520" w:lineRule="exact"/>
        <w:ind w:firstLine="480"/>
        <w:rPr>
          <w:rFonts w:hint="eastAsia"/>
          <w:color w:val="auto"/>
          <w:u w:val="single"/>
        </w:rPr>
      </w:pPr>
      <w:r>
        <w:rPr>
          <w:rFonts w:hint="eastAsia"/>
          <w:color w:val="auto"/>
        </w:rPr>
        <w:t>4. 与本谈判有关的一切正式往来信函请寄：</w:t>
      </w:r>
      <w:r>
        <w:rPr>
          <w:rFonts w:hint="eastAsia"/>
          <w:color w:val="auto"/>
          <w:u w:val="single"/>
        </w:rPr>
        <w:t xml:space="preserve">                                    </w:t>
      </w:r>
    </w:p>
    <w:p w14:paraId="5BD64EFC">
      <w:pPr>
        <w:pStyle w:val="22"/>
        <w:spacing w:line="520" w:lineRule="exact"/>
        <w:ind w:firstLine="840"/>
        <w:rPr>
          <w:rFonts w:hint="eastAsia"/>
          <w:color w:val="auto"/>
          <w:u w:val="single"/>
        </w:rPr>
      </w:pPr>
      <w:r>
        <w:rPr>
          <w:rFonts w:hint="eastAsia"/>
          <w:color w:val="auto"/>
        </w:rPr>
        <w:t>开户银行：</w:t>
      </w:r>
      <w:r>
        <w:rPr>
          <w:rFonts w:hint="eastAsia"/>
          <w:color w:val="auto"/>
          <w:u w:val="single"/>
        </w:rPr>
        <w:t xml:space="preserve">                         </w:t>
      </w:r>
      <w:r>
        <w:rPr>
          <w:rFonts w:hint="eastAsia"/>
          <w:color w:val="auto"/>
        </w:rPr>
        <w:t xml:space="preserve">  账号/行号：</w:t>
      </w:r>
      <w:r>
        <w:rPr>
          <w:rFonts w:hint="eastAsia"/>
          <w:color w:val="auto"/>
          <w:u w:val="single"/>
        </w:rPr>
        <w:t xml:space="preserve">                       </w:t>
      </w:r>
    </w:p>
    <w:p w14:paraId="47A11182">
      <w:pPr>
        <w:pStyle w:val="22"/>
        <w:spacing w:line="520" w:lineRule="exact"/>
        <w:ind w:firstLine="840"/>
        <w:rPr>
          <w:rFonts w:hint="eastAsia"/>
          <w:color w:val="auto"/>
        </w:rPr>
      </w:pPr>
      <w:r>
        <w:rPr>
          <w:rFonts w:hint="eastAsia"/>
          <w:color w:val="auto"/>
        </w:rPr>
        <w:t>电话/传真：</w:t>
      </w:r>
      <w:r>
        <w:rPr>
          <w:rFonts w:hint="eastAsia"/>
          <w:color w:val="auto"/>
          <w:u w:val="single"/>
        </w:rPr>
        <w:t xml:space="preserve">                        </w:t>
      </w:r>
      <w:r>
        <w:rPr>
          <w:rFonts w:hint="eastAsia"/>
          <w:color w:val="auto"/>
        </w:rPr>
        <w:t xml:space="preserve"> 电子函件：</w:t>
      </w:r>
      <w:r>
        <w:rPr>
          <w:rFonts w:hint="eastAsia"/>
          <w:color w:val="auto"/>
          <w:u w:val="single"/>
        </w:rPr>
        <w:t xml:space="preserve">                         </w:t>
      </w:r>
    </w:p>
    <w:p w14:paraId="09297AA7">
      <w:pPr>
        <w:pStyle w:val="22"/>
        <w:spacing w:line="520" w:lineRule="exact"/>
        <w:ind w:firstLine="840"/>
        <w:rPr>
          <w:rFonts w:hint="eastAsia"/>
          <w:color w:val="auto"/>
          <w:u w:val="single"/>
        </w:rPr>
      </w:pPr>
      <w:r>
        <w:rPr>
          <w:rFonts w:hint="eastAsia"/>
          <w:color w:val="auto"/>
        </w:rPr>
        <w:t>日期：</w:t>
      </w:r>
      <w:r>
        <w:rPr>
          <w:rFonts w:hint="eastAsia"/>
          <w:color w:val="auto"/>
          <w:u w:val="single"/>
        </w:rPr>
        <w:t xml:space="preserve">      </w:t>
      </w:r>
      <w:r>
        <w:rPr>
          <w:rFonts w:hint="eastAsia"/>
          <w:color w:val="auto"/>
        </w:rPr>
        <w:t>年</w:t>
      </w:r>
      <w:r>
        <w:rPr>
          <w:rFonts w:hint="eastAsia"/>
          <w:color w:val="auto"/>
          <w:u w:val="single"/>
        </w:rPr>
        <w:t xml:space="preserve">   </w:t>
      </w:r>
      <w:r>
        <w:rPr>
          <w:rFonts w:hint="eastAsia"/>
          <w:color w:val="auto"/>
        </w:rPr>
        <w:t>月</w:t>
      </w:r>
      <w:r>
        <w:rPr>
          <w:rFonts w:hint="eastAsia"/>
          <w:color w:val="auto"/>
          <w:u w:val="single"/>
        </w:rPr>
        <w:t xml:space="preserve">    </w:t>
      </w:r>
      <w:r>
        <w:rPr>
          <w:rFonts w:hint="eastAsia"/>
          <w:color w:val="auto"/>
        </w:rPr>
        <w:t>日</w:t>
      </w:r>
    </w:p>
    <w:p w14:paraId="175304A7">
      <w:pPr>
        <w:pStyle w:val="22"/>
        <w:spacing w:line="520" w:lineRule="exact"/>
        <w:ind w:firstLine="840"/>
        <w:rPr>
          <w:rFonts w:hint="eastAsia"/>
          <w:color w:val="auto"/>
          <w:u w:val="single"/>
        </w:rPr>
      </w:pPr>
      <w:r>
        <w:rPr>
          <w:rFonts w:hint="eastAsia"/>
          <w:color w:val="auto"/>
        </w:rPr>
        <w:t>法定代表人或委托代理人（被授权人）签字或盖章：</w:t>
      </w:r>
      <w:r>
        <w:rPr>
          <w:rFonts w:hint="eastAsia"/>
          <w:color w:val="auto"/>
          <w:u w:val="single"/>
        </w:rPr>
        <w:t xml:space="preserve">                       </w:t>
      </w:r>
    </w:p>
    <w:p w14:paraId="66E6460B">
      <w:pPr>
        <w:pStyle w:val="22"/>
        <w:spacing w:line="520" w:lineRule="exact"/>
        <w:ind w:firstLine="840"/>
        <w:rPr>
          <w:rFonts w:hint="eastAsia"/>
          <w:color w:val="auto"/>
        </w:rPr>
      </w:pPr>
      <w:r>
        <w:rPr>
          <w:rFonts w:hint="eastAsia"/>
          <w:color w:val="auto"/>
        </w:rPr>
        <w:t>谈判供应商名称（盖章）：</w:t>
      </w:r>
      <w:r>
        <w:rPr>
          <w:rFonts w:hint="eastAsia"/>
          <w:color w:val="auto"/>
          <w:u w:val="single"/>
        </w:rPr>
        <w:t xml:space="preserve">                                                </w:t>
      </w:r>
    </w:p>
    <w:p w14:paraId="2B1A09DC">
      <w:pPr>
        <w:pStyle w:val="22"/>
        <w:spacing w:line="520" w:lineRule="exact"/>
        <w:ind w:firstLine="840"/>
        <w:rPr>
          <w:rFonts w:hint="eastAsia"/>
          <w:color w:val="auto"/>
        </w:rPr>
      </w:pPr>
      <w:r>
        <w:rPr>
          <w:rFonts w:hint="eastAsia"/>
          <w:color w:val="auto"/>
        </w:rPr>
        <w:t xml:space="preserve">                     </w:t>
      </w:r>
    </w:p>
    <w:p w14:paraId="20F90C0C">
      <w:pPr>
        <w:adjustRightInd w:val="0"/>
        <w:snapToGrid w:val="0"/>
        <w:spacing w:line="300" w:lineRule="auto"/>
        <w:ind w:left="-88" w:leftChars="-42"/>
        <w:rPr>
          <w:rFonts w:hint="eastAsia" w:ascii="宋体" w:hAnsi="宋体"/>
          <w:color w:val="auto"/>
          <w:szCs w:val="21"/>
        </w:rPr>
      </w:pPr>
    </w:p>
    <w:p w14:paraId="0D4FFB02">
      <w:pPr>
        <w:adjustRightInd w:val="0"/>
        <w:snapToGrid w:val="0"/>
        <w:spacing w:line="300" w:lineRule="auto"/>
        <w:ind w:left="-88" w:leftChars="-42"/>
        <w:rPr>
          <w:rFonts w:hint="eastAsia" w:ascii="宋体" w:hAnsi="宋体"/>
          <w:color w:val="auto"/>
          <w:szCs w:val="21"/>
        </w:rPr>
      </w:pPr>
    </w:p>
    <w:p w14:paraId="505D3C9D">
      <w:pPr>
        <w:adjustRightInd w:val="0"/>
        <w:snapToGrid w:val="0"/>
        <w:spacing w:line="300" w:lineRule="auto"/>
        <w:ind w:left="-88" w:leftChars="-42"/>
        <w:rPr>
          <w:rFonts w:hint="eastAsia" w:ascii="宋体" w:hAnsi="宋体"/>
          <w:color w:val="auto"/>
          <w:szCs w:val="21"/>
        </w:rPr>
      </w:pPr>
    </w:p>
    <w:p w14:paraId="23EB386A">
      <w:pPr>
        <w:adjustRightInd w:val="0"/>
        <w:snapToGrid w:val="0"/>
        <w:spacing w:line="300" w:lineRule="auto"/>
        <w:ind w:left="-88" w:leftChars="-42"/>
        <w:rPr>
          <w:rFonts w:hint="eastAsia" w:ascii="宋体" w:hAnsi="宋体"/>
          <w:color w:val="auto"/>
          <w:szCs w:val="21"/>
        </w:rPr>
      </w:pPr>
    </w:p>
    <w:p w14:paraId="11E00B22">
      <w:pPr>
        <w:adjustRightInd w:val="0"/>
        <w:snapToGrid w:val="0"/>
        <w:spacing w:line="300" w:lineRule="auto"/>
        <w:ind w:left="-88" w:leftChars="-42"/>
        <w:rPr>
          <w:rFonts w:hint="eastAsia" w:ascii="宋体" w:hAnsi="宋体"/>
          <w:color w:val="auto"/>
          <w:szCs w:val="21"/>
        </w:rPr>
      </w:pPr>
    </w:p>
    <w:p w14:paraId="5B17DBE9">
      <w:pPr>
        <w:adjustRightInd w:val="0"/>
        <w:snapToGrid w:val="0"/>
        <w:spacing w:line="300" w:lineRule="auto"/>
        <w:ind w:left="-88" w:leftChars="-42"/>
        <w:rPr>
          <w:rFonts w:hint="eastAsia" w:ascii="宋体" w:hAnsi="宋体"/>
          <w:color w:val="auto"/>
          <w:szCs w:val="21"/>
        </w:rPr>
      </w:pPr>
    </w:p>
    <w:p w14:paraId="3D5C5B34">
      <w:pPr>
        <w:spacing w:line="520" w:lineRule="exact"/>
        <w:jc w:val="center"/>
        <w:rPr>
          <w:rFonts w:hint="eastAsia" w:ascii="宋体" w:hAnsi="宋体"/>
          <w:b/>
          <w:color w:val="auto"/>
          <w:sz w:val="32"/>
          <w:szCs w:val="32"/>
        </w:rPr>
      </w:pPr>
      <w:r>
        <w:rPr>
          <w:rFonts w:ascii="宋体" w:hAnsi="宋体"/>
          <w:color w:val="auto"/>
          <w:sz w:val="32"/>
          <w:szCs w:val="32"/>
        </w:rPr>
        <w:br w:type="page"/>
      </w:r>
      <w:r>
        <w:rPr>
          <w:rFonts w:hint="eastAsia" w:ascii="仿宋_GB2312" w:hAnsi="宋体" w:eastAsia="仿宋_GB2312"/>
          <w:b/>
          <w:color w:val="auto"/>
          <w:sz w:val="32"/>
          <w:szCs w:val="32"/>
        </w:rPr>
        <w:t>竞标声明书</w:t>
      </w:r>
    </w:p>
    <w:p w14:paraId="1B23A067">
      <w:pPr>
        <w:spacing w:line="320" w:lineRule="exact"/>
        <w:jc w:val="center"/>
        <w:rPr>
          <w:rFonts w:hint="eastAsia" w:ascii="宋体" w:hAnsi="宋体"/>
          <w:color w:val="auto"/>
          <w:sz w:val="24"/>
          <w:szCs w:val="20"/>
        </w:rPr>
      </w:pPr>
    </w:p>
    <w:p w14:paraId="40CD3FF9">
      <w:pPr>
        <w:snapToGrid w:val="0"/>
        <w:spacing w:before="156" w:beforeLines="50" w:after="50" w:line="380" w:lineRule="exact"/>
        <w:rPr>
          <w:rFonts w:hint="eastAsia" w:ascii="宋体" w:hAnsi="宋体"/>
          <w:color w:val="auto"/>
          <w:szCs w:val="21"/>
        </w:rPr>
      </w:pPr>
      <w:r>
        <w:rPr>
          <w:rFonts w:hint="eastAsia" w:ascii="宋体" w:hAnsi="宋体"/>
          <w:color w:val="auto"/>
          <w:szCs w:val="21"/>
        </w:rPr>
        <w:t>致：</w:t>
      </w:r>
      <w:r>
        <w:rPr>
          <w:rFonts w:hint="eastAsia" w:ascii="宋体" w:hAnsi="宋体"/>
          <w:color w:val="auto"/>
          <w:szCs w:val="21"/>
          <w:u w:val="single"/>
        </w:rPr>
        <w:t>广西中吉银工程项目管理有限公司</w:t>
      </w:r>
      <w:r>
        <w:rPr>
          <w:rFonts w:hint="eastAsia" w:ascii="宋体" w:hAnsi="宋体"/>
          <w:color w:val="auto"/>
          <w:szCs w:val="21"/>
        </w:rPr>
        <w:t>：</w:t>
      </w:r>
    </w:p>
    <w:p w14:paraId="1D1C01E9">
      <w:pPr>
        <w:snapToGrid w:val="0"/>
        <w:spacing w:before="156" w:beforeLines="50" w:after="50" w:line="380" w:lineRule="exact"/>
        <w:rPr>
          <w:rFonts w:hint="eastAsia" w:ascii="宋体" w:hAnsi="宋体"/>
          <w:color w:val="auto"/>
          <w:szCs w:val="21"/>
        </w:rPr>
      </w:pPr>
      <w:r>
        <w:rPr>
          <w:rFonts w:hint="eastAsia" w:ascii="宋体" w:hAnsi="宋体"/>
          <w:color w:val="auto"/>
          <w:szCs w:val="21"/>
        </w:rPr>
        <w:t xml:space="preserve">    </w:t>
      </w:r>
      <w:r>
        <w:rPr>
          <w:rFonts w:hint="eastAsia" w:ascii="宋体" w:hAnsi="宋体"/>
          <w:color w:val="auto"/>
          <w:szCs w:val="21"/>
          <w:u w:val="single"/>
        </w:rPr>
        <w:t xml:space="preserve">              </w:t>
      </w:r>
      <w:r>
        <w:rPr>
          <w:rFonts w:hint="eastAsia" w:ascii="宋体" w:hAnsi="宋体"/>
          <w:color w:val="auto"/>
          <w:szCs w:val="21"/>
        </w:rPr>
        <w:t>（供应商名称）系中华人民共和国合法企业，经营地址</w:t>
      </w:r>
      <w:r>
        <w:rPr>
          <w:rFonts w:hint="eastAsia" w:ascii="宋体" w:hAnsi="宋体"/>
          <w:color w:val="auto"/>
          <w:szCs w:val="21"/>
          <w:u w:val="single"/>
        </w:rPr>
        <w:t xml:space="preserve">                  </w:t>
      </w:r>
      <w:r>
        <w:rPr>
          <w:rFonts w:hint="eastAsia" w:ascii="宋体" w:hAnsi="宋体"/>
          <w:color w:val="auto"/>
          <w:szCs w:val="21"/>
        </w:rPr>
        <w:t>。</w:t>
      </w:r>
    </w:p>
    <w:p w14:paraId="568201F0">
      <w:pPr>
        <w:snapToGrid w:val="0"/>
        <w:spacing w:before="156" w:beforeLines="50" w:line="380" w:lineRule="exact"/>
        <w:ind w:firstLine="420" w:firstLineChars="200"/>
        <w:rPr>
          <w:rFonts w:hint="eastAsia" w:ascii="宋体" w:hAnsi="宋体"/>
          <w:color w:val="auto"/>
          <w:szCs w:val="21"/>
        </w:rPr>
      </w:pPr>
      <w:r>
        <w:rPr>
          <w:rFonts w:hint="eastAsia" w:ascii="宋体" w:hAnsi="宋体"/>
          <w:color w:val="auto"/>
          <w:szCs w:val="21"/>
        </w:rPr>
        <w:t>我</w:t>
      </w:r>
      <w:r>
        <w:rPr>
          <w:rFonts w:hint="eastAsia" w:ascii="宋体" w:hAnsi="宋体"/>
          <w:color w:val="auto"/>
          <w:szCs w:val="21"/>
          <w:u w:val="single"/>
        </w:rPr>
        <w:t xml:space="preserve">              </w:t>
      </w:r>
      <w:r>
        <w:rPr>
          <w:rFonts w:hint="eastAsia" w:ascii="宋体" w:hAnsi="宋体"/>
          <w:color w:val="auto"/>
          <w:szCs w:val="21"/>
        </w:rPr>
        <w:t>（姓名）系</w:t>
      </w:r>
      <w:r>
        <w:rPr>
          <w:rFonts w:hint="eastAsia" w:ascii="宋体" w:hAnsi="宋体"/>
          <w:color w:val="auto"/>
          <w:szCs w:val="21"/>
          <w:u w:val="single"/>
        </w:rPr>
        <w:t xml:space="preserve">              </w:t>
      </w:r>
      <w:r>
        <w:rPr>
          <w:rFonts w:hint="eastAsia" w:ascii="宋体" w:hAnsi="宋体"/>
          <w:color w:val="auto"/>
          <w:szCs w:val="21"/>
        </w:rPr>
        <w:t>（供应商名称）的法定代表人，我方愿意参加贵方组织的</w:t>
      </w:r>
      <w:r>
        <w:rPr>
          <w:rFonts w:hint="eastAsia" w:ascii="宋体" w:hAnsi="宋体"/>
          <w:color w:val="auto"/>
          <w:szCs w:val="21"/>
          <w:u w:val="single"/>
        </w:rPr>
        <w:t xml:space="preserve">              </w:t>
      </w:r>
      <w:r>
        <w:rPr>
          <w:rFonts w:hint="eastAsia" w:ascii="宋体" w:hAnsi="宋体"/>
          <w:color w:val="auto"/>
          <w:szCs w:val="21"/>
        </w:rPr>
        <w:t>项目的竞标，为便于贵方公正、择优地确定成交供应商及其竞标产品和服务，我方就本次竞标有关事项郑重声明如下：</w:t>
      </w:r>
    </w:p>
    <w:p w14:paraId="54913A2A">
      <w:pPr>
        <w:snapToGrid w:val="0"/>
        <w:spacing w:line="380" w:lineRule="exact"/>
        <w:ind w:firstLine="420" w:firstLineChars="200"/>
        <w:rPr>
          <w:rFonts w:hint="eastAsia" w:ascii="宋体" w:hAnsi="宋体"/>
          <w:color w:val="auto"/>
          <w:szCs w:val="21"/>
        </w:rPr>
      </w:pPr>
      <w:r>
        <w:rPr>
          <w:rFonts w:hint="eastAsia" w:ascii="宋体" w:hAnsi="宋体"/>
          <w:color w:val="auto"/>
          <w:szCs w:val="21"/>
        </w:rPr>
        <w:t>1.我方向贵方提交的所有响应文件、资料都是准确的和真实的。</w:t>
      </w:r>
    </w:p>
    <w:p w14:paraId="62713F43">
      <w:pPr>
        <w:snapToGrid w:val="0"/>
        <w:spacing w:before="156" w:beforeLines="50" w:line="380" w:lineRule="exact"/>
        <w:ind w:firstLine="420" w:firstLineChars="200"/>
        <w:rPr>
          <w:rFonts w:hint="eastAsia" w:ascii="宋体" w:hAnsi="宋体"/>
          <w:color w:val="auto"/>
          <w:szCs w:val="21"/>
        </w:rPr>
      </w:pPr>
      <w:r>
        <w:rPr>
          <w:rFonts w:hint="eastAsia" w:ascii="宋体" w:hAnsi="宋体"/>
          <w:color w:val="auto"/>
          <w:szCs w:val="21"/>
        </w:rPr>
        <w:t>2.我方在获知本项目采购信息后，与采购人聘请的为此项目提供咨询服务的公司及其附属机构没有任何联系。</w:t>
      </w:r>
    </w:p>
    <w:p w14:paraId="2D94DDA9">
      <w:pPr>
        <w:snapToGrid w:val="0"/>
        <w:spacing w:before="156" w:beforeLines="50" w:line="380" w:lineRule="exact"/>
        <w:ind w:firstLine="420" w:firstLineChars="200"/>
        <w:rPr>
          <w:rFonts w:hint="eastAsia" w:ascii="宋体" w:hAnsi="宋体"/>
          <w:color w:val="auto"/>
          <w:szCs w:val="21"/>
        </w:rPr>
      </w:pPr>
      <w:r>
        <w:rPr>
          <w:rFonts w:hint="eastAsia" w:ascii="宋体" w:hAnsi="宋体"/>
          <w:color w:val="auto"/>
          <w:szCs w:val="21"/>
        </w:rPr>
        <w:t>3.我方此次向贵方提供的产品名称为：</w:t>
      </w:r>
      <w:r>
        <w:rPr>
          <w:rFonts w:hint="eastAsia" w:ascii="宋体" w:hAnsi="宋体"/>
          <w:color w:val="auto"/>
          <w:szCs w:val="21"/>
          <w:u w:val="single"/>
        </w:rPr>
        <w:t xml:space="preserve">                              </w:t>
      </w:r>
      <w:r>
        <w:rPr>
          <w:rFonts w:hint="eastAsia" w:ascii="宋体" w:hAnsi="宋体"/>
          <w:color w:val="auto"/>
          <w:szCs w:val="21"/>
        </w:rPr>
        <w:t>；规格型号：</w:t>
      </w:r>
      <w:r>
        <w:rPr>
          <w:rFonts w:hint="eastAsia" w:ascii="宋体" w:hAnsi="宋体"/>
          <w:color w:val="auto"/>
          <w:szCs w:val="21"/>
          <w:u w:val="single"/>
        </w:rPr>
        <w:t xml:space="preserve">                           </w:t>
      </w:r>
      <w:r>
        <w:rPr>
          <w:rFonts w:hint="eastAsia" w:ascii="宋体" w:hAnsi="宋体"/>
          <w:color w:val="auto"/>
          <w:szCs w:val="21"/>
        </w:rPr>
        <w:t>；该型号产品我方有现货可供，并已于</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月生产完工或向</w:t>
      </w:r>
      <w:r>
        <w:rPr>
          <w:rFonts w:hint="eastAsia" w:ascii="宋体" w:hAnsi="宋体"/>
          <w:color w:val="auto"/>
          <w:szCs w:val="21"/>
          <w:u w:val="single"/>
        </w:rPr>
        <w:t xml:space="preserve">　　              </w:t>
      </w:r>
      <w:r>
        <w:rPr>
          <w:rFonts w:hint="eastAsia" w:ascii="宋体" w:hAnsi="宋体"/>
          <w:color w:val="auto"/>
          <w:szCs w:val="21"/>
        </w:rPr>
        <w:t>（原厂商名称）购进［</w:t>
      </w:r>
      <w:r>
        <w:rPr>
          <w:rFonts w:hint="eastAsia" w:ascii="宋体" w:hAnsi="宋体"/>
          <w:bCs/>
          <w:color w:val="auto"/>
          <w:szCs w:val="21"/>
        </w:rPr>
        <w:t>或</w:t>
      </w:r>
      <w:r>
        <w:rPr>
          <w:rFonts w:hint="eastAsia" w:ascii="宋体" w:hAnsi="宋体"/>
          <w:color w:val="auto"/>
          <w:szCs w:val="21"/>
        </w:rPr>
        <w:t>需在中标后向</w:t>
      </w:r>
      <w:r>
        <w:rPr>
          <w:rFonts w:hint="eastAsia" w:ascii="宋体" w:hAnsi="宋体"/>
          <w:color w:val="auto"/>
          <w:szCs w:val="21"/>
          <w:u w:val="single"/>
        </w:rPr>
        <w:t xml:space="preserve">               </w:t>
      </w:r>
      <w:r>
        <w:rPr>
          <w:rFonts w:hint="eastAsia" w:ascii="宋体" w:hAnsi="宋体"/>
          <w:color w:val="auto"/>
          <w:szCs w:val="21"/>
        </w:rPr>
        <w:t>订购］。</w:t>
      </w:r>
    </w:p>
    <w:p w14:paraId="43085A96">
      <w:pPr>
        <w:snapToGrid w:val="0"/>
        <w:spacing w:before="156" w:beforeLines="50" w:line="380" w:lineRule="exact"/>
        <w:ind w:firstLine="420" w:firstLineChars="200"/>
        <w:rPr>
          <w:rFonts w:hint="eastAsia" w:ascii="宋体" w:hAnsi="宋体"/>
          <w:color w:val="auto"/>
          <w:szCs w:val="21"/>
        </w:rPr>
      </w:pPr>
      <w:r>
        <w:rPr>
          <w:rFonts w:hint="eastAsia" w:ascii="宋体" w:hAnsi="宋体"/>
          <w:color w:val="auto"/>
          <w:szCs w:val="21"/>
        </w:rPr>
        <w:t>4.我方诚意提请贵方关注：近期有关该型号产品的生产、供货、售后服务以及性能等方面的重大决策和事项有：</w:t>
      </w:r>
    </w:p>
    <w:p w14:paraId="3287FD31">
      <w:pPr>
        <w:snapToGrid w:val="0"/>
        <w:spacing w:before="156" w:beforeLines="50" w:line="380" w:lineRule="exact"/>
        <w:ind w:firstLine="420" w:firstLineChars="200"/>
        <w:rPr>
          <w:rFonts w:hint="eastAsia" w:ascii="宋体" w:hAnsi="宋体"/>
          <w:color w:val="auto"/>
          <w:szCs w:val="21"/>
          <w:u w:val="single"/>
        </w:rPr>
      </w:pPr>
      <w:r>
        <w:rPr>
          <w:rFonts w:hint="eastAsia" w:ascii="宋体" w:hAnsi="宋体"/>
          <w:color w:val="auto"/>
          <w:szCs w:val="21"/>
          <w:u w:val="single"/>
        </w:rPr>
        <w:t>　　　　　　　　　　　　　　　　　　　　　　　　　　　</w:t>
      </w:r>
    </w:p>
    <w:p w14:paraId="26090C55">
      <w:pPr>
        <w:snapToGrid w:val="0"/>
        <w:spacing w:before="156" w:beforeLines="50" w:line="380" w:lineRule="exact"/>
        <w:ind w:firstLine="420" w:firstLineChars="200"/>
        <w:rPr>
          <w:rFonts w:hint="eastAsia" w:ascii="宋体" w:hAnsi="宋体"/>
          <w:color w:val="auto"/>
          <w:szCs w:val="21"/>
        </w:rPr>
      </w:pPr>
      <w:r>
        <w:rPr>
          <w:rFonts w:hint="eastAsia" w:ascii="宋体" w:hAnsi="宋体"/>
          <w:color w:val="auto"/>
          <w:szCs w:val="21"/>
          <w:u w:val="single"/>
        </w:rPr>
        <w:t>　　　　　　　　　　　　　　　　　　　　　　　　　　　</w:t>
      </w:r>
    </w:p>
    <w:p w14:paraId="442ACFF4">
      <w:pPr>
        <w:pStyle w:val="19"/>
        <w:snapToGrid w:val="0"/>
        <w:spacing w:line="380" w:lineRule="exact"/>
        <w:ind w:firstLine="420" w:firstLineChars="200"/>
        <w:rPr>
          <w:rFonts w:hint="eastAsia" w:ascii="宋体" w:hAnsi="宋体"/>
          <w:color w:val="auto"/>
          <w:sz w:val="21"/>
          <w:szCs w:val="21"/>
          <w:u w:val="single"/>
        </w:rPr>
      </w:pPr>
      <w:r>
        <w:rPr>
          <w:rFonts w:hint="eastAsia" w:ascii="宋体" w:hAnsi="宋体" w:eastAsia="宋体"/>
          <w:color w:val="auto"/>
          <w:sz w:val="21"/>
          <w:szCs w:val="21"/>
        </w:rPr>
        <w:t>5. 以上事项如有虚假或隐瞒，我方愿意承担一切后果，并不再寻求任何旨在减轻或免除法律责任的辩解。</w:t>
      </w:r>
    </w:p>
    <w:p w14:paraId="39788A86">
      <w:pPr>
        <w:spacing w:line="380" w:lineRule="exact"/>
        <w:ind w:firstLine="420" w:firstLineChars="200"/>
        <w:rPr>
          <w:rFonts w:hint="eastAsia" w:ascii="宋体" w:hAnsi="宋体"/>
          <w:color w:val="auto"/>
          <w:szCs w:val="21"/>
        </w:rPr>
      </w:pPr>
      <w:r>
        <w:rPr>
          <w:rFonts w:hint="eastAsia" w:ascii="宋体" w:hAnsi="宋体"/>
          <w:color w:val="auto"/>
          <w:szCs w:val="21"/>
        </w:rPr>
        <w:t>6. 根据</w:t>
      </w:r>
      <w:r>
        <w:rPr>
          <w:rFonts w:ascii="宋体" w:hAnsi="宋体"/>
          <w:color w:val="auto"/>
          <w:szCs w:val="21"/>
        </w:rPr>
        <w:t>《中华人民共和国政府采购法实施条例》第五十条要求对政府采购合同进行公告</w:t>
      </w:r>
      <w:r>
        <w:rPr>
          <w:rFonts w:hint="eastAsia" w:ascii="宋体" w:hAnsi="宋体"/>
          <w:color w:val="auto"/>
          <w:szCs w:val="21"/>
        </w:rPr>
        <w:t>，</w:t>
      </w:r>
      <w:r>
        <w:rPr>
          <w:rFonts w:ascii="宋体" w:hAnsi="宋体"/>
          <w:color w:val="auto"/>
          <w:szCs w:val="21"/>
        </w:rPr>
        <w:t>但政府采购合同中涉及国家秘密、商业秘密的内容除外。</w:t>
      </w:r>
      <w:r>
        <w:rPr>
          <w:rFonts w:hint="eastAsia" w:ascii="宋体" w:hAnsi="宋体"/>
          <w:color w:val="auto"/>
          <w:szCs w:val="21"/>
        </w:rPr>
        <w:t>我方就对本次响应文件进行注明如下：（两项内容中必须选择一项）</w:t>
      </w:r>
    </w:p>
    <w:p w14:paraId="60670A13">
      <w:pPr>
        <w:spacing w:line="380" w:lineRule="exact"/>
        <w:ind w:firstLine="420" w:firstLineChars="200"/>
        <w:rPr>
          <w:rFonts w:hint="eastAsia" w:ascii="宋体" w:hAnsi="宋体"/>
          <w:color w:val="auto"/>
          <w:szCs w:val="21"/>
        </w:rPr>
      </w:pPr>
      <w:r>
        <w:rPr>
          <w:rFonts w:hint="eastAsia" w:ascii="宋体" w:hAnsi="宋体"/>
          <w:color w:val="auto"/>
          <w:szCs w:val="21"/>
        </w:rPr>
        <w:t>□我方本次响应文件</w:t>
      </w:r>
      <w:r>
        <w:rPr>
          <w:rFonts w:ascii="宋体" w:hAnsi="宋体" w:cs="宋体"/>
          <w:color w:val="auto"/>
          <w:kern w:val="0"/>
          <w:szCs w:val="21"/>
        </w:rPr>
        <w:t>内容中</w:t>
      </w:r>
      <w:r>
        <w:rPr>
          <w:rFonts w:hint="eastAsia" w:ascii="宋体" w:hAnsi="宋体"/>
          <w:color w:val="auto"/>
          <w:szCs w:val="21"/>
        </w:rPr>
        <w:t>未</w:t>
      </w:r>
      <w:r>
        <w:rPr>
          <w:rFonts w:ascii="宋体" w:hAnsi="宋体" w:cs="宋体"/>
          <w:color w:val="auto"/>
          <w:kern w:val="0"/>
          <w:szCs w:val="21"/>
        </w:rPr>
        <w:t>涉及商业秘密</w:t>
      </w:r>
      <w:r>
        <w:rPr>
          <w:rFonts w:hint="eastAsia" w:ascii="宋体" w:hAnsi="宋体" w:cs="宋体"/>
          <w:color w:val="auto"/>
          <w:kern w:val="0"/>
          <w:szCs w:val="21"/>
        </w:rPr>
        <w:t>；</w:t>
      </w:r>
    </w:p>
    <w:p w14:paraId="6BFA5B1C">
      <w:pPr>
        <w:spacing w:line="380" w:lineRule="exact"/>
        <w:ind w:firstLine="420" w:firstLineChars="200"/>
        <w:rPr>
          <w:rFonts w:hint="eastAsia" w:ascii="宋体" w:hAnsi="宋体"/>
          <w:color w:val="auto"/>
          <w:szCs w:val="21"/>
          <w:u w:val="single"/>
        </w:rPr>
      </w:pPr>
      <w:r>
        <w:rPr>
          <w:rFonts w:hint="eastAsia" w:ascii="宋体" w:hAnsi="宋体"/>
          <w:color w:val="auto"/>
          <w:szCs w:val="21"/>
        </w:rPr>
        <w:t>□我方本次响应文件</w:t>
      </w:r>
      <w:r>
        <w:rPr>
          <w:rFonts w:ascii="宋体" w:hAnsi="宋体" w:cs="宋体"/>
          <w:color w:val="auto"/>
          <w:kern w:val="0"/>
          <w:szCs w:val="21"/>
        </w:rPr>
        <w:t>涉及商业秘密</w:t>
      </w:r>
      <w:r>
        <w:rPr>
          <w:rFonts w:hint="eastAsia" w:ascii="宋体" w:hAnsi="宋体" w:cs="宋体"/>
          <w:color w:val="auto"/>
          <w:kern w:val="0"/>
          <w:szCs w:val="21"/>
        </w:rPr>
        <w:t>的</w:t>
      </w:r>
      <w:r>
        <w:rPr>
          <w:rFonts w:ascii="宋体" w:hAnsi="宋体" w:cs="宋体"/>
          <w:color w:val="auto"/>
          <w:kern w:val="0"/>
          <w:szCs w:val="21"/>
        </w:rPr>
        <w:t>内容</w:t>
      </w:r>
      <w:r>
        <w:rPr>
          <w:rFonts w:hint="eastAsia" w:ascii="宋体" w:hAnsi="宋体" w:cs="宋体"/>
          <w:color w:val="auto"/>
          <w:kern w:val="0"/>
          <w:szCs w:val="21"/>
        </w:rPr>
        <w:t>有：</w:t>
      </w:r>
      <w:r>
        <w:rPr>
          <w:rFonts w:hint="eastAsia" w:ascii="宋体" w:hAnsi="宋体" w:cs="宋体"/>
          <w:color w:val="auto"/>
          <w:kern w:val="0"/>
          <w:szCs w:val="21"/>
          <w:u w:val="single"/>
        </w:rPr>
        <w:t xml:space="preserve">                         </w:t>
      </w:r>
      <w:r>
        <w:rPr>
          <w:rFonts w:hint="eastAsia" w:ascii="宋体" w:hAnsi="宋体" w:cs="宋体"/>
          <w:color w:val="auto"/>
          <w:kern w:val="0"/>
          <w:szCs w:val="21"/>
        </w:rPr>
        <w:t>；</w:t>
      </w:r>
    </w:p>
    <w:p w14:paraId="7E8623B3">
      <w:pPr>
        <w:snapToGrid w:val="0"/>
        <w:spacing w:line="380" w:lineRule="exact"/>
        <w:ind w:firstLine="420" w:firstLineChars="200"/>
        <w:rPr>
          <w:rFonts w:hint="eastAsia" w:ascii="宋体" w:hAnsi="宋体"/>
          <w:color w:val="auto"/>
          <w:szCs w:val="21"/>
        </w:rPr>
      </w:pPr>
      <w:r>
        <w:rPr>
          <w:rFonts w:hint="eastAsia" w:ascii="宋体" w:hAnsi="宋体"/>
          <w:color w:val="auto"/>
          <w:szCs w:val="21"/>
        </w:rPr>
        <w:t>7. 我方在此声明，我方及由本人担任法定代表人的其他机构在参加本项目的政府采购活动前三年内，在经营活动中没有重大违法记录，符合《中华人民共和国政府采购法》及《中华人民共和国政府采购法实施条例》规定的供应商条件，我方对此声明负全部法律责任。</w:t>
      </w:r>
    </w:p>
    <w:p w14:paraId="7B1484D5">
      <w:pPr>
        <w:pStyle w:val="21"/>
        <w:tabs>
          <w:tab w:val="left" w:pos="939"/>
        </w:tabs>
        <w:snapToGrid w:val="0"/>
        <w:spacing w:line="380" w:lineRule="exact"/>
        <w:ind w:left="849" w:leftChars="150" w:hanging="534" w:hangingChars="191"/>
        <w:rPr>
          <w:rFonts w:hint="eastAsia" w:ascii="宋体" w:hAnsi="宋体"/>
          <w:color w:val="auto"/>
          <w:szCs w:val="21"/>
        </w:rPr>
      </w:pPr>
    </w:p>
    <w:p w14:paraId="5D38D47E">
      <w:pPr>
        <w:pStyle w:val="67"/>
        <w:snapToGrid w:val="0"/>
        <w:spacing w:before="156" w:beforeLines="50" w:line="380" w:lineRule="exact"/>
        <w:ind w:firstLine="200"/>
        <w:rPr>
          <w:rFonts w:hint="eastAsia" w:ascii="宋体" w:hAnsi="宋体"/>
          <w:color w:val="auto"/>
          <w:sz w:val="21"/>
          <w:szCs w:val="21"/>
        </w:rPr>
      </w:pPr>
    </w:p>
    <w:p w14:paraId="683CBC04">
      <w:pPr>
        <w:snapToGrid w:val="0"/>
        <w:spacing w:before="156" w:beforeLines="50" w:line="380" w:lineRule="exact"/>
        <w:ind w:right="480" w:firstLine="4792" w:firstLineChars="2282"/>
        <w:rPr>
          <w:rFonts w:hint="eastAsia" w:ascii="宋体" w:hAnsi="宋体"/>
          <w:color w:val="auto"/>
          <w:szCs w:val="21"/>
          <w:u w:val="single"/>
        </w:rPr>
      </w:pPr>
      <w:r>
        <w:rPr>
          <w:rFonts w:hint="eastAsia" w:ascii="宋体" w:hAnsi="宋体"/>
          <w:color w:val="auto"/>
          <w:szCs w:val="21"/>
        </w:rPr>
        <w:t>法定代表人签字或盖章：</w:t>
      </w:r>
      <w:r>
        <w:rPr>
          <w:rFonts w:hint="eastAsia" w:ascii="宋体" w:hAnsi="宋体"/>
          <w:color w:val="auto"/>
          <w:szCs w:val="21"/>
          <w:u w:val="single"/>
        </w:rPr>
        <w:t xml:space="preserve">             </w:t>
      </w:r>
    </w:p>
    <w:p w14:paraId="7D05C1E9">
      <w:pPr>
        <w:snapToGrid w:val="0"/>
        <w:spacing w:before="156" w:beforeLines="50" w:after="50" w:line="380" w:lineRule="exact"/>
        <w:ind w:right="480" w:firstLine="4830" w:firstLineChars="2300"/>
        <w:rPr>
          <w:rFonts w:hint="eastAsia" w:ascii="宋体" w:hAnsi="宋体"/>
          <w:color w:val="auto"/>
          <w:szCs w:val="21"/>
        </w:rPr>
      </w:pPr>
      <w:r>
        <w:rPr>
          <w:rFonts w:hint="eastAsia" w:ascii="宋体" w:hAnsi="宋体"/>
          <w:color w:val="auto"/>
          <w:szCs w:val="21"/>
        </w:rPr>
        <w:t>供应商公章：</w:t>
      </w:r>
      <w:r>
        <w:rPr>
          <w:rFonts w:hint="eastAsia" w:ascii="宋体" w:hAnsi="宋体"/>
          <w:color w:val="auto"/>
          <w:szCs w:val="21"/>
          <w:u w:val="single"/>
        </w:rPr>
        <w:t xml:space="preserve">                 </w:t>
      </w:r>
    </w:p>
    <w:p w14:paraId="60ED0D64">
      <w:pPr>
        <w:snapToGrid w:val="0"/>
        <w:spacing w:before="156" w:beforeLines="50" w:after="50" w:line="380" w:lineRule="exact"/>
        <w:ind w:right="480" w:firstLine="210" w:firstLineChars="100"/>
        <w:jc w:val="right"/>
        <w:rPr>
          <w:rFonts w:hint="eastAsia" w:ascii="宋体" w:hAnsi="宋体"/>
          <w:color w:val="auto"/>
          <w:szCs w:val="21"/>
          <w:highlight w:val="yellow"/>
        </w:rPr>
      </w:pPr>
      <w:r>
        <w:rPr>
          <w:rFonts w:hint="eastAsia" w:ascii="宋体" w:hAnsi="宋体"/>
          <w:color w:val="auto"/>
          <w:szCs w:val="21"/>
        </w:rPr>
        <w:t xml:space="preserve"> 年    月    日</w:t>
      </w:r>
    </w:p>
    <w:p w14:paraId="01279803">
      <w:pPr>
        <w:adjustRightInd w:val="0"/>
        <w:snapToGrid w:val="0"/>
        <w:spacing w:line="300" w:lineRule="auto"/>
        <w:ind w:left="-88" w:leftChars="-42"/>
        <w:rPr>
          <w:rFonts w:hint="eastAsia" w:ascii="宋体" w:hAnsi="宋体"/>
          <w:color w:val="auto"/>
          <w:szCs w:val="21"/>
        </w:rPr>
      </w:pPr>
    </w:p>
    <w:p w14:paraId="66FF6708">
      <w:pPr>
        <w:adjustRightInd w:val="0"/>
        <w:snapToGrid w:val="0"/>
        <w:spacing w:line="500" w:lineRule="exact"/>
        <w:ind w:left="-88" w:leftChars="-42"/>
        <w:rPr>
          <w:rFonts w:hint="eastAsia" w:ascii="宋体" w:hAnsi="宋体"/>
          <w:b/>
          <w:color w:val="auto"/>
          <w:szCs w:val="21"/>
        </w:rPr>
      </w:pPr>
      <w:r>
        <w:rPr>
          <w:rFonts w:ascii="宋体" w:hAnsi="宋体"/>
          <w:color w:val="auto"/>
          <w:szCs w:val="21"/>
        </w:rPr>
        <w:br w:type="page"/>
      </w:r>
      <w:r>
        <w:rPr>
          <w:rFonts w:hint="eastAsia" w:ascii="宋体" w:hAnsi="宋体"/>
          <w:b/>
          <w:color w:val="auto"/>
          <w:szCs w:val="21"/>
        </w:rPr>
        <w:t xml:space="preserve">附件五 </w:t>
      </w:r>
    </w:p>
    <w:p w14:paraId="6F2083BB">
      <w:pPr>
        <w:spacing w:line="300" w:lineRule="auto"/>
        <w:rPr>
          <w:rFonts w:hint="eastAsia" w:ascii="宋体" w:hAnsi="宋体"/>
          <w:b/>
          <w:color w:val="auto"/>
          <w:szCs w:val="21"/>
        </w:rPr>
      </w:pPr>
    </w:p>
    <w:p w14:paraId="4D6AA2D4">
      <w:pPr>
        <w:spacing w:line="300" w:lineRule="auto"/>
        <w:jc w:val="center"/>
        <w:rPr>
          <w:rFonts w:hint="eastAsia" w:ascii="仿宋_GB2312" w:hAnsi="宋体" w:eastAsia="仿宋_GB2312"/>
          <w:b/>
          <w:color w:val="auto"/>
          <w:sz w:val="32"/>
          <w:szCs w:val="32"/>
        </w:rPr>
      </w:pPr>
      <w:r>
        <w:rPr>
          <w:rFonts w:hint="eastAsia" w:ascii="仿宋_GB2312" w:hAnsi="宋体" w:eastAsia="仿宋_GB2312"/>
          <w:b/>
          <w:color w:val="auto"/>
          <w:sz w:val="32"/>
          <w:szCs w:val="32"/>
        </w:rPr>
        <w:t>商务、技术响应、偏离情况说明表</w:t>
      </w:r>
    </w:p>
    <w:p w14:paraId="0EF58FA3">
      <w:pPr>
        <w:spacing w:line="300" w:lineRule="auto"/>
        <w:rPr>
          <w:rFonts w:hint="eastAsia" w:ascii="宋体" w:hAnsi="宋体"/>
          <w:color w:val="auto"/>
          <w:szCs w:val="21"/>
        </w:rPr>
      </w:pPr>
    </w:p>
    <w:p w14:paraId="7D9413E9">
      <w:pPr>
        <w:spacing w:line="500" w:lineRule="exact"/>
        <w:rPr>
          <w:rFonts w:hint="eastAsia" w:ascii="宋体" w:hAnsi="宋体"/>
          <w:color w:val="auto"/>
          <w:szCs w:val="21"/>
          <w:u w:val="single"/>
        </w:rPr>
      </w:pPr>
      <w:r>
        <w:rPr>
          <w:rFonts w:hint="eastAsia" w:ascii="宋体" w:hAnsi="宋体"/>
          <w:color w:val="auto"/>
          <w:szCs w:val="21"/>
        </w:rPr>
        <w:t>采购项目名称:</w:t>
      </w:r>
      <w:r>
        <w:rPr>
          <w:rFonts w:hint="eastAsia" w:ascii="宋体" w:hAnsi="宋体"/>
          <w:color w:val="auto"/>
          <w:szCs w:val="21"/>
          <w:u w:val="single"/>
        </w:rPr>
        <w:t xml:space="preserve">                 </w:t>
      </w:r>
    </w:p>
    <w:p w14:paraId="34CCDE96">
      <w:pPr>
        <w:spacing w:line="500" w:lineRule="exact"/>
        <w:rPr>
          <w:rFonts w:hint="eastAsia" w:ascii="宋体" w:hAnsi="宋体"/>
          <w:color w:val="auto"/>
          <w:szCs w:val="21"/>
          <w:u w:val="single"/>
        </w:rPr>
      </w:pPr>
      <w:r>
        <w:rPr>
          <w:rFonts w:hint="eastAsia" w:ascii="宋体" w:hAnsi="宋体"/>
          <w:color w:val="auto"/>
          <w:szCs w:val="21"/>
        </w:rPr>
        <w:t>采购项目编号:</w:t>
      </w:r>
      <w:r>
        <w:rPr>
          <w:rFonts w:hint="eastAsia" w:ascii="宋体" w:hAnsi="宋体"/>
          <w:color w:val="auto"/>
          <w:szCs w:val="21"/>
          <w:u w:val="single"/>
        </w:rPr>
        <w:t xml:space="preserve">                 </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51"/>
        <w:gridCol w:w="3013"/>
        <w:gridCol w:w="3159"/>
        <w:gridCol w:w="1571"/>
        <w:gridCol w:w="1460"/>
      </w:tblGrid>
      <w:tr w14:paraId="343EB39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703" w:hRule="atLeast"/>
        </w:trPr>
        <w:tc>
          <w:tcPr>
            <w:tcW w:w="651" w:type="dxa"/>
            <w:vAlign w:val="center"/>
          </w:tcPr>
          <w:p w14:paraId="3283ED98">
            <w:pPr>
              <w:jc w:val="center"/>
              <w:rPr>
                <w:color w:val="auto"/>
              </w:rPr>
            </w:pPr>
            <w:bookmarkStart w:id="46" w:name="_Toc173066401"/>
            <w:bookmarkStart w:id="47" w:name="_Toc254970588"/>
            <w:bookmarkStart w:id="48" w:name="_Toc173211900"/>
            <w:bookmarkStart w:id="49" w:name="_Toc254970729"/>
            <w:r>
              <w:rPr>
                <w:rFonts w:hint="eastAsia"/>
                <w:color w:val="auto"/>
              </w:rPr>
              <w:t>序号</w:t>
            </w:r>
            <w:bookmarkEnd w:id="46"/>
            <w:bookmarkEnd w:id="47"/>
            <w:bookmarkEnd w:id="48"/>
            <w:bookmarkEnd w:id="49"/>
          </w:p>
        </w:tc>
        <w:tc>
          <w:tcPr>
            <w:tcW w:w="3013" w:type="dxa"/>
            <w:vAlign w:val="center"/>
          </w:tcPr>
          <w:p w14:paraId="0A3EB68A">
            <w:pPr>
              <w:jc w:val="center"/>
              <w:rPr>
                <w:color w:val="auto"/>
              </w:rPr>
            </w:pPr>
            <w:bookmarkStart w:id="50" w:name="_Toc254970730"/>
            <w:bookmarkStart w:id="51" w:name="_Toc254970589"/>
            <w:bookmarkStart w:id="52" w:name="_Toc173066402"/>
            <w:bookmarkStart w:id="53" w:name="_Toc173211901"/>
            <w:r>
              <w:rPr>
                <w:rFonts w:hint="eastAsia"/>
                <w:color w:val="auto"/>
              </w:rPr>
              <w:t>竞争性谈判文件要求</w:t>
            </w:r>
            <w:bookmarkEnd w:id="50"/>
            <w:bookmarkEnd w:id="51"/>
            <w:bookmarkEnd w:id="52"/>
            <w:bookmarkEnd w:id="53"/>
          </w:p>
        </w:tc>
        <w:tc>
          <w:tcPr>
            <w:tcW w:w="3159" w:type="dxa"/>
            <w:vAlign w:val="center"/>
          </w:tcPr>
          <w:p w14:paraId="22ED8934">
            <w:pPr>
              <w:jc w:val="center"/>
              <w:rPr>
                <w:color w:val="auto"/>
              </w:rPr>
            </w:pPr>
            <w:bookmarkStart w:id="54" w:name="_Toc173066403"/>
            <w:bookmarkStart w:id="55" w:name="_Toc254970590"/>
            <w:bookmarkStart w:id="56" w:name="_Toc254970731"/>
            <w:bookmarkStart w:id="57" w:name="_Toc173211902"/>
            <w:r>
              <w:rPr>
                <w:rFonts w:hint="eastAsia"/>
                <w:color w:val="auto"/>
              </w:rPr>
              <w:t>竞争性谈判响应文件具体响应</w:t>
            </w:r>
            <w:bookmarkEnd w:id="54"/>
            <w:bookmarkEnd w:id="55"/>
            <w:bookmarkEnd w:id="56"/>
            <w:bookmarkEnd w:id="57"/>
          </w:p>
        </w:tc>
        <w:tc>
          <w:tcPr>
            <w:tcW w:w="1571" w:type="dxa"/>
            <w:vAlign w:val="center"/>
          </w:tcPr>
          <w:p w14:paraId="0DB544CB">
            <w:pPr>
              <w:jc w:val="center"/>
              <w:rPr>
                <w:color w:val="auto"/>
              </w:rPr>
            </w:pPr>
            <w:r>
              <w:rPr>
                <w:rFonts w:hint="eastAsia"/>
                <w:color w:val="auto"/>
              </w:rPr>
              <w:t>偏离说明</w:t>
            </w:r>
          </w:p>
        </w:tc>
        <w:tc>
          <w:tcPr>
            <w:tcW w:w="1460" w:type="dxa"/>
            <w:vAlign w:val="center"/>
          </w:tcPr>
          <w:p w14:paraId="7E1CDC5C">
            <w:pPr>
              <w:jc w:val="center"/>
              <w:rPr>
                <w:color w:val="auto"/>
              </w:rPr>
            </w:pPr>
            <w:r>
              <w:rPr>
                <w:rFonts w:hint="eastAsia"/>
                <w:color w:val="auto"/>
              </w:rPr>
              <w:t>备注</w:t>
            </w:r>
          </w:p>
        </w:tc>
      </w:tr>
      <w:tr w14:paraId="281B1C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9854" w:type="dxa"/>
            <w:gridSpan w:val="5"/>
            <w:vAlign w:val="center"/>
          </w:tcPr>
          <w:p w14:paraId="647CF049">
            <w:pPr>
              <w:jc w:val="center"/>
              <w:rPr>
                <w:color w:val="auto"/>
              </w:rPr>
            </w:pPr>
            <w:bookmarkStart w:id="58" w:name="_Toc476258666"/>
            <w:r>
              <w:rPr>
                <w:rFonts w:hint="eastAsia"/>
                <w:color w:val="auto"/>
              </w:rPr>
              <w:t>商务部分</w:t>
            </w:r>
            <w:bookmarkEnd w:id="58"/>
            <w:r>
              <w:rPr>
                <w:rFonts w:hint="eastAsia"/>
                <w:color w:val="auto"/>
              </w:rPr>
              <w:t>（商务要求表）</w:t>
            </w:r>
          </w:p>
        </w:tc>
      </w:tr>
      <w:tr w14:paraId="258DC18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00" w:hRule="atLeast"/>
        </w:trPr>
        <w:tc>
          <w:tcPr>
            <w:tcW w:w="651" w:type="dxa"/>
            <w:vAlign w:val="center"/>
          </w:tcPr>
          <w:p w14:paraId="331F5240">
            <w:pPr>
              <w:jc w:val="center"/>
              <w:rPr>
                <w:color w:val="auto"/>
              </w:rPr>
            </w:pPr>
            <w:bookmarkStart w:id="59" w:name="_Toc173211905"/>
            <w:bookmarkStart w:id="60" w:name="_Toc254970593"/>
            <w:bookmarkStart w:id="61" w:name="_Toc173066406"/>
            <w:bookmarkStart w:id="62" w:name="_Toc254970734"/>
            <w:r>
              <w:rPr>
                <w:rFonts w:hint="eastAsia"/>
                <w:color w:val="auto"/>
              </w:rPr>
              <w:t>1</w:t>
            </w:r>
            <w:bookmarkEnd w:id="59"/>
            <w:bookmarkEnd w:id="60"/>
            <w:bookmarkEnd w:id="61"/>
            <w:bookmarkEnd w:id="62"/>
          </w:p>
        </w:tc>
        <w:tc>
          <w:tcPr>
            <w:tcW w:w="3013" w:type="dxa"/>
            <w:vAlign w:val="center"/>
          </w:tcPr>
          <w:p w14:paraId="53A33F5C">
            <w:pPr>
              <w:tabs>
                <w:tab w:val="left" w:pos="180"/>
                <w:tab w:val="left" w:pos="1620"/>
              </w:tabs>
              <w:spacing w:line="400" w:lineRule="exact"/>
              <w:jc w:val="center"/>
              <w:rPr>
                <w:rFonts w:hint="eastAsia" w:ascii="宋体" w:hAnsi="宋体"/>
                <w:color w:val="auto"/>
                <w:szCs w:val="21"/>
              </w:rPr>
            </w:pPr>
          </w:p>
        </w:tc>
        <w:tc>
          <w:tcPr>
            <w:tcW w:w="3159" w:type="dxa"/>
          </w:tcPr>
          <w:p w14:paraId="38C28BA8">
            <w:pPr>
              <w:rPr>
                <w:color w:val="auto"/>
              </w:rPr>
            </w:pPr>
          </w:p>
        </w:tc>
        <w:tc>
          <w:tcPr>
            <w:tcW w:w="1571" w:type="dxa"/>
            <w:vAlign w:val="center"/>
          </w:tcPr>
          <w:p w14:paraId="1A7480B4">
            <w:pPr>
              <w:jc w:val="center"/>
              <w:rPr>
                <w:color w:val="auto"/>
              </w:rPr>
            </w:pPr>
          </w:p>
        </w:tc>
        <w:tc>
          <w:tcPr>
            <w:tcW w:w="1460" w:type="dxa"/>
            <w:vAlign w:val="center"/>
          </w:tcPr>
          <w:p w14:paraId="027A369C">
            <w:pPr>
              <w:jc w:val="center"/>
              <w:rPr>
                <w:color w:val="auto"/>
              </w:rPr>
            </w:pPr>
          </w:p>
        </w:tc>
      </w:tr>
      <w:tr w14:paraId="4FA673E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00" w:hRule="atLeast"/>
        </w:trPr>
        <w:tc>
          <w:tcPr>
            <w:tcW w:w="651" w:type="dxa"/>
            <w:vAlign w:val="center"/>
          </w:tcPr>
          <w:p w14:paraId="4A4572F7">
            <w:pPr>
              <w:jc w:val="center"/>
              <w:rPr>
                <w:color w:val="auto"/>
              </w:rPr>
            </w:pPr>
            <w:bookmarkStart w:id="63" w:name="_Toc173211906"/>
            <w:bookmarkStart w:id="64" w:name="_Toc254970594"/>
            <w:bookmarkStart w:id="65" w:name="_Toc254970735"/>
            <w:bookmarkStart w:id="66" w:name="_Toc173066407"/>
            <w:r>
              <w:rPr>
                <w:rFonts w:hint="eastAsia"/>
                <w:color w:val="auto"/>
              </w:rPr>
              <w:t>2</w:t>
            </w:r>
          </w:p>
        </w:tc>
        <w:tc>
          <w:tcPr>
            <w:tcW w:w="3013" w:type="dxa"/>
            <w:vAlign w:val="center"/>
          </w:tcPr>
          <w:p w14:paraId="65585D4C">
            <w:pPr>
              <w:tabs>
                <w:tab w:val="left" w:pos="180"/>
                <w:tab w:val="left" w:pos="1620"/>
              </w:tabs>
              <w:spacing w:line="400" w:lineRule="exact"/>
              <w:jc w:val="center"/>
              <w:rPr>
                <w:rFonts w:hint="eastAsia" w:ascii="宋体" w:hAnsi="宋体"/>
                <w:color w:val="auto"/>
                <w:szCs w:val="21"/>
              </w:rPr>
            </w:pPr>
          </w:p>
        </w:tc>
        <w:tc>
          <w:tcPr>
            <w:tcW w:w="3159" w:type="dxa"/>
          </w:tcPr>
          <w:p w14:paraId="0A001836">
            <w:pPr>
              <w:rPr>
                <w:color w:val="auto"/>
              </w:rPr>
            </w:pPr>
          </w:p>
        </w:tc>
        <w:tc>
          <w:tcPr>
            <w:tcW w:w="1571" w:type="dxa"/>
            <w:vAlign w:val="center"/>
          </w:tcPr>
          <w:p w14:paraId="40AD7CCD">
            <w:pPr>
              <w:jc w:val="center"/>
              <w:rPr>
                <w:color w:val="auto"/>
              </w:rPr>
            </w:pPr>
          </w:p>
        </w:tc>
        <w:tc>
          <w:tcPr>
            <w:tcW w:w="1460" w:type="dxa"/>
            <w:vAlign w:val="center"/>
          </w:tcPr>
          <w:p w14:paraId="5A998C41">
            <w:pPr>
              <w:jc w:val="center"/>
              <w:rPr>
                <w:color w:val="auto"/>
              </w:rPr>
            </w:pPr>
          </w:p>
        </w:tc>
      </w:tr>
      <w:bookmarkEnd w:id="63"/>
      <w:bookmarkEnd w:id="64"/>
      <w:bookmarkEnd w:id="65"/>
      <w:bookmarkEnd w:id="66"/>
      <w:tr w14:paraId="7EA30F7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651" w:type="dxa"/>
            <w:vAlign w:val="center"/>
          </w:tcPr>
          <w:p w14:paraId="3FB93A09">
            <w:pPr>
              <w:jc w:val="center"/>
              <w:rPr>
                <w:color w:val="auto"/>
              </w:rPr>
            </w:pPr>
            <w:r>
              <w:rPr>
                <w:rFonts w:hint="eastAsia"/>
                <w:color w:val="auto"/>
              </w:rPr>
              <w:t>3</w:t>
            </w:r>
          </w:p>
        </w:tc>
        <w:tc>
          <w:tcPr>
            <w:tcW w:w="3013" w:type="dxa"/>
            <w:vAlign w:val="center"/>
          </w:tcPr>
          <w:p w14:paraId="3FF4524C">
            <w:pPr>
              <w:tabs>
                <w:tab w:val="left" w:pos="180"/>
                <w:tab w:val="left" w:pos="1620"/>
              </w:tabs>
              <w:spacing w:line="400" w:lineRule="exact"/>
              <w:jc w:val="center"/>
              <w:rPr>
                <w:rFonts w:hint="eastAsia" w:ascii="宋体" w:hAnsi="宋体"/>
                <w:color w:val="auto"/>
                <w:szCs w:val="21"/>
              </w:rPr>
            </w:pPr>
          </w:p>
        </w:tc>
        <w:tc>
          <w:tcPr>
            <w:tcW w:w="3159" w:type="dxa"/>
          </w:tcPr>
          <w:p w14:paraId="1B05FE16">
            <w:pPr>
              <w:rPr>
                <w:color w:val="auto"/>
              </w:rPr>
            </w:pPr>
          </w:p>
        </w:tc>
        <w:tc>
          <w:tcPr>
            <w:tcW w:w="1571" w:type="dxa"/>
            <w:vAlign w:val="center"/>
          </w:tcPr>
          <w:p w14:paraId="4FF1489D">
            <w:pPr>
              <w:jc w:val="center"/>
              <w:rPr>
                <w:color w:val="auto"/>
              </w:rPr>
            </w:pPr>
          </w:p>
        </w:tc>
        <w:tc>
          <w:tcPr>
            <w:tcW w:w="1460" w:type="dxa"/>
            <w:vAlign w:val="center"/>
          </w:tcPr>
          <w:p w14:paraId="767B98D5">
            <w:pPr>
              <w:jc w:val="center"/>
              <w:rPr>
                <w:color w:val="auto"/>
              </w:rPr>
            </w:pPr>
          </w:p>
        </w:tc>
      </w:tr>
      <w:tr w14:paraId="446182A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651" w:type="dxa"/>
            <w:vAlign w:val="center"/>
          </w:tcPr>
          <w:p w14:paraId="50967F89">
            <w:pPr>
              <w:jc w:val="center"/>
              <w:rPr>
                <w:color w:val="auto"/>
              </w:rPr>
            </w:pPr>
            <w:r>
              <w:rPr>
                <w:rFonts w:hint="eastAsia"/>
                <w:color w:val="auto"/>
              </w:rPr>
              <w:t>4</w:t>
            </w:r>
          </w:p>
        </w:tc>
        <w:tc>
          <w:tcPr>
            <w:tcW w:w="3013" w:type="dxa"/>
            <w:vAlign w:val="center"/>
          </w:tcPr>
          <w:p w14:paraId="38A7831C">
            <w:pPr>
              <w:tabs>
                <w:tab w:val="left" w:pos="180"/>
                <w:tab w:val="left" w:pos="1620"/>
              </w:tabs>
              <w:spacing w:line="400" w:lineRule="exact"/>
              <w:jc w:val="center"/>
              <w:rPr>
                <w:rFonts w:hint="eastAsia" w:ascii="宋体" w:hAnsi="宋体"/>
                <w:color w:val="auto"/>
                <w:szCs w:val="21"/>
              </w:rPr>
            </w:pPr>
          </w:p>
        </w:tc>
        <w:tc>
          <w:tcPr>
            <w:tcW w:w="3159" w:type="dxa"/>
          </w:tcPr>
          <w:p w14:paraId="0D5DA8EF">
            <w:pPr>
              <w:rPr>
                <w:color w:val="auto"/>
              </w:rPr>
            </w:pPr>
          </w:p>
        </w:tc>
        <w:tc>
          <w:tcPr>
            <w:tcW w:w="1571" w:type="dxa"/>
            <w:vAlign w:val="center"/>
          </w:tcPr>
          <w:p w14:paraId="5D26918B">
            <w:pPr>
              <w:jc w:val="center"/>
              <w:rPr>
                <w:color w:val="auto"/>
              </w:rPr>
            </w:pPr>
          </w:p>
        </w:tc>
        <w:tc>
          <w:tcPr>
            <w:tcW w:w="1460" w:type="dxa"/>
            <w:vAlign w:val="center"/>
          </w:tcPr>
          <w:p w14:paraId="2BAA6E98">
            <w:pPr>
              <w:jc w:val="center"/>
              <w:rPr>
                <w:color w:val="auto"/>
              </w:rPr>
            </w:pPr>
          </w:p>
        </w:tc>
      </w:tr>
      <w:tr w14:paraId="50221EF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651" w:type="dxa"/>
            <w:vAlign w:val="center"/>
          </w:tcPr>
          <w:p w14:paraId="6BDF0F4C">
            <w:pPr>
              <w:jc w:val="center"/>
              <w:rPr>
                <w:color w:val="auto"/>
              </w:rPr>
            </w:pPr>
            <w:r>
              <w:rPr>
                <w:rFonts w:hint="eastAsia"/>
                <w:color w:val="auto"/>
              </w:rPr>
              <w:t>5</w:t>
            </w:r>
          </w:p>
        </w:tc>
        <w:tc>
          <w:tcPr>
            <w:tcW w:w="3013" w:type="dxa"/>
            <w:vAlign w:val="center"/>
          </w:tcPr>
          <w:p w14:paraId="675AB864">
            <w:pPr>
              <w:tabs>
                <w:tab w:val="left" w:pos="180"/>
                <w:tab w:val="left" w:pos="1620"/>
              </w:tabs>
              <w:spacing w:line="400" w:lineRule="exact"/>
              <w:jc w:val="center"/>
              <w:rPr>
                <w:rFonts w:hint="eastAsia" w:ascii="宋体" w:hAnsi="宋体"/>
                <w:color w:val="auto"/>
                <w:szCs w:val="21"/>
              </w:rPr>
            </w:pPr>
          </w:p>
        </w:tc>
        <w:tc>
          <w:tcPr>
            <w:tcW w:w="3159" w:type="dxa"/>
          </w:tcPr>
          <w:p w14:paraId="1E60AFD1">
            <w:pPr>
              <w:rPr>
                <w:color w:val="auto"/>
              </w:rPr>
            </w:pPr>
          </w:p>
        </w:tc>
        <w:tc>
          <w:tcPr>
            <w:tcW w:w="1571" w:type="dxa"/>
            <w:vAlign w:val="center"/>
          </w:tcPr>
          <w:p w14:paraId="7E45B672">
            <w:pPr>
              <w:jc w:val="center"/>
              <w:rPr>
                <w:color w:val="auto"/>
              </w:rPr>
            </w:pPr>
          </w:p>
        </w:tc>
        <w:tc>
          <w:tcPr>
            <w:tcW w:w="1460" w:type="dxa"/>
            <w:vAlign w:val="center"/>
          </w:tcPr>
          <w:p w14:paraId="5375253B">
            <w:pPr>
              <w:jc w:val="center"/>
              <w:rPr>
                <w:color w:val="auto"/>
              </w:rPr>
            </w:pPr>
          </w:p>
        </w:tc>
      </w:tr>
      <w:tr w14:paraId="29CE3A4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651" w:type="dxa"/>
            <w:vAlign w:val="center"/>
          </w:tcPr>
          <w:p w14:paraId="480B2ECB">
            <w:pPr>
              <w:jc w:val="center"/>
              <w:rPr>
                <w:color w:val="auto"/>
              </w:rPr>
            </w:pPr>
            <w:r>
              <w:rPr>
                <w:rFonts w:hint="eastAsia"/>
                <w:color w:val="auto"/>
              </w:rPr>
              <w:t>6</w:t>
            </w:r>
          </w:p>
        </w:tc>
        <w:tc>
          <w:tcPr>
            <w:tcW w:w="3013" w:type="dxa"/>
            <w:vAlign w:val="center"/>
          </w:tcPr>
          <w:p w14:paraId="700EF0A5">
            <w:pPr>
              <w:tabs>
                <w:tab w:val="left" w:pos="180"/>
                <w:tab w:val="left" w:pos="1620"/>
              </w:tabs>
              <w:spacing w:line="400" w:lineRule="exact"/>
              <w:jc w:val="center"/>
              <w:rPr>
                <w:rFonts w:hint="eastAsia" w:ascii="宋体" w:hAnsi="宋体"/>
                <w:color w:val="auto"/>
                <w:szCs w:val="21"/>
              </w:rPr>
            </w:pPr>
          </w:p>
        </w:tc>
        <w:tc>
          <w:tcPr>
            <w:tcW w:w="3159" w:type="dxa"/>
          </w:tcPr>
          <w:p w14:paraId="0832CE0D">
            <w:pPr>
              <w:rPr>
                <w:color w:val="auto"/>
              </w:rPr>
            </w:pPr>
          </w:p>
        </w:tc>
        <w:tc>
          <w:tcPr>
            <w:tcW w:w="1571" w:type="dxa"/>
            <w:vAlign w:val="center"/>
          </w:tcPr>
          <w:p w14:paraId="20176F9D">
            <w:pPr>
              <w:jc w:val="center"/>
              <w:rPr>
                <w:color w:val="auto"/>
              </w:rPr>
            </w:pPr>
          </w:p>
        </w:tc>
        <w:tc>
          <w:tcPr>
            <w:tcW w:w="1460" w:type="dxa"/>
            <w:vAlign w:val="center"/>
          </w:tcPr>
          <w:p w14:paraId="3E2197ED">
            <w:pPr>
              <w:jc w:val="center"/>
              <w:rPr>
                <w:color w:val="auto"/>
              </w:rPr>
            </w:pPr>
          </w:p>
        </w:tc>
      </w:tr>
      <w:tr w14:paraId="4B5F1A7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651" w:type="dxa"/>
            <w:vAlign w:val="center"/>
          </w:tcPr>
          <w:p w14:paraId="679EDE88">
            <w:pPr>
              <w:jc w:val="center"/>
              <w:rPr>
                <w:color w:val="auto"/>
              </w:rPr>
            </w:pPr>
            <w:r>
              <w:rPr>
                <w:rFonts w:hint="eastAsia"/>
                <w:color w:val="auto"/>
              </w:rPr>
              <w:t>7</w:t>
            </w:r>
          </w:p>
        </w:tc>
        <w:tc>
          <w:tcPr>
            <w:tcW w:w="3013" w:type="dxa"/>
            <w:vAlign w:val="center"/>
          </w:tcPr>
          <w:p w14:paraId="54CBE358">
            <w:pPr>
              <w:tabs>
                <w:tab w:val="left" w:pos="180"/>
                <w:tab w:val="left" w:pos="1620"/>
              </w:tabs>
              <w:spacing w:line="400" w:lineRule="exact"/>
              <w:jc w:val="center"/>
              <w:rPr>
                <w:rFonts w:hint="eastAsia" w:ascii="宋体" w:hAnsi="宋体"/>
                <w:color w:val="auto"/>
                <w:szCs w:val="21"/>
              </w:rPr>
            </w:pPr>
          </w:p>
        </w:tc>
        <w:tc>
          <w:tcPr>
            <w:tcW w:w="3159" w:type="dxa"/>
          </w:tcPr>
          <w:p w14:paraId="2CDD7BF0">
            <w:pPr>
              <w:rPr>
                <w:color w:val="auto"/>
              </w:rPr>
            </w:pPr>
          </w:p>
        </w:tc>
        <w:tc>
          <w:tcPr>
            <w:tcW w:w="1571" w:type="dxa"/>
            <w:vAlign w:val="center"/>
          </w:tcPr>
          <w:p w14:paraId="47E87F47">
            <w:pPr>
              <w:jc w:val="center"/>
              <w:rPr>
                <w:color w:val="auto"/>
              </w:rPr>
            </w:pPr>
          </w:p>
        </w:tc>
        <w:tc>
          <w:tcPr>
            <w:tcW w:w="1460" w:type="dxa"/>
            <w:vAlign w:val="center"/>
          </w:tcPr>
          <w:p w14:paraId="3D679F82">
            <w:pPr>
              <w:jc w:val="center"/>
              <w:rPr>
                <w:color w:val="auto"/>
              </w:rPr>
            </w:pPr>
          </w:p>
        </w:tc>
      </w:tr>
      <w:tr w14:paraId="3B1736D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651" w:type="dxa"/>
            <w:vAlign w:val="center"/>
          </w:tcPr>
          <w:p w14:paraId="1A8711B6">
            <w:pPr>
              <w:jc w:val="center"/>
              <w:rPr>
                <w:color w:val="auto"/>
              </w:rPr>
            </w:pPr>
            <w:r>
              <w:rPr>
                <w:rFonts w:hint="eastAsia"/>
                <w:color w:val="auto"/>
              </w:rPr>
              <w:t>…</w:t>
            </w:r>
          </w:p>
        </w:tc>
        <w:tc>
          <w:tcPr>
            <w:tcW w:w="3013" w:type="dxa"/>
            <w:vAlign w:val="center"/>
          </w:tcPr>
          <w:p w14:paraId="4ABF3BB9">
            <w:pPr>
              <w:jc w:val="center"/>
              <w:rPr>
                <w:color w:val="auto"/>
              </w:rPr>
            </w:pPr>
          </w:p>
        </w:tc>
        <w:tc>
          <w:tcPr>
            <w:tcW w:w="3159" w:type="dxa"/>
          </w:tcPr>
          <w:p w14:paraId="2563026C">
            <w:pPr>
              <w:rPr>
                <w:color w:val="auto"/>
              </w:rPr>
            </w:pPr>
          </w:p>
        </w:tc>
        <w:tc>
          <w:tcPr>
            <w:tcW w:w="1571" w:type="dxa"/>
            <w:vAlign w:val="center"/>
          </w:tcPr>
          <w:p w14:paraId="6260B762">
            <w:pPr>
              <w:jc w:val="center"/>
              <w:rPr>
                <w:color w:val="auto"/>
              </w:rPr>
            </w:pPr>
          </w:p>
        </w:tc>
        <w:tc>
          <w:tcPr>
            <w:tcW w:w="1460" w:type="dxa"/>
            <w:vAlign w:val="center"/>
          </w:tcPr>
          <w:p w14:paraId="336815C0">
            <w:pPr>
              <w:jc w:val="center"/>
              <w:rPr>
                <w:color w:val="auto"/>
              </w:rPr>
            </w:pPr>
          </w:p>
        </w:tc>
      </w:tr>
      <w:tr w14:paraId="09ACF8A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9854" w:type="dxa"/>
            <w:gridSpan w:val="5"/>
            <w:vAlign w:val="center"/>
          </w:tcPr>
          <w:p w14:paraId="04A00358">
            <w:pPr>
              <w:jc w:val="center"/>
              <w:rPr>
                <w:color w:val="auto"/>
              </w:rPr>
            </w:pPr>
            <w:bookmarkStart w:id="67" w:name="_Toc476258667"/>
            <w:r>
              <w:rPr>
                <w:rFonts w:hint="eastAsia"/>
                <w:color w:val="auto"/>
              </w:rPr>
              <w:t>技术部分</w:t>
            </w:r>
            <w:bookmarkEnd w:id="67"/>
            <w:r>
              <w:rPr>
                <w:rFonts w:hint="eastAsia"/>
                <w:color w:val="auto"/>
              </w:rPr>
              <w:t>（</w:t>
            </w:r>
            <w:r>
              <w:rPr>
                <w:rFonts w:hint="eastAsia" w:ascii="宋体" w:hAnsi="宋体"/>
                <w:color w:val="auto"/>
                <w:szCs w:val="21"/>
              </w:rPr>
              <w:t>技术参数及性能配置要求</w:t>
            </w:r>
            <w:r>
              <w:rPr>
                <w:rFonts w:hint="eastAsia"/>
                <w:color w:val="auto"/>
              </w:rPr>
              <w:t>）</w:t>
            </w:r>
          </w:p>
        </w:tc>
      </w:tr>
      <w:tr w14:paraId="147C19A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651" w:type="dxa"/>
            <w:vAlign w:val="center"/>
          </w:tcPr>
          <w:p w14:paraId="4BCBBC30">
            <w:pPr>
              <w:jc w:val="center"/>
              <w:rPr>
                <w:color w:val="auto"/>
              </w:rPr>
            </w:pPr>
            <w:bookmarkStart w:id="68" w:name="_Toc476258668"/>
            <w:r>
              <w:rPr>
                <w:rFonts w:hint="eastAsia"/>
                <w:color w:val="auto"/>
              </w:rPr>
              <w:t>1</w:t>
            </w:r>
            <w:bookmarkEnd w:id="68"/>
          </w:p>
        </w:tc>
        <w:tc>
          <w:tcPr>
            <w:tcW w:w="3013" w:type="dxa"/>
            <w:vAlign w:val="center"/>
          </w:tcPr>
          <w:p w14:paraId="61FF6D01">
            <w:pPr>
              <w:rPr>
                <w:color w:val="auto"/>
              </w:rPr>
            </w:pPr>
          </w:p>
        </w:tc>
        <w:tc>
          <w:tcPr>
            <w:tcW w:w="3159" w:type="dxa"/>
            <w:vAlign w:val="center"/>
          </w:tcPr>
          <w:p w14:paraId="1F05AAF6">
            <w:pPr>
              <w:rPr>
                <w:color w:val="auto"/>
              </w:rPr>
            </w:pPr>
          </w:p>
        </w:tc>
        <w:tc>
          <w:tcPr>
            <w:tcW w:w="1571" w:type="dxa"/>
            <w:vAlign w:val="center"/>
          </w:tcPr>
          <w:p w14:paraId="377C72EA">
            <w:pPr>
              <w:rPr>
                <w:color w:val="auto"/>
              </w:rPr>
            </w:pPr>
          </w:p>
        </w:tc>
        <w:tc>
          <w:tcPr>
            <w:tcW w:w="1460" w:type="dxa"/>
            <w:vAlign w:val="center"/>
          </w:tcPr>
          <w:p w14:paraId="3C5142CA">
            <w:pPr>
              <w:rPr>
                <w:color w:val="auto"/>
              </w:rPr>
            </w:pPr>
          </w:p>
        </w:tc>
      </w:tr>
      <w:tr w14:paraId="6CD59FF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651" w:type="dxa"/>
            <w:vAlign w:val="center"/>
          </w:tcPr>
          <w:p w14:paraId="77F1B09A">
            <w:pPr>
              <w:jc w:val="center"/>
              <w:rPr>
                <w:color w:val="auto"/>
              </w:rPr>
            </w:pPr>
            <w:bookmarkStart w:id="69" w:name="_Toc476258669"/>
            <w:r>
              <w:rPr>
                <w:rFonts w:hint="eastAsia"/>
                <w:color w:val="auto"/>
              </w:rPr>
              <w:t>2</w:t>
            </w:r>
            <w:bookmarkEnd w:id="69"/>
          </w:p>
        </w:tc>
        <w:tc>
          <w:tcPr>
            <w:tcW w:w="3013" w:type="dxa"/>
            <w:vAlign w:val="center"/>
          </w:tcPr>
          <w:p w14:paraId="0E10EAFA">
            <w:pPr>
              <w:rPr>
                <w:color w:val="auto"/>
              </w:rPr>
            </w:pPr>
          </w:p>
        </w:tc>
        <w:tc>
          <w:tcPr>
            <w:tcW w:w="3159" w:type="dxa"/>
            <w:vAlign w:val="center"/>
          </w:tcPr>
          <w:p w14:paraId="3A132301">
            <w:pPr>
              <w:rPr>
                <w:color w:val="auto"/>
              </w:rPr>
            </w:pPr>
          </w:p>
        </w:tc>
        <w:tc>
          <w:tcPr>
            <w:tcW w:w="1571" w:type="dxa"/>
            <w:vAlign w:val="center"/>
          </w:tcPr>
          <w:p w14:paraId="0B32C152">
            <w:pPr>
              <w:rPr>
                <w:color w:val="auto"/>
              </w:rPr>
            </w:pPr>
          </w:p>
        </w:tc>
        <w:tc>
          <w:tcPr>
            <w:tcW w:w="1460" w:type="dxa"/>
            <w:vAlign w:val="center"/>
          </w:tcPr>
          <w:p w14:paraId="352F261B">
            <w:pPr>
              <w:rPr>
                <w:color w:val="auto"/>
              </w:rPr>
            </w:pPr>
          </w:p>
        </w:tc>
      </w:tr>
      <w:tr w14:paraId="2035E23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651" w:type="dxa"/>
            <w:vAlign w:val="center"/>
          </w:tcPr>
          <w:p w14:paraId="5A65BAFD">
            <w:pPr>
              <w:jc w:val="center"/>
              <w:rPr>
                <w:color w:val="auto"/>
              </w:rPr>
            </w:pPr>
            <w:bookmarkStart w:id="70" w:name="_Toc476258670"/>
            <w:r>
              <w:rPr>
                <w:rFonts w:hint="eastAsia"/>
                <w:color w:val="auto"/>
              </w:rPr>
              <w:t>3</w:t>
            </w:r>
            <w:bookmarkEnd w:id="70"/>
          </w:p>
        </w:tc>
        <w:tc>
          <w:tcPr>
            <w:tcW w:w="3013" w:type="dxa"/>
            <w:vAlign w:val="center"/>
          </w:tcPr>
          <w:p w14:paraId="0BC35F0B">
            <w:pPr>
              <w:rPr>
                <w:color w:val="auto"/>
              </w:rPr>
            </w:pPr>
          </w:p>
        </w:tc>
        <w:tc>
          <w:tcPr>
            <w:tcW w:w="3159" w:type="dxa"/>
            <w:vAlign w:val="center"/>
          </w:tcPr>
          <w:p w14:paraId="6121E862">
            <w:pPr>
              <w:rPr>
                <w:color w:val="auto"/>
              </w:rPr>
            </w:pPr>
          </w:p>
        </w:tc>
        <w:tc>
          <w:tcPr>
            <w:tcW w:w="1571" w:type="dxa"/>
            <w:vAlign w:val="center"/>
          </w:tcPr>
          <w:p w14:paraId="6CDCEB10">
            <w:pPr>
              <w:rPr>
                <w:color w:val="auto"/>
              </w:rPr>
            </w:pPr>
          </w:p>
        </w:tc>
        <w:tc>
          <w:tcPr>
            <w:tcW w:w="1460" w:type="dxa"/>
            <w:vAlign w:val="center"/>
          </w:tcPr>
          <w:p w14:paraId="7232C17E">
            <w:pPr>
              <w:rPr>
                <w:color w:val="auto"/>
              </w:rPr>
            </w:pPr>
          </w:p>
        </w:tc>
      </w:tr>
      <w:tr w14:paraId="096C2D4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trPr>
        <w:tc>
          <w:tcPr>
            <w:tcW w:w="651" w:type="dxa"/>
            <w:vAlign w:val="center"/>
          </w:tcPr>
          <w:p w14:paraId="4E33C03A">
            <w:pPr>
              <w:jc w:val="center"/>
              <w:rPr>
                <w:color w:val="auto"/>
              </w:rPr>
            </w:pPr>
            <w:bookmarkStart w:id="71" w:name="_Toc476258671"/>
            <w:r>
              <w:rPr>
                <w:rFonts w:hint="eastAsia"/>
                <w:color w:val="auto"/>
              </w:rPr>
              <w:t>…</w:t>
            </w:r>
            <w:bookmarkEnd w:id="71"/>
          </w:p>
        </w:tc>
        <w:tc>
          <w:tcPr>
            <w:tcW w:w="3013" w:type="dxa"/>
            <w:vAlign w:val="center"/>
          </w:tcPr>
          <w:p w14:paraId="32625B05">
            <w:pPr>
              <w:rPr>
                <w:color w:val="auto"/>
              </w:rPr>
            </w:pPr>
          </w:p>
        </w:tc>
        <w:tc>
          <w:tcPr>
            <w:tcW w:w="3159" w:type="dxa"/>
            <w:vAlign w:val="center"/>
          </w:tcPr>
          <w:p w14:paraId="024AA284">
            <w:pPr>
              <w:rPr>
                <w:color w:val="auto"/>
              </w:rPr>
            </w:pPr>
          </w:p>
        </w:tc>
        <w:tc>
          <w:tcPr>
            <w:tcW w:w="1571" w:type="dxa"/>
            <w:tcBorders>
              <w:right w:val="single" w:color="auto" w:sz="4" w:space="0"/>
            </w:tcBorders>
            <w:vAlign w:val="center"/>
          </w:tcPr>
          <w:p w14:paraId="04495150">
            <w:pPr>
              <w:rPr>
                <w:color w:val="auto"/>
              </w:rPr>
            </w:pPr>
          </w:p>
        </w:tc>
        <w:tc>
          <w:tcPr>
            <w:tcW w:w="1460" w:type="dxa"/>
            <w:tcBorders>
              <w:left w:val="single" w:color="auto" w:sz="4" w:space="0"/>
            </w:tcBorders>
            <w:vAlign w:val="center"/>
          </w:tcPr>
          <w:p w14:paraId="0BC115C0">
            <w:pPr>
              <w:rPr>
                <w:color w:val="auto"/>
              </w:rPr>
            </w:pPr>
          </w:p>
        </w:tc>
      </w:tr>
    </w:tbl>
    <w:p w14:paraId="1610B7EA">
      <w:pPr>
        <w:adjustRightInd w:val="0"/>
        <w:snapToGrid w:val="0"/>
        <w:spacing w:line="360" w:lineRule="exact"/>
        <w:rPr>
          <w:rFonts w:hint="eastAsia" w:ascii="宋体" w:hAnsi="宋体"/>
          <w:b/>
          <w:color w:val="auto"/>
          <w:szCs w:val="21"/>
        </w:rPr>
      </w:pPr>
      <w:r>
        <w:rPr>
          <w:rFonts w:hint="eastAsia" w:ascii="宋体" w:hAnsi="宋体"/>
          <w:b/>
          <w:color w:val="auto"/>
          <w:szCs w:val="21"/>
        </w:rPr>
        <w:t>说明：谈判供应商应对照竞争性谈判文件“第三章 采购项目技术规格、参数及要求”，逐条说明所提供货物和服务已对竞争性谈判文件的商务、服务的响应情况，并填写“偏离说明”。“偏离说明”栏注明“正偏离”、“负偏离”或“无偏离”。谈判供应商所提供的服务与竞争性谈判文件要求相同的为无偏离，谈判供应商所提供的服务高于竞争性谈判文件要求的为正偏离，低于竞争性谈判文件要求的为负偏离。</w:t>
      </w:r>
    </w:p>
    <w:p w14:paraId="1A6C3968">
      <w:pPr>
        <w:pStyle w:val="22"/>
        <w:spacing w:line="360" w:lineRule="exact"/>
        <w:rPr>
          <w:rFonts w:hint="eastAsia"/>
          <w:color w:val="auto"/>
        </w:rPr>
      </w:pPr>
    </w:p>
    <w:p w14:paraId="44E31838">
      <w:pPr>
        <w:pStyle w:val="22"/>
        <w:spacing w:line="500" w:lineRule="exact"/>
        <w:ind w:firstLine="4515" w:firstLineChars="2150"/>
        <w:rPr>
          <w:rFonts w:hint="eastAsia"/>
          <w:color w:val="auto"/>
          <w:u w:val="single"/>
        </w:rPr>
      </w:pPr>
      <w:r>
        <w:rPr>
          <w:rFonts w:hint="eastAsia"/>
          <w:color w:val="auto"/>
        </w:rPr>
        <w:t>法定代表人或委托代理人（签字或盖章）:</w:t>
      </w:r>
      <w:r>
        <w:rPr>
          <w:rFonts w:hint="eastAsia"/>
          <w:color w:val="auto"/>
          <w:u w:val="single"/>
        </w:rPr>
        <w:t xml:space="preserve">              </w:t>
      </w:r>
    </w:p>
    <w:p w14:paraId="5724FED6">
      <w:pPr>
        <w:pStyle w:val="22"/>
        <w:spacing w:line="500" w:lineRule="exact"/>
        <w:ind w:firstLine="4515" w:firstLineChars="2150"/>
        <w:rPr>
          <w:rFonts w:hint="eastAsia"/>
          <w:color w:val="auto"/>
          <w:u w:val="single"/>
        </w:rPr>
      </w:pPr>
      <w:r>
        <w:rPr>
          <w:rFonts w:hint="eastAsia"/>
          <w:color w:val="auto"/>
        </w:rPr>
        <w:t>谈判供应商名称（盖章）：</w:t>
      </w:r>
      <w:r>
        <w:rPr>
          <w:rFonts w:hint="eastAsia"/>
          <w:color w:val="auto"/>
          <w:u w:val="single"/>
        </w:rPr>
        <w:t xml:space="preserve">                     </w:t>
      </w:r>
    </w:p>
    <w:p w14:paraId="41513BD9">
      <w:pPr>
        <w:spacing w:line="500" w:lineRule="exact"/>
        <w:ind w:firstLine="4515" w:firstLineChars="2150"/>
        <w:rPr>
          <w:rFonts w:hint="eastAsia" w:hAnsi="宋体"/>
          <w:color w:val="auto"/>
        </w:rPr>
      </w:pPr>
      <w:r>
        <w:rPr>
          <w:rFonts w:hint="eastAsia" w:hAnsi="宋体"/>
          <w:color w:val="auto"/>
        </w:rPr>
        <w:t>日期：</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w:t>
      </w:r>
    </w:p>
    <w:p w14:paraId="6471C115">
      <w:pPr>
        <w:spacing w:line="300" w:lineRule="auto"/>
        <w:rPr>
          <w:rFonts w:hint="eastAsia" w:ascii="宋体" w:hAnsi="宋体"/>
          <w:color w:val="auto"/>
          <w:szCs w:val="21"/>
        </w:rPr>
      </w:pPr>
    </w:p>
    <w:p w14:paraId="7B0926E1">
      <w:pPr>
        <w:spacing w:line="300" w:lineRule="auto"/>
        <w:rPr>
          <w:rFonts w:hint="eastAsia" w:ascii="宋体" w:hAnsi="宋体"/>
          <w:color w:val="auto"/>
          <w:szCs w:val="21"/>
        </w:rPr>
      </w:pPr>
    </w:p>
    <w:p w14:paraId="2925874B">
      <w:pPr>
        <w:spacing w:line="500" w:lineRule="exact"/>
        <w:rPr>
          <w:rFonts w:hint="eastAsia" w:ascii="宋体" w:hAnsi="宋体"/>
          <w:b/>
          <w:color w:val="auto"/>
          <w:szCs w:val="21"/>
        </w:rPr>
      </w:pPr>
      <w:r>
        <w:rPr>
          <w:rFonts w:ascii="宋体" w:hAnsi="宋体"/>
          <w:color w:val="auto"/>
          <w:szCs w:val="21"/>
        </w:rPr>
        <w:br w:type="page"/>
      </w:r>
      <w:r>
        <w:rPr>
          <w:rFonts w:hint="eastAsia" w:ascii="宋体" w:hAnsi="宋体"/>
          <w:b/>
          <w:color w:val="auto"/>
          <w:szCs w:val="21"/>
        </w:rPr>
        <w:t>附件六</w:t>
      </w:r>
    </w:p>
    <w:p w14:paraId="1FC3FDF9">
      <w:pPr>
        <w:adjustRightInd w:val="0"/>
        <w:snapToGrid w:val="0"/>
        <w:spacing w:line="300" w:lineRule="auto"/>
        <w:jc w:val="center"/>
        <w:rPr>
          <w:rFonts w:hint="eastAsia" w:ascii="仿宋_GB2312" w:hAnsi="宋体" w:eastAsia="仿宋_GB2312"/>
          <w:b/>
          <w:color w:val="auto"/>
          <w:sz w:val="32"/>
          <w:szCs w:val="32"/>
        </w:rPr>
      </w:pPr>
      <w:r>
        <w:rPr>
          <w:rFonts w:hint="eastAsia" w:ascii="仿宋_GB2312" w:hAnsi="宋体" w:eastAsia="仿宋_GB2312"/>
          <w:b/>
          <w:color w:val="auto"/>
          <w:sz w:val="32"/>
          <w:szCs w:val="32"/>
        </w:rPr>
        <w:t>法定代表人授权委托书</w:t>
      </w:r>
    </w:p>
    <w:p w14:paraId="3CF2F600">
      <w:pPr>
        <w:adjustRightInd w:val="0"/>
        <w:snapToGrid w:val="0"/>
        <w:spacing w:line="520" w:lineRule="exact"/>
        <w:rPr>
          <w:rFonts w:hint="eastAsia" w:ascii="宋体" w:hAnsi="宋体"/>
          <w:color w:val="auto"/>
          <w:szCs w:val="21"/>
        </w:rPr>
      </w:pPr>
    </w:p>
    <w:p w14:paraId="4FD42ED9">
      <w:pPr>
        <w:spacing w:line="520" w:lineRule="exact"/>
        <w:rPr>
          <w:rFonts w:hint="eastAsia" w:ascii="宋体" w:hAnsi="宋体"/>
          <w:color w:val="auto"/>
          <w:szCs w:val="21"/>
        </w:rPr>
      </w:pPr>
      <w:r>
        <w:rPr>
          <w:rFonts w:hint="eastAsia" w:ascii="宋体" w:hAnsi="宋体"/>
          <w:color w:val="auto"/>
          <w:szCs w:val="21"/>
          <w:u w:val="single"/>
        </w:rPr>
        <w:t>广西中吉银工程项目管理有限公司</w:t>
      </w:r>
      <w:r>
        <w:rPr>
          <w:rFonts w:hint="eastAsia" w:ascii="宋体" w:hAnsi="宋体"/>
          <w:color w:val="auto"/>
          <w:szCs w:val="21"/>
        </w:rPr>
        <w:t>：</w:t>
      </w:r>
    </w:p>
    <w:p w14:paraId="1A16144D">
      <w:pPr>
        <w:spacing w:line="520" w:lineRule="exact"/>
        <w:ind w:firstLine="420" w:firstLineChars="200"/>
        <w:rPr>
          <w:rFonts w:hint="eastAsia" w:ascii="宋体" w:hAnsi="宋体"/>
          <w:color w:val="auto"/>
          <w:szCs w:val="21"/>
        </w:rPr>
      </w:pPr>
      <w:r>
        <w:rPr>
          <w:rFonts w:hint="eastAsia" w:ascii="宋体" w:hAnsi="宋体"/>
          <w:color w:val="auto"/>
          <w:szCs w:val="21"/>
        </w:rPr>
        <w:t>兹授权</w:t>
      </w:r>
      <w:r>
        <w:rPr>
          <w:rFonts w:hint="eastAsia" w:ascii="宋体" w:hAnsi="宋体"/>
          <w:color w:val="auto"/>
          <w:szCs w:val="21"/>
          <w:u w:val="single"/>
        </w:rPr>
        <w:t xml:space="preserve">         </w:t>
      </w:r>
      <w:r>
        <w:rPr>
          <w:rFonts w:hint="eastAsia" w:ascii="宋体" w:hAnsi="宋体"/>
          <w:color w:val="auto"/>
          <w:szCs w:val="21"/>
        </w:rPr>
        <w:t>同志为我公司参加贵单位组织的</w:t>
      </w:r>
      <w:r>
        <w:rPr>
          <w:rFonts w:hint="eastAsia" w:ascii="宋体" w:hAnsi="宋体"/>
          <w:color w:val="auto"/>
          <w:szCs w:val="21"/>
          <w:u w:val="single"/>
        </w:rPr>
        <w:t>（采购项目名称、采购项目编号）竞争性谈判</w:t>
      </w:r>
      <w:r>
        <w:rPr>
          <w:rFonts w:hint="eastAsia" w:ascii="宋体" w:hAnsi="宋体"/>
          <w:color w:val="auto"/>
          <w:szCs w:val="21"/>
        </w:rPr>
        <w:t>采购活动的委托代理人，全权代表我公司处理在该项目活动中的一切事宜。代理期限从</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日起至</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 xml:space="preserve">日止。 </w:t>
      </w:r>
    </w:p>
    <w:p w14:paraId="5C157CCD">
      <w:pPr>
        <w:spacing w:line="520" w:lineRule="exact"/>
        <w:rPr>
          <w:rFonts w:hint="eastAsia" w:ascii="宋体" w:hAnsi="宋体"/>
          <w:color w:val="auto"/>
          <w:szCs w:val="21"/>
        </w:rPr>
      </w:pPr>
    </w:p>
    <w:p w14:paraId="3F61B278">
      <w:pPr>
        <w:spacing w:line="520" w:lineRule="exact"/>
        <w:rPr>
          <w:rFonts w:hint="eastAsia" w:ascii="宋体" w:hAnsi="宋体"/>
          <w:color w:val="auto"/>
          <w:szCs w:val="21"/>
        </w:rPr>
      </w:pPr>
      <w:r>
        <w:rPr>
          <w:rFonts w:hint="eastAsia" w:ascii="宋体" w:hAnsi="宋体"/>
          <w:color w:val="auto"/>
          <w:szCs w:val="21"/>
        </w:rPr>
        <w:t>谈判供应商（盖章）：</w:t>
      </w:r>
      <w:r>
        <w:rPr>
          <w:rFonts w:hint="eastAsia" w:ascii="宋体" w:hAnsi="宋体"/>
          <w:color w:val="auto"/>
          <w:szCs w:val="21"/>
          <w:u w:val="single"/>
        </w:rPr>
        <w:t xml:space="preserve">                   </w:t>
      </w:r>
    </w:p>
    <w:p w14:paraId="220871F3">
      <w:pPr>
        <w:spacing w:line="520" w:lineRule="exact"/>
        <w:rPr>
          <w:rFonts w:hint="eastAsia" w:ascii="宋体" w:hAnsi="宋体"/>
          <w:color w:val="auto"/>
          <w:szCs w:val="21"/>
        </w:rPr>
      </w:pPr>
      <w:r>
        <w:rPr>
          <w:rFonts w:hint="eastAsia" w:ascii="宋体" w:hAnsi="宋体"/>
          <w:color w:val="auto"/>
          <w:szCs w:val="21"/>
        </w:rPr>
        <w:t>法定代表人（签字或盖章）：</w:t>
      </w:r>
      <w:r>
        <w:rPr>
          <w:rFonts w:hint="eastAsia" w:ascii="宋体" w:hAnsi="宋体"/>
          <w:color w:val="auto"/>
          <w:szCs w:val="21"/>
          <w:u w:val="single"/>
        </w:rPr>
        <w:t xml:space="preserve">             </w:t>
      </w:r>
    </w:p>
    <w:p w14:paraId="39082E47">
      <w:pPr>
        <w:spacing w:line="520" w:lineRule="exact"/>
        <w:rPr>
          <w:rFonts w:hint="eastAsia" w:ascii="宋体" w:hAnsi="宋体"/>
          <w:color w:val="auto"/>
          <w:szCs w:val="21"/>
        </w:rPr>
      </w:pPr>
      <w:r>
        <w:rPr>
          <w:rFonts w:hint="eastAsia" w:ascii="宋体" w:hAnsi="宋体"/>
          <w:color w:val="auto"/>
          <w:szCs w:val="21"/>
        </w:rPr>
        <w:t>签发日期：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09E419B6">
      <w:pPr>
        <w:spacing w:line="520" w:lineRule="exact"/>
        <w:rPr>
          <w:rFonts w:hint="eastAsia" w:ascii="宋体" w:hAnsi="宋体"/>
          <w:color w:val="auto"/>
          <w:szCs w:val="21"/>
        </w:rPr>
      </w:pPr>
    </w:p>
    <w:p w14:paraId="0EBB0C46">
      <w:pPr>
        <w:spacing w:line="520" w:lineRule="exact"/>
        <w:rPr>
          <w:rFonts w:hint="eastAsia" w:ascii="宋体" w:hAnsi="宋体"/>
          <w:color w:val="auto"/>
          <w:szCs w:val="21"/>
        </w:rPr>
      </w:pPr>
      <w:r>
        <w:rPr>
          <w:rFonts w:hint="eastAsia" w:ascii="宋体" w:hAnsi="宋体"/>
          <w:color w:val="auto"/>
          <w:szCs w:val="21"/>
        </w:rPr>
        <w:t>附：委托代理人工作单位：</w:t>
      </w:r>
      <w:r>
        <w:rPr>
          <w:rFonts w:hint="eastAsia" w:ascii="宋体" w:hAnsi="宋体"/>
          <w:color w:val="auto"/>
          <w:szCs w:val="21"/>
          <w:u w:val="single"/>
        </w:rPr>
        <w:t xml:space="preserve">                      </w:t>
      </w:r>
    </w:p>
    <w:p w14:paraId="38D292E7">
      <w:pPr>
        <w:spacing w:line="520" w:lineRule="exact"/>
        <w:ind w:firstLine="420" w:firstLineChars="200"/>
        <w:rPr>
          <w:rFonts w:hint="eastAsia" w:ascii="宋体" w:hAnsi="宋体"/>
          <w:color w:val="auto"/>
          <w:szCs w:val="21"/>
        </w:rPr>
      </w:pPr>
      <w:r>
        <w:rPr>
          <w:rFonts w:hint="eastAsia" w:ascii="宋体" w:hAnsi="宋体"/>
          <w:color w:val="auto"/>
          <w:szCs w:val="21"/>
        </w:rPr>
        <w:t>职务：</w:t>
      </w:r>
      <w:r>
        <w:rPr>
          <w:rFonts w:hint="eastAsia" w:ascii="宋体" w:hAnsi="宋体"/>
          <w:color w:val="auto"/>
          <w:szCs w:val="21"/>
          <w:u w:val="single"/>
        </w:rPr>
        <w:t xml:space="preserve">                    </w:t>
      </w:r>
      <w:r>
        <w:rPr>
          <w:rFonts w:hint="eastAsia" w:ascii="宋体" w:hAnsi="宋体"/>
          <w:color w:val="auto"/>
          <w:szCs w:val="21"/>
        </w:rPr>
        <w:t xml:space="preserve">      性别：</w:t>
      </w:r>
      <w:r>
        <w:rPr>
          <w:rFonts w:hint="eastAsia" w:ascii="宋体" w:hAnsi="宋体"/>
          <w:color w:val="auto"/>
          <w:szCs w:val="21"/>
          <w:u w:val="single"/>
        </w:rPr>
        <w:t xml:space="preserve">    </w:t>
      </w:r>
    </w:p>
    <w:p w14:paraId="015A679C">
      <w:pPr>
        <w:adjustRightInd w:val="0"/>
        <w:snapToGrid w:val="0"/>
        <w:spacing w:line="520" w:lineRule="exact"/>
        <w:ind w:firstLine="420" w:firstLineChars="200"/>
        <w:rPr>
          <w:rFonts w:hint="eastAsia" w:ascii="宋体" w:hAnsi="宋体"/>
          <w:color w:val="auto"/>
          <w:szCs w:val="21"/>
          <w:u w:val="single"/>
        </w:rPr>
      </w:pPr>
      <w:r>
        <w:rPr>
          <w:rFonts w:hint="eastAsia" w:ascii="宋体" w:hAnsi="宋体"/>
          <w:color w:val="auto"/>
          <w:szCs w:val="21"/>
        </w:rPr>
        <w:t>身份证号码：</w:t>
      </w:r>
      <w:r>
        <w:rPr>
          <w:rFonts w:hint="eastAsia" w:ascii="宋体" w:hAnsi="宋体"/>
          <w:color w:val="auto"/>
          <w:szCs w:val="21"/>
          <w:u w:val="single"/>
        </w:rPr>
        <w:t xml:space="preserve">                              </w:t>
      </w:r>
    </w:p>
    <w:p w14:paraId="04458E49">
      <w:pPr>
        <w:adjustRightInd w:val="0"/>
        <w:snapToGrid w:val="0"/>
        <w:spacing w:line="520" w:lineRule="exact"/>
        <w:ind w:firstLine="420" w:firstLineChars="200"/>
        <w:rPr>
          <w:rFonts w:hint="eastAsia" w:ascii="宋体" w:hAnsi="宋体"/>
          <w:color w:val="auto"/>
          <w:szCs w:val="21"/>
          <w:u w:val="single"/>
        </w:rPr>
      </w:pPr>
    </w:p>
    <w:tbl>
      <w:tblPr>
        <w:tblStyle w:val="39"/>
        <w:tblW w:w="0" w:type="auto"/>
        <w:tblInd w:w="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61"/>
      </w:tblGrid>
      <w:tr w14:paraId="1E2E0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9" w:hRule="atLeast"/>
        </w:trPr>
        <w:tc>
          <w:tcPr>
            <w:tcW w:w="8861" w:type="dxa"/>
          </w:tcPr>
          <w:p w14:paraId="7B704C5A">
            <w:pPr>
              <w:spacing w:line="300" w:lineRule="auto"/>
              <w:rPr>
                <w:rFonts w:hint="eastAsia" w:ascii="宋体" w:hAnsi="宋体"/>
                <w:color w:val="auto"/>
                <w:szCs w:val="21"/>
              </w:rPr>
            </w:pPr>
            <w:r>
              <w:rPr>
                <w:rFonts w:hint="eastAsia" w:ascii="宋体" w:hAnsi="宋体"/>
                <w:color w:val="auto"/>
                <w:szCs w:val="21"/>
              </w:rPr>
              <w:t>粘贴委托代理人的有效身份证正面及反面复印件</w:t>
            </w:r>
          </w:p>
        </w:tc>
      </w:tr>
    </w:tbl>
    <w:p w14:paraId="6720BE8E">
      <w:pPr>
        <w:autoSpaceDE w:val="0"/>
        <w:autoSpaceDN w:val="0"/>
        <w:spacing w:line="300" w:lineRule="auto"/>
        <w:ind w:left="480" w:hanging="480"/>
        <w:rPr>
          <w:rFonts w:hint="eastAsia" w:ascii="宋体" w:hAnsi="宋体"/>
          <w:color w:val="auto"/>
          <w:szCs w:val="21"/>
        </w:rPr>
      </w:pPr>
    </w:p>
    <w:p w14:paraId="6E3B34AF">
      <w:pPr>
        <w:autoSpaceDE w:val="0"/>
        <w:autoSpaceDN w:val="0"/>
        <w:spacing w:line="300" w:lineRule="auto"/>
        <w:ind w:left="480" w:hanging="480"/>
        <w:rPr>
          <w:rFonts w:hint="eastAsia" w:ascii="宋体" w:hAnsi="宋体"/>
          <w:color w:val="auto"/>
          <w:szCs w:val="21"/>
        </w:rPr>
      </w:pPr>
    </w:p>
    <w:p w14:paraId="70611B60">
      <w:pPr>
        <w:pStyle w:val="22"/>
        <w:spacing w:line="300" w:lineRule="auto"/>
        <w:rPr>
          <w:rFonts w:hint="eastAsia"/>
          <w:color w:val="auto"/>
        </w:rPr>
      </w:pPr>
    </w:p>
    <w:p w14:paraId="5864312D">
      <w:pPr>
        <w:pStyle w:val="22"/>
        <w:spacing w:line="300" w:lineRule="auto"/>
        <w:rPr>
          <w:rFonts w:hint="eastAsia"/>
          <w:color w:val="auto"/>
        </w:rPr>
      </w:pPr>
    </w:p>
    <w:p w14:paraId="16BF7C91">
      <w:pPr>
        <w:pStyle w:val="22"/>
        <w:spacing w:line="300" w:lineRule="auto"/>
        <w:rPr>
          <w:rFonts w:hint="eastAsia"/>
          <w:color w:val="auto"/>
        </w:rPr>
      </w:pPr>
    </w:p>
    <w:p w14:paraId="4B1A8BC2">
      <w:pPr>
        <w:pStyle w:val="22"/>
        <w:spacing w:line="300" w:lineRule="auto"/>
        <w:rPr>
          <w:rFonts w:hint="eastAsia"/>
          <w:color w:val="auto"/>
        </w:rPr>
      </w:pPr>
    </w:p>
    <w:p w14:paraId="54707D73">
      <w:pPr>
        <w:pStyle w:val="22"/>
        <w:spacing w:line="300" w:lineRule="auto"/>
        <w:rPr>
          <w:rFonts w:hint="eastAsia"/>
          <w:color w:val="auto"/>
        </w:rPr>
      </w:pPr>
    </w:p>
    <w:p w14:paraId="7A8974CC">
      <w:pPr>
        <w:pStyle w:val="22"/>
        <w:spacing w:line="300" w:lineRule="auto"/>
        <w:rPr>
          <w:rFonts w:hint="eastAsia"/>
          <w:color w:val="auto"/>
        </w:rPr>
      </w:pPr>
    </w:p>
    <w:p w14:paraId="0652B604">
      <w:pPr>
        <w:spacing w:line="500" w:lineRule="exact"/>
        <w:rPr>
          <w:color w:val="auto"/>
          <w:kern w:val="0"/>
        </w:rPr>
      </w:pPr>
      <w:r>
        <w:rPr>
          <w:color w:val="auto"/>
          <w:kern w:val="0"/>
        </w:rPr>
        <w:t xml:space="preserve"> </w:t>
      </w:r>
    </w:p>
    <w:p w14:paraId="2E1D6D54">
      <w:pPr>
        <w:spacing w:line="500" w:lineRule="exact"/>
        <w:rPr>
          <w:rFonts w:hint="eastAsia" w:ascii="宋体" w:hAnsi="宋体"/>
          <w:b/>
          <w:color w:val="auto"/>
          <w:szCs w:val="21"/>
        </w:rPr>
      </w:pPr>
      <w:r>
        <w:rPr>
          <w:color w:val="auto"/>
          <w:kern w:val="0"/>
        </w:rPr>
        <w:br w:type="page"/>
      </w:r>
      <w:r>
        <w:rPr>
          <w:rFonts w:hint="eastAsia" w:ascii="宋体" w:hAnsi="宋体"/>
          <w:b/>
          <w:color w:val="auto"/>
          <w:szCs w:val="21"/>
        </w:rPr>
        <w:t>附件七</w:t>
      </w:r>
    </w:p>
    <w:p w14:paraId="39F7F9FF">
      <w:pPr>
        <w:spacing w:before="146" w:line="500" w:lineRule="exact"/>
        <w:ind w:right="142"/>
        <w:jc w:val="center"/>
        <w:rPr>
          <w:rFonts w:hint="eastAsia" w:ascii="宋体" w:hAnsi="宋体" w:cs="Courier New"/>
          <w:b/>
          <w:bCs/>
          <w:color w:val="auto"/>
          <w:sz w:val="30"/>
          <w:szCs w:val="30"/>
        </w:rPr>
      </w:pPr>
      <w:bookmarkStart w:id="72" w:name="_Toc28433"/>
      <w:bookmarkStart w:id="73" w:name="_Toc5509"/>
      <w:r>
        <w:rPr>
          <w:rFonts w:ascii="宋体" w:hAnsi="宋体" w:cs="Courier New"/>
          <w:b/>
          <w:bCs/>
          <w:color w:val="auto"/>
          <w:sz w:val="30"/>
          <w:szCs w:val="30"/>
        </w:rPr>
        <w:t>中小企业声明函（货物）</w:t>
      </w:r>
      <w:bookmarkEnd w:id="72"/>
      <w:bookmarkEnd w:id="73"/>
    </w:p>
    <w:p w14:paraId="793E743D">
      <w:pPr>
        <w:spacing w:before="2" w:line="500" w:lineRule="exact"/>
        <w:rPr>
          <w:rFonts w:hint="eastAsia" w:ascii="宋体" w:hAnsi="宋体" w:cs="宋体"/>
          <w:b/>
          <w:bCs/>
          <w:color w:val="auto"/>
          <w:sz w:val="27"/>
          <w:szCs w:val="27"/>
        </w:rPr>
      </w:pPr>
    </w:p>
    <w:p w14:paraId="6BFE48BC">
      <w:pPr>
        <w:pStyle w:val="18"/>
        <w:spacing w:line="500" w:lineRule="exact"/>
        <w:ind w:firstLine="640"/>
        <w:contextualSpacing/>
        <w:rPr>
          <w:rFonts w:hint="eastAsia" w:ascii="宋体" w:hAnsi="宋体"/>
          <w:color w:val="auto"/>
          <w:sz w:val="21"/>
          <w:szCs w:val="21"/>
        </w:rPr>
      </w:pPr>
      <w:r>
        <w:rPr>
          <w:rFonts w:ascii="宋体" w:hAnsi="宋体"/>
          <w:color w:val="auto"/>
          <w:sz w:val="21"/>
          <w:szCs w:val="21"/>
        </w:rPr>
        <w:t>本公司（联合体）郑重声明，根据《政府采购促进中小企业发展管理办法》（财库﹝2020﹞46号）的规定，本公司（联合体）参加</w:t>
      </w:r>
      <w:r>
        <w:rPr>
          <w:rFonts w:ascii="宋体" w:hAnsi="宋体"/>
          <w:color w:val="auto"/>
          <w:sz w:val="21"/>
          <w:szCs w:val="21"/>
          <w:u w:val="single"/>
        </w:rPr>
        <w:t>（单位名称）</w:t>
      </w:r>
      <w:r>
        <w:rPr>
          <w:rFonts w:ascii="宋体" w:hAnsi="宋体"/>
          <w:color w:val="auto"/>
          <w:sz w:val="21"/>
          <w:szCs w:val="21"/>
        </w:rPr>
        <w:t>的</w:t>
      </w:r>
      <w:r>
        <w:rPr>
          <w:rFonts w:ascii="宋体" w:hAnsi="宋体"/>
          <w:color w:val="auto"/>
          <w:sz w:val="21"/>
          <w:szCs w:val="21"/>
          <w:u w:val="single"/>
        </w:rPr>
        <w:t>（项目名称）</w:t>
      </w:r>
      <w:r>
        <w:rPr>
          <w:rFonts w:ascii="宋体" w:hAnsi="宋体"/>
          <w:color w:val="auto"/>
          <w:sz w:val="21"/>
          <w:szCs w:val="21"/>
        </w:rPr>
        <w:t>采购活动，提供的货物全部由符合政策要求的中小企业制造。相关企业（含联合体中的中小企业、签订分包意向协议的中小企业）的具体情况如下：</w:t>
      </w:r>
    </w:p>
    <w:p w14:paraId="153948D0">
      <w:pPr>
        <w:tabs>
          <w:tab w:val="left" w:pos="1384"/>
          <w:tab w:val="left" w:pos="4562"/>
          <w:tab w:val="left" w:pos="6803"/>
        </w:tabs>
        <w:spacing w:line="500" w:lineRule="exact"/>
        <w:ind w:firstLine="655"/>
        <w:contextualSpacing/>
        <w:rPr>
          <w:rFonts w:hint="eastAsia" w:ascii="宋体" w:hAnsi="宋体"/>
          <w:color w:val="auto"/>
          <w:szCs w:val="21"/>
        </w:rPr>
      </w:pPr>
      <w:r>
        <w:rPr>
          <w:rFonts w:ascii="宋体" w:hAnsi="宋体"/>
          <w:color w:val="auto"/>
          <w:szCs w:val="21"/>
        </w:rPr>
        <w:t>1.</w:t>
      </w:r>
      <w:r>
        <w:rPr>
          <w:rFonts w:ascii="宋体" w:hAnsi="宋体"/>
          <w:color w:val="auto"/>
          <w:szCs w:val="21"/>
          <w:u w:val="single"/>
        </w:rPr>
        <w:t>（标的名称）</w:t>
      </w:r>
      <w:r>
        <w:rPr>
          <w:rFonts w:ascii="宋体" w:hAnsi="宋体"/>
          <w:color w:val="auto"/>
          <w:szCs w:val="21"/>
        </w:rPr>
        <w:t>，属于</w:t>
      </w:r>
      <w:r>
        <w:rPr>
          <w:rFonts w:ascii="宋体" w:hAnsi="宋体"/>
          <w:color w:val="auto"/>
          <w:szCs w:val="21"/>
          <w:u w:val="single"/>
        </w:rPr>
        <w:t>（采购文件中明确的所属行业）</w:t>
      </w:r>
      <w:r>
        <w:rPr>
          <w:rFonts w:ascii="宋体" w:hAnsi="宋体"/>
          <w:color w:val="auto"/>
          <w:szCs w:val="21"/>
        </w:rPr>
        <w:t>行业；制造商为</w:t>
      </w:r>
      <w:r>
        <w:rPr>
          <w:rFonts w:ascii="宋体" w:hAnsi="宋体"/>
          <w:color w:val="auto"/>
          <w:szCs w:val="21"/>
          <w:u w:val="single"/>
        </w:rPr>
        <w:t>（企业名称）</w:t>
      </w:r>
      <w:r>
        <w:rPr>
          <w:rFonts w:ascii="宋体" w:hAnsi="宋体"/>
          <w:color w:val="auto"/>
          <w:szCs w:val="21"/>
        </w:rPr>
        <w:t>，从业人员</w:t>
      </w:r>
      <w:r>
        <w:rPr>
          <w:rFonts w:hint="eastAsia" w:ascii="宋体" w:hAnsi="宋体"/>
          <w:color w:val="auto"/>
          <w:szCs w:val="21"/>
          <w:u w:val="single"/>
        </w:rPr>
        <w:t xml:space="preserve"> </w:t>
      </w:r>
      <w:r>
        <w:rPr>
          <w:rFonts w:ascii="宋体" w:hAnsi="宋体"/>
          <w:color w:val="auto"/>
          <w:szCs w:val="21"/>
          <w:u w:val="single"/>
        </w:rPr>
        <w:t xml:space="preserve">     </w:t>
      </w:r>
      <w:r>
        <w:rPr>
          <w:rFonts w:ascii="宋体" w:hAnsi="宋体"/>
          <w:color w:val="auto"/>
          <w:szCs w:val="21"/>
        </w:rPr>
        <w:t>人，营业收入为</w:t>
      </w:r>
      <w:r>
        <w:rPr>
          <w:rFonts w:hint="eastAsia" w:ascii="宋体" w:hAnsi="宋体"/>
          <w:color w:val="auto"/>
          <w:szCs w:val="21"/>
          <w:u w:val="single"/>
        </w:rPr>
        <w:t xml:space="preserve"> </w:t>
      </w:r>
      <w:r>
        <w:rPr>
          <w:rFonts w:ascii="宋体" w:hAnsi="宋体"/>
          <w:color w:val="auto"/>
          <w:szCs w:val="21"/>
          <w:u w:val="single"/>
        </w:rPr>
        <w:t xml:space="preserve">     </w:t>
      </w:r>
      <w:r>
        <w:rPr>
          <w:rFonts w:ascii="宋体" w:hAnsi="宋体"/>
          <w:color w:val="auto"/>
          <w:szCs w:val="21"/>
        </w:rPr>
        <w:t>万元，资产总额为</w:t>
      </w:r>
      <w:r>
        <w:rPr>
          <w:rFonts w:hint="eastAsia" w:ascii="宋体" w:hAnsi="宋体"/>
          <w:color w:val="auto"/>
          <w:szCs w:val="21"/>
          <w:u w:val="single"/>
        </w:rPr>
        <w:t xml:space="preserve"> </w:t>
      </w:r>
      <w:r>
        <w:rPr>
          <w:rFonts w:ascii="宋体" w:hAnsi="宋体"/>
          <w:color w:val="auto"/>
          <w:szCs w:val="21"/>
          <w:u w:val="single"/>
        </w:rPr>
        <w:t xml:space="preserve">     </w:t>
      </w:r>
      <w:r>
        <w:rPr>
          <w:rFonts w:ascii="宋体" w:hAnsi="宋体"/>
          <w:color w:val="auto"/>
          <w:szCs w:val="21"/>
        </w:rPr>
        <w:t>万元，属于</w:t>
      </w:r>
      <w:r>
        <w:rPr>
          <w:rFonts w:ascii="宋体" w:hAnsi="宋体"/>
          <w:color w:val="auto"/>
          <w:szCs w:val="21"/>
          <w:u w:val="single"/>
        </w:rPr>
        <w:t>（中型企业、小型企业、微型企业）</w:t>
      </w:r>
      <w:r>
        <w:rPr>
          <w:rFonts w:ascii="宋体" w:hAnsi="宋体"/>
          <w:color w:val="auto"/>
          <w:szCs w:val="21"/>
        </w:rPr>
        <w:t>；</w:t>
      </w:r>
    </w:p>
    <w:p w14:paraId="51AB186C">
      <w:pPr>
        <w:tabs>
          <w:tab w:val="left" w:pos="1065"/>
          <w:tab w:val="left" w:pos="6477"/>
        </w:tabs>
        <w:spacing w:line="500" w:lineRule="exact"/>
        <w:ind w:firstLine="655"/>
        <w:contextualSpacing/>
        <w:rPr>
          <w:rFonts w:hint="eastAsia" w:ascii="宋体" w:hAnsi="宋体"/>
          <w:color w:val="auto"/>
          <w:szCs w:val="21"/>
        </w:rPr>
      </w:pPr>
      <w:r>
        <w:rPr>
          <w:rFonts w:ascii="宋体" w:hAnsi="宋体"/>
          <w:color w:val="auto"/>
          <w:szCs w:val="21"/>
        </w:rPr>
        <w:t>2.</w:t>
      </w:r>
      <w:r>
        <w:rPr>
          <w:rFonts w:ascii="宋体" w:hAnsi="宋体"/>
          <w:color w:val="auto"/>
          <w:szCs w:val="21"/>
          <w:u w:val="single"/>
        </w:rPr>
        <w:t>（标的名称）</w:t>
      </w:r>
      <w:r>
        <w:rPr>
          <w:rFonts w:ascii="宋体" w:hAnsi="宋体"/>
          <w:color w:val="auto"/>
          <w:szCs w:val="21"/>
        </w:rPr>
        <w:t>，属于</w:t>
      </w:r>
      <w:r>
        <w:rPr>
          <w:rFonts w:ascii="宋体" w:hAnsi="宋体"/>
          <w:color w:val="auto"/>
          <w:szCs w:val="21"/>
          <w:u w:val="single"/>
        </w:rPr>
        <w:t>（采购文件中明确的所属行业）</w:t>
      </w:r>
      <w:r>
        <w:rPr>
          <w:rFonts w:ascii="宋体" w:hAnsi="宋体"/>
          <w:color w:val="auto"/>
          <w:szCs w:val="21"/>
        </w:rPr>
        <w:t>行业；制造商为</w:t>
      </w:r>
      <w:r>
        <w:rPr>
          <w:rFonts w:ascii="宋体" w:hAnsi="宋体"/>
          <w:color w:val="auto"/>
          <w:szCs w:val="21"/>
          <w:u w:val="single"/>
        </w:rPr>
        <w:t>（企业名称）</w:t>
      </w:r>
      <w:r>
        <w:rPr>
          <w:rFonts w:ascii="宋体" w:hAnsi="宋体"/>
          <w:color w:val="auto"/>
          <w:szCs w:val="21"/>
        </w:rPr>
        <w:t>，从业人员</w:t>
      </w:r>
      <w:r>
        <w:rPr>
          <w:rFonts w:hint="eastAsia" w:ascii="宋体" w:hAnsi="宋体"/>
          <w:color w:val="auto"/>
          <w:szCs w:val="21"/>
          <w:u w:val="single"/>
        </w:rPr>
        <w:t xml:space="preserve"> </w:t>
      </w:r>
      <w:r>
        <w:rPr>
          <w:rFonts w:ascii="宋体" w:hAnsi="宋体"/>
          <w:color w:val="auto"/>
          <w:szCs w:val="21"/>
          <w:u w:val="single"/>
        </w:rPr>
        <w:t xml:space="preserve">     </w:t>
      </w:r>
      <w:r>
        <w:rPr>
          <w:rFonts w:ascii="宋体" w:hAnsi="宋体"/>
          <w:color w:val="auto"/>
          <w:szCs w:val="21"/>
        </w:rPr>
        <w:t>人，营业收入为</w:t>
      </w:r>
      <w:r>
        <w:rPr>
          <w:rFonts w:hint="eastAsia" w:ascii="宋体" w:hAnsi="宋体"/>
          <w:color w:val="auto"/>
          <w:szCs w:val="21"/>
          <w:u w:val="single"/>
        </w:rPr>
        <w:t xml:space="preserve"> </w:t>
      </w:r>
      <w:r>
        <w:rPr>
          <w:rFonts w:ascii="宋体" w:hAnsi="宋体"/>
          <w:color w:val="auto"/>
          <w:szCs w:val="21"/>
          <w:u w:val="single"/>
        </w:rPr>
        <w:t xml:space="preserve">     </w:t>
      </w:r>
      <w:r>
        <w:rPr>
          <w:rFonts w:ascii="宋体" w:hAnsi="宋体"/>
          <w:color w:val="auto"/>
          <w:szCs w:val="21"/>
        </w:rPr>
        <w:t>万元，资产总额为</w:t>
      </w:r>
      <w:r>
        <w:rPr>
          <w:rFonts w:hint="eastAsia" w:ascii="宋体" w:hAnsi="宋体"/>
          <w:color w:val="auto"/>
          <w:szCs w:val="21"/>
          <w:u w:val="single"/>
        </w:rPr>
        <w:t xml:space="preserve"> </w:t>
      </w:r>
      <w:r>
        <w:rPr>
          <w:rFonts w:ascii="宋体" w:hAnsi="宋体"/>
          <w:color w:val="auto"/>
          <w:szCs w:val="21"/>
          <w:u w:val="single"/>
        </w:rPr>
        <w:t xml:space="preserve">     </w:t>
      </w:r>
      <w:r>
        <w:rPr>
          <w:rFonts w:ascii="宋体" w:hAnsi="宋体"/>
          <w:color w:val="auto"/>
          <w:szCs w:val="21"/>
        </w:rPr>
        <w:t>万元，属于</w:t>
      </w:r>
      <w:r>
        <w:rPr>
          <w:rFonts w:ascii="宋体" w:hAnsi="宋体"/>
          <w:color w:val="auto"/>
          <w:szCs w:val="21"/>
          <w:u w:val="single"/>
        </w:rPr>
        <w:t>（中型企业、小型企业、微型企业）</w:t>
      </w:r>
      <w:r>
        <w:rPr>
          <w:rFonts w:ascii="宋体" w:hAnsi="宋体"/>
          <w:color w:val="auto"/>
          <w:szCs w:val="21"/>
        </w:rPr>
        <w:t>；</w:t>
      </w:r>
    </w:p>
    <w:p w14:paraId="2BD4BE4D">
      <w:pPr>
        <w:pStyle w:val="18"/>
        <w:spacing w:line="500" w:lineRule="exact"/>
        <w:contextualSpacing/>
        <w:rPr>
          <w:rFonts w:hint="eastAsia" w:ascii="宋体" w:hAnsi="宋体"/>
          <w:color w:val="auto"/>
          <w:sz w:val="21"/>
          <w:szCs w:val="21"/>
        </w:rPr>
      </w:pPr>
      <w:r>
        <w:rPr>
          <w:rFonts w:ascii="宋体" w:hAnsi="宋体"/>
          <w:color w:val="auto"/>
          <w:sz w:val="21"/>
          <w:szCs w:val="21"/>
        </w:rPr>
        <w:t xml:space="preserve">…… </w:t>
      </w:r>
    </w:p>
    <w:p w14:paraId="1B956C5D">
      <w:pPr>
        <w:pStyle w:val="18"/>
        <w:spacing w:line="500" w:lineRule="exact"/>
        <w:ind w:firstLine="396" w:firstLineChars="189"/>
        <w:contextualSpacing/>
        <w:rPr>
          <w:rFonts w:hint="eastAsia" w:ascii="宋体" w:hAnsi="宋体"/>
          <w:color w:val="auto"/>
          <w:sz w:val="21"/>
          <w:szCs w:val="21"/>
        </w:rPr>
      </w:pPr>
      <w:r>
        <w:rPr>
          <w:rFonts w:ascii="宋体" w:hAnsi="宋体"/>
          <w:color w:val="auto"/>
          <w:sz w:val="21"/>
          <w:szCs w:val="21"/>
        </w:rPr>
        <w:t>以上企业，不属于大企业的分支机构，不存在控股股东为大企业的情形，也不存在与大企业的负责人为同一人的情形。</w:t>
      </w:r>
    </w:p>
    <w:p w14:paraId="4E6ADDD6">
      <w:pPr>
        <w:pStyle w:val="18"/>
        <w:spacing w:line="500" w:lineRule="exact"/>
        <w:ind w:firstLine="567"/>
        <w:contextualSpacing/>
        <w:rPr>
          <w:rFonts w:hint="eastAsia" w:ascii="宋体" w:hAnsi="宋体"/>
          <w:color w:val="auto"/>
          <w:sz w:val="21"/>
          <w:szCs w:val="21"/>
        </w:rPr>
      </w:pPr>
      <w:r>
        <w:rPr>
          <w:rFonts w:ascii="宋体" w:hAnsi="宋体"/>
          <w:color w:val="auto"/>
          <w:sz w:val="21"/>
          <w:szCs w:val="21"/>
        </w:rPr>
        <w:t>本企业对上述声明内容的真实性负责。如有虚假，将依法承担相应责任。</w:t>
      </w:r>
    </w:p>
    <w:p w14:paraId="74CD4177">
      <w:pPr>
        <w:pStyle w:val="22"/>
        <w:spacing w:line="500" w:lineRule="exact"/>
        <w:ind w:firstLine="420" w:firstLineChars="200"/>
        <w:jc w:val="left"/>
        <w:rPr>
          <w:rFonts w:hint="eastAsia"/>
          <w:color w:val="auto"/>
        </w:rPr>
      </w:pPr>
    </w:p>
    <w:p w14:paraId="01557390">
      <w:pPr>
        <w:pStyle w:val="22"/>
        <w:spacing w:line="500" w:lineRule="exact"/>
        <w:ind w:firstLine="4620" w:firstLineChars="2200"/>
        <w:jc w:val="left"/>
        <w:rPr>
          <w:rFonts w:hint="eastAsia"/>
          <w:color w:val="auto"/>
        </w:rPr>
      </w:pPr>
      <w:r>
        <w:rPr>
          <w:rFonts w:hint="eastAsia"/>
          <w:color w:val="auto"/>
        </w:rPr>
        <w:t>企业名称（盖章）：</w:t>
      </w:r>
    </w:p>
    <w:p w14:paraId="463EFC35">
      <w:pPr>
        <w:pStyle w:val="22"/>
        <w:spacing w:line="500" w:lineRule="exact"/>
        <w:ind w:firstLine="4620" w:firstLineChars="2200"/>
        <w:jc w:val="left"/>
        <w:rPr>
          <w:rFonts w:hint="eastAsia"/>
          <w:color w:val="auto"/>
          <w:sz w:val="24"/>
          <w:szCs w:val="24"/>
        </w:rPr>
      </w:pPr>
      <w:r>
        <w:rPr>
          <w:rFonts w:hint="eastAsia"/>
          <w:color w:val="auto"/>
        </w:rPr>
        <w:t>日 期：</w:t>
      </w:r>
    </w:p>
    <w:p w14:paraId="795E4D20">
      <w:pPr>
        <w:pStyle w:val="22"/>
        <w:spacing w:line="500" w:lineRule="exact"/>
        <w:jc w:val="left"/>
        <w:rPr>
          <w:rFonts w:hint="eastAsia"/>
          <w:color w:val="auto"/>
          <w:sz w:val="24"/>
          <w:szCs w:val="24"/>
        </w:rPr>
      </w:pPr>
    </w:p>
    <w:p w14:paraId="31C1C20E">
      <w:pPr>
        <w:pStyle w:val="22"/>
        <w:spacing w:line="500" w:lineRule="exact"/>
        <w:jc w:val="left"/>
        <w:rPr>
          <w:rFonts w:hint="eastAsia"/>
          <w:color w:val="auto"/>
          <w:sz w:val="18"/>
          <w:szCs w:val="18"/>
        </w:rPr>
      </w:pPr>
      <w:r>
        <w:rPr>
          <w:rFonts w:hint="eastAsia"/>
          <w:color w:val="auto"/>
          <w:sz w:val="18"/>
          <w:szCs w:val="18"/>
        </w:rPr>
        <w:t>注：1、从业人员、营业收入、资产总额填报上一年度数据，无上一年度数据的新成立企业可不填报。</w:t>
      </w:r>
    </w:p>
    <w:p w14:paraId="713E6F9F">
      <w:pPr>
        <w:pStyle w:val="22"/>
        <w:spacing w:line="500" w:lineRule="exact"/>
        <w:ind w:firstLine="360" w:firstLineChars="200"/>
        <w:jc w:val="left"/>
        <w:rPr>
          <w:rFonts w:hint="eastAsia"/>
          <w:color w:val="auto"/>
          <w:sz w:val="18"/>
          <w:szCs w:val="18"/>
        </w:rPr>
      </w:pPr>
      <w:r>
        <w:rPr>
          <w:rFonts w:hint="eastAsia"/>
          <w:color w:val="auto"/>
          <w:sz w:val="18"/>
          <w:szCs w:val="18"/>
        </w:rPr>
        <w:t>2、请根据自己的真实情况出具《中小企业声明函》。依法享受中小企业优惠政策的，采购人或者采购代理机构在公告中标结果时，同时公告其《中小企业声明函》，接受社会监督。</w:t>
      </w:r>
    </w:p>
    <w:p w14:paraId="034D0D1E">
      <w:pPr>
        <w:pStyle w:val="22"/>
        <w:spacing w:line="500" w:lineRule="exact"/>
        <w:ind w:firstLine="360" w:firstLineChars="200"/>
        <w:jc w:val="left"/>
        <w:rPr>
          <w:rFonts w:hint="eastAsia"/>
          <w:color w:val="auto"/>
          <w:sz w:val="18"/>
          <w:szCs w:val="18"/>
        </w:rPr>
      </w:pPr>
      <w:r>
        <w:rPr>
          <w:rFonts w:hint="eastAsia"/>
          <w:color w:val="auto"/>
          <w:sz w:val="18"/>
          <w:szCs w:val="18"/>
        </w:rPr>
        <w:t>3、在政府采购活动中，供应商提供的货物、工程或者服务符合下列情形的，享受《政府采购促进中小企业发展管理办法》规定的中小企业扶持政策：（一）在货物采购项目中，货物由中小企业制造，即货物由中小企业生产且使用该中小企业商号或者注册商标；（二）在工程采购项目中，工程由中小企业承建，即工程施工单位为中小企业；（三）在服务采购项目中，服务由中小企业承接，即提供服务的人员为中小企业依照《中华人民共和国劳动合同法》订立劳动合同的从业人员。在货物采购项目中，供应商提供的货物既有中小企业制造货物，也有大型企业制造货物的，不享受《政府采购促进中小企业发展管理办法》规定的中小企业扶持政策。以联合体形式参加政府采购活动，联合体各方均为中小企业的，联合体视同中小企业。其中，联合体各方均为小微企业的，联合体视同小微企业。</w:t>
      </w:r>
    </w:p>
    <w:p w14:paraId="3DFCF02C">
      <w:pPr>
        <w:spacing w:line="528" w:lineRule="exact"/>
        <w:jc w:val="center"/>
        <w:rPr>
          <w:rFonts w:hint="eastAsia" w:ascii="宋体" w:hAnsi="宋体" w:cs="Arial Unicode MS"/>
          <w:color w:val="auto"/>
          <w:sz w:val="40"/>
          <w:szCs w:val="40"/>
        </w:rPr>
      </w:pPr>
      <w:r>
        <w:rPr>
          <w:color w:val="auto"/>
          <w:sz w:val="18"/>
          <w:szCs w:val="18"/>
        </w:rPr>
        <w:br w:type="page"/>
      </w:r>
      <w:r>
        <w:rPr>
          <w:rFonts w:hint="eastAsia" w:ascii="宋体" w:hAnsi="宋体" w:cs="微软雅黑"/>
          <w:color w:val="auto"/>
          <w:sz w:val="40"/>
          <w:szCs w:val="40"/>
        </w:rPr>
        <w:t>中小微企业划型标准</w:t>
      </w:r>
    </w:p>
    <w:tbl>
      <w:tblPr>
        <w:tblStyle w:val="39"/>
        <w:tblW w:w="8875" w:type="dxa"/>
        <w:jc w:val="center"/>
        <w:tblLayout w:type="fixed"/>
        <w:tblCellMar>
          <w:top w:w="0" w:type="dxa"/>
          <w:left w:w="108" w:type="dxa"/>
          <w:bottom w:w="0" w:type="dxa"/>
          <w:right w:w="108" w:type="dxa"/>
        </w:tblCellMar>
      </w:tblPr>
      <w:tblGrid>
        <w:gridCol w:w="1892"/>
        <w:gridCol w:w="1538"/>
        <w:gridCol w:w="1015"/>
        <w:gridCol w:w="1801"/>
        <w:gridCol w:w="1601"/>
        <w:gridCol w:w="1028"/>
      </w:tblGrid>
      <w:tr w14:paraId="7F6C72E1">
        <w:tblPrEx>
          <w:tblCellMar>
            <w:top w:w="0" w:type="dxa"/>
            <w:left w:w="108" w:type="dxa"/>
            <w:bottom w:w="0" w:type="dxa"/>
            <w:right w:w="108" w:type="dxa"/>
          </w:tblCellMar>
        </w:tblPrEx>
        <w:trPr>
          <w:trHeight w:val="680" w:hRule="atLeast"/>
          <w:jc w:val="center"/>
        </w:trPr>
        <w:tc>
          <w:tcPr>
            <w:tcW w:w="1892" w:type="dxa"/>
            <w:tcBorders>
              <w:top w:val="single" w:color="auto" w:sz="4" w:space="0"/>
              <w:left w:val="single" w:color="auto" w:sz="4" w:space="0"/>
              <w:bottom w:val="single" w:color="auto" w:sz="4" w:space="0"/>
              <w:right w:val="single" w:color="auto" w:sz="4" w:space="0"/>
            </w:tcBorders>
            <w:vAlign w:val="center"/>
          </w:tcPr>
          <w:p w14:paraId="2B968B46">
            <w:pPr>
              <w:widowControl/>
              <w:jc w:val="left"/>
              <w:rPr>
                <w:rFonts w:hint="eastAsia" w:ascii="宋体" w:hAnsi="宋体" w:cs="宋体"/>
                <w:b/>
                <w:color w:val="auto"/>
                <w:kern w:val="0"/>
                <w:sz w:val="24"/>
              </w:rPr>
            </w:pPr>
            <w:r>
              <w:rPr>
                <w:rFonts w:hint="eastAsia" w:ascii="宋体" w:hAnsi="宋体" w:cs="宋体"/>
                <w:b/>
                <w:color w:val="auto"/>
                <w:kern w:val="0"/>
                <w:sz w:val="24"/>
              </w:rPr>
              <w:t>行业名称</w:t>
            </w:r>
          </w:p>
        </w:tc>
        <w:tc>
          <w:tcPr>
            <w:tcW w:w="1538" w:type="dxa"/>
            <w:tcBorders>
              <w:top w:val="single" w:color="auto" w:sz="4" w:space="0"/>
              <w:left w:val="nil"/>
              <w:bottom w:val="single" w:color="auto" w:sz="4" w:space="0"/>
              <w:right w:val="single" w:color="auto" w:sz="4" w:space="0"/>
            </w:tcBorders>
            <w:vAlign w:val="center"/>
          </w:tcPr>
          <w:p w14:paraId="4969CB41">
            <w:pPr>
              <w:widowControl/>
              <w:jc w:val="left"/>
              <w:rPr>
                <w:rFonts w:hint="eastAsia" w:ascii="宋体" w:hAnsi="宋体" w:cs="宋体"/>
                <w:b/>
                <w:color w:val="auto"/>
                <w:kern w:val="0"/>
                <w:sz w:val="24"/>
              </w:rPr>
            </w:pPr>
            <w:r>
              <w:rPr>
                <w:rFonts w:hint="eastAsia" w:ascii="宋体" w:hAnsi="宋体" w:cs="宋体"/>
                <w:b/>
                <w:color w:val="auto"/>
                <w:kern w:val="0"/>
                <w:sz w:val="24"/>
              </w:rPr>
              <w:t>指标名称</w:t>
            </w:r>
          </w:p>
        </w:tc>
        <w:tc>
          <w:tcPr>
            <w:tcW w:w="1015" w:type="dxa"/>
            <w:tcBorders>
              <w:top w:val="single" w:color="auto" w:sz="4" w:space="0"/>
              <w:left w:val="nil"/>
              <w:bottom w:val="single" w:color="auto" w:sz="4" w:space="0"/>
              <w:right w:val="single" w:color="auto" w:sz="4" w:space="0"/>
            </w:tcBorders>
            <w:vAlign w:val="center"/>
          </w:tcPr>
          <w:p w14:paraId="7AA759BF">
            <w:pPr>
              <w:widowControl/>
              <w:jc w:val="left"/>
              <w:rPr>
                <w:rFonts w:hint="eastAsia" w:ascii="宋体" w:hAnsi="宋体" w:cs="宋体"/>
                <w:b/>
                <w:color w:val="auto"/>
                <w:kern w:val="0"/>
                <w:sz w:val="24"/>
              </w:rPr>
            </w:pPr>
            <w:r>
              <w:rPr>
                <w:rFonts w:hint="eastAsia" w:ascii="宋体" w:hAnsi="宋体" w:cs="宋体"/>
                <w:b/>
                <w:color w:val="auto"/>
                <w:kern w:val="0"/>
                <w:sz w:val="24"/>
              </w:rPr>
              <w:t>计量单位</w:t>
            </w:r>
          </w:p>
        </w:tc>
        <w:tc>
          <w:tcPr>
            <w:tcW w:w="1801" w:type="dxa"/>
            <w:tcBorders>
              <w:top w:val="single" w:color="auto" w:sz="4" w:space="0"/>
              <w:left w:val="nil"/>
              <w:bottom w:val="single" w:color="auto" w:sz="4" w:space="0"/>
              <w:right w:val="single" w:color="auto" w:sz="4" w:space="0"/>
            </w:tcBorders>
            <w:vAlign w:val="center"/>
          </w:tcPr>
          <w:p w14:paraId="012AEC20">
            <w:pPr>
              <w:widowControl/>
              <w:jc w:val="left"/>
              <w:rPr>
                <w:rFonts w:hint="eastAsia" w:ascii="宋体" w:hAnsi="宋体" w:cs="宋体"/>
                <w:b/>
                <w:color w:val="auto"/>
                <w:kern w:val="0"/>
                <w:sz w:val="24"/>
              </w:rPr>
            </w:pPr>
            <w:r>
              <w:rPr>
                <w:rFonts w:hint="eastAsia" w:ascii="宋体" w:hAnsi="宋体" w:cs="宋体"/>
                <w:b/>
                <w:color w:val="auto"/>
                <w:kern w:val="0"/>
                <w:sz w:val="24"/>
              </w:rPr>
              <w:t>中型</w:t>
            </w:r>
          </w:p>
        </w:tc>
        <w:tc>
          <w:tcPr>
            <w:tcW w:w="1601" w:type="dxa"/>
            <w:tcBorders>
              <w:top w:val="single" w:color="auto" w:sz="4" w:space="0"/>
              <w:left w:val="nil"/>
              <w:bottom w:val="single" w:color="auto" w:sz="4" w:space="0"/>
              <w:right w:val="single" w:color="auto" w:sz="4" w:space="0"/>
            </w:tcBorders>
            <w:vAlign w:val="center"/>
          </w:tcPr>
          <w:p w14:paraId="66B1454A">
            <w:pPr>
              <w:widowControl/>
              <w:jc w:val="left"/>
              <w:rPr>
                <w:rFonts w:hint="eastAsia" w:ascii="宋体" w:hAnsi="宋体" w:cs="宋体"/>
                <w:b/>
                <w:color w:val="auto"/>
                <w:kern w:val="0"/>
                <w:sz w:val="24"/>
              </w:rPr>
            </w:pPr>
            <w:r>
              <w:rPr>
                <w:rFonts w:hint="eastAsia" w:ascii="宋体" w:hAnsi="宋体" w:cs="宋体"/>
                <w:b/>
                <w:color w:val="auto"/>
                <w:kern w:val="0"/>
                <w:sz w:val="24"/>
              </w:rPr>
              <w:t>小型</w:t>
            </w:r>
          </w:p>
        </w:tc>
        <w:tc>
          <w:tcPr>
            <w:tcW w:w="1028" w:type="dxa"/>
            <w:tcBorders>
              <w:top w:val="single" w:color="auto" w:sz="4" w:space="0"/>
              <w:left w:val="nil"/>
              <w:bottom w:val="single" w:color="auto" w:sz="4" w:space="0"/>
              <w:right w:val="single" w:color="auto" w:sz="4" w:space="0"/>
            </w:tcBorders>
            <w:vAlign w:val="center"/>
          </w:tcPr>
          <w:p w14:paraId="39BC1488">
            <w:pPr>
              <w:widowControl/>
              <w:jc w:val="left"/>
              <w:rPr>
                <w:rFonts w:hint="eastAsia" w:ascii="宋体" w:hAnsi="宋体" w:cs="宋体"/>
                <w:b/>
                <w:color w:val="auto"/>
                <w:kern w:val="0"/>
                <w:sz w:val="24"/>
              </w:rPr>
            </w:pPr>
            <w:r>
              <w:rPr>
                <w:rFonts w:hint="eastAsia" w:ascii="宋体" w:hAnsi="宋体" w:cs="宋体"/>
                <w:b/>
                <w:color w:val="auto"/>
                <w:kern w:val="0"/>
                <w:sz w:val="24"/>
              </w:rPr>
              <w:t>微型</w:t>
            </w:r>
          </w:p>
        </w:tc>
      </w:tr>
      <w:tr w14:paraId="6D87B489">
        <w:tblPrEx>
          <w:tblCellMar>
            <w:top w:w="0" w:type="dxa"/>
            <w:left w:w="108" w:type="dxa"/>
            <w:bottom w:w="0" w:type="dxa"/>
            <w:right w:w="108" w:type="dxa"/>
          </w:tblCellMar>
        </w:tblPrEx>
        <w:trPr>
          <w:trHeight w:val="350" w:hRule="atLeast"/>
          <w:jc w:val="center"/>
        </w:trPr>
        <w:tc>
          <w:tcPr>
            <w:tcW w:w="1892" w:type="dxa"/>
            <w:tcBorders>
              <w:top w:val="nil"/>
              <w:left w:val="single" w:color="auto" w:sz="4" w:space="0"/>
              <w:bottom w:val="single" w:color="auto" w:sz="4" w:space="0"/>
              <w:right w:val="single" w:color="auto" w:sz="4" w:space="0"/>
            </w:tcBorders>
            <w:vAlign w:val="center"/>
          </w:tcPr>
          <w:p w14:paraId="7E801AE5">
            <w:pPr>
              <w:widowControl/>
              <w:jc w:val="center"/>
              <w:rPr>
                <w:rFonts w:hint="eastAsia" w:ascii="宋体" w:hAnsi="宋体" w:cs="宋体"/>
                <w:b/>
                <w:bCs/>
                <w:color w:val="auto"/>
                <w:kern w:val="0"/>
                <w:sz w:val="18"/>
                <w:szCs w:val="18"/>
              </w:rPr>
            </w:pPr>
            <w:r>
              <w:rPr>
                <w:rFonts w:hint="eastAsia" w:ascii="宋体" w:hAnsi="宋体" w:cs="宋体"/>
                <w:b/>
                <w:bCs/>
                <w:color w:val="auto"/>
                <w:kern w:val="0"/>
                <w:sz w:val="18"/>
                <w:szCs w:val="18"/>
              </w:rPr>
              <w:t>农、林、牧、渔</w:t>
            </w:r>
          </w:p>
        </w:tc>
        <w:tc>
          <w:tcPr>
            <w:tcW w:w="1538" w:type="dxa"/>
            <w:tcBorders>
              <w:top w:val="nil"/>
              <w:left w:val="nil"/>
              <w:bottom w:val="single" w:color="auto" w:sz="4" w:space="0"/>
              <w:right w:val="single" w:color="auto" w:sz="4" w:space="0"/>
            </w:tcBorders>
            <w:vAlign w:val="center"/>
          </w:tcPr>
          <w:p w14:paraId="1394B875">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营业收入（Y）</w:t>
            </w:r>
          </w:p>
        </w:tc>
        <w:tc>
          <w:tcPr>
            <w:tcW w:w="1015" w:type="dxa"/>
            <w:tcBorders>
              <w:top w:val="nil"/>
              <w:left w:val="nil"/>
              <w:bottom w:val="single" w:color="auto" w:sz="4" w:space="0"/>
              <w:right w:val="single" w:color="auto" w:sz="4" w:space="0"/>
            </w:tcBorders>
            <w:vAlign w:val="center"/>
          </w:tcPr>
          <w:p w14:paraId="4B751E52">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万元</w:t>
            </w:r>
          </w:p>
        </w:tc>
        <w:tc>
          <w:tcPr>
            <w:tcW w:w="1801" w:type="dxa"/>
            <w:tcBorders>
              <w:top w:val="nil"/>
              <w:left w:val="nil"/>
              <w:bottom w:val="single" w:color="auto" w:sz="4" w:space="0"/>
              <w:right w:val="single" w:color="auto" w:sz="4" w:space="0"/>
            </w:tcBorders>
            <w:vAlign w:val="center"/>
          </w:tcPr>
          <w:p w14:paraId="67190402">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500≤Y＜20000</w:t>
            </w:r>
          </w:p>
        </w:tc>
        <w:tc>
          <w:tcPr>
            <w:tcW w:w="1601" w:type="dxa"/>
            <w:tcBorders>
              <w:top w:val="nil"/>
              <w:left w:val="nil"/>
              <w:bottom w:val="single" w:color="auto" w:sz="4" w:space="0"/>
              <w:right w:val="single" w:color="auto" w:sz="4" w:space="0"/>
            </w:tcBorders>
            <w:vAlign w:val="center"/>
          </w:tcPr>
          <w:p w14:paraId="45BBA0DC">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50≤Y＜500</w:t>
            </w:r>
          </w:p>
        </w:tc>
        <w:tc>
          <w:tcPr>
            <w:tcW w:w="1028" w:type="dxa"/>
            <w:tcBorders>
              <w:top w:val="nil"/>
              <w:left w:val="nil"/>
              <w:bottom w:val="single" w:color="auto" w:sz="4" w:space="0"/>
              <w:right w:val="single" w:color="auto" w:sz="4" w:space="0"/>
            </w:tcBorders>
            <w:vAlign w:val="center"/>
          </w:tcPr>
          <w:p w14:paraId="4A16F37C">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Y＜50</w:t>
            </w:r>
          </w:p>
        </w:tc>
      </w:tr>
      <w:tr w14:paraId="3C98FD69">
        <w:tblPrEx>
          <w:tblCellMar>
            <w:top w:w="0" w:type="dxa"/>
            <w:left w:w="108" w:type="dxa"/>
            <w:bottom w:w="0" w:type="dxa"/>
            <w:right w:w="108" w:type="dxa"/>
          </w:tblCellMar>
        </w:tblPrEx>
        <w:trPr>
          <w:trHeight w:val="350" w:hRule="atLeast"/>
          <w:jc w:val="center"/>
        </w:trPr>
        <w:tc>
          <w:tcPr>
            <w:tcW w:w="1892" w:type="dxa"/>
            <w:vMerge w:val="restart"/>
            <w:tcBorders>
              <w:top w:val="nil"/>
              <w:left w:val="single" w:color="auto" w:sz="4" w:space="0"/>
              <w:bottom w:val="single" w:color="auto" w:sz="4" w:space="0"/>
              <w:right w:val="single" w:color="auto" w:sz="4" w:space="0"/>
            </w:tcBorders>
            <w:vAlign w:val="center"/>
          </w:tcPr>
          <w:p w14:paraId="0A25D978">
            <w:pPr>
              <w:widowControl/>
              <w:jc w:val="center"/>
              <w:rPr>
                <w:rFonts w:hint="eastAsia" w:ascii="宋体" w:hAnsi="宋体" w:cs="宋体"/>
                <w:b/>
                <w:bCs/>
                <w:color w:val="auto"/>
                <w:kern w:val="0"/>
                <w:sz w:val="18"/>
                <w:szCs w:val="18"/>
              </w:rPr>
            </w:pPr>
            <w:r>
              <w:rPr>
                <w:rFonts w:hint="eastAsia" w:ascii="宋体" w:hAnsi="宋体" w:cs="宋体"/>
                <w:b/>
                <w:bCs/>
                <w:color w:val="auto"/>
                <w:kern w:val="0"/>
                <w:sz w:val="18"/>
                <w:szCs w:val="18"/>
              </w:rPr>
              <w:t>工业</w:t>
            </w:r>
          </w:p>
        </w:tc>
        <w:tc>
          <w:tcPr>
            <w:tcW w:w="1538" w:type="dxa"/>
            <w:tcBorders>
              <w:top w:val="nil"/>
              <w:left w:val="nil"/>
              <w:bottom w:val="single" w:color="auto" w:sz="4" w:space="0"/>
              <w:right w:val="single" w:color="auto" w:sz="4" w:space="0"/>
            </w:tcBorders>
            <w:vAlign w:val="center"/>
          </w:tcPr>
          <w:p w14:paraId="69148112">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从业人员（X）</w:t>
            </w:r>
          </w:p>
        </w:tc>
        <w:tc>
          <w:tcPr>
            <w:tcW w:w="1015" w:type="dxa"/>
            <w:tcBorders>
              <w:top w:val="nil"/>
              <w:left w:val="nil"/>
              <w:bottom w:val="single" w:color="auto" w:sz="4" w:space="0"/>
              <w:right w:val="single" w:color="auto" w:sz="4" w:space="0"/>
            </w:tcBorders>
            <w:vAlign w:val="center"/>
          </w:tcPr>
          <w:p w14:paraId="52A87D62">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人</w:t>
            </w:r>
          </w:p>
        </w:tc>
        <w:tc>
          <w:tcPr>
            <w:tcW w:w="1801" w:type="dxa"/>
            <w:tcBorders>
              <w:top w:val="nil"/>
              <w:left w:val="nil"/>
              <w:bottom w:val="single" w:color="auto" w:sz="4" w:space="0"/>
              <w:right w:val="single" w:color="auto" w:sz="4" w:space="0"/>
            </w:tcBorders>
            <w:vAlign w:val="center"/>
          </w:tcPr>
          <w:p w14:paraId="24DEFD62">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300≤X＜1000</w:t>
            </w:r>
          </w:p>
        </w:tc>
        <w:tc>
          <w:tcPr>
            <w:tcW w:w="1601" w:type="dxa"/>
            <w:tcBorders>
              <w:top w:val="nil"/>
              <w:left w:val="nil"/>
              <w:bottom w:val="single" w:color="auto" w:sz="4" w:space="0"/>
              <w:right w:val="single" w:color="auto" w:sz="4" w:space="0"/>
            </w:tcBorders>
            <w:vAlign w:val="center"/>
          </w:tcPr>
          <w:p w14:paraId="19AB57D8">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20≤X＜300</w:t>
            </w:r>
          </w:p>
        </w:tc>
        <w:tc>
          <w:tcPr>
            <w:tcW w:w="1028" w:type="dxa"/>
            <w:tcBorders>
              <w:top w:val="nil"/>
              <w:left w:val="nil"/>
              <w:bottom w:val="single" w:color="auto" w:sz="4" w:space="0"/>
              <w:right w:val="single" w:color="auto" w:sz="4" w:space="0"/>
            </w:tcBorders>
            <w:vAlign w:val="center"/>
          </w:tcPr>
          <w:p w14:paraId="5D55B8A2">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X＜20</w:t>
            </w:r>
          </w:p>
        </w:tc>
      </w:tr>
      <w:tr w14:paraId="34E31149">
        <w:tblPrEx>
          <w:tblCellMar>
            <w:top w:w="0" w:type="dxa"/>
            <w:left w:w="108" w:type="dxa"/>
            <w:bottom w:w="0" w:type="dxa"/>
            <w:right w:w="108" w:type="dxa"/>
          </w:tblCellMar>
        </w:tblPrEx>
        <w:trPr>
          <w:trHeight w:val="350" w:hRule="atLeast"/>
          <w:jc w:val="center"/>
        </w:trPr>
        <w:tc>
          <w:tcPr>
            <w:tcW w:w="1892" w:type="dxa"/>
            <w:vMerge w:val="continue"/>
            <w:tcBorders>
              <w:top w:val="nil"/>
              <w:left w:val="single" w:color="auto" w:sz="4" w:space="0"/>
              <w:bottom w:val="single" w:color="auto" w:sz="4" w:space="0"/>
              <w:right w:val="single" w:color="auto" w:sz="4" w:space="0"/>
            </w:tcBorders>
            <w:vAlign w:val="center"/>
          </w:tcPr>
          <w:p w14:paraId="543E87D3">
            <w:pPr>
              <w:widowControl/>
              <w:jc w:val="center"/>
              <w:rPr>
                <w:rFonts w:hint="eastAsia" w:ascii="宋体" w:hAnsi="宋体" w:cs="宋体"/>
                <w:b/>
                <w:bCs/>
                <w:color w:val="auto"/>
                <w:kern w:val="0"/>
                <w:sz w:val="18"/>
                <w:szCs w:val="18"/>
              </w:rPr>
            </w:pPr>
          </w:p>
        </w:tc>
        <w:tc>
          <w:tcPr>
            <w:tcW w:w="1538" w:type="dxa"/>
            <w:tcBorders>
              <w:top w:val="nil"/>
              <w:left w:val="nil"/>
              <w:bottom w:val="single" w:color="auto" w:sz="4" w:space="0"/>
              <w:right w:val="single" w:color="auto" w:sz="4" w:space="0"/>
            </w:tcBorders>
            <w:vAlign w:val="center"/>
          </w:tcPr>
          <w:p w14:paraId="7DED8BF4">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营业收入（Y）</w:t>
            </w:r>
          </w:p>
        </w:tc>
        <w:tc>
          <w:tcPr>
            <w:tcW w:w="1015" w:type="dxa"/>
            <w:tcBorders>
              <w:top w:val="nil"/>
              <w:left w:val="nil"/>
              <w:bottom w:val="single" w:color="auto" w:sz="4" w:space="0"/>
              <w:right w:val="single" w:color="auto" w:sz="4" w:space="0"/>
            </w:tcBorders>
            <w:vAlign w:val="center"/>
          </w:tcPr>
          <w:p w14:paraId="1D1F1BD5">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万元</w:t>
            </w:r>
          </w:p>
        </w:tc>
        <w:tc>
          <w:tcPr>
            <w:tcW w:w="1801" w:type="dxa"/>
            <w:tcBorders>
              <w:top w:val="nil"/>
              <w:left w:val="nil"/>
              <w:bottom w:val="single" w:color="auto" w:sz="4" w:space="0"/>
              <w:right w:val="single" w:color="auto" w:sz="4" w:space="0"/>
            </w:tcBorders>
            <w:vAlign w:val="center"/>
          </w:tcPr>
          <w:p w14:paraId="4D7B8E86">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2000≤Y＜40000</w:t>
            </w:r>
          </w:p>
        </w:tc>
        <w:tc>
          <w:tcPr>
            <w:tcW w:w="1601" w:type="dxa"/>
            <w:tcBorders>
              <w:top w:val="nil"/>
              <w:left w:val="nil"/>
              <w:bottom w:val="single" w:color="auto" w:sz="4" w:space="0"/>
              <w:right w:val="single" w:color="auto" w:sz="4" w:space="0"/>
            </w:tcBorders>
            <w:vAlign w:val="center"/>
          </w:tcPr>
          <w:p w14:paraId="181783D9">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300≤Y＜2000</w:t>
            </w:r>
          </w:p>
        </w:tc>
        <w:tc>
          <w:tcPr>
            <w:tcW w:w="1028" w:type="dxa"/>
            <w:tcBorders>
              <w:top w:val="nil"/>
              <w:left w:val="nil"/>
              <w:bottom w:val="single" w:color="auto" w:sz="4" w:space="0"/>
              <w:right w:val="single" w:color="auto" w:sz="4" w:space="0"/>
            </w:tcBorders>
            <w:vAlign w:val="center"/>
          </w:tcPr>
          <w:p w14:paraId="5929D527">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Y＜300</w:t>
            </w:r>
          </w:p>
        </w:tc>
      </w:tr>
      <w:tr w14:paraId="5805D157">
        <w:tblPrEx>
          <w:tblCellMar>
            <w:top w:w="0" w:type="dxa"/>
            <w:left w:w="108" w:type="dxa"/>
            <w:bottom w:w="0" w:type="dxa"/>
            <w:right w:w="108" w:type="dxa"/>
          </w:tblCellMar>
        </w:tblPrEx>
        <w:trPr>
          <w:trHeight w:val="350" w:hRule="atLeast"/>
          <w:jc w:val="center"/>
        </w:trPr>
        <w:tc>
          <w:tcPr>
            <w:tcW w:w="1892" w:type="dxa"/>
            <w:vMerge w:val="restart"/>
            <w:tcBorders>
              <w:top w:val="nil"/>
              <w:left w:val="single" w:color="auto" w:sz="4" w:space="0"/>
              <w:bottom w:val="single" w:color="auto" w:sz="4" w:space="0"/>
              <w:right w:val="single" w:color="auto" w:sz="4" w:space="0"/>
            </w:tcBorders>
            <w:vAlign w:val="center"/>
          </w:tcPr>
          <w:p w14:paraId="061AE860">
            <w:pPr>
              <w:widowControl/>
              <w:jc w:val="center"/>
              <w:rPr>
                <w:rFonts w:hint="eastAsia" w:ascii="宋体" w:hAnsi="宋体" w:cs="宋体"/>
                <w:b/>
                <w:bCs/>
                <w:color w:val="auto"/>
                <w:kern w:val="0"/>
                <w:sz w:val="18"/>
                <w:szCs w:val="18"/>
              </w:rPr>
            </w:pPr>
            <w:r>
              <w:rPr>
                <w:rFonts w:hint="eastAsia" w:ascii="宋体" w:hAnsi="宋体" w:cs="宋体"/>
                <w:b/>
                <w:bCs/>
                <w:color w:val="auto"/>
                <w:kern w:val="0"/>
                <w:sz w:val="18"/>
                <w:szCs w:val="18"/>
              </w:rPr>
              <w:t>建筑业</w:t>
            </w:r>
          </w:p>
        </w:tc>
        <w:tc>
          <w:tcPr>
            <w:tcW w:w="1538" w:type="dxa"/>
            <w:tcBorders>
              <w:top w:val="nil"/>
              <w:left w:val="nil"/>
              <w:bottom w:val="single" w:color="auto" w:sz="4" w:space="0"/>
              <w:right w:val="single" w:color="auto" w:sz="4" w:space="0"/>
            </w:tcBorders>
            <w:vAlign w:val="center"/>
          </w:tcPr>
          <w:p w14:paraId="51516FF5">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营业收入（Y）</w:t>
            </w:r>
          </w:p>
        </w:tc>
        <w:tc>
          <w:tcPr>
            <w:tcW w:w="1015" w:type="dxa"/>
            <w:tcBorders>
              <w:top w:val="nil"/>
              <w:left w:val="nil"/>
              <w:bottom w:val="single" w:color="auto" w:sz="4" w:space="0"/>
              <w:right w:val="single" w:color="auto" w:sz="4" w:space="0"/>
            </w:tcBorders>
            <w:vAlign w:val="center"/>
          </w:tcPr>
          <w:p w14:paraId="3C40F5FA">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万元</w:t>
            </w:r>
          </w:p>
        </w:tc>
        <w:tc>
          <w:tcPr>
            <w:tcW w:w="1801" w:type="dxa"/>
            <w:tcBorders>
              <w:top w:val="nil"/>
              <w:left w:val="nil"/>
              <w:bottom w:val="single" w:color="auto" w:sz="4" w:space="0"/>
              <w:right w:val="single" w:color="auto" w:sz="4" w:space="0"/>
            </w:tcBorders>
            <w:vAlign w:val="center"/>
          </w:tcPr>
          <w:p w14:paraId="232947D9">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6000≤Y＜80000</w:t>
            </w:r>
          </w:p>
        </w:tc>
        <w:tc>
          <w:tcPr>
            <w:tcW w:w="1601" w:type="dxa"/>
            <w:tcBorders>
              <w:top w:val="nil"/>
              <w:left w:val="nil"/>
              <w:bottom w:val="single" w:color="auto" w:sz="4" w:space="0"/>
              <w:right w:val="single" w:color="auto" w:sz="4" w:space="0"/>
            </w:tcBorders>
            <w:vAlign w:val="center"/>
          </w:tcPr>
          <w:p w14:paraId="01B60303">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300≤Y＜6000</w:t>
            </w:r>
          </w:p>
        </w:tc>
        <w:tc>
          <w:tcPr>
            <w:tcW w:w="1028" w:type="dxa"/>
            <w:tcBorders>
              <w:top w:val="nil"/>
              <w:left w:val="nil"/>
              <w:bottom w:val="single" w:color="auto" w:sz="4" w:space="0"/>
              <w:right w:val="single" w:color="auto" w:sz="4" w:space="0"/>
            </w:tcBorders>
            <w:vAlign w:val="center"/>
          </w:tcPr>
          <w:p w14:paraId="3E9E3FE4">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Y＜300</w:t>
            </w:r>
          </w:p>
        </w:tc>
      </w:tr>
      <w:tr w14:paraId="6451A660">
        <w:tblPrEx>
          <w:tblCellMar>
            <w:top w:w="0" w:type="dxa"/>
            <w:left w:w="108" w:type="dxa"/>
            <w:bottom w:w="0" w:type="dxa"/>
            <w:right w:w="108" w:type="dxa"/>
          </w:tblCellMar>
        </w:tblPrEx>
        <w:trPr>
          <w:trHeight w:val="350" w:hRule="atLeast"/>
          <w:jc w:val="center"/>
        </w:trPr>
        <w:tc>
          <w:tcPr>
            <w:tcW w:w="1892" w:type="dxa"/>
            <w:vMerge w:val="continue"/>
            <w:tcBorders>
              <w:top w:val="nil"/>
              <w:left w:val="single" w:color="auto" w:sz="4" w:space="0"/>
              <w:bottom w:val="single" w:color="auto" w:sz="4" w:space="0"/>
              <w:right w:val="single" w:color="auto" w:sz="4" w:space="0"/>
            </w:tcBorders>
            <w:vAlign w:val="center"/>
          </w:tcPr>
          <w:p w14:paraId="723CDA55">
            <w:pPr>
              <w:widowControl/>
              <w:jc w:val="center"/>
              <w:rPr>
                <w:rFonts w:hint="eastAsia" w:ascii="宋体" w:hAnsi="宋体" w:cs="宋体"/>
                <w:b/>
                <w:bCs/>
                <w:color w:val="auto"/>
                <w:kern w:val="0"/>
                <w:sz w:val="18"/>
                <w:szCs w:val="18"/>
              </w:rPr>
            </w:pPr>
          </w:p>
        </w:tc>
        <w:tc>
          <w:tcPr>
            <w:tcW w:w="1538" w:type="dxa"/>
            <w:tcBorders>
              <w:top w:val="nil"/>
              <w:left w:val="nil"/>
              <w:bottom w:val="single" w:color="auto" w:sz="4" w:space="0"/>
              <w:right w:val="single" w:color="auto" w:sz="4" w:space="0"/>
            </w:tcBorders>
            <w:vAlign w:val="center"/>
          </w:tcPr>
          <w:p w14:paraId="2390E604">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资产总额（Z）</w:t>
            </w:r>
          </w:p>
        </w:tc>
        <w:tc>
          <w:tcPr>
            <w:tcW w:w="1015" w:type="dxa"/>
            <w:tcBorders>
              <w:top w:val="nil"/>
              <w:left w:val="nil"/>
              <w:bottom w:val="single" w:color="auto" w:sz="4" w:space="0"/>
              <w:right w:val="single" w:color="auto" w:sz="4" w:space="0"/>
            </w:tcBorders>
            <w:vAlign w:val="center"/>
          </w:tcPr>
          <w:p w14:paraId="08D4FA1A">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万元</w:t>
            </w:r>
          </w:p>
        </w:tc>
        <w:tc>
          <w:tcPr>
            <w:tcW w:w="1801" w:type="dxa"/>
            <w:tcBorders>
              <w:top w:val="nil"/>
              <w:left w:val="nil"/>
              <w:bottom w:val="single" w:color="auto" w:sz="4" w:space="0"/>
              <w:right w:val="single" w:color="auto" w:sz="4" w:space="0"/>
            </w:tcBorders>
            <w:vAlign w:val="center"/>
          </w:tcPr>
          <w:p w14:paraId="6D8B7855">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5000≤Z＜80000</w:t>
            </w:r>
          </w:p>
        </w:tc>
        <w:tc>
          <w:tcPr>
            <w:tcW w:w="1601" w:type="dxa"/>
            <w:tcBorders>
              <w:top w:val="nil"/>
              <w:left w:val="nil"/>
              <w:bottom w:val="single" w:color="auto" w:sz="4" w:space="0"/>
              <w:right w:val="single" w:color="auto" w:sz="4" w:space="0"/>
            </w:tcBorders>
            <w:vAlign w:val="center"/>
          </w:tcPr>
          <w:p w14:paraId="1A943A42">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300≤Z＜5000</w:t>
            </w:r>
          </w:p>
        </w:tc>
        <w:tc>
          <w:tcPr>
            <w:tcW w:w="1028" w:type="dxa"/>
            <w:tcBorders>
              <w:top w:val="nil"/>
              <w:left w:val="nil"/>
              <w:bottom w:val="single" w:color="auto" w:sz="4" w:space="0"/>
              <w:right w:val="single" w:color="auto" w:sz="4" w:space="0"/>
            </w:tcBorders>
            <w:vAlign w:val="center"/>
          </w:tcPr>
          <w:p w14:paraId="438BC6AD">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Z＜300</w:t>
            </w:r>
          </w:p>
        </w:tc>
      </w:tr>
      <w:tr w14:paraId="52B44B88">
        <w:tblPrEx>
          <w:tblCellMar>
            <w:top w:w="0" w:type="dxa"/>
            <w:left w:w="108" w:type="dxa"/>
            <w:bottom w:w="0" w:type="dxa"/>
            <w:right w:w="108" w:type="dxa"/>
          </w:tblCellMar>
        </w:tblPrEx>
        <w:trPr>
          <w:trHeight w:val="350" w:hRule="atLeast"/>
          <w:jc w:val="center"/>
        </w:trPr>
        <w:tc>
          <w:tcPr>
            <w:tcW w:w="1892" w:type="dxa"/>
            <w:vMerge w:val="restart"/>
            <w:tcBorders>
              <w:top w:val="nil"/>
              <w:left w:val="single" w:color="auto" w:sz="4" w:space="0"/>
              <w:bottom w:val="single" w:color="auto" w:sz="4" w:space="0"/>
              <w:right w:val="single" w:color="auto" w:sz="4" w:space="0"/>
            </w:tcBorders>
            <w:vAlign w:val="center"/>
          </w:tcPr>
          <w:p w14:paraId="2B688E50">
            <w:pPr>
              <w:widowControl/>
              <w:jc w:val="center"/>
              <w:rPr>
                <w:rFonts w:hint="eastAsia" w:ascii="宋体" w:hAnsi="宋体" w:cs="宋体"/>
                <w:b/>
                <w:bCs/>
                <w:color w:val="auto"/>
                <w:kern w:val="0"/>
                <w:sz w:val="18"/>
                <w:szCs w:val="18"/>
              </w:rPr>
            </w:pPr>
            <w:r>
              <w:rPr>
                <w:rFonts w:hint="eastAsia" w:ascii="宋体" w:hAnsi="宋体" w:cs="宋体"/>
                <w:b/>
                <w:bCs/>
                <w:color w:val="auto"/>
                <w:kern w:val="0"/>
                <w:sz w:val="18"/>
                <w:szCs w:val="18"/>
              </w:rPr>
              <w:t>批发业</w:t>
            </w:r>
          </w:p>
        </w:tc>
        <w:tc>
          <w:tcPr>
            <w:tcW w:w="1538" w:type="dxa"/>
            <w:tcBorders>
              <w:top w:val="nil"/>
              <w:left w:val="nil"/>
              <w:bottom w:val="single" w:color="auto" w:sz="4" w:space="0"/>
              <w:right w:val="single" w:color="auto" w:sz="4" w:space="0"/>
            </w:tcBorders>
            <w:vAlign w:val="center"/>
          </w:tcPr>
          <w:p w14:paraId="652859F1">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从业人员（X）</w:t>
            </w:r>
          </w:p>
        </w:tc>
        <w:tc>
          <w:tcPr>
            <w:tcW w:w="1015" w:type="dxa"/>
            <w:tcBorders>
              <w:top w:val="nil"/>
              <w:left w:val="nil"/>
              <w:bottom w:val="single" w:color="auto" w:sz="4" w:space="0"/>
              <w:right w:val="single" w:color="auto" w:sz="4" w:space="0"/>
            </w:tcBorders>
            <w:vAlign w:val="center"/>
          </w:tcPr>
          <w:p w14:paraId="580F6C4F">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人</w:t>
            </w:r>
          </w:p>
        </w:tc>
        <w:tc>
          <w:tcPr>
            <w:tcW w:w="1801" w:type="dxa"/>
            <w:tcBorders>
              <w:top w:val="nil"/>
              <w:left w:val="nil"/>
              <w:bottom w:val="single" w:color="auto" w:sz="4" w:space="0"/>
              <w:right w:val="single" w:color="auto" w:sz="4" w:space="0"/>
            </w:tcBorders>
            <w:vAlign w:val="center"/>
          </w:tcPr>
          <w:p w14:paraId="62BAF2E8">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20≤X＜200</w:t>
            </w:r>
          </w:p>
        </w:tc>
        <w:tc>
          <w:tcPr>
            <w:tcW w:w="1601" w:type="dxa"/>
            <w:tcBorders>
              <w:top w:val="nil"/>
              <w:left w:val="nil"/>
              <w:bottom w:val="single" w:color="auto" w:sz="4" w:space="0"/>
              <w:right w:val="single" w:color="auto" w:sz="4" w:space="0"/>
            </w:tcBorders>
            <w:vAlign w:val="center"/>
          </w:tcPr>
          <w:p w14:paraId="390590D0">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5≤X＜20</w:t>
            </w:r>
          </w:p>
        </w:tc>
        <w:tc>
          <w:tcPr>
            <w:tcW w:w="1028" w:type="dxa"/>
            <w:tcBorders>
              <w:top w:val="nil"/>
              <w:left w:val="nil"/>
              <w:bottom w:val="single" w:color="auto" w:sz="4" w:space="0"/>
              <w:right w:val="single" w:color="auto" w:sz="4" w:space="0"/>
            </w:tcBorders>
            <w:vAlign w:val="center"/>
          </w:tcPr>
          <w:p w14:paraId="25914FEF">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X＜5</w:t>
            </w:r>
          </w:p>
        </w:tc>
      </w:tr>
      <w:tr w14:paraId="65D1DAF5">
        <w:tblPrEx>
          <w:tblCellMar>
            <w:top w:w="0" w:type="dxa"/>
            <w:left w:w="108" w:type="dxa"/>
            <w:bottom w:w="0" w:type="dxa"/>
            <w:right w:w="108" w:type="dxa"/>
          </w:tblCellMar>
        </w:tblPrEx>
        <w:trPr>
          <w:trHeight w:val="350" w:hRule="atLeast"/>
          <w:jc w:val="center"/>
        </w:trPr>
        <w:tc>
          <w:tcPr>
            <w:tcW w:w="1892" w:type="dxa"/>
            <w:vMerge w:val="continue"/>
            <w:tcBorders>
              <w:top w:val="nil"/>
              <w:left w:val="single" w:color="auto" w:sz="4" w:space="0"/>
              <w:bottom w:val="single" w:color="auto" w:sz="4" w:space="0"/>
              <w:right w:val="single" w:color="auto" w:sz="4" w:space="0"/>
            </w:tcBorders>
            <w:vAlign w:val="center"/>
          </w:tcPr>
          <w:p w14:paraId="69C273B9">
            <w:pPr>
              <w:widowControl/>
              <w:jc w:val="center"/>
              <w:rPr>
                <w:rFonts w:hint="eastAsia" w:ascii="宋体" w:hAnsi="宋体" w:cs="宋体"/>
                <w:b/>
                <w:bCs/>
                <w:color w:val="auto"/>
                <w:kern w:val="0"/>
                <w:sz w:val="18"/>
                <w:szCs w:val="18"/>
              </w:rPr>
            </w:pPr>
          </w:p>
        </w:tc>
        <w:tc>
          <w:tcPr>
            <w:tcW w:w="1538" w:type="dxa"/>
            <w:tcBorders>
              <w:top w:val="nil"/>
              <w:left w:val="nil"/>
              <w:bottom w:val="single" w:color="auto" w:sz="4" w:space="0"/>
              <w:right w:val="single" w:color="auto" w:sz="4" w:space="0"/>
            </w:tcBorders>
            <w:vAlign w:val="center"/>
          </w:tcPr>
          <w:p w14:paraId="63DE7FCF">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营业收入（Y）</w:t>
            </w:r>
          </w:p>
        </w:tc>
        <w:tc>
          <w:tcPr>
            <w:tcW w:w="1015" w:type="dxa"/>
            <w:tcBorders>
              <w:top w:val="nil"/>
              <w:left w:val="nil"/>
              <w:bottom w:val="single" w:color="auto" w:sz="4" w:space="0"/>
              <w:right w:val="single" w:color="auto" w:sz="4" w:space="0"/>
            </w:tcBorders>
            <w:vAlign w:val="center"/>
          </w:tcPr>
          <w:p w14:paraId="69DA0ED9">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万元</w:t>
            </w:r>
          </w:p>
        </w:tc>
        <w:tc>
          <w:tcPr>
            <w:tcW w:w="1801" w:type="dxa"/>
            <w:tcBorders>
              <w:top w:val="nil"/>
              <w:left w:val="nil"/>
              <w:bottom w:val="single" w:color="auto" w:sz="4" w:space="0"/>
              <w:right w:val="single" w:color="auto" w:sz="4" w:space="0"/>
            </w:tcBorders>
            <w:vAlign w:val="center"/>
          </w:tcPr>
          <w:p w14:paraId="6D789530">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5000≤Y＜40000</w:t>
            </w:r>
          </w:p>
        </w:tc>
        <w:tc>
          <w:tcPr>
            <w:tcW w:w="1601" w:type="dxa"/>
            <w:tcBorders>
              <w:top w:val="nil"/>
              <w:left w:val="nil"/>
              <w:bottom w:val="single" w:color="auto" w:sz="4" w:space="0"/>
              <w:right w:val="single" w:color="auto" w:sz="4" w:space="0"/>
            </w:tcBorders>
            <w:vAlign w:val="center"/>
          </w:tcPr>
          <w:p w14:paraId="46004407">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1000≤Y＜5000</w:t>
            </w:r>
          </w:p>
        </w:tc>
        <w:tc>
          <w:tcPr>
            <w:tcW w:w="1028" w:type="dxa"/>
            <w:tcBorders>
              <w:top w:val="nil"/>
              <w:left w:val="nil"/>
              <w:bottom w:val="single" w:color="auto" w:sz="4" w:space="0"/>
              <w:right w:val="single" w:color="auto" w:sz="4" w:space="0"/>
            </w:tcBorders>
            <w:vAlign w:val="center"/>
          </w:tcPr>
          <w:p w14:paraId="133EA879">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Y＜1000</w:t>
            </w:r>
          </w:p>
        </w:tc>
      </w:tr>
      <w:tr w14:paraId="48F74E0C">
        <w:tblPrEx>
          <w:tblCellMar>
            <w:top w:w="0" w:type="dxa"/>
            <w:left w:w="108" w:type="dxa"/>
            <w:bottom w:w="0" w:type="dxa"/>
            <w:right w:w="108" w:type="dxa"/>
          </w:tblCellMar>
        </w:tblPrEx>
        <w:trPr>
          <w:trHeight w:val="350" w:hRule="atLeast"/>
          <w:jc w:val="center"/>
        </w:trPr>
        <w:tc>
          <w:tcPr>
            <w:tcW w:w="1892" w:type="dxa"/>
            <w:vMerge w:val="restart"/>
            <w:tcBorders>
              <w:top w:val="nil"/>
              <w:left w:val="single" w:color="auto" w:sz="4" w:space="0"/>
              <w:bottom w:val="single" w:color="auto" w:sz="4" w:space="0"/>
              <w:right w:val="single" w:color="auto" w:sz="4" w:space="0"/>
            </w:tcBorders>
            <w:vAlign w:val="center"/>
          </w:tcPr>
          <w:p w14:paraId="3EC9E144">
            <w:pPr>
              <w:widowControl/>
              <w:jc w:val="center"/>
              <w:rPr>
                <w:rFonts w:hint="eastAsia" w:ascii="宋体" w:hAnsi="宋体" w:cs="宋体"/>
                <w:b/>
                <w:bCs/>
                <w:color w:val="auto"/>
                <w:kern w:val="0"/>
                <w:sz w:val="18"/>
                <w:szCs w:val="18"/>
              </w:rPr>
            </w:pPr>
            <w:r>
              <w:rPr>
                <w:rFonts w:hint="eastAsia" w:ascii="宋体" w:hAnsi="宋体" w:cs="宋体"/>
                <w:b/>
                <w:bCs/>
                <w:color w:val="auto"/>
                <w:kern w:val="0"/>
                <w:sz w:val="18"/>
                <w:szCs w:val="18"/>
              </w:rPr>
              <w:t>零售业</w:t>
            </w:r>
          </w:p>
        </w:tc>
        <w:tc>
          <w:tcPr>
            <w:tcW w:w="1538" w:type="dxa"/>
            <w:tcBorders>
              <w:top w:val="nil"/>
              <w:left w:val="nil"/>
              <w:bottom w:val="single" w:color="auto" w:sz="4" w:space="0"/>
              <w:right w:val="single" w:color="auto" w:sz="4" w:space="0"/>
            </w:tcBorders>
            <w:vAlign w:val="center"/>
          </w:tcPr>
          <w:p w14:paraId="61D3B5A2">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从业人员（X）</w:t>
            </w:r>
          </w:p>
        </w:tc>
        <w:tc>
          <w:tcPr>
            <w:tcW w:w="1015" w:type="dxa"/>
            <w:tcBorders>
              <w:top w:val="nil"/>
              <w:left w:val="nil"/>
              <w:bottom w:val="single" w:color="auto" w:sz="4" w:space="0"/>
              <w:right w:val="single" w:color="auto" w:sz="4" w:space="0"/>
            </w:tcBorders>
            <w:vAlign w:val="center"/>
          </w:tcPr>
          <w:p w14:paraId="11EBF014">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人</w:t>
            </w:r>
          </w:p>
        </w:tc>
        <w:tc>
          <w:tcPr>
            <w:tcW w:w="1801" w:type="dxa"/>
            <w:tcBorders>
              <w:top w:val="nil"/>
              <w:left w:val="nil"/>
              <w:bottom w:val="single" w:color="auto" w:sz="4" w:space="0"/>
              <w:right w:val="single" w:color="auto" w:sz="4" w:space="0"/>
            </w:tcBorders>
            <w:vAlign w:val="center"/>
          </w:tcPr>
          <w:p w14:paraId="2365FC25">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50≤X＜300</w:t>
            </w:r>
          </w:p>
        </w:tc>
        <w:tc>
          <w:tcPr>
            <w:tcW w:w="1601" w:type="dxa"/>
            <w:tcBorders>
              <w:top w:val="nil"/>
              <w:left w:val="nil"/>
              <w:bottom w:val="single" w:color="auto" w:sz="4" w:space="0"/>
              <w:right w:val="single" w:color="auto" w:sz="4" w:space="0"/>
            </w:tcBorders>
            <w:vAlign w:val="center"/>
          </w:tcPr>
          <w:p w14:paraId="1A86D8DB">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10≤X＜50</w:t>
            </w:r>
          </w:p>
        </w:tc>
        <w:tc>
          <w:tcPr>
            <w:tcW w:w="1028" w:type="dxa"/>
            <w:tcBorders>
              <w:top w:val="nil"/>
              <w:left w:val="nil"/>
              <w:bottom w:val="single" w:color="auto" w:sz="4" w:space="0"/>
              <w:right w:val="single" w:color="auto" w:sz="4" w:space="0"/>
            </w:tcBorders>
            <w:vAlign w:val="center"/>
          </w:tcPr>
          <w:p w14:paraId="423A12FD">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X＜10</w:t>
            </w:r>
          </w:p>
        </w:tc>
      </w:tr>
      <w:tr w14:paraId="737681D8">
        <w:tblPrEx>
          <w:tblCellMar>
            <w:top w:w="0" w:type="dxa"/>
            <w:left w:w="108" w:type="dxa"/>
            <w:bottom w:w="0" w:type="dxa"/>
            <w:right w:w="108" w:type="dxa"/>
          </w:tblCellMar>
        </w:tblPrEx>
        <w:trPr>
          <w:trHeight w:val="350" w:hRule="atLeast"/>
          <w:jc w:val="center"/>
        </w:trPr>
        <w:tc>
          <w:tcPr>
            <w:tcW w:w="1892" w:type="dxa"/>
            <w:vMerge w:val="continue"/>
            <w:tcBorders>
              <w:top w:val="nil"/>
              <w:left w:val="single" w:color="auto" w:sz="4" w:space="0"/>
              <w:bottom w:val="single" w:color="auto" w:sz="4" w:space="0"/>
              <w:right w:val="single" w:color="auto" w:sz="4" w:space="0"/>
            </w:tcBorders>
            <w:vAlign w:val="center"/>
          </w:tcPr>
          <w:p w14:paraId="527A0FE7">
            <w:pPr>
              <w:widowControl/>
              <w:jc w:val="center"/>
              <w:rPr>
                <w:rFonts w:hint="eastAsia" w:ascii="宋体" w:hAnsi="宋体" w:cs="宋体"/>
                <w:b/>
                <w:bCs/>
                <w:color w:val="auto"/>
                <w:kern w:val="0"/>
                <w:sz w:val="18"/>
                <w:szCs w:val="18"/>
              </w:rPr>
            </w:pPr>
          </w:p>
        </w:tc>
        <w:tc>
          <w:tcPr>
            <w:tcW w:w="1538" w:type="dxa"/>
            <w:tcBorders>
              <w:top w:val="nil"/>
              <w:left w:val="nil"/>
              <w:bottom w:val="single" w:color="auto" w:sz="4" w:space="0"/>
              <w:right w:val="single" w:color="auto" w:sz="4" w:space="0"/>
            </w:tcBorders>
            <w:vAlign w:val="center"/>
          </w:tcPr>
          <w:p w14:paraId="2FC10030">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营业收入（Y）</w:t>
            </w:r>
          </w:p>
        </w:tc>
        <w:tc>
          <w:tcPr>
            <w:tcW w:w="1015" w:type="dxa"/>
            <w:tcBorders>
              <w:top w:val="nil"/>
              <w:left w:val="nil"/>
              <w:bottom w:val="single" w:color="auto" w:sz="4" w:space="0"/>
              <w:right w:val="single" w:color="auto" w:sz="4" w:space="0"/>
            </w:tcBorders>
            <w:vAlign w:val="center"/>
          </w:tcPr>
          <w:p w14:paraId="1A31012A">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万元</w:t>
            </w:r>
          </w:p>
        </w:tc>
        <w:tc>
          <w:tcPr>
            <w:tcW w:w="1801" w:type="dxa"/>
            <w:tcBorders>
              <w:top w:val="nil"/>
              <w:left w:val="nil"/>
              <w:bottom w:val="single" w:color="auto" w:sz="4" w:space="0"/>
              <w:right w:val="single" w:color="auto" w:sz="4" w:space="0"/>
            </w:tcBorders>
            <w:vAlign w:val="center"/>
          </w:tcPr>
          <w:p w14:paraId="650665EC">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500≤Y＜20000</w:t>
            </w:r>
          </w:p>
        </w:tc>
        <w:tc>
          <w:tcPr>
            <w:tcW w:w="1601" w:type="dxa"/>
            <w:tcBorders>
              <w:top w:val="nil"/>
              <w:left w:val="nil"/>
              <w:bottom w:val="single" w:color="auto" w:sz="4" w:space="0"/>
              <w:right w:val="single" w:color="auto" w:sz="4" w:space="0"/>
            </w:tcBorders>
            <w:vAlign w:val="center"/>
          </w:tcPr>
          <w:p w14:paraId="4180FB61">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100≤Y＜500</w:t>
            </w:r>
          </w:p>
        </w:tc>
        <w:tc>
          <w:tcPr>
            <w:tcW w:w="1028" w:type="dxa"/>
            <w:tcBorders>
              <w:top w:val="nil"/>
              <w:left w:val="nil"/>
              <w:bottom w:val="single" w:color="auto" w:sz="4" w:space="0"/>
              <w:right w:val="single" w:color="auto" w:sz="4" w:space="0"/>
            </w:tcBorders>
            <w:vAlign w:val="center"/>
          </w:tcPr>
          <w:p w14:paraId="0C38A09E">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Y＜100</w:t>
            </w:r>
          </w:p>
        </w:tc>
      </w:tr>
      <w:tr w14:paraId="4C9FEAC3">
        <w:tblPrEx>
          <w:tblCellMar>
            <w:top w:w="0" w:type="dxa"/>
            <w:left w:w="108" w:type="dxa"/>
            <w:bottom w:w="0" w:type="dxa"/>
            <w:right w:w="108" w:type="dxa"/>
          </w:tblCellMar>
        </w:tblPrEx>
        <w:trPr>
          <w:trHeight w:val="350" w:hRule="atLeast"/>
          <w:jc w:val="center"/>
        </w:trPr>
        <w:tc>
          <w:tcPr>
            <w:tcW w:w="1892" w:type="dxa"/>
            <w:vMerge w:val="restart"/>
            <w:tcBorders>
              <w:top w:val="nil"/>
              <w:left w:val="single" w:color="auto" w:sz="4" w:space="0"/>
              <w:bottom w:val="single" w:color="auto" w:sz="4" w:space="0"/>
              <w:right w:val="single" w:color="auto" w:sz="4" w:space="0"/>
            </w:tcBorders>
            <w:vAlign w:val="center"/>
          </w:tcPr>
          <w:p w14:paraId="2460415E">
            <w:pPr>
              <w:widowControl/>
              <w:jc w:val="center"/>
              <w:rPr>
                <w:rFonts w:hint="eastAsia" w:ascii="宋体" w:hAnsi="宋体" w:cs="宋体"/>
                <w:b/>
                <w:bCs/>
                <w:color w:val="auto"/>
                <w:kern w:val="0"/>
                <w:sz w:val="18"/>
                <w:szCs w:val="18"/>
              </w:rPr>
            </w:pPr>
            <w:r>
              <w:rPr>
                <w:rFonts w:hint="eastAsia" w:ascii="宋体" w:hAnsi="宋体" w:cs="宋体"/>
                <w:b/>
                <w:bCs/>
                <w:color w:val="auto"/>
                <w:kern w:val="0"/>
                <w:sz w:val="18"/>
                <w:szCs w:val="18"/>
              </w:rPr>
              <w:t>交通运输业</w:t>
            </w:r>
          </w:p>
        </w:tc>
        <w:tc>
          <w:tcPr>
            <w:tcW w:w="1538" w:type="dxa"/>
            <w:tcBorders>
              <w:top w:val="nil"/>
              <w:left w:val="nil"/>
              <w:bottom w:val="single" w:color="auto" w:sz="4" w:space="0"/>
              <w:right w:val="single" w:color="auto" w:sz="4" w:space="0"/>
            </w:tcBorders>
            <w:vAlign w:val="center"/>
          </w:tcPr>
          <w:p w14:paraId="1BB87D68">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从业人员（X）</w:t>
            </w:r>
          </w:p>
        </w:tc>
        <w:tc>
          <w:tcPr>
            <w:tcW w:w="1015" w:type="dxa"/>
            <w:tcBorders>
              <w:top w:val="nil"/>
              <w:left w:val="nil"/>
              <w:bottom w:val="single" w:color="auto" w:sz="4" w:space="0"/>
              <w:right w:val="single" w:color="auto" w:sz="4" w:space="0"/>
            </w:tcBorders>
            <w:vAlign w:val="center"/>
          </w:tcPr>
          <w:p w14:paraId="0FAFB27C">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人</w:t>
            </w:r>
          </w:p>
        </w:tc>
        <w:tc>
          <w:tcPr>
            <w:tcW w:w="1801" w:type="dxa"/>
            <w:tcBorders>
              <w:top w:val="nil"/>
              <w:left w:val="nil"/>
              <w:bottom w:val="single" w:color="auto" w:sz="4" w:space="0"/>
              <w:right w:val="single" w:color="auto" w:sz="4" w:space="0"/>
            </w:tcBorders>
            <w:vAlign w:val="center"/>
          </w:tcPr>
          <w:p w14:paraId="625EFF42">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300≤X＜1000</w:t>
            </w:r>
          </w:p>
        </w:tc>
        <w:tc>
          <w:tcPr>
            <w:tcW w:w="1601" w:type="dxa"/>
            <w:tcBorders>
              <w:top w:val="nil"/>
              <w:left w:val="nil"/>
              <w:bottom w:val="single" w:color="auto" w:sz="4" w:space="0"/>
              <w:right w:val="single" w:color="auto" w:sz="4" w:space="0"/>
            </w:tcBorders>
            <w:vAlign w:val="center"/>
          </w:tcPr>
          <w:p w14:paraId="71737A5D">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20≤X＜300</w:t>
            </w:r>
          </w:p>
        </w:tc>
        <w:tc>
          <w:tcPr>
            <w:tcW w:w="1028" w:type="dxa"/>
            <w:tcBorders>
              <w:top w:val="nil"/>
              <w:left w:val="nil"/>
              <w:bottom w:val="single" w:color="auto" w:sz="4" w:space="0"/>
              <w:right w:val="single" w:color="auto" w:sz="4" w:space="0"/>
            </w:tcBorders>
            <w:vAlign w:val="center"/>
          </w:tcPr>
          <w:p w14:paraId="762A377F">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X＜20</w:t>
            </w:r>
          </w:p>
        </w:tc>
      </w:tr>
      <w:tr w14:paraId="6D977E11">
        <w:tblPrEx>
          <w:tblCellMar>
            <w:top w:w="0" w:type="dxa"/>
            <w:left w:w="108" w:type="dxa"/>
            <w:bottom w:w="0" w:type="dxa"/>
            <w:right w:w="108" w:type="dxa"/>
          </w:tblCellMar>
        </w:tblPrEx>
        <w:trPr>
          <w:trHeight w:val="350" w:hRule="atLeast"/>
          <w:jc w:val="center"/>
        </w:trPr>
        <w:tc>
          <w:tcPr>
            <w:tcW w:w="1892" w:type="dxa"/>
            <w:vMerge w:val="continue"/>
            <w:tcBorders>
              <w:top w:val="nil"/>
              <w:left w:val="single" w:color="auto" w:sz="4" w:space="0"/>
              <w:bottom w:val="single" w:color="auto" w:sz="4" w:space="0"/>
              <w:right w:val="single" w:color="auto" w:sz="4" w:space="0"/>
            </w:tcBorders>
            <w:vAlign w:val="center"/>
          </w:tcPr>
          <w:p w14:paraId="2DFE1CC6">
            <w:pPr>
              <w:widowControl/>
              <w:jc w:val="center"/>
              <w:rPr>
                <w:rFonts w:hint="eastAsia" w:ascii="宋体" w:hAnsi="宋体" w:cs="宋体"/>
                <w:b/>
                <w:bCs/>
                <w:color w:val="auto"/>
                <w:kern w:val="0"/>
                <w:sz w:val="18"/>
                <w:szCs w:val="18"/>
              </w:rPr>
            </w:pPr>
          </w:p>
        </w:tc>
        <w:tc>
          <w:tcPr>
            <w:tcW w:w="1538" w:type="dxa"/>
            <w:tcBorders>
              <w:top w:val="nil"/>
              <w:left w:val="nil"/>
              <w:bottom w:val="single" w:color="auto" w:sz="4" w:space="0"/>
              <w:right w:val="single" w:color="auto" w:sz="4" w:space="0"/>
            </w:tcBorders>
            <w:vAlign w:val="center"/>
          </w:tcPr>
          <w:p w14:paraId="08A29AEB">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营业收入（Y）</w:t>
            </w:r>
          </w:p>
        </w:tc>
        <w:tc>
          <w:tcPr>
            <w:tcW w:w="1015" w:type="dxa"/>
            <w:tcBorders>
              <w:top w:val="nil"/>
              <w:left w:val="nil"/>
              <w:bottom w:val="single" w:color="auto" w:sz="4" w:space="0"/>
              <w:right w:val="single" w:color="auto" w:sz="4" w:space="0"/>
            </w:tcBorders>
            <w:vAlign w:val="center"/>
          </w:tcPr>
          <w:p w14:paraId="611DEBAE">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万元</w:t>
            </w:r>
          </w:p>
        </w:tc>
        <w:tc>
          <w:tcPr>
            <w:tcW w:w="1801" w:type="dxa"/>
            <w:tcBorders>
              <w:top w:val="nil"/>
              <w:left w:val="nil"/>
              <w:bottom w:val="single" w:color="auto" w:sz="4" w:space="0"/>
              <w:right w:val="single" w:color="auto" w:sz="4" w:space="0"/>
            </w:tcBorders>
            <w:vAlign w:val="center"/>
          </w:tcPr>
          <w:p w14:paraId="53E768E5">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3000≤Y＜30000</w:t>
            </w:r>
          </w:p>
        </w:tc>
        <w:tc>
          <w:tcPr>
            <w:tcW w:w="1601" w:type="dxa"/>
            <w:tcBorders>
              <w:top w:val="nil"/>
              <w:left w:val="nil"/>
              <w:bottom w:val="single" w:color="auto" w:sz="4" w:space="0"/>
              <w:right w:val="single" w:color="auto" w:sz="4" w:space="0"/>
            </w:tcBorders>
            <w:vAlign w:val="center"/>
          </w:tcPr>
          <w:p w14:paraId="6FB00E9A">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200≤Y＜3000</w:t>
            </w:r>
          </w:p>
        </w:tc>
        <w:tc>
          <w:tcPr>
            <w:tcW w:w="1028" w:type="dxa"/>
            <w:tcBorders>
              <w:top w:val="nil"/>
              <w:left w:val="nil"/>
              <w:bottom w:val="single" w:color="auto" w:sz="4" w:space="0"/>
              <w:right w:val="single" w:color="auto" w:sz="4" w:space="0"/>
            </w:tcBorders>
            <w:vAlign w:val="center"/>
          </w:tcPr>
          <w:p w14:paraId="502D1BFC">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Y＜200</w:t>
            </w:r>
          </w:p>
        </w:tc>
      </w:tr>
      <w:tr w14:paraId="618E8E31">
        <w:tblPrEx>
          <w:tblCellMar>
            <w:top w:w="0" w:type="dxa"/>
            <w:left w:w="108" w:type="dxa"/>
            <w:bottom w:w="0" w:type="dxa"/>
            <w:right w:w="108" w:type="dxa"/>
          </w:tblCellMar>
        </w:tblPrEx>
        <w:trPr>
          <w:trHeight w:val="350" w:hRule="atLeast"/>
          <w:jc w:val="center"/>
        </w:trPr>
        <w:tc>
          <w:tcPr>
            <w:tcW w:w="1892" w:type="dxa"/>
            <w:vMerge w:val="restart"/>
            <w:tcBorders>
              <w:top w:val="nil"/>
              <w:left w:val="single" w:color="auto" w:sz="4" w:space="0"/>
              <w:bottom w:val="single" w:color="auto" w:sz="4" w:space="0"/>
              <w:right w:val="single" w:color="auto" w:sz="4" w:space="0"/>
            </w:tcBorders>
            <w:vAlign w:val="center"/>
          </w:tcPr>
          <w:p w14:paraId="67CC451D">
            <w:pPr>
              <w:widowControl/>
              <w:jc w:val="center"/>
              <w:rPr>
                <w:rFonts w:hint="eastAsia" w:ascii="宋体" w:hAnsi="宋体" w:cs="宋体"/>
                <w:b/>
                <w:bCs/>
                <w:color w:val="auto"/>
                <w:kern w:val="0"/>
                <w:sz w:val="18"/>
                <w:szCs w:val="18"/>
              </w:rPr>
            </w:pPr>
            <w:r>
              <w:rPr>
                <w:rFonts w:hint="eastAsia" w:ascii="宋体" w:hAnsi="宋体" w:cs="宋体"/>
                <w:b/>
                <w:bCs/>
                <w:color w:val="auto"/>
                <w:kern w:val="0"/>
                <w:sz w:val="18"/>
                <w:szCs w:val="18"/>
              </w:rPr>
              <w:t>仓储业</w:t>
            </w:r>
          </w:p>
        </w:tc>
        <w:tc>
          <w:tcPr>
            <w:tcW w:w="1538" w:type="dxa"/>
            <w:tcBorders>
              <w:top w:val="nil"/>
              <w:left w:val="nil"/>
              <w:bottom w:val="single" w:color="auto" w:sz="4" w:space="0"/>
              <w:right w:val="single" w:color="auto" w:sz="4" w:space="0"/>
            </w:tcBorders>
            <w:vAlign w:val="center"/>
          </w:tcPr>
          <w:p w14:paraId="22845BF4">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从业人员（X）</w:t>
            </w:r>
          </w:p>
        </w:tc>
        <w:tc>
          <w:tcPr>
            <w:tcW w:w="1015" w:type="dxa"/>
            <w:tcBorders>
              <w:top w:val="nil"/>
              <w:left w:val="nil"/>
              <w:bottom w:val="single" w:color="auto" w:sz="4" w:space="0"/>
              <w:right w:val="single" w:color="auto" w:sz="4" w:space="0"/>
            </w:tcBorders>
            <w:vAlign w:val="center"/>
          </w:tcPr>
          <w:p w14:paraId="4AC86121">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人</w:t>
            </w:r>
          </w:p>
        </w:tc>
        <w:tc>
          <w:tcPr>
            <w:tcW w:w="1801" w:type="dxa"/>
            <w:tcBorders>
              <w:top w:val="nil"/>
              <w:left w:val="nil"/>
              <w:bottom w:val="single" w:color="auto" w:sz="4" w:space="0"/>
              <w:right w:val="single" w:color="auto" w:sz="4" w:space="0"/>
            </w:tcBorders>
            <w:vAlign w:val="center"/>
          </w:tcPr>
          <w:p w14:paraId="0442FF64">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100≤X＜200</w:t>
            </w:r>
          </w:p>
        </w:tc>
        <w:tc>
          <w:tcPr>
            <w:tcW w:w="1601" w:type="dxa"/>
            <w:tcBorders>
              <w:top w:val="nil"/>
              <w:left w:val="nil"/>
              <w:bottom w:val="single" w:color="auto" w:sz="4" w:space="0"/>
              <w:right w:val="single" w:color="auto" w:sz="4" w:space="0"/>
            </w:tcBorders>
            <w:vAlign w:val="center"/>
          </w:tcPr>
          <w:p w14:paraId="194C4EFC">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20≤X＜100</w:t>
            </w:r>
          </w:p>
        </w:tc>
        <w:tc>
          <w:tcPr>
            <w:tcW w:w="1028" w:type="dxa"/>
            <w:tcBorders>
              <w:top w:val="nil"/>
              <w:left w:val="nil"/>
              <w:bottom w:val="single" w:color="auto" w:sz="4" w:space="0"/>
              <w:right w:val="single" w:color="auto" w:sz="4" w:space="0"/>
            </w:tcBorders>
            <w:vAlign w:val="center"/>
          </w:tcPr>
          <w:p w14:paraId="1F7EE11B">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X＜20</w:t>
            </w:r>
          </w:p>
        </w:tc>
      </w:tr>
      <w:tr w14:paraId="18AA2AF3">
        <w:tblPrEx>
          <w:tblCellMar>
            <w:top w:w="0" w:type="dxa"/>
            <w:left w:w="108" w:type="dxa"/>
            <w:bottom w:w="0" w:type="dxa"/>
            <w:right w:w="108" w:type="dxa"/>
          </w:tblCellMar>
        </w:tblPrEx>
        <w:trPr>
          <w:trHeight w:val="350" w:hRule="atLeast"/>
          <w:jc w:val="center"/>
        </w:trPr>
        <w:tc>
          <w:tcPr>
            <w:tcW w:w="1892" w:type="dxa"/>
            <w:vMerge w:val="continue"/>
            <w:tcBorders>
              <w:top w:val="nil"/>
              <w:left w:val="single" w:color="auto" w:sz="4" w:space="0"/>
              <w:bottom w:val="single" w:color="auto" w:sz="4" w:space="0"/>
              <w:right w:val="single" w:color="auto" w:sz="4" w:space="0"/>
            </w:tcBorders>
            <w:vAlign w:val="center"/>
          </w:tcPr>
          <w:p w14:paraId="34F1CF49">
            <w:pPr>
              <w:widowControl/>
              <w:jc w:val="center"/>
              <w:rPr>
                <w:rFonts w:hint="eastAsia" w:ascii="宋体" w:hAnsi="宋体" w:cs="宋体"/>
                <w:b/>
                <w:bCs/>
                <w:color w:val="auto"/>
                <w:kern w:val="0"/>
                <w:sz w:val="18"/>
                <w:szCs w:val="18"/>
              </w:rPr>
            </w:pPr>
          </w:p>
        </w:tc>
        <w:tc>
          <w:tcPr>
            <w:tcW w:w="1538" w:type="dxa"/>
            <w:tcBorders>
              <w:top w:val="nil"/>
              <w:left w:val="nil"/>
              <w:bottom w:val="single" w:color="auto" w:sz="4" w:space="0"/>
              <w:right w:val="single" w:color="auto" w:sz="4" w:space="0"/>
            </w:tcBorders>
            <w:vAlign w:val="center"/>
          </w:tcPr>
          <w:p w14:paraId="3BA9E30F">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营业收入（Y）</w:t>
            </w:r>
          </w:p>
        </w:tc>
        <w:tc>
          <w:tcPr>
            <w:tcW w:w="1015" w:type="dxa"/>
            <w:tcBorders>
              <w:top w:val="nil"/>
              <w:left w:val="nil"/>
              <w:bottom w:val="single" w:color="auto" w:sz="4" w:space="0"/>
              <w:right w:val="single" w:color="auto" w:sz="4" w:space="0"/>
            </w:tcBorders>
            <w:vAlign w:val="center"/>
          </w:tcPr>
          <w:p w14:paraId="7F78917C">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万元</w:t>
            </w:r>
          </w:p>
        </w:tc>
        <w:tc>
          <w:tcPr>
            <w:tcW w:w="1801" w:type="dxa"/>
            <w:tcBorders>
              <w:top w:val="nil"/>
              <w:left w:val="nil"/>
              <w:bottom w:val="single" w:color="auto" w:sz="4" w:space="0"/>
              <w:right w:val="single" w:color="auto" w:sz="4" w:space="0"/>
            </w:tcBorders>
            <w:vAlign w:val="center"/>
          </w:tcPr>
          <w:p w14:paraId="4F72367C">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1000≤Y＜30000</w:t>
            </w:r>
          </w:p>
        </w:tc>
        <w:tc>
          <w:tcPr>
            <w:tcW w:w="1601" w:type="dxa"/>
            <w:tcBorders>
              <w:top w:val="nil"/>
              <w:left w:val="nil"/>
              <w:bottom w:val="single" w:color="auto" w:sz="4" w:space="0"/>
              <w:right w:val="single" w:color="auto" w:sz="4" w:space="0"/>
            </w:tcBorders>
            <w:vAlign w:val="center"/>
          </w:tcPr>
          <w:p w14:paraId="6BA11760">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100≤Y＜1000</w:t>
            </w:r>
          </w:p>
        </w:tc>
        <w:tc>
          <w:tcPr>
            <w:tcW w:w="1028" w:type="dxa"/>
            <w:tcBorders>
              <w:top w:val="nil"/>
              <w:left w:val="nil"/>
              <w:bottom w:val="single" w:color="auto" w:sz="4" w:space="0"/>
              <w:right w:val="single" w:color="auto" w:sz="4" w:space="0"/>
            </w:tcBorders>
            <w:vAlign w:val="center"/>
          </w:tcPr>
          <w:p w14:paraId="1E0AA009">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Y＜100</w:t>
            </w:r>
          </w:p>
        </w:tc>
      </w:tr>
      <w:tr w14:paraId="50C253A9">
        <w:tblPrEx>
          <w:tblCellMar>
            <w:top w:w="0" w:type="dxa"/>
            <w:left w:w="108" w:type="dxa"/>
            <w:bottom w:w="0" w:type="dxa"/>
            <w:right w:w="108" w:type="dxa"/>
          </w:tblCellMar>
        </w:tblPrEx>
        <w:trPr>
          <w:trHeight w:val="350" w:hRule="atLeast"/>
          <w:jc w:val="center"/>
        </w:trPr>
        <w:tc>
          <w:tcPr>
            <w:tcW w:w="1892" w:type="dxa"/>
            <w:vMerge w:val="restart"/>
            <w:tcBorders>
              <w:top w:val="nil"/>
              <w:left w:val="single" w:color="auto" w:sz="4" w:space="0"/>
              <w:bottom w:val="single" w:color="auto" w:sz="4" w:space="0"/>
              <w:right w:val="single" w:color="auto" w:sz="4" w:space="0"/>
            </w:tcBorders>
            <w:vAlign w:val="center"/>
          </w:tcPr>
          <w:p w14:paraId="533E7029">
            <w:pPr>
              <w:widowControl/>
              <w:jc w:val="center"/>
              <w:rPr>
                <w:rFonts w:hint="eastAsia" w:ascii="宋体" w:hAnsi="宋体" w:cs="宋体"/>
                <w:b/>
                <w:bCs/>
                <w:color w:val="auto"/>
                <w:kern w:val="0"/>
                <w:sz w:val="18"/>
                <w:szCs w:val="18"/>
              </w:rPr>
            </w:pPr>
            <w:r>
              <w:rPr>
                <w:rFonts w:hint="eastAsia" w:ascii="宋体" w:hAnsi="宋体" w:cs="宋体"/>
                <w:b/>
                <w:bCs/>
                <w:color w:val="auto"/>
                <w:kern w:val="0"/>
                <w:sz w:val="18"/>
                <w:szCs w:val="18"/>
              </w:rPr>
              <w:t>邮政业</w:t>
            </w:r>
          </w:p>
        </w:tc>
        <w:tc>
          <w:tcPr>
            <w:tcW w:w="1538" w:type="dxa"/>
            <w:tcBorders>
              <w:top w:val="nil"/>
              <w:left w:val="nil"/>
              <w:bottom w:val="single" w:color="auto" w:sz="4" w:space="0"/>
              <w:right w:val="single" w:color="auto" w:sz="4" w:space="0"/>
            </w:tcBorders>
            <w:vAlign w:val="center"/>
          </w:tcPr>
          <w:p w14:paraId="1D61C477">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从业人员（X）</w:t>
            </w:r>
          </w:p>
        </w:tc>
        <w:tc>
          <w:tcPr>
            <w:tcW w:w="1015" w:type="dxa"/>
            <w:tcBorders>
              <w:top w:val="nil"/>
              <w:left w:val="nil"/>
              <w:bottom w:val="single" w:color="auto" w:sz="4" w:space="0"/>
              <w:right w:val="single" w:color="auto" w:sz="4" w:space="0"/>
            </w:tcBorders>
            <w:vAlign w:val="center"/>
          </w:tcPr>
          <w:p w14:paraId="4ABACE77">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人</w:t>
            </w:r>
          </w:p>
        </w:tc>
        <w:tc>
          <w:tcPr>
            <w:tcW w:w="1801" w:type="dxa"/>
            <w:tcBorders>
              <w:top w:val="nil"/>
              <w:left w:val="nil"/>
              <w:bottom w:val="single" w:color="auto" w:sz="4" w:space="0"/>
              <w:right w:val="single" w:color="auto" w:sz="4" w:space="0"/>
            </w:tcBorders>
            <w:vAlign w:val="center"/>
          </w:tcPr>
          <w:p w14:paraId="7B8F7EC6">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300≤X＜1000</w:t>
            </w:r>
          </w:p>
        </w:tc>
        <w:tc>
          <w:tcPr>
            <w:tcW w:w="1601" w:type="dxa"/>
            <w:tcBorders>
              <w:top w:val="nil"/>
              <w:left w:val="nil"/>
              <w:bottom w:val="single" w:color="auto" w:sz="4" w:space="0"/>
              <w:right w:val="single" w:color="auto" w:sz="4" w:space="0"/>
            </w:tcBorders>
            <w:vAlign w:val="center"/>
          </w:tcPr>
          <w:p w14:paraId="4AFF6013">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20≤X＜300</w:t>
            </w:r>
          </w:p>
        </w:tc>
        <w:tc>
          <w:tcPr>
            <w:tcW w:w="1028" w:type="dxa"/>
            <w:tcBorders>
              <w:top w:val="nil"/>
              <w:left w:val="nil"/>
              <w:bottom w:val="single" w:color="auto" w:sz="4" w:space="0"/>
              <w:right w:val="single" w:color="auto" w:sz="4" w:space="0"/>
            </w:tcBorders>
            <w:vAlign w:val="center"/>
          </w:tcPr>
          <w:p w14:paraId="42159357">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X＜20</w:t>
            </w:r>
          </w:p>
        </w:tc>
      </w:tr>
      <w:tr w14:paraId="6BF44664">
        <w:tblPrEx>
          <w:tblCellMar>
            <w:top w:w="0" w:type="dxa"/>
            <w:left w:w="108" w:type="dxa"/>
            <w:bottom w:w="0" w:type="dxa"/>
            <w:right w:w="108" w:type="dxa"/>
          </w:tblCellMar>
        </w:tblPrEx>
        <w:trPr>
          <w:trHeight w:val="350" w:hRule="atLeast"/>
          <w:jc w:val="center"/>
        </w:trPr>
        <w:tc>
          <w:tcPr>
            <w:tcW w:w="1892" w:type="dxa"/>
            <w:vMerge w:val="continue"/>
            <w:tcBorders>
              <w:top w:val="nil"/>
              <w:left w:val="single" w:color="auto" w:sz="4" w:space="0"/>
              <w:bottom w:val="single" w:color="auto" w:sz="4" w:space="0"/>
              <w:right w:val="single" w:color="auto" w:sz="4" w:space="0"/>
            </w:tcBorders>
            <w:vAlign w:val="center"/>
          </w:tcPr>
          <w:p w14:paraId="4A10592E">
            <w:pPr>
              <w:widowControl/>
              <w:jc w:val="center"/>
              <w:rPr>
                <w:rFonts w:hint="eastAsia" w:ascii="宋体" w:hAnsi="宋体" w:cs="宋体"/>
                <w:b/>
                <w:bCs/>
                <w:color w:val="auto"/>
                <w:kern w:val="0"/>
                <w:sz w:val="18"/>
                <w:szCs w:val="18"/>
              </w:rPr>
            </w:pPr>
          </w:p>
        </w:tc>
        <w:tc>
          <w:tcPr>
            <w:tcW w:w="1538" w:type="dxa"/>
            <w:tcBorders>
              <w:top w:val="nil"/>
              <w:left w:val="nil"/>
              <w:bottom w:val="single" w:color="auto" w:sz="4" w:space="0"/>
              <w:right w:val="single" w:color="auto" w:sz="4" w:space="0"/>
            </w:tcBorders>
            <w:vAlign w:val="center"/>
          </w:tcPr>
          <w:p w14:paraId="703A0AEE">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营业收入（Y）</w:t>
            </w:r>
          </w:p>
        </w:tc>
        <w:tc>
          <w:tcPr>
            <w:tcW w:w="1015" w:type="dxa"/>
            <w:tcBorders>
              <w:top w:val="nil"/>
              <w:left w:val="nil"/>
              <w:bottom w:val="single" w:color="auto" w:sz="4" w:space="0"/>
              <w:right w:val="single" w:color="auto" w:sz="4" w:space="0"/>
            </w:tcBorders>
            <w:vAlign w:val="center"/>
          </w:tcPr>
          <w:p w14:paraId="7DC248C3">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万元</w:t>
            </w:r>
          </w:p>
        </w:tc>
        <w:tc>
          <w:tcPr>
            <w:tcW w:w="1801" w:type="dxa"/>
            <w:tcBorders>
              <w:top w:val="nil"/>
              <w:left w:val="nil"/>
              <w:bottom w:val="single" w:color="auto" w:sz="4" w:space="0"/>
              <w:right w:val="single" w:color="auto" w:sz="4" w:space="0"/>
            </w:tcBorders>
            <w:vAlign w:val="center"/>
          </w:tcPr>
          <w:p w14:paraId="216E6E3B">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2000≤Y＜30000</w:t>
            </w:r>
          </w:p>
        </w:tc>
        <w:tc>
          <w:tcPr>
            <w:tcW w:w="1601" w:type="dxa"/>
            <w:tcBorders>
              <w:top w:val="nil"/>
              <w:left w:val="nil"/>
              <w:bottom w:val="single" w:color="auto" w:sz="4" w:space="0"/>
              <w:right w:val="single" w:color="auto" w:sz="4" w:space="0"/>
            </w:tcBorders>
            <w:vAlign w:val="center"/>
          </w:tcPr>
          <w:p w14:paraId="24879DFC">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100≤Y＜2000</w:t>
            </w:r>
          </w:p>
        </w:tc>
        <w:tc>
          <w:tcPr>
            <w:tcW w:w="1028" w:type="dxa"/>
            <w:tcBorders>
              <w:top w:val="nil"/>
              <w:left w:val="nil"/>
              <w:bottom w:val="single" w:color="auto" w:sz="4" w:space="0"/>
              <w:right w:val="single" w:color="auto" w:sz="4" w:space="0"/>
            </w:tcBorders>
            <w:vAlign w:val="center"/>
          </w:tcPr>
          <w:p w14:paraId="01C48A24">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Y＜100</w:t>
            </w:r>
          </w:p>
        </w:tc>
      </w:tr>
      <w:tr w14:paraId="0D58A67F">
        <w:tblPrEx>
          <w:tblCellMar>
            <w:top w:w="0" w:type="dxa"/>
            <w:left w:w="108" w:type="dxa"/>
            <w:bottom w:w="0" w:type="dxa"/>
            <w:right w:w="108" w:type="dxa"/>
          </w:tblCellMar>
        </w:tblPrEx>
        <w:trPr>
          <w:trHeight w:val="350" w:hRule="atLeast"/>
          <w:jc w:val="center"/>
        </w:trPr>
        <w:tc>
          <w:tcPr>
            <w:tcW w:w="1892" w:type="dxa"/>
            <w:vMerge w:val="restart"/>
            <w:tcBorders>
              <w:top w:val="nil"/>
              <w:left w:val="single" w:color="auto" w:sz="4" w:space="0"/>
              <w:bottom w:val="single" w:color="auto" w:sz="4" w:space="0"/>
              <w:right w:val="single" w:color="auto" w:sz="4" w:space="0"/>
            </w:tcBorders>
            <w:vAlign w:val="center"/>
          </w:tcPr>
          <w:p w14:paraId="153D56D4">
            <w:pPr>
              <w:widowControl/>
              <w:jc w:val="center"/>
              <w:rPr>
                <w:rFonts w:hint="eastAsia" w:ascii="宋体" w:hAnsi="宋体" w:cs="宋体"/>
                <w:b/>
                <w:bCs/>
                <w:color w:val="auto"/>
                <w:kern w:val="0"/>
                <w:sz w:val="18"/>
                <w:szCs w:val="18"/>
              </w:rPr>
            </w:pPr>
            <w:r>
              <w:rPr>
                <w:rFonts w:hint="eastAsia" w:ascii="宋体" w:hAnsi="宋体" w:cs="宋体"/>
                <w:b/>
                <w:bCs/>
                <w:color w:val="auto"/>
                <w:kern w:val="0"/>
                <w:sz w:val="18"/>
                <w:szCs w:val="18"/>
              </w:rPr>
              <w:t>住宿业</w:t>
            </w:r>
          </w:p>
        </w:tc>
        <w:tc>
          <w:tcPr>
            <w:tcW w:w="1538" w:type="dxa"/>
            <w:tcBorders>
              <w:top w:val="nil"/>
              <w:left w:val="nil"/>
              <w:bottom w:val="single" w:color="auto" w:sz="4" w:space="0"/>
              <w:right w:val="single" w:color="auto" w:sz="4" w:space="0"/>
            </w:tcBorders>
            <w:vAlign w:val="center"/>
          </w:tcPr>
          <w:p w14:paraId="6D38CE2B">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从业人员（X）</w:t>
            </w:r>
          </w:p>
        </w:tc>
        <w:tc>
          <w:tcPr>
            <w:tcW w:w="1015" w:type="dxa"/>
            <w:tcBorders>
              <w:top w:val="nil"/>
              <w:left w:val="nil"/>
              <w:bottom w:val="single" w:color="auto" w:sz="4" w:space="0"/>
              <w:right w:val="single" w:color="auto" w:sz="4" w:space="0"/>
            </w:tcBorders>
            <w:vAlign w:val="center"/>
          </w:tcPr>
          <w:p w14:paraId="374A2894">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人</w:t>
            </w:r>
          </w:p>
        </w:tc>
        <w:tc>
          <w:tcPr>
            <w:tcW w:w="1801" w:type="dxa"/>
            <w:tcBorders>
              <w:top w:val="nil"/>
              <w:left w:val="nil"/>
              <w:bottom w:val="single" w:color="auto" w:sz="4" w:space="0"/>
              <w:right w:val="single" w:color="auto" w:sz="4" w:space="0"/>
            </w:tcBorders>
            <w:vAlign w:val="center"/>
          </w:tcPr>
          <w:p w14:paraId="33039167">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100≤X＜300</w:t>
            </w:r>
          </w:p>
        </w:tc>
        <w:tc>
          <w:tcPr>
            <w:tcW w:w="1601" w:type="dxa"/>
            <w:tcBorders>
              <w:top w:val="nil"/>
              <w:left w:val="nil"/>
              <w:bottom w:val="single" w:color="auto" w:sz="4" w:space="0"/>
              <w:right w:val="single" w:color="auto" w:sz="4" w:space="0"/>
            </w:tcBorders>
            <w:vAlign w:val="center"/>
          </w:tcPr>
          <w:p w14:paraId="2AEDFBE1">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10≤X＜100</w:t>
            </w:r>
          </w:p>
        </w:tc>
        <w:tc>
          <w:tcPr>
            <w:tcW w:w="1028" w:type="dxa"/>
            <w:tcBorders>
              <w:top w:val="nil"/>
              <w:left w:val="nil"/>
              <w:bottom w:val="single" w:color="auto" w:sz="4" w:space="0"/>
              <w:right w:val="single" w:color="auto" w:sz="4" w:space="0"/>
            </w:tcBorders>
            <w:vAlign w:val="center"/>
          </w:tcPr>
          <w:p w14:paraId="06E4A9F4">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X＜10</w:t>
            </w:r>
          </w:p>
        </w:tc>
      </w:tr>
      <w:tr w14:paraId="6B8DFAD5">
        <w:tblPrEx>
          <w:tblCellMar>
            <w:top w:w="0" w:type="dxa"/>
            <w:left w:w="108" w:type="dxa"/>
            <w:bottom w:w="0" w:type="dxa"/>
            <w:right w:w="108" w:type="dxa"/>
          </w:tblCellMar>
        </w:tblPrEx>
        <w:trPr>
          <w:trHeight w:val="350" w:hRule="atLeast"/>
          <w:jc w:val="center"/>
        </w:trPr>
        <w:tc>
          <w:tcPr>
            <w:tcW w:w="1892" w:type="dxa"/>
            <w:vMerge w:val="continue"/>
            <w:tcBorders>
              <w:top w:val="nil"/>
              <w:left w:val="single" w:color="auto" w:sz="4" w:space="0"/>
              <w:bottom w:val="single" w:color="auto" w:sz="4" w:space="0"/>
              <w:right w:val="single" w:color="auto" w:sz="4" w:space="0"/>
            </w:tcBorders>
            <w:vAlign w:val="center"/>
          </w:tcPr>
          <w:p w14:paraId="1CF81A19">
            <w:pPr>
              <w:widowControl/>
              <w:jc w:val="center"/>
              <w:rPr>
                <w:rFonts w:hint="eastAsia" w:ascii="宋体" w:hAnsi="宋体" w:cs="宋体"/>
                <w:b/>
                <w:bCs/>
                <w:color w:val="auto"/>
                <w:kern w:val="0"/>
                <w:sz w:val="18"/>
                <w:szCs w:val="18"/>
              </w:rPr>
            </w:pPr>
          </w:p>
        </w:tc>
        <w:tc>
          <w:tcPr>
            <w:tcW w:w="1538" w:type="dxa"/>
            <w:tcBorders>
              <w:top w:val="nil"/>
              <w:left w:val="nil"/>
              <w:bottom w:val="single" w:color="auto" w:sz="4" w:space="0"/>
              <w:right w:val="single" w:color="auto" w:sz="4" w:space="0"/>
            </w:tcBorders>
            <w:vAlign w:val="center"/>
          </w:tcPr>
          <w:p w14:paraId="750E0141">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营业收入（Y）</w:t>
            </w:r>
          </w:p>
        </w:tc>
        <w:tc>
          <w:tcPr>
            <w:tcW w:w="1015" w:type="dxa"/>
            <w:tcBorders>
              <w:top w:val="nil"/>
              <w:left w:val="nil"/>
              <w:bottom w:val="single" w:color="auto" w:sz="4" w:space="0"/>
              <w:right w:val="single" w:color="auto" w:sz="4" w:space="0"/>
            </w:tcBorders>
            <w:vAlign w:val="center"/>
          </w:tcPr>
          <w:p w14:paraId="35530217">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万元</w:t>
            </w:r>
          </w:p>
        </w:tc>
        <w:tc>
          <w:tcPr>
            <w:tcW w:w="1801" w:type="dxa"/>
            <w:tcBorders>
              <w:top w:val="nil"/>
              <w:left w:val="nil"/>
              <w:bottom w:val="single" w:color="auto" w:sz="4" w:space="0"/>
              <w:right w:val="single" w:color="auto" w:sz="4" w:space="0"/>
            </w:tcBorders>
            <w:vAlign w:val="center"/>
          </w:tcPr>
          <w:p w14:paraId="4C84005A">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2000≤Y＜10000</w:t>
            </w:r>
          </w:p>
        </w:tc>
        <w:tc>
          <w:tcPr>
            <w:tcW w:w="1601" w:type="dxa"/>
            <w:tcBorders>
              <w:top w:val="nil"/>
              <w:left w:val="nil"/>
              <w:bottom w:val="single" w:color="auto" w:sz="4" w:space="0"/>
              <w:right w:val="single" w:color="auto" w:sz="4" w:space="0"/>
            </w:tcBorders>
            <w:vAlign w:val="center"/>
          </w:tcPr>
          <w:p w14:paraId="7F0E47EB">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100≤Y＜2000</w:t>
            </w:r>
          </w:p>
        </w:tc>
        <w:tc>
          <w:tcPr>
            <w:tcW w:w="1028" w:type="dxa"/>
            <w:tcBorders>
              <w:top w:val="nil"/>
              <w:left w:val="nil"/>
              <w:bottom w:val="single" w:color="auto" w:sz="4" w:space="0"/>
              <w:right w:val="single" w:color="auto" w:sz="4" w:space="0"/>
            </w:tcBorders>
            <w:vAlign w:val="center"/>
          </w:tcPr>
          <w:p w14:paraId="61EA10A8">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Y＜100</w:t>
            </w:r>
          </w:p>
        </w:tc>
      </w:tr>
      <w:tr w14:paraId="5B7449C4">
        <w:tblPrEx>
          <w:tblCellMar>
            <w:top w:w="0" w:type="dxa"/>
            <w:left w:w="108" w:type="dxa"/>
            <w:bottom w:w="0" w:type="dxa"/>
            <w:right w:w="108" w:type="dxa"/>
          </w:tblCellMar>
        </w:tblPrEx>
        <w:trPr>
          <w:trHeight w:val="350" w:hRule="atLeast"/>
          <w:jc w:val="center"/>
        </w:trPr>
        <w:tc>
          <w:tcPr>
            <w:tcW w:w="1892" w:type="dxa"/>
            <w:vMerge w:val="restart"/>
            <w:tcBorders>
              <w:top w:val="nil"/>
              <w:left w:val="single" w:color="auto" w:sz="4" w:space="0"/>
              <w:bottom w:val="single" w:color="auto" w:sz="4" w:space="0"/>
              <w:right w:val="single" w:color="auto" w:sz="4" w:space="0"/>
            </w:tcBorders>
            <w:vAlign w:val="center"/>
          </w:tcPr>
          <w:p w14:paraId="40DCBC9C">
            <w:pPr>
              <w:widowControl/>
              <w:jc w:val="center"/>
              <w:rPr>
                <w:rFonts w:hint="eastAsia" w:ascii="宋体" w:hAnsi="宋体" w:cs="宋体"/>
                <w:b/>
                <w:bCs/>
                <w:color w:val="auto"/>
                <w:kern w:val="0"/>
                <w:sz w:val="18"/>
                <w:szCs w:val="18"/>
              </w:rPr>
            </w:pPr>
            <w:r>
              <w:rPr>
                <w:rFonts w:hint="eastAsia" w:ascii="宋体" w:hAnsi="宋体" w:cs="宋体"/>
                <w:b/>
                <w:bCs/>
                <w:color w:val="auto"/>
                <w:kern w:val="0"/>
                <w:sz w:val="18"/>
                <w:szCs w:val="18"/>
              </w:rPr>
              <w:t>餐饮业</w:t>
            </w:r>
          </w:p>
        </w:tc>
        <w:tc>
          <w:tcPr>
            <w:tcW w:w="1538" w:type="dxa"/>
            <w:tcBorders>
              <w:top w:val="nil"/>
              <w:left w:val="nil"/>
              <w:bottom w:val="single" w:color="auto" w:sz="4" w:space="0"/>
              <w:right w:val="single" w:color="auto" w:sz="4" w:space="0"/>
            </w:tcBorders>
            <w:vAlign w:val="center"/>
          </w:tcPr>
          <w:p w14:paraId="6F3C70A1">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从业人员（X）</w:t>
            </w:r>
          </w:p>
        </w:tc>
        <w:tc>
          <w:tcPr>
            <w:tcW w:w="1015" w:type="dxa"/>
            <w:tcBorders>
              <w:top w:val="nil"/>
              <w:left w:val="nil"/>
              <w:bottom w:val="single" w:color="auto" w:sz="4" w:space="0"/>
              <w:right w:val="single" w:color="auto" w:sz="4" w:space="0"/>
            </w:tcBorders>
            <w:vAlign w:val="center"/>
          </w:tcPr>
          <w:p w14:paraId="7CB9C705">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人</w:t>
            </w:r>
          </w:p>
        </w:tc>
        <w:tc>
          <w:tcPr>
            <w:tcW w:w="1801" w:type="dxa"/>
            <w:tcBorders>
              <w:top w:val="nil"/>
              <w:left w:val="nil"/>
              <w:bottom w:val="single" w:color="auto" w:sz="4" w:space="0"/>
              <w:right w:val="single" w:color="auto" w:sz="4" w:space="0"/>
            </w:tcBorders>
            <w:vAlign w:val="center"/>
          </w:tcPr>
          <w:p w14:paraId="7E1518CD">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100≤X＜300</w:t>
            </w:r>
          </w:p>
        </w:tc>
        <w:tc>
          <w:tcPr>
            <w:tcW w:w="1601" w:type="dxa"/>
            <w:tcBorders>
              <w:top w:val="nil"/>
              <w:left w:val="nil"/>
              <w:bottom w:val="single" w:color="auto" w:sz="4" w:space="0"/>
              <w:right w:val="single" w:color="auto" w:sz="4" w:space="0"/>
            </w:tcBorders>
            <w:vAlign w:val="center"/>
          </w:tcPr>
          <w:p w14:paraId="0A6578C5">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10≤X＜100</w:t>
            </w:r>
          </w:p>
        </w:tc>
        <w:tc>
          <w:tcPr>
            <w:tcW w:w="1028" w:type="dxa"/>
            <w:tcBorders>
              <w:top w:val="nil"/>
              <w:left w:val="nil"/>
              <w:bottom w:val="single" w:color="auto" w:sz="4" w:space="0"/>
              <w:right w:val="single" w:color="auto" w:sz="4" w:space="0"/>
            </w:tcBorders>
            <w:vAlign w:val="center"/>
          </w:tcPr>
          <w:p w14:paraId="71D6E0A0">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X＜10</w:t>
            </w:r>
          </w:p>
        </w:tc>
      </w:tr>
      <w:tr w14:paraId="09FCBA9A">
        <w:tblPrEx>
          <w:tblCellMar>
            <w:top w:w="0" w:type="dxa"/>
            <w:left w:w="108" w:type="dxa"/>
            <w:bottom w:w="0" w:type="dxa"/>
            <w:right w:w="108" w:type="dxa"/>
          </w:tblCellMar>
        </w:tblPrEx>
        <w:trPr>
          <w:trHeight w:val="350" w:hRule="atLeast"/>
          <w:jc w:val="center"/>
        </w:trPr>
        <w:tc>
          <w:tcPr>
            <w:tcW w:w="1892" w:type="dxa"/>
            <w:vMerge w:val="continue"/>
            <w:tcBorders>
              <w:top w:val="nil"/>
              <w:left w:val="single" w:color="auto" w:sz="4" w:space="0"/>
              <w:bottom w:val="single" w:color="auto" w:sz="4" w:space="0"/>
              <w:right w:val="single" w:color="auto" w:sz="4" w:space="0"/>
            </w:tcBorders>
            <w:vAlign w:val="center"/>
          </w:tcPr>
          <w:p w14:paraId="173ED6EC">
            <w:pPr>
              <w:widowControl/>
              <w:jc w:val="center"/>
              <w:rPr>
                <w:rFonts w:hint="eastAsia" w:ascii="宋体" w:hAnsi="宋体" w:cs="宋体"/>
                <w:b/>
                <w:bCs/>
                <w:color w:val="auto"/>
                <w:kern w:val="0"/>
                <w:sz w:val="18"/>
                <w:szCs w:val="18"/>
              </w:rPr>
            </w:pPr>
          </w:p>
        </w:tc>
        <w:tc>
          <w:tcPr>
            <w:tcW w:w="1538" w:type="dxa"/>
            <w:tcBorders>
              <w:top w:val="nil"/>
              <w:left w:val="nil"/>
              <w:bottom w:val="single" w:color="auto" w:sz="4" w:space="0"/>
              <w:right w:val="single" w:color="auto" w:sz="4" w:space="0"/>
            </w:tcBorders>
            <w:vAlign w:val="center"/>
          </w:tcPr>
          <w:p w14:paraId="60C7D2BB">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营业收入（Y）</w:t>
            </w:r>
          </w:p>
        </w:tc>
        <w:tc>
          <w:tcPr>
            <w:tcW w:w="1015" w:type="dxa"/>
            <w:tcBorders>
              <w:top w:val="nil"/>
              <w:left w:val="nil"/>
              <w:bottom w:val="single" w:color="auto" w:sz="4" w:space="0"/>
              <w:right w:val="single" w:color="auto" w:sz="4" w:space="0"/>
            </w:tcBorders>
            <w:vAlign w:val="center"/>
          </w:tcPr>
          <w:p w14:paraId="6CEC3635">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万元</w:t>
            </w:r>
          </w:p>
        </w:tc>
        <w:tc>
          <w:tcPr>
            <w:tcW w:w="1801" w:type="dxa"/>
            <w:tcBorders>
              <w:top w:val="nil"/>
              <w:left w:val="nil"/>
              <w:bottom w:val="single" w:color="auto" w:sz="4" w:space="0"/>
              <w:right w:val="single" w:color="auto" w:sz="4" w:space="0"/>
            </w:tcBorders>
            <w:vAlign w:val="center"/>
          </w:tcPr>
          <w:p w14:paraId="3CE88D22">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2000≤Y＜10000</w:t>
            </w:r>
          </w:p>
        </w:tc>
        <w:tc>
          <w:tcPr>
            <w:tcW w:w="1601" w:type="dxa"/>
            <w:tcBorders>
              <w:top w:val="nil"/>
              <w:left w:val="nil"/>
              <w:bottom w:val="single" w:color="auto" w:sz="4" w:space="0"/>
              <w:right w:val="single" w:color="auto" w:sz="4" w:space="0"/>
            </w:tcBorders>
            <w:vAlign w:val="center"/>
          </w:tcPr>
          <w:p w14:paraId="407B312F">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100≤Y＜2000</w:t>
            </w:r>
          </w:p>
        </w:tc>
        <w:tc>
          <w:tcPr>
            <w:tcW w:w="1028" w:type="dxa"/>
            <w:tcBorders>
              <w:top w:val="nil"/>
              <w:left w:val="nil"/>
              <w:bottom w:val="single" w:color="auto" w:sz="4" w:space="0"/>
              <w:right w:val="single" w:color="auto" w:sz="4" w:space="0"/>
            </w:tcBorders>
            <w:vAlign w:val="center"/>
          </w:tcPr>
          <w:p w14:paraId="511ABE20">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Y＜100</w:t>
            </w:r>
          </w:p>
        </w:tc>
      </w:tr>
      <w:tr w14:paraId="1E5453CE">
        <w:tblPrEx>
          <w:tblCellMar>
            <w:top w:w="0" w:type="dxa"/>
            <w:left w:w="108" w:type="dxa"/>
            <w:bottom w:w="0" w:type="dxa"/>
            <w:right w:w="108" w:type="dxa"/>
          </w:tblCellMar>
        </w:tblPrEx>
        <w:trPr>
          <w:trHeight w:val="350" w:hRule="atLeast"/>
          <w:jc w:val="center"/>
        </w:trPr>
        <w:tc>
          <w:tcPr>
            <w:tcW w:w="1892" w:type="dxa"/>
            <w:vMerge w:val="restart"/>
            <w:tcBorders>
              <w:top w:val="nil"/>
              <w:left w:val="single" w:color="auto" w:sz="4" w:space="0"/>
              <w:bottom w:val="single" w:color="auto" w:sz="4" w:space="0"/>
              <w:right w:val="single" w:color="auto" w:sz="4" w:space="0"/>
            </w:tcBorders>
            <w:vAlign w:val="center"/>
          </w:tcPr>
          <w:p w14:paraId="3F8F6BC7">
            <w:pPr>
              <w:widowControl/>
              <w:jc w:val="center"/>
              <w:rPr>
                <w:rFonts w:hint="eastAsia" w:ascii="宋体" w:hAnsi="宋体" w:cs="宋体"/>
                <w:b/>
                <w:bCs/>
                <w:color w:val="auto"/>
                <w:kern w:val="0"/>
                <w:sz w:val="18"/>
                <w:szCs w:val="18"/>
              </w:rPr>
            </w:pPr>
            <w:r>
              <w:rPr>
                <w:rFonts w:hint="eastAsia" w:ascii="宋体" w:hAnsi="宋体" w:cs="宋体"/>
                <w:b/>
                <w:bCs/>
                <w:color w:val="auto"/>
                <w:kern w:val="0"/>
                <w:sz w:val="18"/>
                <w:szCs w:val="18"/>
              </w:rPr>
              <w:t>信息传输业</w:t>
            </w:r>
          </w:p>
        </w:tc>
        <w:tc>
          <w:tcPr>
            <w:tcW w:w="1538" w:type="dxa"/>
            <w:tcBorders>
              <w:top w:val="nil"/>
              <w:left w:val="nil"/>
              <w:bottom w:val="single" w:color="auto" w:sz="4" w:space="0"/>
              <w:right w:val="single" w:color="auto" w:sz="4" w:space="0"/>
            </w:tcBorders>
            <w:vAlign w:val="center"/>
          </w:tcPr>
          <w:p w14:paraId="7C269638">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从业人员（X）</w:t>
            </w:r>
          </w:p>
        </w:tc>
        <w:tc>
          <w:tcPr>
            <w:tcW w:w="1015" w:type="dxa"/>
            <w:tcBorders>
              <w:top w:val="nil"/>
              <w:left w:val="nil"/>
              <w:bottom w:val="single" w:color="auto" w:sz="4" w:space="0"/>
              <w:right w:val="single" w:color="auto" w:sz="4" w:space="0"/>
            </w:tcBorders>
            <w:vAlign w:val="center"/>
          </w:tcPr>
          <w:p w14:paraId="6F5DD5E1">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人</w:t>
            </w:r>
          </w:p>
        </w:tc>
        <w:tc>
          <w:tcPr>
            <w:tcW w:w="1801" w:type="dxa"/>
            <w:tcBorders>
              <w:top w:val="nil"/>
              <w:left w:val="nil"/>
              <w:bottom w:val="single" w:color="auto" w:sz="4" w:space="0"/>
              <w:right w:val="single" w:color="auto" w:sz="4" w:space="0"/>
            </w:tcBorders>
            <w:vAlign w:val="center"/>
          </w:tcPr>
          <w:p w14:paraId="7DE31C89">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100≤X＜2000</w:t>
            </w:r>
          </w:p>
        </w:tc>
        <w:tc>
          <w:tcPr>
            <w:tcW w:w="1601" w:type="dxa"/>
            <w:tcBorders>
              <w:top w:val="nil"/>
              <w:left w:val="nil"/>
              <w:bottom w:val="single" w:color="auto" w:sz="4" w:space="0"/>
              <w:right w:val="single" w:color="auto" w:sz="4" w:space="0"/>
            </w:tcBorders>
            <w:vAlign w:val="center"/>
          </w:tcPr>
          <w:p w14:paraId="0CCAA118">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10≤X＜100</w:t>
            </w:r>
          </w:p>
        </w:tc>
        <w:tc>
          <w:tcPr>
            <w:tcW w:w="1028" w:type="dxa"/>
            <w:tcBorders>
              <w:top w:val="nil"/>
              <w:left w:val="nil"/>
              <w:bottom w:val="single" w:color="auto" w:sz="4" w:space="0"/>
              <w:right w:val="single" w:color="auto" w:sz="4" w:space="0"/>
            </w:tcBorders>
            <w:vAlign w:val="center"/>
          </w:tcPr>
          <w:p w14:paraId="5492C9CB">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X＜10</w:t>
            </w:r>
          </w:p>
        </w:tc>
      </w:tr>
      <w:tr w14:paraId="3EB2FB75">
        <w:tblPrEx>
          <w:tblCellMar>
            <w:top w:w="0" w:type="dxa"/>
            <w:left w:w="108" w:type="dxa"/>
            <w:bottom w:w="0" w:type="dxa"/>
            <w:right w:w="108" w:type="dxa"/>
          </w:tblCellMar>
        </w:tblPrEx>
        <w:trPr>
          <w:trHeight w:val="350" w:hRule="atLeast"/>
          <w:jc w:val="center"/>
        </w:trPr>
        <w:tc>
          <w:tcPr>
            <w:tcW w:w="1892" w:type="dxa"/>
            <w:vMerge w:val="continue"/>
            <w:tcBorders>
              <w:top w:val="nil"/>
              <w:left w:val="single" w:color="auto" w:sz="4" w:space="0"/>
              <w:bottom w:val="single" w:color="auto" w:sz="4" w:space="0"/>
              <w:right w:val="single" w:color="auto" w:sz="4" w:space="0"/>
            </w:tcBorders>
            <w:vAlign w:val="center"/>
          </w:tcPr>
          <w:p w14:paraId="241FBE42">
            <w:pPr>
              <w:widowControl/>
              <w:jc w:val="center"/>
              <w:rPr>
                <w:rFonts w:hint="eastAsia" w:ascii="宋体" w:hAnsi="宋体" w:cs="宋体"/>
                <w:b/>
                <w:bCs/>
                <w:color w:val="auto"/>
                <w:kern w:val="0"/>
                <w:sz w:val="18"/>
                <w:szCs w:val="18"/>
              </w:rPr>
            </w:pPr>
          </w:p>
        </w:tc>
        <w:tc>
          <w:tcPr>
            <w:tcW w:w="1538" w:type="dxa"/>
            <w:tcBorders>
              <w:top w:val="nil"/>
              <w:left w:val="nil"/>
              <w:bottom w:val="single" w:color="auto" w:sz="4" w:space="0"/>
              <w:right w:val="single" w:color="auto" w:sz="4" w:space="0"/>
            </w:tcBorders>
            <w:vAlign w:val="center"/>
          </w:tcPr>
          <w:p w14:paraId="70D2BB32">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营业收入（Y）</w:t>
            </w:r>
          </w:p>
        </w:tc>
        <w:tc>
          <w:tcPr>
            <w:tcW w:w="1015" w:type="dxa"/>
            <w:tcBorders>
              <w:top w:val="nil"/>
              <w:left w:val="nil"/>
              <w:bottom w:val="single" w:color="auto" w:sz="4" w:space="0"/>
              <w:right w:val="single" w:color="auto" w:sz="4" w:space="0"/>
            </w:tcBorders>
            <w:vAlign w:val="center"/>
          </w:tcPr>
          <w:p w14:paraId="5F646978">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万元</w:t>
            </w:r>
          </w:p>
        </w:tc>
        <w:tc>
          <w:tcPr>
            <w:tcW w:w="1801" w:type="dxa"/>
            <w:tcBorders>
              <w:top w:val="nil"/>
              <w:left w:val="nil"/>
              <w:bottom w:val="single" w:color="auto" w:sz="4" w:space="0"/>
              <w:right w:val="single" w:color="auto" w:sz="4" w:space="0"/>
            </w:tcBorders>
            <w:vAlign w:val="center"/>
          </w:tcPr>
          <w:p w14:paraId="2A2F079F">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1000≤Y＜100000</w:t>
            </w:r>
          </w:p>
        </w:tc>
        <w:tc>
          <w:tcPr>
            <w:tcW w:w="1601" w:type="dxa"/>
            <w:tcBorders>
              <w:top w:val="nil"/>
              <w:left w:val="nil"/>
              <w:bottom w:val="single" w:color="auto" w:sz="4" w:space="0"/>
              <w:right w:val="single" w:color="auto" w:sz="4" w:space="0"/>
            </w:tcBorders>
            <w:vAlign w:val="center"/>
          </w:tcPr>
          <w:p w14:paraId="69442F3C">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100≤Y＜1000</w:t>
            </w:r>
          </w:p>
        </w:tc>
        <w:tc>
          <w:tcPr>
            <w:tcW w:w="1028" w:type="dxa"/>
            <w:tcBorders>
              <w:top w:val="nil"/>
              <w:left w:val="nil"/>
              <w:bottom w:val="single" w:color="auto" w:sz="4" w:space="0"/>
              <w:right w:val="single" w:color="auto" w:sz="4" w:space="0"/>
            </w:tcBorders>
            <w:vAlign w:val="center"/>
          </w:tcPr>
          <w:p w14:paraId="77D4EDC8">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Y＜100</w:t>
            </w:r>
          </w:p>
        </w:tc>
      </w:tr>
      <w:tr w14:paraId="4D163F2F">
        <w:tblPrEx>
          <w:tblCellMar>
            <w:top w:w="0" w:type="dxa"/>
            <w:left w:w="108" w:type="dxa"/>
            <w:bottom w:w="0" w:type="dxa"/>
            <w:right w:w="108" w:type="dxa"/>
          </w:tblCellMar>
        </w:tblPrEx>
        <w:trPr>
          <w:trHeight w:val="350" w:hRule="atLeast"/>
          <w:jc w:val="center"/>
        </w:trPr>
        <w:tc>
          <w:tcPr>
            <w:tcW w:w="1892" w:type="dxa"/>
            <w:vMerge w:val="restart"/>
            <w:tcBorders>
              <w:top w:val="nil"/>
              <w:left w:val="single" w:color="auto" w:sz="4" w:space="0"/>
              <w:bottom w:val="single" w:color="auto" w:sz="4" w:space="0"/>
              <w:right w:val="single" w:color="auto" w:sz="4" w:space="0"/>
            </w:tcBorders>
            <w:vAlign w:val="center"/>
          </w:tcPr>
          <w:p w14:paraId="73657D42">
            <w:pPr>
              <w:widowControl/>
              <w:jc w:val="center"/>
              <w:rPr>
                <w:rFonts w:hint="eastAsia" w:ascii="宋体" w:hAnsi="宋体" w:cs="宋体"/>
                <w:b/>
                <w:bCs/>
                <w:color w:val="auto"/>
                <w:kern w:val="0"/>
                <w:sz w:val="18"/>
                <w:szCs w:val="18"/>
              </w:rPr>
            </w:pPr>
            <w:r>
              <w:rPr>
                <w:rFonts w:hint="eastAsia" w:ascii="宋体" w:hAnsi="宋体" w:cs="宋体"/>
                <w:b/>
                <w:bCs/>
                <w:color w:val="auto"/>
                <w:kern w:val="0"/>
                <w:sz w:val="18"/>
                <w:szCs w:val="18"/>
              </w:rPr>
              <w:t>软件和信息技术服务业</w:t>
            </w:r>
          </w:p>
        </w:tc>
        <w:tc>
          <w:tcPr>
            <w:tcW w:w="1538" w:type="dxa"/>
            <w:tcBorders>
              <w:top w:val="nil"/>
              <w:left w:val="nil"/>
              <w:bottom w:val="single" w:color="auto" w:sz="4" w:space="0"/>
              <w:right w:val="single" w:color="auto" w:sz="4" w:space="0"/>
            </w:tcBorders>
            <w:vAlign w:val="center"/>
          </w:tcPr>
          <w:p w14:paraId="1783514D">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从业人员（X）</w:t>
            </w:r>
          </w:p>
        </w:tc>
        <w:tc>
          <w:tcPr>
            <w:tcW w:w="1015" w:type="dxa"/>
            <w:tcBorders>
              <w:top w:val="nil"/>
              <w:left w:val="nil"/>
              <w:bottom w:val="single" w:color="auto" w:sz="4" w:space="0"/>
              <w:right w:val="single" w:color="auto" w:sz="4" w:space="0"/>
            </w:tcBorders>
            <w:vAlign w:val="center"/>
          </w:tcPr>
          <w:p w14:paraId="23D2C86C">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人</w:t>
            </w:r>
          </w:p>
        </w:tc>
        <w:tc>
          <w:tcPr>
            <w:tcW w:w="1801" w:type="dxa"/>
            <w:tcBorders>
              <w:top w:val="nil"/>
              <w:left w:val="nil"/>
              <w:bottom w:val="single" w:color="auto" w:sz="4" w:space="0"/>
              <w:right w:val="single" w:color="auto" w:sz="4" w:space="0"/>
            </w:tcBorders>
            <w:vAlign w:val="center"/>
          </w:tcPr>
          <w:p w14:paraId="685F9BB7">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100≤X＜300</w:t>
            </w:r>
          </w:p>
        </w:tc>
        <w:tc>
          <w:tcPr>
            <w:tcW w:w="1601" w:type="dxa"/>
            <w:tcBorders>
              <w:top w:val="nil"/>
              <w:left w:val="nil"/>
              <w:bottom w:val="single" w:color="auto" w:sz="4" w:space="0"/>
              <w:right w:val="single" w:color="auto" w:sz="4" w:space="0"/>
            </w:tcBorders>
            <w:vAlign w:val="center"/>
          </w:tcPr>
          <w:p w14:paraId="36E5BC6F">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10≤X＜100</w:t>
            </w:r>
          </w:p>
        </w:tc>
        <w:tc>
          <w:tcPr>
            <w:tcW w:w="1028" w:type="dxa"/>
            <w:tcBorders>
              <w:top w:val="nil"/>
              <w:left w:val="nil"/>
              <w:bottom w:val="single" w:color="auto" w:sz="4" w:space="0"/>
              <w:right w:val="single" w:color="auto" w:sz="4" w:space="0"/>
            </w:tcBorders>
            <w:vAlign w:val="center"/>
          </w:tcPr>
          <w:p w14:paraId="267AB8F4">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X＜10</w:t>
            </w:r>
          </w:p>
        </w:tc>
      </w:tr>
      <w:tr w14:paraId="151B9DA0">
        <w:tblPrEx>
          <w:tblCellMar>
            <w:top w:w="0" w:type="dxa"/>
            <w:left w:w="108" w:type="dxa"/>
            <w:bottom w:w="0" w:type="dxa"/>
            <w:right w:w="108" w:type="dxa"/>
          </w:tblCellMar>
        </w:tblPrEx>
        <w:trPr>
          <w:trHeight w:val="350" w:hRule="atLeast"/>
          <w:jc w:val="center"/>
        </w:trPr>
        <w:tc>
          <w:tcPr>
            <w:tcW w:w="1892" w:type="dxa"/>
            <w:vMerge w:val="continue"/>
            <w:tcBorders>
              <w:top w:val="nil"/>
              <w:left w:val="single" w:color="auto" w:sz="4" w:space="0"/>
              <w:bottom w:val="single" w:color="auto" w:sz="4" w:space="0"/>
              <w:right w:val="single" w:color="auto" w:sz="4" w:space="0"/>
            </w:tcBorders>
            <w:vAlign w:val="center"/>
          </w:tcPr>
          <w:p w14:paraId="6982C00B">
            <w:pPr>
              <w:widowControl/>
              <w:jc w:val="center"/>
              <w:rPr>
                <w:rFonts w:hint="eastAsia" w:ascii="宋体" w:hAnsi="宋体" w:cs="宋体"/>
                <w:b/>
                <w:bCs/>
                <w:color w:val="auto"/>
                <w:kern w:val="0"/>
                <w:sz w:val="18"/>
                <w:szCs w:val="18"/>
              </w:rPr>
            </w:pPr>
          </w:p>
        </w:tc>
        <w:tc>
          <w:tcPr>
            <w:tcW w:w="1538" w:type="dxa"/>
            <w:tcBorders>
              <w:top w:val="nil"/>
              <w:left w:val="nil"/>
              <w:bottom w:val="single" w:color="auto" w:sz="4" w:space="0"/>
              <w:right w:val="single" w:color="auto" w:sz="4" w:space="0"/>
            </w:tcBorders>
            <w:vAlign w:val="center"/>
          </w:tcPr>
          <w:p w14:paraId="580E5B42">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营业收入（Y）</w:t>
            </w:r>
          </w:p>
        </w:tc>
        <w:tc>
          <w:tcPr>
            <w:tcW w:w="1015" w:type="dxa"/>
            <w:tcBorders>
              <w:top w:val="nil"/>
              <w:left w:val="nil"/>
              <w:bottom w:val="single" w:color="auto" w:sz="4" w:space="0"/>
              <w:right w:val="single" w:color="auto" w:sz="4" w:space="0"/>
            </w:tcBorders>
            <w:vAlign w:val="center"/>
          </w:tcPr>
          <w:p w14:paraId="39CFD715">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万元</w:t>
            </w:r>
          </w:p>
        </w:tc>
        <w:tc>
          <w:tcPr>
            <w:tcW w:w="1801" w:type="dxa"/>
            <w:tcBorders>
              <w:top w:val="nil"/>
              <w:left w:val="nil"/>
              <w:bottom w:val="single" w:color="auto" w:sz="4" w:space="0"/>
              <w:right w:val="single" w:color="auto" w:sz="4" w:space="0"/>
            </w:tcBorders>
            <w:vAlign w:val="center"/>
          </w:tcPr>
          <w:p w14:paraId="757B0DE1">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1000≤Y＜10000</w:t>
            </w:r>
          </w:p>
        </w:tc>
        <w:tc>
          <w:tcPr>
            <w:tcW w:w="1601" w:type="dxa"/>
            <w:tcBorders>
              <w:top w:val="nil"/>
              <w:left w:val="nil"/>
              <w:bottom w:val="single" w:color="auto" w:sz="4" w:space="0"/>
              <w:right w:val="single" w:color="auto" w:sz="4" w:space="0"/>
            </w:tcBorders>
            <w:vAlign w:val="center"/>
          </w:tcPr>
          <w:p w14:paraId="0CD054FF">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50≤Y＜1000</w:t>
            </w:r>
          </w:p>
        </w:tc>
        <w:tc>
          <w:tcPr>
            <w:tcW w:w="1028" w:type="dxa"/>
            <w:tcBorders>
              <w:top w:val="nil"/>
              <w:left w:val="nil"/>
              <w:bottom w:val="single" w:color="auto" w:sz="4" w:space="0"/>
              <w:right w:val="single" w:color="auto" w:sz="4" w:space="0"/>
            </w:tcBorders>
            <w:vAlign w:val="center"/>
          </w:tcPr>
          <w:p w14:paraId="2F596F9D">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Y＜50</w:t>
            </w:r>
          </w:p>
        </w:tc>
      </w:tr>
      <w:tr w14:paraId="449DB9E4">
        <w:tblPrEx>
          <w:tblCellMar>
            <w:top w:w="0" w:type="dxa"/>
            <w:left w:w="108" w:type="dxa"/>
            <w:bottom w:w="0" w:type="dxa"/>
            <w:right w:w="108" w:type="dxa"/>
          </w:tblCellMar>
        </w:tblPrEx>
        <w:trPr>
          <w:trHeight w:val="350" w:hRule="atLeast"/>
          <w:jc w:val="center"/>
        </w:trPr>
        <w:tc>
          <w:tcPr>
            <w:tcW w:w="1892" w:type="dxa"/>
            <w:vMerge w:val="restart"/>
            <w:tcBorders>
              <w:top w:val="nil"/>
              <w:left w:val="single" w:color="auto" w:sz="4" w:space="0"/>
              <w:bottom w:val="single" w:color="auto" w:sz="4" w:space="0"/>
              <w:right w:val="single" w:color="auto" w:sz="4" w:space="0"/>
            </w:tcBorders>
            <w:vAlign w:val="center"/>
          </w:tcPr>
          <w:p w14:paraId="5F7AB074">
            <w:pPr>
              <w:widowControl/>
              <w:jc w:val="center"/>
              <w:rPr>
                <w:rFonts w:hint="eastAsia" w:ascii="宋体" w:hAnsi="宋体" w:cs="宋体"/>
                <w:b/>
                <w:bCs/>
                <w:color w:val="auto"/>
                <w:kern w:val="0"/>
                <w:sz w:val="18"/>
                <w:szCs w:val="18"/>
              </w:rPr>
            </w:pPr>
            <w:r>
              <w:rPr>
                <w:rFonts w:hint="eastAsia" w:ascii="宋体" w:hAnsi="宋体" w:cs="宋体"/>
                <w:b/>
                <w:bCs/>
                <w:color w:val="auto"/>
                <w:kern w:val="0"/>
                <w:sz w:val="18"/>
                <w:szCs w:val="18"/>
              </w:rPr>
              <w:t>房地产开发经营</w:t>
            </w:r>
          </w:p>
        </w:tc>
        <w:tc>
          <w:tcPr>
            <w:tcW w:w="1538" w:type="dxa"/>
            <w:tcBorders>
              <w:top w:val="nil"/>
              <w:left w:val="nil"/>
              <w:bottom w:val="single" w:color="auto" w:sz="4" w:space="0"/>
              <w:right w:val="single" w:color="auto" w:sz="4" w:space="0"/>
            </w:tcBorders>
            <w:vAlign w:val="center"/>
          </w:tcPr>
          <w:p w14:paraId="00D04E3A">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营业收入（Y）</w:t>
            </w:r>
          </w:p>
        </w:tc>
        <w:tc>
          <w:tcPr>
            <w:tcW w:w="1015" w:type="dxa"/>
            <w:tcBorders>
              <w:top w:val="nil"/>
              <w:left w:val="nil"/>
              <w:bottom w:val="single" w:color="auto" w:sz="4" w:space="0"/>
              <w:right w:val="single" w:color="auto" w:sz="4" w:space="0"/>
            </w:tcBorders>
            <w:vAlign w:val="center"/>
          </w:tcPr>
          <w:p w14:paraId="5255B2C1">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万元</w:t>
            </w:r>
          </w:p>
        </w:tc>
        <w:tc>
          <w:tcPr>
            <w:tcW w:w="1801" w:type="dxa"/>
            <w:tcBorders>
              <w:top w:val="nil"/>
              <w:left w:val="nil"/>
              <w:bottom w:val="single" w:color="auto" w:sz="4" w:space="0"/>
              <w:right w:val="single" w:color="auto" w:sz="4" w:space="0"/>
            </w:tcBorders>
            <w:vAlign w:val="center"/>
          </w:tcPr>
          <w:p w14:paraId="3CB76BFC">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1000≤Y＜200000</w:t>
            </w:r>
          </w:p>
        </w:tc>
        <w:tc>
          <w:tcPr>
            <w:tcW w:w="1601" w:type="dxa"/>
            <w:tcBorders>
              <w:top w:val="nil"/>
              <w:left w:val="nil"/>
              <w:bottom w:val="single" w:color="auto" w:sz="4" w:space="0"/>
              <w:right w:val="single" w:color="auto" w:sz="4" w:space="0"/>
            </w:tcBorders>
            <w:vAlign w:val="center"/>
          </w:tcPr>
          <w:p w14:paraId="63B667A1">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100≤X＜1000</w:t>
            </w:r>
          </w:p>
        </w:tc>
        <w:tc>
          <w:tcPr>
            <w:tcW w:w="1028" w:type="dxa"/>
            <w:tcBorders>
              <w:top w:val="nil"/>
              <w:left w:val="nil"/>
              <w:bottom w:val="single" w:color="auto" w:sz="4" w:space="0"/>
              <w:right w:val="single" w:color="auto" w:sz="4" w:space="0"/>
            </w:tcBorders>
            <w:vAlign w:val="center"/>
          </w:tcPr>
          <w:p w14:paraId="67B27775">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X＜100</w:t>
            </w:r>
          </w:p>
        </w:tc>
      </w:tr>
      <w:tr w14:paraId="26024811">
        <w:tblPrEx>
          <w:tblCellMar>
            <w:top w:w="0" w:type="dxa"/>
            <w:left w:w="108" w:type="dxa"/>
            <w:bottom w:w="0" w:type="dxa"/>
            <w:right w:w="108" w:type="dxa"/>
          </w:tblCellMar>
        </w:tblPrEx>
        <w:trPr>
          <w:trHeight w:val="350" w:hRule="atLeast"/>
          <w:jc w:val="center"/>
        </w:trPr>
        <w:tc>
          <w:tcPr>
            <w:tcW w:w="1892" w:type="dxa"/>
            <w:vMerge w:val="continue"/>
            <w:tcBorders>
              <w:top w:val="nil"/>
              <w:left w:val="single" w:color="auto" w:sz="4" w:space="0"/>
              <w:bottom w:val="single" w:color="auto" w:sz="4" w:space="0"/>
              <w:right w:val="single" w:color="auto" w:sz="4" w:space="0"/>
            </w:tcBorders>
            <w:vAlign w:val="center"/>
          </w:tcPr>
          <w:p w14:paraId="71F1395D">
            <w:pPr>
              <w:widowControl/>
              <w:jc w:val="center"/>
              <w:rPr>
                <w:rFonts w:hint="eastAsia" w:ascii="宋体" w:hAnsi="宋体" w:cs="宋体"/>
                <w:b/>
                <w:bCs/>
                <w:color w:val="auto"/>
                <w:kern w:val="0"/>
                <w:sz w:val="18"/>
                <w:szCs w:val="18"/>
              </w:rPr>
            </w:pPr>
          </w:p>
        </w:tc>
        <w:tc>
          <w:tcPr>
            <w:tcW w:w="1538" w:type="dxa"/>
            <w:tcBorders>
              <w:top w:val="nil"/>
              <w:left w:val="nil"/>
              <w:bottom w:val="single" w:color="auto" w:sz="4" w:space="0"/>
              <w:right w:val="single" w:color="auto" w:sz="4" w:space="0"/>
            </w:tcBorders>
            <w:vAlign w:val="center"/>
          </w:tcPr>
          <w:p w14:paraId="4E32A74F">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资产总额（Z）</w:t>
            </w:r>
          </w:p>
        </w:tc>
        <w:tc>
          <w:tcPr>
            <w:tcW w:w="1015" w:type="dxa"/>
            <w:tcBorders>
              <w:top w:val="nil"/>
              <w:left w:val="nil"/>
              <w:bottom w:val="single" w:color="auto" w:sz="4" w:space="0"/>
              <w:right w:val="single" w:color="auto" w:sz="4" w:space="0"/>
            </w:tcBorders>
            <w:vAlign w:val="center"/>
          </w:tcPr>
          <w:p w14:paraId="08496BBA">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万元</w:t>
            </w:r>
          </w:p>
        </w:tc>
        <w:tc>
          <w:tcPr>
            <w:tcW w:w="1801" w:type="dxa"/>
            <w:tcBorders>
              <w:top w:val="nil"/>
              <w:left w:val="nil"/>
              <w:bottom w:val="single" w:color="auto" w:sz="4" w:space="0"/>
              <w:right w:val="single" w:color="auto" w:sz="4" w:space="0"/>
            </w:tcBorders>
            <w:vAlign w:val="center"/>
          </w:tcPr>
          <w:p w14:paraId="03B672E0">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5000≤Z＜10000</w:t>
            </w:r>
          </w:p>
        </w:tc>
        <w:tc>
          <w:tcPr>
            <w:tcW w:w="1601" w:type="dxa"/>
            <w:tcBorders>
              <w:top w:val="nil"/>
              <w:left w:val="nil"/>
              <w:bottom w:val="single" w:color="auto" w:sz="4" w:space="0"/>
              <w:right w:val="single" w:color="auto" w:sz="4" w:space="0"/>
            </w:tcBorders>
            <w:vAlign w:val="center"/>
          </w:tcPr>
          <w:p w14:paraId="0961A69D">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2000≤Y＜5000</w:t>
            </w:r>
          </w:p>
        </w:tc>
        <w:tc>
          <w:tcPr>
            <w:tcW w:w="1028" w:type="dxa"/>
            <w:tcBorders>
              <w:top w:val="nil"/>
              <w:left w:val="nil"/>
              <w:bottom w:val="single" w:color="auto" w:sz="4" w:space="0"/>
              <w:right w:val="single" w:color="auto" w:sz="4" w:space="0"/>
            </w:tcBorders>
            <w:vAlign w:val="center"/>
          </w:tcPr>
          <w:p w14:paraId="02418119">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Y＜2000</w:t>
            </w:r>
          </w:p>
        </w:tc>
      </w:tr>
      <w:tr w14:paraId="60FCD54E">
        <w:tblPrEx>
          <w:tblCellMar>
            <w:top w:w="0" w:type="dxa"/>
            <w:left w:w="108" w:type="dxa"/>
            <w:bottom w:w="0" w:type="dxa"/>
            <w:right w:w="108" w:type="dxa"/>
          </w:tblCellMar>
        </w:tblPrEx>
        <w:trPr>
          <w:trHeight w:val="350" w:hRule="atLeast"/>
          <w:jc w:val="center"/>
        </w:trPr>
        <w:tc>
          <w:tcPr>
            <w:tcW w:w="1892" w:type="dxa"/>
            <w:vMerge w:val="restart"/>
            <w:tcBorders>
              <w:top w:val="nil"/>
              <w:left w:val="single" w:color="auto" w:sz="4" w:space="0"/>
              <w:bottom w:val="single" w:color="auto" w:sz="4" w:space="0"/>
              <w:right w:val="single" w:color="auto" w:sz="4" w:space="0"/>
            </w:tcBorders>
            <w:vAlign w:val="center"/>
          </w:tcPr>
          <w:p w14:paraId="40937F8E">
            <w:pPr>
              <w:widowControl/>
              <w:jc w:val="center"/>
              <w:rPr>
                <w:rFonts w:hint="eastAsia" w:ascii="宋体" w:hAnsi="宋体" w:cs="宋体"/>
                <w:b/>
                <w:bCs/>
                <w:color w:val="auto"/>
                <w:kern w:val="0"/>
                <w:sz w:val="18"/>
                <w:szCs w:val="18"/>
              </w:rPr>
            </w:pPr>
            <w:r>
              <w:rPr>
                <w:rFonts w:hint="eastAsia" w:ascii="宋体" w:hAnsi="宋体" w:cs="宋体"/>
                <w:b/>
                <w:bCs/>
                <w:color w:val="auto"/>
                <w:kern w:val="0"/>
                <w:sz w:val="18"/>
                <w:szCs w:val="18"/>
              </w:rPr>
              <w:t>物业管理</w:t>
            </w:r>
          </w:p>
        </w:tc>
        <w:tc>
          <w:tcPr>
            <w:tcW w:w="1538" w:type="dxa"/>
            <w:tcBorders>
              <w:top w:val="nil"/>
              <w:left w:val="nil"/>
              <w:bottom w:val="single" w:color="auto" w:sz="4" w:space="0"/>
              <w:right w:val="single" w:color="auto" w:sz="4" w:space="0"/>
            </w:tcBorders>
            <w:vAlign w:val="center"/>
          </w:tcPr>
          <w:p w14:paraId="75915116">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从业人员（X）</w:t>
            </w:r>
          </w:p>
        </w:tc>
        <w:tc>
          <w:tcPr>
            <w:tcW w:w="1015" w:type="dxa"/>
            <w:tcBorders>
              <w:top w:val="nil"/>
              <w:left w:val="nil"/>
              <w:bottom w:val="single" w:color="auto" w:sz="4" w:space="0"/>
              <w:right w:val="single" w:color="auto" w:sz="4" w:space="0"/>
            </w:tcBorders>
            <w:vAlign w:val="center"/>
          </w:tcPr>
          <w:p w14:paraId="62E0A569">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人</w:t>
            </w:r>
          </w:p>
        </w:tc>
        <w:tc>
          <w:tcPr>
            <w:tcW w:w="1801" w:type="dxa"/>
            <w:tcBorders>
              <w:top w:val="nil"/>
              <w:left w:val="nil"/>
              <w:bottom w:val="single" w:color="auto" w:sz="4" w:space="0"/>
              <w:right w:val="single" w:color="auto" w:sz="4" w:space="0"/>
            </w:tcBorders>
            <w:vAlign w:val="center"/>
          </w:tcPr>
          <w:p w14:paraId="5F36A70D">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300≤X＜1000</w:t>
            </w:r>
          </w:p>
        </w:tc>
        <w:tc>
          <w:tcPr>
            <w:tcW w:w="1601" w:type="dxa"/>
            <w:tcBorders>
              <w:top w:val="nil"/>
              <w:left w:val="nil"/>
              <w:bottom w:val="single" w:color="auto" w:sz="4" w:space="0"/>
              <w:right w:val="single" w:color="auto" w:sz="4" w:space="0"/>
            </w:tcBorders>
            <w:vAlign w:val="center"/>
          </w:tcPr>
          <w:p w14:paraId="4EB38BDE">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100≤X＜300</w:t>
            </w:r>
          </w:p>
        </w:tc>
        <w:tc>
          <w:tcPr>
            <w:tcW w:w="1028" w:type="dxa"/>
            <w:tcBorders>
              <w:top w:val="nil"/>
              <w:left w:val="nil"/>
              <w:bottom w:val="single" w:color="auto" w:sz="4" w:space="0"/>
              <w:right w:val="single" w:color="auto" w:sz="4" w:space="0"/>
            </w:tcBorders>
            <w:vAlign w:val="center"/>
          </w:tcPr>
          <w:p w14:paraId="59099DF0">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X＜100</w:t>
            </w:r>
          </w:p>
        </w:tc>
      </w:tr>
      <w:tr w14:paraId="7F9AAAF9">
        <w:tblPrEx>
          <w:tblCellMar>
            <w:top w:w="0" w:type="dxa"/>
            <w:left w:w="108" w:type="dxa"/>
            <w:bottom w:w="0" w:type="dxa"/>
            <w:right w:w="108" w:type="dxa"/>
          </w:tblCellMar>
        </w:tblPrEx>
        <w:trPr>
          <w:trHeight w:val="350" w:hRule="atLeast"/>
          <w:jc w:val="center"/>
        </w:trPr>
        <w:tc>
          <w:tcPr>
            <w:tcW w:w="1892" w:type="dxa"/>
            <w:vMerge w:val="continue"/>
            <w:tcBorders>
              <w:top w:val="nil"/>
              <w:left w:val="single" w:color="auto" w:sz="4" w:space="0"/>
              <w:bottom w:val="single" w:color="auto" w:sz="4" w:space="0"/>
              <w:right w:val="single" w:color="auto" w:sz="4" w:space="0"/>
            </w:tcBorders>
            <w:vAlign w:val="center"/>
          </w:tcPr>
          <w:p w14:paraId="5E8FF85C">
            <w:pPr>
              <w:widowControl/>
              <w:jc w:val="center"/>
              <w:rPr>
                <w:rFonts w:hint="eastAsia" w:ascii="宋体" w:hAnsi="宋体" w:cs="宋体"/>
                <w:b/>
                <w:bCs/>
                <w:color w:val="auto"/>
                <w:kern w:val="0"/>
                <w:sz w:val="18"/>
                <w:szCs w:val="18"/>
              </w:rPr>
            </w:pPr>
          </w:p>
        </w:tc>
        <w:tc>
          <w:tcPr>
            <w:tcW w:w="1538" w:type="dxa"/>
            <w:tcBorders>
              <w:top w:val="nil"/>
              <w:left w:val="nil"/>
              <w:bottom w:val="single" w:color="auto" w:sz="4" w:space="0"/>
              <w:right w:val="single" w:color="auto" w:sz="4" w:space="0"/>
            </w:tcBorders>
            <w:vAlign w:val="center"/>
          </w:tcPr>
          <w:p w14:paraId="5437D842">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营业收入（Y）</w:t>
            </w:r>
          </w:p>
        </w:tc>
        <w:tc>
          <w:tcPr>
            <w:tcW w:w="1015" w:type="dxa"/>
            <w:tcBorders>
              <w:top w:val="nil"/>
              <w:left w:val="nil"/>
              <w:bottom w:val="single" w:color="auto" w:sz="4" w:space="0"/>
              <w:right w:val="single" w:color="auto" w:sz="4" w:space="0"/>
            </w:tcBorders>
            <w:vAlign w:val="center"/>
          </w:tcPr>
          <w:p w14:paraId="7D7038F6">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万元</w:t>
            </w:r>
          </w:p>
        </w:tc>
        <w:tc>
          <w:tcPr>
            <w:tcW w:w="1801" w:type="dxa"/>
            <w:tcBorders>
              <w:top w:val="nil"/>
              <w:left w:val="nil"/>
              <w:bottom w:val="single" w:color="auto" w:sz="4" w:space="0"/>
              <w:right w:val="single" w:color="auto" w:sz="4" w:space="0"/>
            </w:tcBorders>
            <w:vAlign w:val="center"/>
          </w:tcPr>
          <w:p w14:paraId="55461F2A">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1000≤Y＜5000</w:t>
            </w:r>
          </w:p>
        </w:tc>
        <w:tc>
          <w:tcPr>
            <w:tcW w:w="1601" w:type="dxa"/>
            <w:tcBorders>
              <w:top w:val="nil"/>
              <w:left w:val="nil"/>
              <w:bottom w:val="single" w:color="auto" w:sz="4" w:space="0"/>
              <w:right w:val="single" w:color="auto" w:sz="4" w:space="0"/>
            </w:tcBorders>
            <w:vAlign w:val="center"/>
          </w:tcPr>
          <w:p w14:paraId="7E267A60">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500≤Y＜1000</w:t>
            </w:r>
          </w:p>
        </w:tc>
        <w:tc>
          <w:tcPr>
            <w:tcW w:w="1028" w:type="dxa"/>
            <w:tcBorders>
              <w:top w:val="nil"/>
              <w:left w:val="nil"/>
              <w:bottom w:val="single" w:color="auto" w:sz="4" w:space="0"/>
              <w:right w:val="single" w:color="auto" w:sz="4" w:space="0"/>
            </w:tcBorders>
            <w:vAlign w:val="center"/>
          </w:tcPr>
          <w:p w14:paraId="2531B933">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Y＜500</w:t>
            </w:r>
          </w:p>
        </w:tc>
      </w:tr>
      <w:tr w14:paraId="691C4F90">
        <w:tblPrEx>
          <w:tblCellMar>
            <w:top w:w="0" w:type="dxa"/>
            <w:left w:w="108" w:type="dxa"/>
            <w:bottom w:w="0" w:type="dxa"/>
            <w:right w:w="108" w:type="dxa"/>
          </w:tblCellMar>
        </w:tblPrEx>
        <w:trPr>
          <w:trHeight w:val="350" w:hRule="atLeast"/>
          <w:jc w:val="center"/>
        </w:trPr>
        <w:tc>
          <w:tcPr>
            <w:tcW w:w="1892" w:type="dxa"/>
            <w:vMerge w:val="restart"/>
            <w:tcBorders>
              <w:top w:val="nil"/>
              <w:left w:val="single" w:color="auto" w:sz="4" w:space="0"/>
              <w:bottom w:val="single" w:color="auto" w:sz="4" w:space="0"/>
              <w:right w:val="single" w:color="auto" w:sz="4" w:space="0"/>
            </w:tcBorders>
            <w:vAlign w:val="center"/>
          </w:tcPr>
          <w:p w14:paraId="6B9DFD4D">
            <w:pPr>
              <w:widowControl/>
              <w:jc w:val="center"/>
              <w:rPr>
                <w:rFonts w:hint="eastAsia" w:ascii="宋体" w:hAnsi="宋体" w:cs="宋体"/>
                <w:b/>
                <w:bCs/>
                <w:color w:val="auto"/>
                <w:kern w:val="0"/>
                <w:sz w:val="18"/>
                <w:szCs w:val="18"/>
              </w:rPr>
            </w:pPr>
            <w:r>
              <w:rPr>
                <w:rFonts w:hint="eastAsia" w:ascii="宋体" w:hAnsi="宋体" w:cs="宋体"/>
                <w:b/>
                <w:bCs/>
                <w:color w:val="auto"/>
                <w:kern w:val="0"/>
                <w:sz w:val="18"/>
                <w:szCs w:val="18"/>
              </w:rPr>
              <w:t>租赁和商务服务业</w:t>
            </w:r>
          </w:p>
        </w:tc>
        <w:tc>
          <w:tcPr>
            <w:tcW w:w="1538" w:type="dxa"/>
            <w:tcBorders>
              <w:top w:val="nil"/>
              <w:left w:val="nil"/>
              <w:bottom w:val="single" w:color="auto" w:sz="4" w:space="0"/>
              <w:right w:val="single" w:color="auto" w:sz="4" w:space="0"/>
            </w:tcBorders>
            <w:vAlign w:val="center"/>
          </w:tcPr>
          <w:p w14:paraId="270B7413">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从业人员（X）</w:t>
            </w:r>
          </w:p>
        </w:tc>
        <w:tc>
          <w:tcPr>
            <w:tcW w:w="1015" w:type="dxa"/>
            <w:tcBorders>
              <w:top w:val="nil"/>
              <w:left w:val="nil"/>
              <w:bottom w:val="single" w:color="auto" w:sz="4" w:space="0"/>
              <w:right w:val="single" w:color="auto" w:sz="4" w:space="0"/>
            </w:tcBorders>
            <w:vAlign w:val="center"/>
          </w:tcPr>
          <w:p w14:paraId="7D70D58A">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人</w:t>
            </w:r>
          </w:p>
        </w:tc>
        <w:tc>
          <w:tcPr>
            <w:tcW w:w="1801" w:type="dxa"/>
            <w:tcBorders>
              <w:top w:val="nil"/>
              <w:left w:val="nil"/>
              <w:bottom w:val="single" w:color="auto" w:sz="4" w:space="0"/>
              <w:right w:val="single" w:color="auto" w:sz="4" w:space="0"/>
            </w:tcBorders>
            <w:vAlign w:val="center"/>
          </w:tcPr>
          <w:p w14:paraId="6CBD0AC3">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100≤X＜300</w:t>
            </w:r>
          </w:p>
        </w:tc>
        <w:tc>
          <w:tcPr>
            <w:tcW w:w="1601" w:type="dxa"/>
            <w:tcBorders>
              <w:top w:val="nil"/>
              <w:left w:val="nil"/>
              <w:bottom w:val="single" w:color="auto" w:sz="4" w:space="0"/>
              <w:right w:val="single" w:color="auto" w:sz="4" w:space="0"/>
            </w:tcBorders>
            <w:vAlign w:val="center"/>
          </w:tcPr>
          <w:p w14:paraId="2B52CFF4">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10≤X＜100</w:t>
            </w:r>
          </w:p>
        </w:tc>
        <w:tc>
          <w:tcPr>
            <w:tcW w:w="1028" w:type="dxa"/>
            <w:tcBorders>
              <w:top w:val="nil"/>
              <w:left w:val="nil"/>
              <w:bottom w:val="single" w:color="auto" w:sz="4" w:space="0"/>
              <w:right w:val="single" w:color="auto" w:sz="4" w:space="0"/>
            </w:tcBorders>
            <w:vAlign w:val="center"/>
          </w:tcPr>
          <w:p w14:paraId="230099E3">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X＜10</w:t>
            </w:r>
          </w:p>
        </w:tc>
      </w:tr>
      <w:tr w14:paraId="0CF1D0B1">
        <w:tblPrEx>
          <w:tblCellMar>
            <w:top w:w="0" w:type="dxa"/>
            <w:left w:w="108" w:type="dxa"/>
            <w:bottom w:w="0" w:type="dxa"/>
            <w:right w:w="108" w:type="dxa"/>
          </w:tblCellMar>
        </w:tblPrEx>
        <w:trPr>
          <w:trHeight w:val="350" w:hRule="atLeast"/>
          <w:jc w:val="center"/>
        </w:trPr>
        <w:tc>
          <w:tcPr>
            <w:tcW w:w="1892" w:type="dxa"/>
            <w:vMerge w:val="continue"/>
            <w:tcBorders>
              <w:top w:val="nil"/>
              <w:left w:val="single" w:color="auto" w:sz="4" w:space="0"/>
              <w:bottom w:val="single" w:color="auto" w:sz="4" w:space="0"/>
              <w:right w:val="single" w:color="auto" w:sz="4" w:space="0"/>
            </w:tcBorders>
            <w:vAlign w:val="center"/>
          </w:tcPr>
          <w:p w14:paraId="7E2526B1">
            <w:pPr>
              <w:widowControl/>
              <w:jc w:val="center"/>
              <w:rPr>
                <w:rFonts w:hint="eastAsia" w:ascii="宋体" w:hAnsi="宋体" w:cs="宋体"/>
                <w:b/>
                <w:bCs/>
                <w:color w:val="auto"/>
                <w:kern w:val="0"/>
                <w:sz w:val="18"/>
                <w:szCs w:val="18"/>
              </w:rPr>
            </w:pPr>
          </w:p>
        </w:tc>
        <w:tc>
          <w:tcPr>
            <w:tcW w:w="1538" w:type="dxa"/>
            <w:tcBorders>
              <w:top w:val="nil"/>
              <w:left w:val="nil"/>
              <w:bottom w:val="single" w:color="auto" w:sz="4" w:space="0"/>
              <w:right w:val="single" w:color="auto" w:sz="4" w:space="0"/>
            </w:tcBorders>
            <w:vAlign w:val="center"/>
          </w:tcPr>
          <w:p w14:paraId="724A5D44">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资产总额（Z）</w:t>
            </w:r>
          </w:p>
        </w:tc>
        <w:tc>
          <w:tcPr>
            <w:tcW w:w="1015" w:type="dxa"/>
            <w:tcBorders>
              <w:top w:val="nil"/>
              <w:left w:val="nil"/>
              <w:bottom w:val="single" w:color="auto" w:sz="4" w:space="0"/>
              <w:right w:val="single" w:color="auto" w:sz="4" w:space="0"/>
            </w:tcBorders>
            <w:vAlign w:val="center"/>
          </w:tcPr>
          <w:p w14:paraId="29E8FB68">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万元</w:t>
            </w:r>
          </w:p>
        </w:tc>
        <w:tc>
          <w:tcPr>
            <w:tcW w:w="1801" w:type="dxa"/>
            <w:tcBorders>
              <w:top w:val="nil"/>
              <w:left w:val="nil"/>
              <w:bottom w:val="single" w:color="auto" w:sz="4" w:space="0"/>
              <w:right w:val="single" w:color="auto" w:sz="4" w:space="0"/>
            </w:tcBorders>
            <w:vAlign w:val="center"/>
          </w:tcPr>
          <w:p w14:paraId="6A018870">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8000≤Z＜120000</w:t>
            </w:r>
          </w:p>
        </w:tc>
        <w:tc>
          <w:tcPr>
            <w:tcW w:w="1601" w:type="dxa"/>
            <w:tcBorders>
              <w:top w:val="nil"/>
              <w:left w:val="nil"/>
              <w:bottom w:val="single" w:color="auto" w:sz="4" w:space="0"/>
              <w:right w:val="single" w:color="auto" w:sz="4" w:space="0"/>
            </w:tcBorders>
            <w:vAlign w:val="center"/>
          </w:tcPr>
          <w:p w14:paraId="57DC31B6">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100≤Z＜8000</w:t>
            </w:r>
          </w:p>
        </w:tc>
        <w:tc>
          <w:tcPr>
            <w:tcW w:w="1028" w:type="dxa"/>
            <w:tcBorders>
              <w:top w:val="nil"/>
              <w:left w:val="nil"/>
              <w:bottom w:val="single" w:color="auto" w:sz="4" w:space="0"/>
              <w:right w:val="single" w:color="auto" w:sz="4" w:space="0"/>
            </w:tcBorders>
            <w:vAlign w:val="center"/>
          </w:tcPr>
          <w:p w14:paraId="356C0B14">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Y＜100</w:t>
            </w:r>
          </w:p>
        </w:tc>
      </w:tr>
      <w:tr w14:paraId="64E75D3B">
        <w:tblPrEx>
          <w:tblCellMar>
            <w:top w:w="0" w:type="dxa"/>
            <w:left w:w="108" w:type="dxa"/>
            <w:bottom w:w="0" w:type="dxa"/>
            <w:right w:w="108" w:type="dxa"/>
          </w:tblCellMar>
        </w:tblPrEx>
        <w:trPr>
          <w:trHeight w:val="371" w:hRule="atLeast"/>
          <w:jc w:val="center"/>
        </w:trPr>
        <w:tc>
          <w:tcPr>
            <w:tcW w:w="1892" w:type="dxa"/>
            <w:tcBorders>
              <w:top w:val="nil"/>
              <w:left w:val="single" w:color="auto" w:sz="4" w:space="0"/>
              <w:bottom w:val="single" w:color="auto" w:sz="4" w:space="0"/>
              <w:right w:val="single" w:color="auto" w:sz="4" w:space="0"/>
            </w:tcBorders>
            <w:vAlign w:val="center"/>
          </w:tcPr>
          <w:p w14:paraId="33DFC249">
            <w:pPr>
              <w:widowControl/>
              <w:jc w:val="center"/>
              <w:rPr>
                <w:rFonts w:hint="eastAsia" w:ascii="宋体" w:hAnsi="宋体" w:cs="宋体"/>
                <w:b/>
                <w:bCs/>
                <w:color w:val="auto"/>
                <w:kern w:val="0"/>
                <w:sz w:val="18"/>
                <w:szCs w:val="18"/>
              </w:rPr>
            </w:pPr>
            <w:r>
              <w:rPr>
                <w:rFonts w:hint="eastAsia" w:ascii="宋体" w:hAnsi="宋体" w:cs="宋体"/>
                <w:b/>
                <w:bCs/>
                <w:color w:val="auto"/>
                <w:kern w:val="0"/>
                <w:sz w:val="18"/>
                <w:szCs w:val="18"/>
              </w:rPr>
              <w:t>其他未列明行业</w:t>
            </w:r>
          </w:p>
        </w:tc>
        <w:tc>
          <w:tcPr>
            <w:tcW w:w="1538" w:type="dxa"/>
            <w:tcBorders>
              <w:top w:val="nil"/>
              <w:left w:val="nil"/>
              <w:bottom w:val="single" w:color="auto" w:sz="4" w:space="0"/>
              <w:right w:val="single" w:color="auto" w:sz="4" w:space="0"/>
            </w:tcBorders>
            <w:vAlign w:val="center"/>
          </w:tcPr>
          <w:p w14:paraId="2A2D35E6">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从业人员（X）</w:t>
            </w:r>
          </w:p>
        </w:tc>
        <w:tc>
          <w:tcPr>
            <w:tcW w:w="1015" w:type="dxa"/>
            <w:tcBorders>
              <w:top w:val="nil"/>
              <w:left w:val="nil"/>
              <w:bottom w:val="single" w:color="auto" w:sz="4" w:space="0"/>
              <w:right w:val="single" w:color="auto" w:sz="4" w:space="0"/>
            </w:tcBorders>
            <w:vAlign w:val="center"/>
          </w:tcPr>
          <w:p w14:paraId="2379880E">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人</w:t>
            </w:r>
          </w:p>
        </w:tc>
        <w:tc>
          <w:tcPr>
            <w:tcW w:w="1801" w:type="dxa"/>
            <w:tcBorders>
              <w:top w:val="nil"/>
              <w:left w:val="nil"/>
              <w:bottom w:val="single" w:color="auto" w:sz="4" w:space="0"/>
              <w:right w:val="single" w:color="auto" w:sz="4" w:space="0"/>
            </w:tcBorders>
            <w:vAlign w:val="center"/>
          </w:tcPr>
          <w:p w14:paraId="08655037">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100≤X＜300</w:t>
            </w:r>
          </w:p>
        </w:tc>
        <w:tc>
          <w:tcPr>
            <w:tcW w:w="1601" w:type="dxa"/>
            <w:tcBorders>
              <w:top w:val="nil"/>
              <w:left w:val="nil"/>
              <w:bottom w:val="single" w:color="auto" w:sz="4" w:space="0"/>
              <w:right w:val="single" w:color="auto" w:sz="4" w:space="0"/>
            </w:tcBorders>
            <w:vAlign w:val="center"/>
          </w:tcPr>
          <w:p w14:paraId="31C2FA44">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10≤X＜100</w:t>
            </w:r>
          </w:p>
        </w:tc>
        <w:tc>
          <w:tcPr>
            <w:tcW w:w="1028" w:type="dxa"/>
            <w:tcBorders>
              <w:top w:val="nil"/>
              <w:left w:val="nil"/>
              <w:bottom w:val="single" w:color="auto" w:sz="4" w:space="0"/>
              <w:right w:val="single" w:color="auto" w:sz="4" w:space="0"/>
            </w:tcBorders>
            <w:vAlign w:val="center"/>
          </w:tcPr>
          <w:p w14:paraId="2007C398">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X＜10</w:t>
            </w:r>
          </w:p>
        </w:tc>
      </w:tr>
    </w:tbl>
    <w:p w14:paraId="1AF0976C">
      <w:pPr>
        <w:pStyle w:val="22"/>
        <w:spacing w:line="500" w:lineRule="exact"/>
        <w:ind w:firstLine="420" w:firstLineChars="200"/>
        <w:jc w:val="left"/>
        <w:rPr>
          <w:rFonts w:hint="eastAsia" w:cs="Times New Roman"/>
          <w:color w:val="auto"/>
        </w:rPr>
      </w:pPr>
      <w:r>
        <w:rPr>
          <w:rFonts w:hint="eastAsia" w:cs="Times New Roman"/>
          <w:color w:val="auto"/>
        </w:rPr>
        <w:t>说明：上述标准参照《关于印发中小企业划型标准规定的通知》（工信部联企业[2011]300号），大型、中型和小型企业须同时满足所列指标的下限，否则下划一档；微型企业只须满足所列指标中的一项即可。</w:t>
      </w:r>
    </w:p>
    <w:p w14:paraId="1AEDCECC">
      <w:pPr>
        <w:pStyle w:val="22"/>
        <w:spacing w:line="500" w:lineRule="exact"/>
        <w:jc w:val="left"/>
        <w:rPr>
          <w:rFonts w:hint="eastAsia"/>
          <w:color w:val="auto"/>
        </w:rPr>
      </w:pPr>
    </w:p>
    <w:p w14:paraId="3023234E">
      <w:pPr>
        <w:spacing w:line="500" w:lineRule="exact"/>
        <w:rPr>
          <w:rFonts w:hint="eastAsia" w:ascii="宋体" w:hAnsi="宋体"/>
          <w:b/>
          <w:color w:val="auto"/>
          <w:szCs w:val="21"/>
        </w:rPr>
      </w:pPr>
      <w:r>
        <w:rPr>
          <w:rFonts w:hint="eastAsia"/>
          <w:color w:val="auto"/>
        </w:rPr>
        <w:br w:type="page"/>
      </w:r>
      <w:r>
        <w:rPr>
          <w:rFonts w:hint="eastAsia" w:ascii="宋体" w:hAnsi="宋体"/>
          <w:b/>
          <w:color w:val="auto"/>
          <w:szCs w:val="21"/>
        </w:rPr>
        <w:t>附件八</w:t>
      </w:r>
    </w:p>
    <w:p w14:paraId="4F0E2DD8">
      <w:pPr>
        <w:spacing w:line="500" w:lineRule="exact"/>
        <w:rPr>
          <w:rFonts w:hint="eastAsia" w:ascii="宋体" w:hAnsi="宋体"/>
          <w:b/>
          <w:color w:val="auto"/>
          <w:szCs w:val="21"/>
        </w:rPr>
      </w:pPr>
      <w:r>
        <w:rPr>
          <w:rFonts w:hint="eastAsia"/>
          <w:color w:val="auto"/>
        </w:rPr>
        <w:t>本国产品适用政府采购政策相关资料。</w:t>
      </w:r>
    </w:p>
    <w:p w14:paraId="6E018E62">
      <w:pPr>
        <w:spacing w:line="720" w:lineRule="auto"/>
        <w:jc w:val="center"/>
        <w:rPr>
          <w:rFonts w:hint="eastAsia" w:ascii="宋体" w:hAnsi="宋体" w:cs="宋体"/>
          <w:color w:val="auto"/>
          <w:sz w:val="28"/>
          <w:szCs w:val="28"/>
        </w:rPr>
      </w:pPr>
      <w:r>
        <w:rPr>
          <w:rFonts w:hint="eastAsia" w:ascii="宋体" w:hAnsi="宋体" w:cs="宋体"/>
          <w:color w:val="auto"/>
          <w:sz w:val="28"/>
          <w:szCs w:val="28"/>
        </w:rPr>
        <w:t>1）关于符合本国产品标准的声明函</w:t>
      </w:r>
    </w:p>
    <w:p w14:paraId="4CC03A6A">
      <w:pPr>
        <w:pStyle w:val="34"/>
        <w:shd w:val="clear" w:color="auto" w:fill="FFFFFF"/>
        <w:spacing w:before="0" w:beforeAutospacing="0" w:after="0" w:afterAutospacing="0" w:line="480" w:lineRule="exact"/>
        <w:ind w:firstLine="420" w:firstLineChars="200"/>
        <w:rPr>
          <w:rFonts w:hint="eastAsia" w:cs="宋体"/>
          <w:color w:val="auto"/>
          <w:sz w:val="21"/>
          <w:szCs w:val="21"/>
        </w:rPr>
      </w:pPr>
      <w:r>
        <w:rPr>
          <w:rFonts w:hint="eastAsia" w:cs="宋体"/>
          <w:color w:val="auto"/>
          <w:sz w:val="21"/>
          <w:szCs w:val="21"/>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058DD53E">
      <w:pPr>
        <w:pStyle w:val="34"/>
        <w:shd w:val="clear" w:color="auto" w:fill="FFFFFF"/>
        <w:spacing w:before="0" w:beforeAutospacing="0" w:after="0" w:afterAutospacing="0" w:line="480" w:lineRule="exact"/>
        <w:ind w:firstLine="420" w:firstLineChars="200"/>
        <w:rPr>
          <w:rFonts w:hint="eastAsia" w:cs="宋体"/>
          <w:color w:val="auto"/>
          <w:sz w:val="21"/>
          <w:szCs w:val="21"/>
        </w:rPr>
      </w:pPr>
      <w:r>
        <w:rPr>
          <w:rFonts w:hint="eastAsia" w:cs="宋体"/>
          <w:color w:val="auto"/>
          <w:sz w:val="21"/>
          <w:szCs w:val="21"/>
          <w:shd w:val="clear" w:color="auto" w:fill="FFFFFF"/>
        </w:rPr>
        <w:t>1.</w:t>
      </w:r>
      <w:r>
        <w:rPr>
          <w:rStyle w:val="44"/>
          <w:rFonts w:hint="eastAsia" w:cs="宋体"/>
          <w:i w:val="0"/>
          <w:color w:val="auto"/>
          <w:sz w:val="21"/>
          <w:szCs w:val="21"/>
          <w:shd w:val="clear" w:color="auto" w:fill="FFFFFF"/>
        </w:rPr>
        <w:t>（产品名称1）</w:t>
      </w:r>
      <w:r>
        <w:rPr>
          <w:rStyle w:val="44"/>
          <w:rFonts w:hint="eastAsia" w:cs="宋体"/>
          <w:i w:val="0"/>
          <w:color w:val="auto"/>
          <w:sz w:val="21"/>
          <w:szCs w:val="21"/>
          <w:shd w:val="clear" w:color="auto" w:fill="FFFFFF"/>
          <w:vertAlign w:val="superscript"/>
        </w:rPr>
        <w:t>1</w:t>
      </w:r>
      <w:r>
        <w:rPr>
          <w:rFonts w:hint="eastAsia" w:cs="宋体"/>
          <w:color w:val="auto"/>
          <w:sz w:val="21"/>
          <w:szCs w:val="21"/>
          <w:shd w:val="clear" w:color="auto" w:fill="FFFFFF"/>
        </w:rPr>
        <w:t>，生产厂为</w:t>
      </w:r>
      <w:r>
        <w:rPr>
          <w:rStyle w:val="44"/>
          <w:rFonts w:hint="eastAsia" w:cs="宋体"/>
          <w:i w:val="0"/>
          <w:color w:val="auto"/>
          <w:sz w:val="21"/>
          <w:szCs w:val="21"/>
          <w:shd w:val="clear" w:color="auto" w:fill="FFFFFF"/>
        </w:rPr>
        <w:t>（厂名）</w:t>
      </w:r>
      <w:r>
        <w:rPr>
          <w:rStyle w:val="44"/>
          <w:rFonts w:hint="eastAsia" w:cs="宋体"/>
          <w:i w:val="0"/>
          <w:color w:val="auto"/>
          <w:sz w:val="21"/>
          <w:szCs w:val="21"/>
          <w:shd w:val="clear" w:color="auto" w:fill="FFFFFF"/>
          <w:vertAlign w:val="superscript"/>
        </w:rPr>
        <w:t>2</w:t>
      </w:r>
      <w:r>
        <w:rPr>
          <w:rFonts w:hint="eastAsia" w:cs="宋体"/>
          <w:color w:val="auto"/>
          <w:sz w:val="21"/>
          <w:szCs w:val="21"/>
          <w:shd w:val="clear" w:color="auto" w:fill="FFFFFF"/>
        </w:rPr>
        <w:t>，厂址为</w:t>
      </w:r>
      <w:r>
        <w:rPr>
          <w:rStyle w:val="44"/>
          <w:rFonts w:hint="eastAsia" w:cs="宋体"/>
          <w:i w:val="0"/>
          <w:color w:val="auto"/>
          <w:sz w:val="21"/>
          <w:szCs w:val="21"/>
          <w:shd w:val="clear" w:color="auto" w:fill="FFFFFF"/>
        </w:rPr>
        <w:t>（生产厂址）</w:t>
      </w:r>
      <w:r>
        <w:rPr>
          <w:rFonts w:hint="eastAsia" w:cs="宋体"/>
          <w:color w:val="auto"/>
          <w:sz w:val="21"/>
          <w:szCs w:val="21"/>
          <w:shd w:val="clear" w:color="auto" w:fill="FFFFFF"/>
        </w:rPr>
        <w:t>。</w:t>
      </w:r>
      <w:r>
        <w:rPr>
          <w:rStyle w:val="44"/>
          <w:rFonts w:hint="eastAsia" w:cs="宋体"/>
          <w:i w:val="0"/>
          <w:color w:val="auto"/>
          <w:sz w:val="21"/>
          <w:szCs w:val="21"/>
          <w:shd w:val="clear" w:color="auto" w:fill="FFFFFF"/>
        </w:rPr>
        <w:t>（产品名称1）</w:t>
      </w:r>
      <w:r>
        <w:rPr>
          <w:rFonts w:hint="eastAsia" w:cs="宋体"/>
          <w:color w:val="auto"/>
          <w:sz w:val="21"/>
          <w:szCs w:val="21"/>
          <w:shd w:val="clear" w:color="auto" w:fill="FFFFFF"/>
        </w:rPr>
        <w:t>的中国境内生产的组件成本占比≥</w:t>
      </w:r>
      <w:r>
        <w:rPr>
          <w:rStyle w:val="44"/>
          <w:rFonts w:hint="eastAsia" w:cs="宋体"/>
          <w:i w:val="0"/>
          <w:color w:val="auto"/>
          <w:sz w:val="21"/>
          <w:szCs w:val="21"/>
          <w:shd w:val="clear" w:color="auto" w:fill="FFFFFF"/>
        </w:rPr>
        <w:t>（规定比例）</w:t>
      </w:r>
      <w:r>
        <w:rPr>
          <w:rStyle w:val="44"/>
          <w:rFonts w:hint="eastAsia" w:cs="宋体"/>
          <w:i w:val="0"/>
          <w:color w:val="auto"/>
          <w:sz w:val="21"/>
          <w:szCs w:val="21"/>
          <w:shd w:val="clear" w:color="auto" w:fill="FFFFFF"/>
          <w:vertAlign w:val="superscript"/>
        </w:rPr>
        <w:t>3</w:t>
      </w:r>
      <w:r>
        <w:rPr>
          <w:rFonts w:hint="eastAsia" w:cs="宋体"/>
          <w:color w:val="auto"/>
          <w:sz w:val="21"/>
          <w:szCs w:val="21"/>
          <w:shd w:val="clear" w:color="auto" w:fill="FFFFFF"/>
        </w:rPr>
        <w:t>。</w:t>
      </w:r>
      <w:r>
        <w:rPr>
          <w:rStyle w:val="44"/>
          <w:rFonts w:hint="eastAsia" w:cs="宋体"/>
          <w:i w:val="0"/>
          <w:color w:val="auto"/>
          <w:sz w:val="21"/>
          <w:szCs w:val="21"/>
          <w:shd w:val="clear" w:color="auto" w:fill="FFFFFF"/>
        </w:rPr>
        <w:t>（产品名称1）</w:t>
      </w:r>
      <w:r>
        <w:rPr>
          <w:rFonts w:hint="eastAsia" w:cs="宋体"/>
          <w:color w:val="auto"/>
          <w:sz w:val="21"/>
          <w:szCs w:val="21"/>
          <w:shd w:val="clear" w:color="auto" w:fill="FFFFFF"/>
        </w:rPr>
        <w:t>的</w:t>
      </w:r>
      <w:r>
        <w:rPr>
          <w:rStyle w:val="44"/>
          <w:rFonts w:hint="eastAsia" w:cs="宋体"/>
          <w:i w:val="0"/>
          <w:color w:val="auto"/>
          <w:sz w:val="21"/>
          <w:szCs w:val="21"/>
          <w:shd w:val="clear" w:color="auto" w:fill="FFFFFF"/>
        </w:rPr>
        <w:t>（关键组件）</w:t>
      </w:r>
      <w:r>
        <w:rPr>
          <w:rStyle w:val="44"/>
          <w:rFonts w:hint="eastAsia" w:cs="宋体"/>
          <w:i w:val="0"/>
          <w:color w:val="auto"/>
          <w:sz w:val="21"/>
          <w:szCs w:val="21"/>
          <w:shd w:val="clear" w:color="auto" w:fill="FFFFFF"/>
          <w:vertAlign w:val="superscript"/>
        </w:rPr>
        <w:t>4</w:t>
      </w:r>
      <w:r>
        <w:rPr>
          <w:rFonts w:hint="eastAsia" w:cs="宋体"/>
          <w:color w:val="auto"/>
          <w:sz w:val="21"/>
          <w:szCs w:val="21"/>
          <w:shd w:val="clear" w:color="auto" w:fill="FFFFFF"/>
        </w:rPr>
        <w:t>在中国境内生产。</w:t>
      </w:r>
      <w:r>
        <w:rPr>
          <w:rStyle w:val="44"/>
          <w:rFonts w:hint="eastAsia" w:cs="宋体"/>
          <w:i w:val="0"/>
          <w:color w:val="auto"/>
          <w:sz w:val="21"/>
          <w:szCs w:val="21"/>
          <w:shd w:val="clear" w:color="auto" w:fill="FFFFFF"/>
        </w:rPr>
        <w:t>（产品名称1）</w:t>
      </w:r>
      <w:r>
        <w:rPr>
          <w:rFonts w:hint="eastAsia" w:cs="宋体"/>
          <w:color w:val="auto"/>
          <w:sz w:val="21"/>
          <w:szCs w:val="21"/>
          <w:shd w:val="clear" w:color="auto" w:fill="FFFFFF"/>
        </w:rPr>
        <w:t>的</w:t>
      </w:r>
      <w:r>
        <w:rPr>
          <w:rStyle w:val="44"/>
          <w:rFonts w:hint="eastAsia" w:cs="宋体"/>
          <w:i w:val="0"/>
          <w:color w:val="auto"/>
          <w:sz w:val="21"/>
          <w:szCs w:val="21"/>
          <w:shd w:val="clear" w:color="auto" w:fill="FFFFFF"/>
        </w:rPr>
        <w:t>（关键工序）</w:t>
      </w:r>
      <w:r>
        <w:rPr>
          <w:rStyle w:val="44"/>
          <w:rFonts w:hint="eastAsia" w:cs="宋体"/>
          <w:i w:val="0"/>
          <w:color w:val="auto"/>
          <w:sz w:val="21"/>
          <w:szCs w:val="21"/>
          <w:shd w:val="clear" w:color="auto" w:fill="FFFFFF"/>
          <w:vertAlign w:val="superscript"/>
        </w:rPr>
        <w:t>5</w:t>
      </w:r>
      <w:r>
        <w:rPr>
          <w:rFonts w:hint="eastAsia" w:cs="宋体"/>
          <w:color w:val="auto"/>
          <w:sz w:val="21"/>
          <w:szCs w:val="21"/>
          <w:shd w:val="clear" w:color="auto" w:fill="FFFFFF"/>
        </w:rPr>
        <w:t>在中国境内完成。</w:t>
      </w:r>
    </w:p>
    <w:p w14:paraId="2D3A721B">
      <w:pPr>
        <w:pStyle w:val="34"/>
        <w:shd w:val="clear" w:color="auto" w:fill="FFFFFF"/>
        <w:spacing w:before="0" w:beforeAutospacing="0" w:after="0" w:afterAutospacing="0" w:line="480" w:lineRule="exact"/>
        <w:ind w:firstLine="420" w:firstLineChars="200"/>
        <w:rPr>
          <w:rFonts w:hint="eastAsia" w:cs="宋体"/>
          <w:color w:val="auto"/>
          <w:sz w:val="21"/>
          <w:szCs w:val="21"/>
        </w:rPr>
      </w:pPr>
      <w:r>
        <w:rPr>
          <w:rFonts w:hint="eastAsia" w:cs="宋体"/>
          <w:color w:val="auto"/>
          <w:sz w:val="21"/>
          <w:szCs w:val="21"/>
          <w:shd w:val="clear" w:color="auto" w:fill="FFFFFF"/>
        </w:rPr>
        <w:t>2.</w:t>
      </w:r>
      <w:r>
        <w:rPr>
          <w:rStyle w:val="44"/>
          <w:rFonts w:hint="eastAsia" w:cs="宋体"/>
          <w:i w:val="0"/>
          <w:color w:val="auto"/>
          <w:sz w:val="21"/>
          <w:szCs w:val="21"/>
          <w:shd w:val="clear" w:color="auto" w:fill="FFFFFF"/>
        </w:rPr>
        <w:t>（产品名称2）</w:t>
      </w:r>
      <w:r>
        <w:rPr>
          <w:rFonts w:hint="eastAsia" w:cs="宋体"/>
          <w:color w:val="auto"/>
          <w:sz w:val="21"/>
          <w:szCs w:val="21"/>
          <w:shd w:val="clear" w:color="auto" w:fill="FFFFFF"/>
        </w:rPr>
        <w:t>，生产厂为</w:t>
      </w:r>
      <w:r>
        <w:rPr>
          <w:rStyle w:val="44"/>
          <w:rFonts w:hint="eastAsia" w:cs="宋体"/>
          <w:i w:val="0"/>
          <w:color w:val="auto"/>
          <w:sz w:val="21"/>
          <w:szCs w:val="21"/>
          <w:shd w:val="clear" w:color="auto" w:fill="FFFFFF"/>
        </w:rPr>
        <w:t>（厂名）</w:t>
      </w:r>
      <w:r>
        <w:rPr>
          <w:rFonts w:hint="eastAsia" w:cs="宋体"/>
          <w:color w:val="auto"/>
          <w:sz w:val="21"/>
          <w:szCs w:val="21"/>
          <w:shd w:val="clear" w:color="auto" w:fill="FFFFFF"/>
        </w:rPr>
        <w:t>，厂址为</w:t>
      </w:r>
      <w:r>
        <w:rPr>
          <w:rStyle w:val="44"/>
          <w:rFonts w:hint="eastAsia" w:cs="宋体"/>
          <w:i w:val="0"/>
          <w:color w:val="auto"/>
          <w:sz w:val="21"/>
          <w:szCs w:val="21"/>
          <w:shd w:val="clear" w:color="auto" w:fill="FFFFFF"/>
        </w:rPr>
        <w:t>（生产厂址）</w:t>
      </w:r>
      <w:r>
        <w:rPr>
          <w:rFonts w:hint="eastAsia" w:cs="宋体"/>
          <w:color w:val="auto"/>
          <w:sz w:val="21"/>
          <w:szCs w:val="21"/>
          <w:shd w:val="clear" w:color="auto" w:fill="FFFFFF"/>
        </w:rPr>
        <w:t>。</w:t>
      </w:r>
      <w:r>
        <w:rPr>
          <w:rStyle w:val="44"/>
          <w:rFonts w:hint="eastAsia" w:cs="宋体"/>
          <w:i w:val="0"/>
          <w:color w:val="auto"/>
          <w:sz w:val="21"/>
          <w:szCs w:val="21"/>
          <w:shd w:val="clear" w:color="auto" w:fill="FFFFFF"/>
        </w:rPr>
        <w:t>（产品名称2）</w:t>
      </w:r>
      <w:r>
        <w:rPr>
          <w:rFonts w:hint="eastAsia" w:cs="宋体"/>
          <w:color w:val="auto"/>
          <w:sz w:val="21"/>
          <w:szCs w:val="21"/>
          <w:shd w:val="clear" w:color="auto" w:fill="FFFFFF"/>
        </w:rPr>
        <w:t>的中国境内生产的组件成本占比≥</w:t>
      </w:r>
      <w:r>
        <w:rPr>
          <w:rStyle w:val="44"/>
          <w:rFonts w:hint="eastAsia" w:cs="宋体"/>
          <w:i w:val="0"/>
          <w:color w:val="auto"/>
          <w:sz w:val="21"/>
          <w:szCs w:val="21"/>
          <w:shd w:val="clear" w:color="auto" w:fill="FFFFFF"/>
        </w:rPr>
        <w:t>（规定比例）</w:t>
      </w:r>
      <w:r>
        <w:rPr>
          <w:rFonts w:hint="eastAsia" w:cs="宋体"/>
          <w:color w:val="auto"/>
          <w:sz w:val="21"/>
          <w:szCs w:val="21"/>
          <w:shd w:val="clear" w:color="auto" w:fill="FFFFFF"/>
        </w:rPr>
        <w:t>。</w:t>
      </w:r>
      <w:r>
        <w:rPr>
          <w:rStyle w:val="44"/>
          <w:rFonts w:hint="eastAsia" w:cs="宋体"/>
          <w:i w:val="0"/>
          <w:color w:val="auto"/>
          <w:sz w:val="21"/>
          <w:szCs w:val="21"/>
          <w:shd w:val="clear" w:color="auto" w:fill="FFFFFF"/>
        </w:rPr>
        <w:t>（产品名称2）</w:t>
      </w:r>
      <w:r>
        <w:rPr>
          <w:rFonts w:hint="eastAsia" w:cs="宋体"/>
          <w:color w:val="auto"/>
          <w:sz w:val="21"/>
          <w:szCs w:val="21"/>
          <w:shd w:val="clear" w:color="auto" w:fill="FFFFFF"/>
        </w:rPr>
        <w:t>的</w:t>
      </w:r>
      <w:r>
        <w:rPr>
          <w:rStyle w:val="44"/>
          <w:rFonts w:hint="eastAsia" w:cs="宋体"/>
          <w:i w:val="0"/>
          <w:color w:val="auto"/>
          <w:sz w:val="21"/>
          <w:szCs w:val="21"/>
          <w:shd w:val="clear" w:color="auto" w:fill="FFFFFF"/>
        </w:rPr>
        <w:t>（关键组件）</w:t>
      </w:r>
      <w:r>
        <w:rPr>
          <w:rFonts w:hint="eastAsia" w:cs="宋体"/>
          <w:color w:val="auto"/>
          <w:sz w:val="21"/>
          <w:szCs w:val="21"/>
          <w:shd w:val="clear" w:color="auto" w:fill="FFFFFF"/>
        </w:rPr>
        <w:t>在中国境内生产。</w:t>
      </w:r>
      <w:r>
        <w:rPr>
          <w:rStyle w:val="44"/>
          <w:rFonts w:hint="eastAsia" w:cs="宋体"/>
          <w:i w:val="0"/>
          <w:color w:val="auto"/>
          <w:sz w:val="21"/>
          <w:szCs w:val="21"/>
          <w:shd w:val="clear" w:color="auto" w:fill="FFFFFF"/>
        </w:rPr>
        <w:t>（产品名称2）</w:t>
      </w:r>
      <w:r>
        <w:rPr>
          <w:rFonts w:hint="eastAsia" w:cs="宋体"/>
          <w:color w:val="auto"/>
          <w:sz w:val="21"/>
          <w:szCs w:val="21"/>
          <w:shd w:val="clear" w:color="auto" w:fill="FFFFFF"/>
        </w:rPr>
        <w:t>的</w:t>
      </w:r>
      <w:r>
        <w:rPr>
          <w:rStyle w:val="44"/>
          <w:rFonts w:hint="eastAsia" w:cs="宋体"/>
          <w:i w:val="0"/>
          <w:color w:val="auto"/>
          <w:sz w:val="21"/>
          <w:szCs w:val="21"/>
          <w:shd w:val="clear" w:color="auto" w:fill="FFFFFF"/>
        </w:rPr>
        <w:t>（关键工序）</w:t>
      </w:r>
      <w:r>
        <w:rPr>
          <w:rFonts w:hint="eastAsia" w:cs="宋体"/>
          <w:color w:val="auto"/>
          <w:sz w:val="21"/>
          <w:szCs w:val="21"/>
          <w:shd w:val="clear" w:color="auto" w:fill="FFFFFF"/>
        </w:rPr>
        <w:t>在中国境内完成。</w:t>
      </w:r>
    </w:p>
    <w:p w14:paraId="363853B2">
      <w:pPr>
        <w:pStyle w:val="34"/>
        <w:shd w:val="clear" w:color="auto" w:fill="FFFFFF"/>
        <w:spacing w:before="0" w:beforeAutospacing="0" w:after="0" w:afterAutospacing="0" w:line="480" w:lineRule="exact"/>
        <w:ind w:firstLine="420" w:firstLineChars="200"/>
        <w:rPr>
          <w:rFonts w:hint="eastAsia" w:cs="宋体"/>
          <w:color w:val="auto"/>
          <w:sz w:val="21"/>
          <w:szCs w:val="21"/>
        </w:rPr>
      </w:pPr>
      <w:r>
        <w:rPr>
          <w:rFonts w:hint="eastAsia" w:cs="宋体"/>
          <w:color w:val="auto"/>
          <w:sz w:val="21"/>
          <w:szCs w:val="21"/>
          <w:shd w:val="clear" w:color="auto" w:fill="FFFFFF"/>
        </w:rPr>
        <w:t>……</w:t>
      </w:r>
    </w:p>
    <w:p w14:paraId="29EF9DFF">
      <w:pPr>
        <w:pStyle w:val="34"/>
        <w:shd w:val="clear" w:color="auto" w:fill="FFFFFF"/>
        <w:spacing w:before="0" w:beforeAutospacing="0" w:after="0" w:afterAutospacing="0" w:line="480" w:lineRule="exact"/>
        <w:ind w:firstLine="420" w:firstLineChars="200"/>
        <w:rPr>
          <w:rFonts w:hint="eastAsia" w:cs="宋体"/>
          <w:color w:val="auto"/>
          <w:sz w:val="21"/>
          <w:szCs w:val="21"/>
        </w:rPr>
      </w:pPr>
      <w:r>
        <w:rPr>
          <w:rFonts w:hint="eastAsia" w:cs="宋体"/>
          <w:color w:val="auto"/>
          <w:sz w:val="21"/>
          <w:szCs w:val="21"/>
          <w:shd w:val="clear" w:color="auto" w:fill="FFFFFF"/>
        </w:rPr>
        <w:t>本公司（单位）对上述声明内容的真实性负责。如有虚假，愿承担相应法律责任。</w:t>
      </w:r>
    </w:p>
    <w:p w14:paraId="688CFA4E">
      <w:pPr>
        <w:pStyle w:val="34"/>
        <w:shd w:val="clear" w:color="auto" w:fill="FFFFFF"/>
        <w:spacing w:before="0" w:beforeAutospacing="0" w:after="0" w:afterAutospacing="0" w:line="480" w:lineRule="exact"/>
        <w:ind w:firstLine="420" w:firstLineChars="200"/>
        <w:rPr>
          <w:rFonts w:hint="eastAsia" w:cs="宋体"/>
          <w:color w:val="auto"/>
          <w:sz w:val="21"/>
          <w:szCs w:val="21"/>
          <w:shd w:val="clear" w:color="auto" w:fill="FFFFFF"/>
        </w:rPr>
      </w:pPr>
    </w:p>
    <w:p w14:paraId="036B64CC">
      <w:pPr>
        <w:pStyle w:val="34"/>
        <w:shd w:val="clear" w:color="auto" w:fill="FFFFFF"/>
        <w:spacing w:before="0" w:beforeAutospacing="0" w:after="0" w:afterAutospacing="0" w:line="480" w:lineRule="exact"/>
        <w:ind w:firstLine="420" w:firstLineChars="200"/>
        <w:rPr>
          <w:rFonts w:hint="eastAsia" w:cs="宋体"/>
          <w:color w:val="auto"/>
          <w:sz w:val="21"/>
          <w:szCs w:val="21"/>
        </w:rPr>
      </w:pPr>
      <w:r>
        <w:rPr>
          <w:rFonts w:hint="eastAsia" w:cs="宋体"/>
          <w:color w:val="auto"/>
          <w:sz w:val="21"/>
          <w:szCs w:val="21"/>
          <w:shd w:val="clear" w:color="auto" w:fill="FFFFFF"/>
        </w:rPr>
        <w:t>公司（单位）名称（盖章）：      </w:t>
      </w:r>
    </w:p>
    <w:p w14:paraId="4A068D26">
      <w:pPr>
        <w:pStyle w:val="34"/>
        <w:shd w:val="clear" w:color="auto" w:fill="FFFFFF"/>
        <w:spacing w:before="0" w:beforeAutospacing="0" w:after="0" w:afterAutospacing="0" w:line="480" w:lineRule="exact"/>
        <w:ind w:firstLine="420" w:firstLineChars="200"/>
        <w:rPr>
          <w:rFonts w:hint="eastAsia" w:cs="宋体"/>
          <w:color w:val="auto"/>
          <w:sz w:val="21"/>
          <w:szCs w:val="21"/>
        </w:rPr>
      </w:pPr>
      <w:r>
        <w:rPr>
          <w:rFonts w:hint="eastAsia" w:cs="宋体"/>
          <w:color w:val="auto"/>
          <w:sz w:val="21"/>
          <w:szCs w:val="21"/>
          <w:shd w:val="clear" w:color="auto" w:fill="FFFFFF"/>
        </w:rPr>
        <w:t>日期：　　　年　　月　日    </w:t>
      </w:r>
    </w:p>
    <w:p w14:paraId="7861B6A1">
      <w:pPr>
        <w:spacing w:line="400" w:lineRule="exact"/>
        <w:ind w:firstLine="420" w:firstLineChars="200"/>
        <w:jc w:val="left"/>
        <w:rPr>
          <w:rFonts w:hint="eastAsia" w:ascii="宋体" w:hAnsi="宋体" w:cs="宋体"/>
          <w:color w:val="auto"/>
          <w:szCs w:val="21"/>
        </w:rPr>
      </w:pPr>
    </w:p>
    <w:p w14:paraId="57A837CC">
      <w:pPr>
        <w:spacing w:line="400" w:lineRule="exact"/>
        <w:ind w:firstLine="420" w:firstLineChars="200"/>
        <w:jc w:val="left"/>
        <w:rPr>
          <w:rFonts w:hint="eastAsia" w:ascii="宋体" w:hAnsi="宋体" w:cs="宋体"/>
          <w:color w:val="auto"/>
          <w:szCs w:val="21"/>
        </w:rPr>
      </w:pPr>
    </w:p>
    <w:p w14:paraId="6B7169F1">
      <w:pPr>
        <w:spacing w:line="480" w:lineRule="exact"/>
        <w:ind w:firstLine="420" w:firstLineChars="200"/>
        <w:jc w:val="left"/>
        <w:rPr>
          <w:rFonts w:hint="eastAsia" w:ascii="宋体" w:hAnsi="宋体" w:cs="宋体"/>
          <w:color w:val="auto"/>
          <w:szCs w:val="21"/>
        </w:rPr>
      </w:pPr>
      <w:r>
        <w:rPr>
          <w:rFonts w:hint="eastAsia" w:ascii="宋体" w:hAnsi="宋体" w:cs="宋体"/>
          <w:color w:val="auto"/>
          <w:szCs w:val="21"/>
        </w:rPr>
        <w:t xml:space="preserve">关于符合本国产品标准的声明函说明： </w:t>
      </w:r>
    </w:p>
    <w:p w14:paraId="78FA44C6">
      <w:pPr>
        <w:pStyle w:val="34"/>
        <w:shd w:val="clear" w:color="auto" w:fill="FFFFFF"/>
        <w:spacing w:before="0" w:beforeAutospacing="0" w:after="0" w:afterAutospacing="0" w:line="480" w:lineRule="exact"/>
        <w:ind w:firstLine="420"/>
        <w:rPr>
          <w:rFonts w:hint="eastAsia" w:cs="宋体"/>
          <w:color w:val="auto"/>
          <w:sz w:val="21"/>
          <w:szCs w:val="21"/>
        </w:rPr>
      </w:pPr>
      <w:r>
        <w:rPr>
          <w:rFonts w:hint="eastAsia" w:cs="宋体"/>
          <w:color w:val="auto"/>
          <w:sz w:val="21"/>
          <w:szCs w:val="21"/>
          <w:shd w:val="clear" w:color="auto" w:fill="FFFFFF"/>
        </w:rPr>
        <w:t>1.产品如有型号，请在“产品名称”栏一并填写。</w:t>
      </w:r>
    </w:p>
    <w:p w14:paraId="342D5472">
      <w:pPr>
        <w:pStyle w:val="34"/>
        <w:shd w:val="clear" w:color="auto" w:fill="FFFFFF"/>
        <w:spacing w:before="0" w:beforeAutospacing="0" w:after="0" w:afterAutospacing="0" w:line="480" w:lineRule="exact"/>
        <w:ind w:firstLine="420"/>
        <w:rPr>
          <w:rFonts w:hint="eastAsia" w:cs="宋体"/>
          <w:color w:val="auto"/>
          <w:sz w:val="21"/>
          <w:szCs w:val="21"/>
        </w:rPr>
      </w:pPr>
      <w:r>
        <w:rPr>
          <w:rFonts w:hint="eastAsia" w:cs="宋体"/>
          <w:color w:val="auto"/>
          <w:sz w:val="21"/>
          <w:szCs w:val="21"/>
          <w:shd w:val="clear" w:color="auto" w:fill="FFFFFF"/>
        </w:rPr>
        <w:t>2.生产厂名与厂址应与生产厂营业执照载明的相关信息保持一致。</w:t>
      </w:r>
    </w:p>
    <w:p w14:paraId="4A0D5E46">
      <w:pPr>
        <w:pStyle w:val="34"/>
        <w:shd w:val="clear" w:color="auto" w:fill="FFFFFF"/>
        <w:spacing w:before="0" w:beforeAutospacing="0" w:after="0" w:afterAutospacing="0" w:line="480" w:lineRule="exact"/>
        <w:ind w:firstLine="420"/>
        <w:rPr>
          <w:rFonts w:hint="eastAsia" w:cs="宋体"/>
          <w:color w:val="auto"/>
          <w:sz w:val="21"/>
          <w:szCs w:val="21"/>
        </w:rPr>
      </w:pPr>
      <w:r>
        <w:rPr>
          <w:rFonts w:hint="eastAsia" w:cs="宋体"/>
          <w:color w:val="auto"/>
          <w:sz w:val="21"/>
          <w:szCs w:val="21"/>
          <w:shd w:val="clear" w:color="auto" w:fill="FFFFFF"/>
        </w:rPr>
        <w:t>3.该产品的中国境内生产的组件成本占比相关要求实施前，“规定比例”栏可不填，下同。</w:t>
      </w:r>
    </w:p>
    <w:p w14:paraId="7DE67A7E">
      <w:pPr>
        <w:pStyle w:val="34"/>
        <w:shd w:val="clear" w:color="auto" w:fill="FFFFFF"/>
        <w:spacing w:before="0" w:beforeAutospacing="0" w:after="0" w:afterAutospacing="0" w:line="480" w:lineRule="exact"/>
        <w:ind w:firstLine="420"/>
        <w:rPr>
          <w:rFonts w:hint="eastAsia" w:cs="宋体"/>
          <w:color w:val="auto"/>
          <w:sz w:val="21"/>
          <w:szCs w:val="21"/>
        </w:rPr>
      </w:pPr>
      <w:r>
        <w:rPr>
          <w:rFonts w:hint="eastAsia" w:cs="宋体"/>
          <w:color w:val="auto"/>
          <w:sz w:val="21"/>
          <w:szCs w:val="21"/>
          <w:shd w:val="clear" w:color="auto" w:fill="FFFFFF"/>
        </w:rPr>
        <w:t>4.该产品的关键组件要求实施前，“关键组件”栏可不填，下同。</w:t>
      </w:r>
    </w:p>
    <w:p w14:paraId="0DF63687">
      <w:pPr>
        <w:pStyle w:val="34"/>
        <w:shd w:val="clear" w:color="auto" w:fill="FFFFFF"/>
        <w:spacing w:before="0" w:beforeAutospacing="0" w:after="0" w:afterAutospacing="0" w:line="480" w:lineRule="exact"/>
        <w:ind w:firstLine="420"/>
        <w:rPr>
          <w:rFonts w:hint="eastAsia" w:cs="宋体"/>
          <w:color w:val="auto"/>
          <w:sz w:val="21"/>
          <w:szCs w:val="21"/>
        </w:rPr>
      </w:pPr>
      <w:r>
        <w:rPr>
          <w:rFonts w:hint="eastAsia" w:cs="宋体"/>
          <w:color w:val="auto"/>
          <w:sz w:val="21"/>
          <w:szCs w:val="21"/>
          <w:shd w:val="clear" w:color="auto" w:fill="FFFFFF"/>
        </w:rPr>
        <w:t>5.该产品的关键工序要求实施前，“关键工序”栏可不填，下同。</w:t>
      </w:r>
    </w:p>
    <w:p w14:paraId="39968B2C">
      <w:pPr>
        <w:spacing w:line="720" w:lineRule="auto"/>
        <w:jc w:val="center"/>
        <w:rPr>
          <w:rFonts w:hint="eastAsia" w:ascii="宋体" w:hAnsi="宋体" w:cs="宋体"/>
          <w:b/>
          <w:bCs/>
          <w:color w:val="auto"/>
          <w:sz w:val="28"/>
          <w:szCs w:val="28"/>
        </w:rPr>
      </w:pPr>
      <w:r>
        <w:rPr>
          <w:color w:val="auto"/>
        </w:rPr>
        <w:br w:type="page"/>
      </w:r>
      <w:r>
        <w:rPr>
          <w:rFonts w:hint="eastAsia" w:ascii="宋体" w:hAnsi="宋体" w:cs="宋体"/>
          <w:b/>
          <w:bCs/>
          <w:color w:val="auto"/>
          <w:sz w:val="28"/>
          <w:szCs w:val="28"/>
        </w:rPr>
        <w:t>2）</w:t>
      </w:r>
      <w:r>
        <w:rPr>
          <w:rFonts w:ascii="宋体" w:hAnsi="宋体" w:cs="宋体"/>
          <w:b/>
          <w:bCs/>
          <w:color w:val="auto"/>
          <w:sz w:val="28"/>
          <w:szCs w:val="28"/>
        </w:rPr>
        <w:t>关于本国产品比例的承诺函（如适用）</w:t>
      </w:r>
    </w:p>
    <w:p w14:paraId="5F65DE51">
      <w:pPr>
        <w:spacing w:line="400" w:lineRule="exact"/>
        <w:ind w:firstLine="420" w:firstLineChars="200"/>
        <w:jc w:val="left"/>
        <w:rPr>
          <w:rFonts w:hint="eastAsia" w:ascii="宋体" w:hAnsi="宋体" w:cs="宋体"/>
          <w:color w:val="auto"/>
          <w:kern w:val="0"/>
          <w:szCs w:val="21"/>
          <w:shd w:val="clear" w:color="auto" w:fill="FFFFFF"/>
        </w:rPr>
      </w:pPr>
      <w:r>
        <w:rPr>
          <w:rFonts w:hint="eastAsia" w:ascii="宋体" w:hAnsi="宋体" w:cs="宋体"/>
          <w:color w:val="auto"/>
          <w:kern w:val="0"/>
          <w:szCs w:val="21"/>
          <w:shd w:val="clear" w:color="auto" w:fill="FFFFFF"/>
        </w:rPr>
        <w:t>本公司(单位)郑重声明，根据《国务院办公厅关于在政府采购中实施本国产品标准及相关政策的通知》(国办发(2025)34号)的规定，本公司(单位)提供的符合本国产品标准的产品成本之和占提供的全部产品成本之和的比例达到 80%以上。</w:t>
      </w:r>
    </w:p>
    <w:p w14:paraId="620EA044">
      <w:pPr>
        <w:spacing w:line="400" w:lineRule="exact"/>
        <w:ind w:firstLine="420" w:firstLineChars="200"/>
        <w:jc w:val="left"/>
        <w:rPr>
          <w:rFonts w:hint="eastAsia" w:ascii="宋体" w:hAnsi="宋体" w:cs="宋体"/>
          <w:color w:val="auto"/>
          <w:kern w:val="0"/>
          <w:szCs w:val="21"/>
          <w:shd w:val="clear" w:color="auto" w:fill="FFFFFF"/>
        </w:rPr>
      </w:pPr>
      <w:r>
        <w:rPr>
          <w:rFonts w:hint="eastAsia" w:ascii="宋体" w:hAnsi="宋体" w:cs="宋体"/>
          <w:color w:val="auto"/>
          <w:kern w:val="0"/>
          <w:szCs w:val="21"/>
          <w:shd w:val="clear" w:color="auto" w:fill="FFFFFF"/>
        </w:rPr>
        <w:t>本公司(单位)对上述承诺内容的真实性负责。如有虚假，愿承担相应法律责任。</w:t>
      </w:r>
    </w:p>
    <w:p w14:paraId="66273E8C">
      <w:pPr>
        <w:pStyle w:val="34"/>
        <w:shd w:val="clear" w:color="auto" w:fill="FFFFFF"/>
        <w:spacing w:before="0" w:beforeAutospacing="0" w:after="0" w:afterAutospacing="0" w:line="480" w:lineRule="exact"/>
        <w:rPr>
          <w:rFonts w:hint="eastAsia" w:cs="宋体"/>
          <w:color w:val="auto"/>
          <w:sz w:val="21"/>
          <w:szCs w:val="21"/>
          <w:shd w:val="clear" w:color="auto" w:fill="FFFFFF"/>
        </w:rPr>
      </w:pPr>
    </w:p>
    <w:p w14:paraId="0A9765A4">
      <w:pPr>
        <w:pStyle w:val="34"/>
        <w:shd w:val="clear" w:color="auto" w:fill="FFFFFF"/>
        <w:spacing w:before="0" w:beforeAutospacing="0" w:after="0" w:afterAutospacing="0" w:line="480" w:lineRule="exact"/>
        <w:ind w:firstLine="210" w:firstLineChars="100"/>
        <w:rPr>
          <w:rFonts w:hint="eastAsia" w:cs="宋体"/>
          <w:color w:val="auto"/>
          <w:sz w:val="21"/>
          <w:szCs w:val="21"/>
        </w:rPr>
      </w:pPr>
      <w:r>
        <w:rPr>
          <w:rFonts w:hint="eastAsia" w:cs="宋体"/>
          <w:color w:val="auto"/>
          <w:sz w:val="21"/>
          <w:szCs w:val="21"/>
          <w:shd w:val="clear" w:color="auto" w:fill="FFFFFF"/>
        </w:rPr>
        <w:t>公司（单位）名称（盖章）：      </w:t>
      </w:r>
    </w:p>
    <w:p w14:paraId="6D2303D1">
      <w:pPr>
        <w:spacing w:line="720" w:lineRule="auto"/>
        <w:ind w:firstLine="210" w:firstLineChars="100"/>
        <w:rPr>
          <w:rFonts w:hint="eastAsia" w:ascii="宋体" w:hAnsi="宋体" w:cs="宋体"/>
          <w:color w:val="auto"/>
          <w:sz w:val="24"/>
        </w:rPr>
      </w:pPr>
      <w:r>
        <w:rPr>
          <w:rFonts w:hint="eastAsia" w:ascii="宋体" w:hAnsi="宋体" w:cs="宋体"/>
          <w:color w:val="auto"/>
          <w:szCs w:val="21"/>
          <w:shd w:val="clear" w:color="auto" w:fill="FFFFFF"/>
        </w:rPr>
        <w:t>日期：　　　年　　 月 　日   </w:t>
      </w:r>
    </w:p>
    <w:p w14:paraId="73564E73">
      <w:pPr>
        <w:rPr>
          <w:color w:val="auto"/>
        </w:rPr>
      </w:pPr>
      <w:r>
        <w:rPr>
          <w:rFonts w:hint="eastAsia" w:ascii="宋体" w:hAnsi="宋体" w:cs="宋体"/>
          <w:color w:val="auto"/>
          <w:kern w:val="0"/>
          <w:szCs w:val="21"/>
          <w:shd w:val="clear" w:color="auto" w:fill="FFFFFF"/>
        </w:rPr>
        <w:t>注：当采购项目或采购包中含有多种产品，符合有关政策的，供应商还应当提供本承诺函。</w:t>
      </w:r>
    </w:p>
    <w:p w14:paraId="510C96C6">
      <w:pPr>
        <w:spacing w:line="500" w:lineRule="exact"/>
        <w:rPr>
          <w:color w:val="auto"/>
          <w:kern w:val="0"/>
        </w:rPr>
      </w:pPr>
    </w:p>
    <w:p w14:paraId="6B0113A7">
      <w:pPr>
        <w:spacing w:line="400" w:lineRule="exact"/>
        <w:rPr>
          <w:rFonts w:hint="eastAsia" w:ascii="宋体" w:hAnsi="宋体"/>
          <w:b/>
          <w:color w:val="auto"/>
          <w:kern w:val="0"/>
          <w:sz w:val="32"/>
          <w:szCs w:val="32"/>
        </w:rPr>
      </w:pPr>
      <w:r>
        <w:rPr>
          <w:rFonts w:hint="eastAsia" w:ascii="宋体" w:hAnsi="宋体"/>
          <w:b/>
          <w:color w:val="auto"/>
          <w:kern w:val="0"/>
          <w:sz w:val="32"/>
          <w:szCs w:val="32"/>
        </w:rPr>
        <w:br w:type="page"/>
      </w:r>
    </w:p>
    <w:p w14:paraId="235BD2D3">
      <w:pPr>
        <w:pStyle w:val="36"/>
        <w:rPr>
          <w:color w:val="auto"/>
          <w:kern w:val="0"/>
          <w:sz w:val="44"/>
          <w:szCs w:val="44"/>
        </w:rPr>
      </w:pPr>
      <w:bookmarkStart w:id="74" w:name="_Toc14743"/>
      <w:bookmarkStart w:id="75" w:name="_Toc476258672"/>
      <w:r>
        <w:rPr>
          <w:rFonts w:hint="eastAsia"/>
          <w:color w:val="auto"/>
          <w:kern w:val="0"/>
          <w:sz w:val="44"/>
          <w:szCs w:val="44"/>
        </w:rPr>
        <w:t>第五章  合同主要条款</w:t>
      </w:r>
      <w:bookmarkEnd w:id="74"/>
      <w:bookmarkEnd w:id="75"/>
    </w:p>
    <w:p w14:paraId="14B3A486">
      <w:pPr>
        <w:spacing w:line="720" w:lineRule="auto"/>
        <w:jc w:val="center"/>
        <w:rPr>
          <w:b/>
          <w:color w:val="auto"/>
          <w:sz w:val="32"/>
          <w:szCs w:val="32"/>
        </w:rPr>
      </w:pPr>
      <w:r>
        <w:rPr>
          <w:rFonts w:hint="eastAsia" w:hAnsi="宋体"/>
          <w:b/>
          <w:bCs/>
          <w:color w:val="auto"/>
          <w:sz w:val="32"/>
          <w:szCs w:val="32"/>
        </w:rPr>
        <w:t>广西壮族自治区政府采购合同（格式）</w:t>
      </w:r>
    </w:p>
    <w:p w14:paraId="4ABB612D">
      <w:pPr>
        <w:snapToGrid w:val="0"/>
        <w:spacing w:line="400" w:lineRule="exact"/>
        <w:ind w:right="480" w:firstLine="5040" w:firstLineChars="2400"/>
        <w:rPr>
          <w:rFonts w:hint="eastAsia" w:ascii="宋体" w:hAnsi="宋体"/>
          <w:bCs/>
          <w:color w:val="auto"/>
          <w:szCs w:val="21"/>
          <w:u w:val="single"/>
        </w:rPr>
      </w:pPr>
      <w:r>
        <w:rPr>
          <w:rFonts w:hint="eastAsia" w:ascii="宋体" w:hAnsi="宋体"/>
          <w:bCs/>
          <w:color w:val="auto"/>
          <w:szCs w:val="21"/>
        </w:rPr>
        <w:t xml:space="preserve">              合同编号：</w:t>
      </w:r>
    </w:p>
    <w:p w14:paraId="118BD38B">
      <w:pPr>
        <w:snapToGrid w:val="0"/>
        <w:spacing w:line="382" w:lineRule="exact"/>
        <w:rPr>
          <w:rFonts w:hint="eastAsia" w:ascii="宋体" w:hAnsi="宋体"/>
          <w:color w:val="auto"/>
          <w:szCs w:val="21"/>
          <w:u w:val="single"/>
        </w:rPr>
      </w:pPr>
      <w:r>
        <w:rPr>
          <w:rFonts w:hint="eastAsia" w:ascii="宋体" w:hAnsi="宋体"/>
          <w:color w:val="auto"/>
          <w:szCs w:val="21"/>
        </w:rPr>
        <w:t>采购人（甲方）：</w:t>
      </w:r>
      <w:r>
        <w:rPr>
          <w:rFonts w:hint="eastAsia" w:ascii="宋体" w:hAnsi="宋体"/>
          <w:color w:val="auto"/>
          <w:szCs w:val="21"/>
          <w:u w:val="single"/>
        </w:rPr>
        <w:t xml:space="preserve">                          </w:t>
      </w:r>
      <w:r>
        <w:rPr>
          <w:rFonts w:hint="eastAsia" w:ascii="宋体" w:hAnsi="宋体"/>
          <w:color w:val="auto"/>
          <w:szCs w:val="21"/>
        </w:rPr>
        <w:t xml:space="preserve">        </w:t>
      </w:r>
      <w:r>
        <w:rPr>
          <w:rFonts w:hint="eastAsia" w:ascii="宋体" w:hAnsi="宋体"/>
          <w:color w:val="auto"/>
          <w:spacing w:val="-20"/>
          <w:szCs w:val="21"/>
        </w:rPr>
        <w:t>采 购 计 划 号：</w:t>
      </w:r>
      <w:r>
        <w:rPr>
          <w:rFonts w:hint="eastAsia" w:ascii="宋体" w:hAnsi="宋体"/>
          <w:color w:val="auto"/>
          <w:szCs w:val="21"/>
          <w:u w:val="single"/>
        </w:rPr>
        <w:t xml:space="preserve">                         </w:t>
      </w:r>
    </w:p>
    <w:p w14:paraId="3C3F26F4">
      <w:pPr>
        <w:snapToGrid w:val="0"/>
        <w:spacing w:line="382" w:lineRule="exact"/>
        <w:rPr>
          <w:rFonts w:hint="eastAsia" w:ascii="宋体" w:hAnsi="宋体"/>
          <w:color w:val="auto"/>
          <w:szCs w:val="21"/>
          <w:u w:val="single"/>
        </w:rPr>
      </w:pPr>
      <w:r>
        <w:rPr>
          <w:rFonts w:hint="eastAsia" w:ascii="宋体" w:hAnsi="宋体"/>
          <w:color w:val="auto"/>
          <w:szCs w:val="21"/>
        </w:rPr>
        <w:t>供应商（乙方）：</w:t>
      </w:r>
      <w:r>
        <w:rPr>
          <w:rFonts w:hint="eastAsia" w:ascii="宋体" w:hAnsi="宋体"/>
          <w:color w:val="auto"/>
          <w:szCs w:val="21"/>
          <w:u w:val="single"/>
        </w:rPr>
        <w:t xml:space="preserve">                          </w:t>
      </w:r>
      <w:r>
        <w:rPr>
          <w:rFonts w:hint="eastAsia" w:ascii="宋体" w:hAnsi="宋体"/>
          <w:color w:val="auto"/>
          <w:szCs w:val="21"/>
        </w:rPr>
        <w:t xml:space="preserve">        采购项目名称和</w:t>
      </w:r>
      <w:r>
        <w:rPr>
          <w:rFonts w:hint="eastAsia" w:ascii="宋体" w:hAnsi="宋体"/>
          <w:color w:val="auto"/>
          <w:spacing w:val="-20"/>
          <w:szCs w:val="21"/>
        </w:rPr>
        <w:t>编号：</w:t>
      </w:r>
      <w:r>
        <w:rPr>
          <w:rFonts w:hint="eastAsia" w:ascii="宋体" w:hAnsi="宋体"/>
          <w:color w:val="auto"/>
          <w:szCs w:val="21"/>
          <w:u w:val="single"/>
        </w:rPr>
        <w:t xml:space="preserve">                       </w:t>
      </w:r>
    </w:p>
    <w:p w14:paraId="5DC645F7">
      <w:pPr>
        <w:snapToGrid w:val="0"/>
        <w:spacing w:line="382" w:lineRule="exact"/>
        <w:rPr>
          <w:rFonts w:hint="eastAsia" w:ascii="宋体" w:hAnsi="宋体"/>
          <w:color w:val="auto"/>
          <w:szCs w:val="21"/>
          <w:u w:val="single"/>
        </w:rPr>
      </w:pPr>
      <w:r>
        <w:rPr>
          <w:rFonts w:hint="eastAsia" w:ascii="宋体" w:hAnsi="宋体"/>
          <w:color w:val="auto"/>
          <w:szCs w:val="21"/>
        </w:rPr>
        <w:t>签  订  地  点：</w:t>
      </w:r>
      <w:r>
        <w:rPr>
          <w:rFonts w:hint="eastAsia" w:ascii="宋体" w:hAnsi="宋体"/>
          <w:color w:val="auto"/>
          <w:szCs w:val="21"/>
          <w:u w:val="single"/>
        </w:rPr>
        <w:t xml:space="preserve">                        </w:t>
      </w:r>
      <w:r>
        <w:rPr>
          <w:rFonts w:hint="eastAsia" w:ascii="宋体" w:hAnsi="宋体"/>
          <w:color w:val="auto"/>
          <w:szCs w:val="21"/>
        </w:rPr>
        <w:t xml:space="preserve">         签 订 时 间：</w:t>
      </w:r>
      <w:r>
        <w:rPr>
          <w:rFonts w:hint="eastAsia" w:ascii="宋体" w:hAnsi="宋体"/>
          <w:color w:val="auto"/>
          <w:szCs w:val="21"/>
          <w:u w:val="single"/>
        </w:rPr>
        <w:t xml:space="preserve">                       </w:t>
      </w:r>
    </w:p>
    <w:p w14:paraId="1A770114">
      <w:pPr>
        <w:snapToGrid w:val="0"/>
        <w:spacing w:line="382" w:lineRule="exact"/>
        <w:ind w:firstLine="420" w:firstLineChars="200"/>
        <w:rPr>
          <w:rFonts w:hint="eastAsia" w:ascii="宋体" w:hAnsi="宋体"/>
          <w:color w:val="auto"/>
          <w:szCs w:val="21"/>
        </w:rPr>
      </w:pPr>
    </w:p>
    <w:p w14:paraId="627128C4">
      <w:pPr>
        <w:snapToGrid w:val="0"/>
        <w:spacing w:line="382" w:lineRule="exact"/>
        <w:rPr>
          <w:rFonts w:hint="eastAsia" w:ascii="宋体" w:hAnsi="宋体"/>
          <w:color w:val="auto"/>
          <w:szCs w:val="21"/>
        </w:rPr>
      </w:pPr>
      <w:r>
        <w:rPr>
          <w:rFonts w:hint="eastAsia" w:ascii="宋体" w:hAnsi="宋体"/>
          <w:color w:val="auto"/>
          <w:szCs w:val="21"/>
        </w:rPr>
        <w:t xml:space="preserve">    根据《中华人民共和国政府采购法》、《中华人民共和国民法典》等法律、法规规定，按照竞争性谈判文件（以下简称“谈判文件”）规定条款和成交供应商竞争性谈判响应文件（以下简称“响应文件”）及其承诺，甲乙双方签订本合同。</w:t>
      </w:r>
    </w:p>
    <w:p w14:paraId="2A35D281">
      <w:pPr>
        <w:snapToGrid w:val="0"/>
        <w:spacing w:line="382" w:lineRule="exact"/>
        <w:rPr>
          <w:rFonts w:hint="eastAsia" w:ascii="宋体" w:hAnsi="宋体"/>
          <w:b/>
          <w:color w:val="auto"/>
          <w:szCs w:val="21"/>
        </w:rPr>
      </w:pPr>
      <w:r>
        <w:rPr>
          <w:rFonts w:hint="eastAsia" w:ascii="宋体" w:hAnsi="宋体"/>
          <w:color w:val="auto"/>
          <w:szCs w:val="21"/>
        </w:rPr>
        <w:t xml:space="preserve">    </w:t>
      </w:r>
      <w:r>
        <w:rPr>
          <w:rFonts w:hint="eastAsia" w:ascii="宋体" w:hAnsi="宋体"/>
          <w:b/>
          <w:color w:val="auto"/>
          <w:szCs w:val="21"/>
        </w:rPr>
        <w:t>第一条　合同标的</w:t>
      </w:r>
    </w:p>
    <w:p w14:paraId="6DD95688">
      <w:pPr>
        <w:numPr>
          <w:ilvl w:val="0"/>
          <w:numId w:val="7"/>
        </w:numPr>
        <w:snapToGrid w:val="0"/>
        <w:spacing w:line="382" w:lineRule="exact"/>
        <w:rPr>
          <w:rFonts w:hint="eastAsia" w:ascii="宋体" w:hAnsi="宋体"/>
          <w:color w:val="auto"/>
          <w:szCs w:val="21"/>
        </w:rPr>
      </w:pPr>
      <w:r>
        <w:rPr>
          <w:rFonts w:hint="eastAsia" w:ascii="宋体" w:hAnsi="宋体"/>
          <w:color w:val="auto"/>
          <w:szCs w:val="21"/>
        </w:rPr>
        <w:t>供货一览表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0"/>
        <w:gridCol w:w="1140"/>
        <w:gridCol w:w="1081"/>
        <w:gridCol w:w="1194"/>
        <w:gridCol w:w="1193"/>
        <w:gridCol w:w="920"/>
        <w:gridCol w:w="832"/>
        <w:gridCol w:w="1080"/>
        <w:gridCol w:w="1440"/>
      </w:tblGrid>
      <w:tr w14:paraId="492D8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3" w:hRule="atLeast"/>
          <w:jc w:val="center"/>
        </w:trPr>
        <w:tc>
          <w:tcPr>
            <w:tcW w:w="660" w:type="dxa"/>
            <w:vAlign w:val="center"/>
          </w:tcPr>
          <w:p w14:paraId="45D99E09">
            <w:pPr>
              <w:snapToGrid w:val="0"/>
              <w:spacing w:line="382" w:lineRule="exact"/>
              <w:jc w:val="center"/>
              <w:rPr>
                <w:rFonts w:hint="eastAsia" w:ascii="宋体" w:hAnsi="宋体"/>
                <w:color w:val="auto"/>
                <w:szCs w:val="21"/>
              </w:rPr>
            </w:pPr>
            <w:r>
              <w:rPr>
                <w:rFonts w:hint="eastAsia" w:ascii="宋体" w:hAnsi="宋体"/>
                <w:color w:val="auto"/>
                <w:szCs w:val="21"/>
              </w:rPr>
              <w:t>序号</w:t>
            </w:r>
          </w:p>
        </w:tc>
        <w:tc>
          <w:tcPr>
            <w:tcW w:w="1140" w:type="dxa"/>
            <w:vAlign w:val="center"/>
          </w:tcPr>
          <w:p w14:paraId="48909836">
            <w:pPr>
              <w:snapToGrid w:val="0"/>
              <w:spacing w:line="382" w:lineRule="exact"/>
              <w:jc w:val="center"/>
              <w:rPr>
                <w:rFonts w:hint="eastAsia" w:ascii="宋体" w:hAnsi="宋体"/>
                <w:color w:val="auto"/>
                <w:szCs w:val="21"/>
              </w:rPr>
            </w:pPr>
            <w:r>
              <w:rPr>
                <w:rFonts w:hint="eastAsia" w:ascii="宋体" w:hAnsi="宋体"/>
                <w:color w:val="auto"/>
                <w:szCs w:val="21"/>
              </w:rPr>
              <w:t>产品名称</w:t>
            </w:r>
          </w:p>
        </w:tc>
        <w:tc>
          <w:tcPr>
            <w:tcW w:w="1081" w:type="dxa"/>
            <w:vAlign w:val="center"/>
          </w:tcPr>
          <w:p w14:paraId="6E2C1A65">
            <w:pPr>
              <w:snapToGrid w:val="0"/>
              <w:spacing w:line="382" w:lineRule="exact"/>
              <w:jc w:val="center"/>
              <w:rPr>
                <w:rFonts w:hint="eastAsia" w:ascii="宋体" w:hAnsi="宋体"/>
                <w:color w:val="auto"/>
                <w:szCs w:val="21"/>
              </w:rPr>
            </w:pPr>
            <w:r>
              <w:rPr>
                <w:rFonts w:hint="eastAsia" w:ascii="宋体" w:hAnsi="宋体"/>
                <w:color w:val="auto"/>
                <w:szCs w:val="21"/>
              </w:rPr>
              <w:t>商标品牌</w:t>
            </w:r>
          </w:p>
        </w:tc>
        <w:tc>
          <w:tcPr>
            <w:tcW w:w="1194" w:type="dxa"/>
            <w:vAlign w:val="center"/>
          </w:tcPr>
          <w:p w14:paraId="2CFD792C">
            <w:pPr>
              <w:snapToGrid w:val="0"/>
              <w:spacing w:line="382" w:lineRule="exact"/>
              <w:jc w:val="center"/>
              <w:rPr>
                <w:rFonts w:hint="eastAsia" w:ascii="宋体" w:hAnsi="宋体"/>
                <w:color w:val="auto"/>
                <w:szCs w:val="21"/>
              </w:rPr>
            </w:pPr>
            <w:r>
              <w:rPr>
                <w:rFonts w:hint="eastAsia" w:ascii="宋体" w:hAnsi="宋体"/>
                <w:color w:val="auto"/>
                <w:szCs w:val="21"/>
              </w:rPr>
              <w:t>规格型号</w:t>
            </w:r>
          </w:p>
        </w:tc>
        <w:tc>
          <w:tcPr>
            <w:tcW w:w="1193" w:type="dxa"/>
            <w:vAlign w:val="center"/>
          </w:tcPr>
          <w:p w14:paraId="131E56CB">
            <w:pPr>
              <w:snapToGrid w:val="0"/>
              <w:spacing w:line="382" w:lineRule="exact"/>
              <w:jc w:val="center"/>
              <w:rPr>
                <w:rFonts w:hint="eastAsia" w:ascii="宋体" w:hAnsi="宋体"/>
                <w:color w:val="auto"/>
                <w:szCs w:val="21"/>
              </w:rPr>
            </w:pPr>
            <w:r>
              <w:rPr>
                <w:rFonts w:hint="eastAsia" w:ascii="宋体" w:hAnsi="宋体"/>
                <w:color w:val="auto"/>
                <w:szCs w:val="21"/>
              </w:rPr>
              <w:t>生产厂家</w:t>
            </w:r>
          </w:p>
        </w:tc>
        <w:tc>
          <w:tcPr>
            <w:tcW w:w="920" w:type="dxa"/>
            <w:vAlign w:val="center"/>
          </w:tcPr>
          <w:p w14:paraId="0DF45A01">
            <w:pPr>
              <w:snapToGrid w:val="0"/>
              <w:spacing w:line="382" w:lineRule="exact"/>
              <w:jc w:val="center"/>
              <w:rPr>
                <w:rFonts w:hint="eastAsia" w:ascii="宋体" w:hAnsi="宋体"/>
                <w:color w:val="auto"/>
                <w:szCs w:val="21"/>
              </w:rPr>
            </w:pPr>
            <w:r>
              <w:rPr>
                <w:rFonts w:hint="eastAsia" w:ascii="宋体" w:hAnsi="宋体"/>
                <w:color w:val="auto"/>
                <w:szCs w:val="21"/>
              </w:rPr>
              <w:t>数量</w:t>
            </w:r>
          </w:p>
        </w:tc>
        <w:tc>
          <w:tcPr>
            <w:tcW w:w="832" w:type="dxa"/>
            <w:vAlign w:val="center"/>
          </w:tcPr>
          <w:p w14:paraId="722D8AF0">
            <w:pPr>
              <w:snapToGrid w:val="0"/>
              <w:spacing w:line="382" w:lineRule="exact"/>
              <w:jc w:val="center"/>
              <w:rPr>
                <w:rFonts w:hint="eastAsia" w:ascii="宋体" w:hAnsi="宋体"/>
                <w:color w:val="auto"/>
                <w:szCs w:val="21"/>
              </w:rPr>
            </w:pPr>
            <w:r>
              <w:rPr>
                <w:rFonts w:hint="eastAsia" w:ascii="宋体" w:hAnsi="宋体"/>
                <w:color w:val="auto"/>
                <w:szCs w:val="21"/>
              </w:rPr>
              <w:t>单位</w:t>
            </w:r>
          </w:p>
        </w:tc>
        <w:tc>
          <w:tcPr>
            <w:tcW w:w="1080" w:type="dxa"/>
            <w:vAlign w:val="center"/>
          </w:tcPr>
          <w:p w14:paraId="58380A54">
            <w:pPr>
              <w:snapToGrid w:val="0"/>
              <w:spacing w:line="382" w:lineRule="exact"/>
              <w:jc w:val="center"/>
              <w:rPr>
                <w:rFonts w:hint="eastAsia" w:ascii="宋体" w:hAnsi="宋体"/>
                <w:color w:val="auto"/>
                <w:szCs w:val="21"/>
              </w:rPr>
            </w:pPr>
            <w:r>
              <w:rPr>
                <w:rFonts w:hint="eastAsia" w:ascii="宋体" w:hAnsi="宋体"/>
                <w:color w:val="auto"/>
                <w:szCs w:val="21"/>
              </w:rPr>
              <w:t>单价</w:t>
            </w:r>
          </w:p>
          <w:p w14:paraId="78F11D24">
            <w:pPr>
              <w:snapToGrid w:val="0"/>
              <w:spacing w:line="382" w:lineRule="exact"/>
              <w:jc w:val="center"/>
              <w:rPr>
                <w:rFonts w:hint="eastAsia" w:ascii="宋体" w:hAnsi="宋体"/>
                <w:color w:val="auto"/>
                <w:szCs w:val="21"/>
              </w:rPr>
            </w:pPr>
            <w:r>
              <w:rPr>
                <w:rFonts w:hint="eastAsia" w:ascii="宋体" w:hAnsi="宋体"/>
                <w:color w:val="auto"/>
                <w:szCs w:val="21"/>
              </w:rPr>
              <w:t>（元）</w:t>
            </w:r>
          </w:p>
        </w:tc>
        <w:tc>
          <w:tcPr>
            <w:tcW w:w="1440" w:type="dxa"/>
            <w:vAlign w:val="center"/>
          </w:tcPr>
          <w:p w14:paraId="54F7EC1B">
            <w:pPr>
              <w:snapToGrid w:val="0"/>
              <w:spacing w:line="382" w:lineRule="exact"/>
              <w:jc w:val="center"/>
              <w:rPr>
                <w:rFonts w:hint="eastAsia" w:ascii="宋体" w:hAnsi="宋体"/>
                <w:color w:val="auto"/>
                <w:szCs w:val="21"/>
              </w:rPr>
            </w:pPr>
            <w:r>
              <w:rPr>
                <w:rFonts w:hint="eastAsia" w:ascii="宋体" w:hAnsi="宋体"/>
                <w:color w:val="auto"/>
                <w:szCs w:val="21"/>
              </w:rPr>
              <w:t>金额</w:t>
            </w:r>
          </w:p>
          <w:p w14:paraId="4629B5BA">
            <w:pPr>
              <w:snapToGrid w:val="0"/>
              <w:spacing w:line="382" w:lineRule="exact"/>
              <w:jc w:val="center"/>
              <w:rPr>
                <w:rFonts w:hint="eastAsia" w:ascii="宋体" w:hAnsi="宋体"/>
                <w:color w:val="auto"/>
                <w:szCs w:val="21"/>
              </w:rPr>
            </w:pPr>
            <w:r>
              <w:rPr>
                <w:rFonts w:hint="eastAsia" w:ascii="宋体" w:hAnsi="宋体"/>
                <w:color w:val="auto"/>
                <w:szCs w:val="21"/>
              </w:rPr>
              <w:t>（元）</w:t>
            </w:r>
          </w:p>
        </w:tc>
      </w:tr>
      <w:tr w14:paraId="500D8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3" w:hRule="atLeast"/>
          <w:jc w:val="center"/>
        </w:trPr>
        <w:tc>
          <w:tcPr>
            <w:tcW w:w="660" w:type="dxa"/>
            <w:vAlign w:val="center"/>
          </w:tcPr>
          <w:p w14:paraId="736CE0E8">
            <w:pPr>
              <w:snapToGrid w:val="0"/>
              <w:spacing w:line="382" w:lineRule="exact"/>
              <w:jc w:val="center"/>
              <w:rPr>
                <w:rFonts w:hint="eastAsia" w:ascii="宋体" w:hAnsi="宋体"/>
                <w:color w:val="auto"/>
                <w:szCs w:val="21"/>
              </w:rPr>
            </w:pPr>
          </w:p>
        </w:tc>
        <w:tc>
          <w:tcPr>
            <w:tcW w:w="1140" w:type="dxa"/>
            <w:vAlign w:val="center"/>
          </w:tcPr>
          <w:p w14:paraId="32FD0A2F">
            <w:pPr>
              <w:snapToGrid w:val="0"/>
              <w:spacing w:line="382" w:lineRule="exact"/>
              <w:jc w:val="center"/>
              <w:rPr>
                <w:rFonts w:hint="eastAsia" w:ascii="宋体" w:hAnsi="宋体"/>
                <w:color w:val="auto"/>
                <w:szCs w:val="21"/>
              </w:rPr>
            </w:pPr>
          </w:p>
        </w:tc>
        <w:tc>
          <w:tcPr>
            <w:tcW w:w="1081" w:type="dxa"/>
            <w:vAlign w:val="center"/>
          </w:tcPr>
          <w:p w14:paraId="307C881D">
            <w:pPr>
              <w:snapToGrid w:val="0"/>
              <w:spacing w:line="382" w:lineRule="exact"/>
              <w:jc w:val="center"/>
              <w:rPr>
                <w:rFonts w:hint="eastAsia" w:ascii="宋体" w:hAnsi="宋体"/>
                <w:color w:val="auto"/>
                <w:szCs w:val="21"/>
              </w:rPr>
            </w:pPr>
          </w:p>
        </w:tc>
        <w:tc>
          <w:tcPr>
            <w:tcW w:w="1194" w:type="dxa"/>
            <w:vAlign w:val="center"/>
          </w:tcPr>
          <w:p w14:paraId="347E8E9D">
            <w:pPr>
              <w:snapToGrid w:val="0"/>
              <w:spacing w:line="382" w:lineRule="exact"/>
              <w:jc w:val="center"/>
              <w:rPr>
                <w:rFonts w:hint="eastAsia" w:ascii="宋体" w:hAnsi="宋体"/>
                <w:color w:val="auto"/>
                <w:szCs w:val="21"/>
              </w:rPr>
            </w:pPr>
          </w:p>
        </w:tc>
        <w:tc>
          <w:tcPr>
            <w:tcW w:w="1193" w:type="dxa"/>
            <w:vAlign w:val="center"/>
          </w:tcPr>
          <w:p w14:paraId="7631DAD9">
            <w:pPr>
              <w:snapToGrid w:val="0"/>
              <w:spacing w:line="382" w:lineRule="exact"/>
              <w:jc w:val="center"/>
              <w:rPr>
                <w:rFonts w:hint="eastAsia" w:ascii="宋体" w:hAnsi="宋体"/>
                <w:color w:val="auto"/>
                <w:szCs w:val="21"/>
              </w:rPr>
            </w:pPr>
          </w:p>
        </w:tc>
        <w:tc>
          <w:tcPr>
            <w:tcW w:w="920" w:type="dxa"/>
            <w:vAlign w:val="center"/>
          </w:tcPr>
          <w:p w14:paraId="71A5B169">
            <w:pPr>
              <w:snapToGrid w:val="0"/>
              <w:spacing w:line="382" w:lineRule="exact"/>
              <w:jc w:val="center"/>
              <w:rPr>
                <w:rFonts w:hint="eastAsia" w:ascii="宋体" w:hAnsi="宋体"/>
                <w:color w:val="auto"/>
                <w:szCs w:val="21"/>
              </w:rPr>
            </w:pPr>
          </w:p>
        </w:tc>
        <w:tc>
          <w:tcPr>
            <w:tcW w:w="832" w:type="dxa"/>
            <w:vAlign w:val="center"/>
          </w:tcPr>
          <w:p w14:paraId="7C940FA3">
            <w:pPr>
              <w:snapToGrid w:val="0"/>
              <w:spacing w:line="382" w:lineRule="exact"/>
              <w:jc w:val="center"/>
              <w:rPr>
                <w:rFonts w:hint="eastAsia" w:ascii="宋体" w:hAnsi="宋体"/>
                <w:color w:val="auto"/>
                <w:szCs w:val="21"/>
              </w:rPr>
            </w:pPr>
          </w:p>
        </w:tc>
        <w:tc>
          <w:tcPr>
            <w:tcW w:w="1080" w:type="dxa"/>
            <w:vAlign w:val="center"/>
          </w:tcPr>
          <w:p w14:paraId="5728E237">
            <w:pPr>
              <w:snapToGrid w:val="0"/>
              <w:spacing w:line="382" w:lineRule="exact"/>
              <w:jc w:val="center"/>
              <w:rPr>
                <w:rFonts w:hint="eastAsia" w:ascii="宋体" w:hAnsi="宋体"/>
                <w:color w:val="auto"/>
                <w:szCs w:val="21"/>
              </w:rPr>
            </w:pPr>
          </w:p>
        </w:tc>
        <w:tc>
          <w:tcPr>
            <w:tcW w:w="1440" w:type="dxa"/>
            <w:vAlign w:val="center"/>
          </w:tcPr>
          <w:p w14:paraId="567B3783">
            <w:pPr>
              <w:snapToGrid w:val="0"/>
              <w:spacing w:line="382" w:lineRule="exact"/>
              <w:jc w:val="center"/>
              <w:rPr>
                <w:rFonts w:hint="eastAsia" w:ascii="宋体" w:hAnsi="宋体"/>
                <w:color w:val="auto"/>
                <w:szCs w:val="21"/>
              </w:rPr>
            </w:pPr>
          </w:p>
        </w:tc>
      </w:tr>
      <w:tr w14:paraId="283F1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9540" w:type="dxa"/>
            <w:gridSpan w:val="9"/>
            <w:vAlign w:val="center"/>
          </w:tcPr>
          <w:p w14:paraId="32EC2473">
            <w:pPr>
              <w:spacing w:line="382" w:lineRule="exact"/>
              <w:rPr>
                <w:color w:val="auto"/>
              </w:rPr>
            </w:pPr>
            <w:r>
              <w:rPr>
                <w:rFonts w:hint="eastAsia"/>
                <w:color w:val="auto"/>
              </w:rPr>
              <w:t xml:space="preserve">人民币合计金额（大写）                          （小写）                 </w:t>
            </w:r>
          </w:p>
        </w:tc>
      </w:tr>
    </w:tbl>
    <w:p w14:paraId="16F36931">
      <w:pPr>
        <w:spacing w:line="382" w:lineRule="exact"/>
        <w:rPr>
          <w:color w:val="auto"/>
        </w:rPr>
      </w:pPr>
      <w:r>
        <w:rPr>
          <w:rFonts w:hint="eastAsia"/>
          <w:color w:val="auto"/>
        </w:rPr>
        <w:t xml:space="preserve">    </w:t>
      </w:r>
      <w:r>
        <w:rPr>
          <w:rFonts w:hint="eastAsia" w:ascii="宋体" w:hAnsi="宋体"/>
          <w:color w:val="auto"/>
          <w:szCs w:val="21"/>
        </w:rPr>
        <w:t>2、</w:t>
      </w:r>
      <w:r>
        <w:rPr>
          <w:rFonts w:hint="eastAsia"/>
          <w:color w:val="auto"/>
        </w:rPr>
        <w:t>合同合计金额包括货物价款，备件、专用工具、安装、调试、检验、技术培训及技术资料和包装、运输等全部费用。如谈判文件、响应文件对其另有规定的，从其规定。</w:t>
      </w:r>
    </w:p>
    <w:p w14:paraId="13172950">
      <w:pPr>
        <w:spacing w:line="382" w:lineRule="exact"/>
        <w:rPr>
          <w:rFonts w:hint="eastAsia" w:ascii="宋体" w:hAnsi="宋体"/>
          <w:b/>
          <w:color w:val="auto"/>
          <w:szCs w:val="21"/>
        </w:rPr>
      </w:pPr>
      <w:r>
        <w:rPr>
          <w:rFonts w:hint="eastAsia"/>
          <w:color w:val="auto"/>
        </w:rPr>
        <w:t xml:space="preserve">    </w:t>
      </w:r>
      <w:r>
        <w:rPr>
          <w:rFonts w:hint="eastAsia" w:ascii="宋体" w:hAnsi="宋体"/>
          <w:b/>
          <w:color w:val="auto"/>
          <w:szCs w:val="21"/>
        </w:rPr>
        <w:t>第二条　质量保证</w:t>
      </w:r>
    </w:p>
    <w:p w14:paraId="7A98917D">
      <w:pPr>
        <w:spacing w:line="382" w:lineRule="exact"/>
        <w:rPr>
          <w:rFonts w:hint="eastAsia" w:ascii="宋体" w:hAnsi="宋体"/>
          <w:color w:val="auto"/>
          <w:szCs w:val="21"/>
        </w:rPr>
      </w:pPr>
      <w:r>
        <w:rPr>
          <w:rFonts w:hint="eastAsia" w:ascii="宋体" w:hAnsi="宋体"/>
          <w:b/>
          <w:color w:val="auto"/>
          <w:szCs w:val="21"/>
        </w:rPr>
        <w:t xml:space="preserve">    </w:t>
      </w:r>
      <w:r>
        <w:rPr>
          <w:rFonts w:hint="eastAsia" w:ascii="宋体" w:hAnsi="宋体"/>
          <w:color w:val="auto"/>
          <w:szCs w:val="21"/>
        </w:rPr>
        <w:t>1、乙方所提供的货物型号、技术规格、技术参数等质量必须与谈判文件、响应文件和承诺相一致。乙方提供的节能和环保产品必须是列入品目清单的产品。</w:t>
      </w:r>
    </w:p>
    <w:p w14:paraId="4A1267CA">
      <w:pPr>
        <w:spacing w:line="382" w:lineRule="exact"/>
        <w:rPr>
          <w:rFonts w:hint="eastAsia" w:ascii="宋体" w:hAnsi="宋体"/>
          <w:color w:val="auto"/>
          <w:szCs w:val="21"/>
        </w:rPr>
      </w:pPr>
      <w:r>
        <w:rPr>
          <w:rFonts w:hint="eastAsia" w:ascii="宋体" w:hAnsi="宋体"/>
          <w:color w:val="auto"/>
          <w:szCs w:val="21"/>
        </w:rPr>
        <w:t xml:space="preserve">    2、乙方所提供的货物必须是全新、未经使用的原装产品，且在正常安装、使用和保养条件下，其使用寿命期内各项指标均达到质量要求。</w:t>
      </w:r>
    </w:p>
    <w:p w14:paraId="3F248221">
      <w:pPr>
        <w:spacing w:line="382" w:lineRule="exact"/>
        <w:rPr>
          <w:rFonts w:hint="eastAsia" w:ascii="宋体" w:hAnsi="宋体"/>
          <w:b/>
          <w:color w:val="auto"/>
          <w:szCs w:val="21"/>
        </w:rPr>
      </w:pPr>
      <w:r>
        <w:rPr>
          <w:rFonts w:hint="eastAsia" w:ascii="宋体" w:hAnsi="宋体"/>
          <w:color w:val="auto"/>
          <w:szCs w:val="21"/>
        </w:rPr>
        <w:t xml:space="preserve">    </w:t>
      </w:r>
      <w:r>
        <w:rPr>
          <w:rFonts w:hint="eastAsia" w:ascii="宋体" w:hAnsi="宋体"/>
          <w:b/>
          <w:color w:val="auto"/>
          <w:szCs w:val="21"/>
        </w:rPr>
        <w:t>第三条　权利保证</w:t>
      </w:r>
    </w:p>
    <w:p w14:paraId="76A10C58">
      <w:pPr>
        <w:spacing w:line="382" w:lineRule="exact"/>
        <w:rPr>
          <w:rFonts w:hint="eastAsia" w:ascii="宋体" w:hAnsi="宋体"/>
          <w:color w:val="auto"/>
          <w:szCs w:val="21"/>
        </w:rPr>
      </w:pPr>
      <w:r>
        <w:rPr>
          <w:rFonts w:hint="eastAsia" w:ascii="宋体" w:hAnsi="宋体"/>
          <w:b/>
          <w:color w:val="auto"/>
          <w:szCs w:val="21"/>
        </w:rPr>
        <w:t xml:space="preserve">    </w:t>
      </w:r>
      <w:r>
        <w:rPr>
          <w:rFonts w:hint="eastAsia" w:ascii="宋体" w:hAnsi="宋体"/>
          <w:color w:val="auto"/>
          <w:szCs w:val="21"/>
        </w:rPr>
        <w:t>乙方应保证所提供货物在使用时不会侵犯任何第三方的专利权、商标权、工业设计权或其他权利。</w:t>
      </w:r>
    </w:p>
    <w:p w14:paraId="1B637C70">
      <w:pPr>
        <w:spacing w:line="382" w:lineRule="exact"/>
        <w:rPr>
          <w:rFonts w:hint="eastAsia" w:ascii="宋体" w:hAnsi="宋体"/>
          <w:color w:val="auto"/>
          <w:szCs w:val="21"/>
        </w:rPr>
      </w:pPr>
      <w:r>
        <w:rPr>
          <w:rFonts w:hint="eastAsia" w:ascii="宋体" w:hAnsi="宋体"/>
          <w:color w:val="auto"/>
          <w:szCs w:val="21"/>
        </w:rPr>
        <w:t xml:space="preserve">    乙方应按谈判文件规定的时间或响应文件承诺的时间向甲方提供使用货物的有关技术资料。</w:t>
      </w:r>
    </w:p>
    <w:p w14:paraId="52A9A0E4">
      <w:pPr>
        <w:spacing w:line="382" w:lineRule="exact"/>
        <w:rPr>
          <w:rFonts w:hint="eastAsia" w:ascii="宋体" w:hAnsi="宋体"/>
          <w:color w:val="auto"/>
          <w:szCs w:val="21"/>
        </w:rPr>
      </w:pPr>
      <w:r>
        <w:rPr>
          <w:rFonts w:hint="eastAsia" w:ascii="宋体" w:hAnsi="宋体"/>
          <w:color w:val="auto"/>
          <w:szCs w:val="21"/>
        </w:rPr>
        <w:t xml:space="preserve">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508E1A40">
      <w:pPr>
        <w:spacing w:line="382" w:lineRule="exact"/>
        <w:rPr>
          <w:rFonts w:hint="eastAsia" w:ascii="宋体" w:hAnsi="宋体"/>
          <w:color w:val="auto"/>
          <w:szCs w:val="21"/>
        </w:rPr>
      </w:pPr>
      <w:r>
        <w:rPr>
          <w:rFonts w:hint="eastAsia" w:ascii="宋体" w:hAnsi="宋体"/>
          <w:color w:val="auto"/>
          <w:szCs w:val="21"/>
        </w:rPr>
        <w:t xml:space="preserve">    乙方保证所交付的货物的所有权完全属于乙方且无任何抵押、质押、查封等产权瑕疵。</w:t>
      </w:r>
    </w:p>
    <w:p w14:paraId="7691F7C4">
      <w:pPr>
        <w:spacing w:line="382" w:lineRule="exact"/>
        <w:rPr>
          <w:rFonts w:hint="eastAsia" w:ascii="宋体" w:hAnsi="宋体"/>
          <w:b/>
          <w:color w:val="auto"/>
          <w:szCs w:val="21"/>
        </w:rPr>
      </w:pPr>
      <w:r>
        <w:rPr>
          <w:rFonts w:hint="eastAsia" w:ascii="宋体" w:hAnsi="宋体"/>
          <w:color w:val="auto"/>
          <w:szCs w:val="21"/>
        </w:rPr>
        <w:t xml:space="preserve">    </w:t>
      </w:r>
      <w:r>
        <w:rPr>
          <w:rFonts w:hint="eastAsia" w:ascii="宋体" w:hAnsi="宋体"/>
          <w:b/>
          <w:color w:val="auto"/>
          <w:szCs w:val="21"/>
        </w:rPr>
        <w:t>第四条　包装和运输</w:t>
      </w:r>
    </w:p>
    <w:p w14:paraId="58DB1755">
      <w:pPr>
        <w:spacing w:line="382" w:lineRule="exact"/>
        <w:rPr>
          <w:rFonts w:hint="eastAsia" w:ascii="宋体" w:hAnsi="宋体"/>
          <w:color w:val="auto"/>
          <w:szCs w:val="21"/>
        </w:rPr>
      </w:pPr>
      <w:r>
        <w:rPr>
          <w:rFonts w:hint="eastAsia" w:ascii="宋体" w:hAnsi="宋体"/>
          <w:b/>
          <w:color w:val="auto"/>
          <w:szCs w:val="21"/>
        </w:rPr>
        <w:t xml:space="preserve">    </w:t>
      </w:r>
      <w:r>
        <w:rPr>
          <w:rFonts w:hint="eastAsia" w:ascii="宋体" w:hAnsi="宋体"/>
          <w:color w:val="auto"/>
          <w:szCs w:val="21"/>
        </w:rPr>
        <w:t>1、乙方提供的货物均应按谈判文件、响应文件要求的包装材料、包装标准、包装方式进行包装，每一包装单元内应附详细的装箱单和质量合格证。</w:t>
      </w:r>
    </w:p>
    <w:p w14:paraId="681AFEE7">
      <w:pPr>
        <w:spacing w:line="382" w:lineRule="exact"/>
        <w:rPr>
          <w:rFonts w:hint="eastAsia" w:ascii="宋体" w:hAnsi="宋体"/>
          <w:color w:val="auto"/>
          <w:szCs w:val="21"/>
        </w:rPr>
      </w:pPr>
      <w:r>
        <w:rPr>
          <w:rFonts w:hint="eastAsia" w:ascii="宋体" w:hAnsi="宋体"/>
          <w:color w:val="auto"/>
          <w:szCs w:val="21"/>
        </w:rPr>
        <w:t xml:space="preserve">    2、货物的运输方式：</w:t>
      </w:r>
      <w:r>
        <w:rPr>
          <w:rFonts w:hint="eastAsia" w:ascii="宋体" w:hAnsi="宋体"/>
          <w:color w:val="auto"/>
          <w:szCs w:val="21"/>
          <w:u w:val="single"/>
        </w:rPr>
        <w:t>由乙方负责</w:t>
      </w:r>
      <w:r>
        <w:rPr>
          <w:rFonts w:hint="eastAsia" w:ascii="宋体" w:hAnsi="宋体"/>
          <w:color w:val="auto"/>
          <w:szCs w:val="21"/>
        </w:rPr>
        <w:t>。</w:t>
      </w:r>
    </w:p>
    <w:p w14:paraId="6EB1DAC0">
      <w:pPr>
        <w:spacing w:line="382" w:lineRule="exact"/>
        <w:rPr>
          <w:rFonts w:hint="eastAsia" w:ascii="宋体" w:hAnsi="宋体"/>
          <w:color w:val="auto"/>
          <w:szCs w:val="21"/>
        </w:rPr>
      </w:pPr>
      <w:r>
        <w:rPr>
          <w:rFonts w:hint="eastAsia" w:ascii="宋体" w:hAnsi="宋体"/>
          <w:color w:val="auto"/>
          <w:szCs w:val="21"/>
        </w:rPr>
        <w:t xml:space="preserve">    3、乙方负责货物运输，货物运输合理损耗及计算方法：</w:t>
      </w:r>
      <w:r>
        <w:rPr>
          <w:rFonts w:hint="eastAsia" w:ascii="宋体" w:hAnsi="宋体"/>
          <w:color w:val="auto"/>
          <w:szCs w:val="21"/>
          <w:u w:val="single"/>
        </w:rPr>
        <w:t>不接受损耗</w:t>
      </w:r>
      <w:r>
        <w:rPr>
          <w:rFonts w:hint="eastAsia" w:ascii="宋体" w:hAnsi="宋体"/>
          <w:color w:val="auto"/>
          <w:szCs w:val="21"/>
        </w:rPr>
        <w:t>。</w:t>
      </w:r>
    </w:p>
    <w:p w14:paraId="3821FB1A">
      <w:pPr>
        <w:spacing w:line="382" w:lineRule="exact"/>
        <w:rPr>
          <w:rFonts w:hint="eastAsia" w:ascii="宋体" w:hAnsi="宋体"/>
          <w:b/>
          <w:color w:val="auto"/>
          <w:szCs w:val="21"/>
        </w:rPr>
      </w:pPr>
      <w:r>
        <w:rPr>
          <w:rFonts w:hint="eastAsia" w:ascii="宋体" w:hAnsi="宋体"/>
          <w:color w:val="auto"/>
          <w:szCs w:val="21"/>
        </w:rPr>
        <w:t xml:space="preserve">    </w:t>
      </w:r>
      <w:r>
        <w:rPr>
          <w:rFonts w:hint="eastAsia" w:ascii="宋体" w:hAnsi="宋体"/>
          <w:b/>
          <w:color w:val="auto"/>
          <w:szCs w:val="21"/>
        </w:rPr>
        <w:t>第五条　交付和验收</w:t>
      </w:r>
    </w:p>
    <w:p w14:paraId="0AAAD7F6">
      <w:pPr>
        <w:spacing w:line="382" w:lineRule="exact"/>
        <w:rPr>
          <w:rFonts w:hint="eastAsia" w:ascii="宋体" w:hAnsi="宋体"/>
          <w:color w:val="auto"/>
          <w:szCs w:val="21"/>
        </w:rPr>
      </w:pPr>
      <w:r>
        <w:rPr>
          <w:rFonts w:hint="eastAsia" w:ascii="宋体" w:hAnsi="宋体"/>
          <w:b/>
          <w:color w:val="auto"/>
          <w:szCs w:val="21"/>
        </w:rPr>
        <w:t xml:space="preserve">    </w:t>
      </w:r>
      <w:r>
        <w:rPr>
          <w:rFonts w:hint="eastAsia" w:ascii="宋体" w:hAnsi="宋体"/>
          <w:color w:val="auto"/>
          <w:szCs w:val="21"/>
        </w:rPr>
        <w:t>1、交货时间：</w:t>
      </w:r>
      <w:r>
        <w:rPr>
          <w:rFonts w:hint="eastAsia" w:ascii="宋体" w:hAnsi="宋体"/>
          <w:color w:val="auto"/>
          <w:szCs w:val="21"/>
          <w:u w:val="single"/>
        </w:rPr>
        <w:t xml:space="preserve">   按乙方响应文件中所承诺的时间   </w:t>
      </w:r>
      <w:r>
        <w:rPr>
          <w:rFonts w:hint="eastAsia" w:ascii="宋体" w:hAnsi="宋体"/>
          <w:color w:val="auto"/>
          <w:szCs w:val="21"/>
        </w:rPr>
        <w:t>、地点：</w:t>
      </w:r>
      <w:r>
        <w:rPr>
          <w:rFonts w:hint="eastAsia" w:ascii="宋体" w:hAnsi="宋体"/>
          <w:color w:val="auto"/>
          <w:szCs w:val="21"/>
          <w:u w:val="single"/>
        </w:rPr>
        <w:t xml:space="preserve">   采购人指定地点   </w:t>
      </w:r>
      <w:r>
        <w:rPr>
          <w:rFonts w:hint="eastAsia" w:ascii="宋体" w:hAnsi="宋体"/>
          <w:color w:val="auto"/>
          <w:szCs w:val="21"/>
        </w:rPr>
        <w:t>。</w:t>
      </w:r>
    </w:p>
    <w:p w14:paraId="572B9EBB">
      <w:pPr>
        <w:spacing w:line="382" w:lineRule="exact"/>
        <w:rPr>
          <w:rFonts w:hint="eastAsia" w:ascii="宋体" w:hAnsi="宋体"/>
          <w:color w:val="auto"/>
          <w:szCs w:val="21"/>
        </w:rPr>
      </w:pPr>
      <w:r>
        <w:rPr>
          <w:rFonts w:hint="eastAsia" w:ascii="宋体" w:hAnsi="宋体"/>
          <w:color w:val="auto"/>
          <w:szCs w:val="21"/>
        </w:rPr>
        <w:t xml:space="preserve">    2、乙方提供不符合谈判文件、响应文件和本合同规定的货物，甲方有权拒绝接受。</w:t>
      </w:r>
    </w:p>
    <w:p w14:paraId="3F7545C6">
      <w:pPr>
        <w:spacing w:line="382" w:lineRule="exact"/>
        <w:rPr>
          <w:rFonts w:hint="eastAsia" w:ascii="宋体" w:hAnsi="宋体"/>
          <w:color w:val="auto"/>
          <w:szCs w:val="21"/>
        </w:rPr>
      </w:pPr>
      <w:r>
        <w:rPr>
          <w:rFonts w:hint="eastAsia" w:ascii="宋体" w:hAnsi="宋体"/>
          <w:color w:val="auto"/>
          <w:szCs w:val="21"/>
        </w:rPr>
        <w:t xml:space="preserve">    3、乙方应将所提供货物的装箱清单、用户手册、原厂保修卡、随机资料、工具和备品、备件等交付给甲方，如有缺失应及时补齐，否则视为逾期交货。</w:t>
      </w:r>
    </w:p>
    <w:p w14:paraId="11028E9B">
      <w:pPr>
        <w:spacing w:line="382" w:lineRule="exact"/>
        <w:rPr>
          <w:rFonts w:hint="eastAsia" w:ascii="宋体" w:hAnsi="宋体"/>
          <w:color w:val="auto"/>
          <w:szCs w:val="21"/>
        </w:rPr>
      </w:pPr>
      <w:r>
        <w:rPr>
          <w:rFonts w:hint="eastAsia" w:ascii="宋体" w:hAnsi="宋体"/>
          <w:color w:val="auto"/>
          <w:szCs w:val="21"/>
        </w:rPr>
        <w:t xml:space="preserve">    4、甲方应当在到货（安装、调试完</w:t>
      </w:r>
      <w:r>
        <w:rPr>
          <w:rFonts w:hint="eastAsia" w:ascii="宋体" w:hAnsi="宋体"/>
          <w:color w:val="auto"/>
          <w:szCs w:val="21"/>
          <w:lang w:val="en-US" w:eastAsia="zh-CN"/>
        </w:rPr>
        <w:t>成</w:t>
      </w:r>
      <w:r>
        <w:rPr>
          <w:rFonts w:hint="eastAsia" w:ascii="宋体" w:hAnsi="宋体"/>
          <w:color w:val="auto"/>
          <w:szCs w:val="21"/>
        </w:rPr>
        <w:t>）后</w:t>
      </w:r>
      <w:r>
        <w:rPr>
          <w:rFonts w:hint="eastAsia" w:ascii="宋体" w:hAnsi="宋体"/>
          <w:color w:val="auto"/>
          <w:szCs w:val="21"/>
          <w:u w:val="single"/>
          <w:lang w:val="en-US" w:eastAsia="zh-CN"/>
        </w:rPr>
        <w:t>15</w:t>
      </w:r>
      <w:r>
        <w:rPr>
          <w:rFonts w:hint="eastAsia" w:ascii="宋体" w:hAnsi="宋体"/>
          <w:color w:val="auto"/>
          <w:szCs w:val="21"/>
        </w:rPr>
        <w:t>个工作日内进行验收，逾期不验收的，乙方可视同验收合格。验收合格后由甲乙双方签署货物验收单并加盖采购人公章，甲乙双方各执一份。</w:t>
      </w:r>
    </w:p>
    <w:p w14:paraId="2A258356">
      <w:pPr>
        <w:spacing w:line="382" w:lineRule="exact"/>
        <w:rPr>
          <w:rFonts w:hint="eastAsia" w:ascii="宋体" w:hAnsi="宋体"/>
          <w:color w:val="auto"/>
          <w:szCs w:val="21"/>
        </w:rPr>
      </w:pPr>
      <w:r>
        <w:rPr>
          <w:rFonts w:hint="eastAsia" w:ascii="宋体" w:hAnsi="宋体"/>
          <w:color w:val="auto"/>
          <w:szCs w:val="21"/>
        </w:rPr>
        <w:t xml:space="preserve">    5、采购人委托采购代理机构组织的验收项目，其验收时间以该项目验收方案确定的验收时间为准，验收结果以该项目验收报告结论为准。在验收过程中发现乙方有违约问题，可暂缓资金结算，待违约问题解决后，方可办理资金结算事宜。</w:t>
      </w:r>
    </w:p>
    <w:p w14:paraId="7C2C4877">
      <w:pPr>
        <w:spacing w:line="382" w:lineRule="exact"/>
        <w:rPr>
          <w:rFonts w:hint="eastAsia" w:ascii="宋体" w:hAnsi="宋体"/>
          <w:color w:val="auto"/>
          <w:szCs w:val="21"/>
        </w:rPr>
      </w:pPr>
      <w:r>
        <w:rPr>
          <w:rFonts w:hint="eastAsia" w:ascii="宋体" w:hAnsi="宋体"/>
          <w:color w:val="auto"/>
          <w:szCs w:val="21"/>
        </w:rPr>
        <w:t xml:space="preserve">    6、甲方对验收有异议的，在验收后</w:t>
      </w:r>
      <w:r>
        <w:rPr>
          <w:rFonts w:hint="eastAsia" w:ascii="宋体" w:hAnsi="宋体"/>
          <w:color w:val="auto"/>
          <w:szCs w:val="21"/>
          <w:lang w:val="en-US" w:eastAsia="zh-CN"/>
        </w:rPr>
        <w:t>5</w:t>
      </w:r>
      <w:r>
        <w:rPr>
          <w:rFonts w:hint="eastAsia" w:ascii="宋体" w:hAnsi="宋体"/>
          <w:color w:val="auto"/>
          <w:szCs w:val="21"/>
        </w:rPr>
        <w:t>个工作日内以书面形式向乙方提出，乙方应自收到甲方书面异议后</w:t>
      </w:r>
      <w:r>
        <w:rPr>
          <w:rFonts w:hint="eastAsia" w:ascii="宋体" w:hAnsi="宋体"/>
          <w:color w:val="auto"/>
          <w:szCs w:val="21"/>
          <w:u w:val="single"/>
        </w:rPr>
        <w:t>3个工作</w:t>
      </w:r>
      <w:r>
        <w:rPr>
          <w:rFonts w:hint="eastAsia" w:ascii="宋体" w:hAnsi="宋体"/>
          <w:color w:val="auto"/>
          <w:szCs w:val="21"/>
        </w:rPr>
        <w:t>日内及时予以解决。</w:t>
      </w:r>
    </w:p>
    <w:p w14:paraId="49E4EF59">
      <w:pPr>
        <w:spacing w:line="382" w:lineRule="exact"/>
        <w:rPr>
          <w:rFonts w:hint="eastAsia" w:ascii="宋体" w:hAnsi="宋体"/>
          <w:b/>
          <w:color w:val="auto"/>
          <w:szCs w:val="21"/>
        </w:rPr>
      </w:pPr>
      <w:r>
        <w:rPr>
          <w:rFonts w:hint="eastAsia" w:ascii="宋体" w:hAnsi="宋体"/>
          <w:color w:val="auto"/>
          <w:szCs w:val="21"/>
        </w:rPr>
        <w:t xml:space="preserve">    </w:t>
      </w:r>
      <w:r>
        <w:rPr>
          <w:rFonts w:hint="eastAsia" w:ascii="宋体" w:hAnsi="宋体"/>
          <w:b/>
          <w:color w:val="auto"/>
          <w:szCs w:val="21"/>
        </w:rPr>
        <w:t>第六条　安装和培训</w:t>
      </w:r>
    </w:p>
    <w:p w14:paraId="6EBEF562">
      <w:pPr>
        <w:spacing w:line="382" w:lineRule="exact"/>
        <w:rPr>
          <w:rFonts w:hint="eastAsia" w:ascii="宋体" w:hAnsi="宋体"/>
          <w:color w:val="auto"/>
          <w:szCs w:val="21"/>
        </w:rPr>
      </w:pPr>
      <w:r>
        <w:rPr>
          <w:rFonts w:hint="eastAsia" w:ascii="宋体" w:hAnsi="宋体"/>
          <w:b/>
          <w:color w:val="auto"/>
          <w:szCs w:val="21"/>
        </w:rPr>
        <w:t xml:space="preserve">    </w:t>
      </w:r>
      <w:r>
        <w:rPr>
          <w:rFonts w:hint="eastAsia" w:ascii="宋体" w:hAnsi="宋体"/>
          <w:color w:val="auto"/>
          <w:szCs w:val="21"/>
        </w:rPr>
        <w:t>1、甲方应提供必要安装条件（如场地、电源、水源等）。</w:t>
      </w:r>
    </w:p>
    <w:p w14:paraId="2ED89874">
      <w:pPr>
        <w:spacing w:line="382" w:lineRule="exact"/>
        <w:rPr>
          <w:rFonts w:hint="eastAsia" w:ascii="宋体" w:hAnsi="宋体"/>
          <w:color w:val="auto"/>
          <w:szCs w:val="21"/>
        </w:rPr>
      </w:pPr>
      <w:r>
        <w:rPr>
          <w:rFonts w:hint="eastAsia" w:ascii="宋体" w:hAnsi="宋体"/>
          <w:color w:val="auto"/>
          <w:szCs w:val="21"/>
        </w:rPr>
        <w:t xml:space="preserve">    2、乙方负责甲方有关人员的培训。培训时间、地点：</w:t>
      </w:r>
      <w:r>
        <w:rPr>
          <w:rFonts w:hint="eastAsia" w:ascii="宋体" w:hAnsi="宋体"/>
          <w:color w:val="auto"/>
          <w:szCs w:val="21"/>
          <w:u w:val="single"/>
        </w:rPr>
        <w:t xml:space="preserve">   由甲方根据情况合理安排  </w:t>
      </w:r>
      <w:r>
        <w:rPr>
          <w:rFonts w:hint="eastAsia" w:ascii="宋体" w:hAnsi="宋体"/>
          <w:color w:val="auto"/>
          <w:szCs w:val="21"/>
        </w:rPr>
        <w:t>。</w:t>
      </w:r>
    </w:p>
    <w:p w14:paraId="465D6AB0">
      <w:pPr>
        <w:spacing w:line="382" w:lineRule="exact"/>
        <w:rPr>
          <w:rFonts w:hint="eastAsia" w:ascii="宋体" w:hAnsi="宋体"/>
          <w:b/>
          <w:color w:val="auto"/>
          <w:szCs w:val="21"/>
        </w:rPr>
      </w:pPr>
      <w:r>
        <w:rPr>
          <w:rFonts w:hint="eastAsia" w:ascii="宋体" w:hAnsi="宋体"/>
          <w:color w:val="auto"/>
          <w:szCs w:val="21"/>
        </w:rPr>
        <w:t xml:space="preserve">    </w:t>
      </w:r>
      <w:r>
        <w:rPr>
          <w:rFonts w:hint="eastAsia" w:ascii="宋体" w:hAnsi="宋体"/>
          <w:b/>
          <w:color w:val="auto"/>
          <w:szCs w:val="21"/>
        </w:rPr>
        <w:t>第七条  售后服务、保修期</w:t>
      </w:r>
    </w:p>
    <w:p w14:paraId="08D2C5E5">
      <w:pPr>
        <w:spacing w:line="382" w:lineRule="exact"/>
        <w:rPr>
          <w:rFonts w:hint="eastAsia" w:ascii="宋体" w:hAnsi="宋体"/>
          <w:color w:val="auto"/>
          <w:szCs w:val="21"/>
        </w:rPr>
      </w:pPr>
      <w:r>
        <w:rPr>
          <w:rFonts w:hint="eastAsia" w:ascii="宋体" w:hAnsi="宋体"/>
          <w:b/>
          <w:color w:val="auto"/>
          <w:szCs w:val="21"/>
        </w:rPr>
        <w:t xml:space="preserve">    </w:t>
      </w:r>
      <w:r>
        <w:rPr>
          <w:rFonts w:hint="eastAsia" w:ascii="宋体" w:hAnsi="宋体"/>
          <w:color w:val="auto"/>
          <w:szCs w:val="21"/>
        </w:rPr>
        <w:t>1、乙方应按照国家有关法律法规和“三包”规定以及谈判文件、响应文件和本合同所附的《服务承诺》，为甲方提供售后服务。</w:t>
      </w:r>
    </w:p>
    <w:p w14:paraId="18FEA182">
      <w:pPr>
        <w:spacing w:line="382" w:lineRule="exact"/>
        <w:rPr>
          <w:rFonts w:hint="eastAsia" w:ascii="宋体" w:hAnsi="宋体"/>
          <w:color w:val="auto"/>
          <w:szCs w:val="21"/>
        </w:rPr>
      </w:pPr>
      <w:r>
        <w:rPr>
          <w:rFonts w:hint="eastAsia" w:ascii="宋体" w:hAnsi="宋体"/>
          <w:color w:val="auto"/>
          <w:szCs w:val="21"/>
        </w:rPr>
        <w:t xml:space="preserve">    2、货物保修期：</w:t>
      </w:r>
      <w:r>
        <w:rPr>
          <w:rFonts w:hint="eastAsia" w:ascii="宋体" w:hAnsi="宋体"/>
          <w:color w:val="auto"/>
          <w:szCs w:val="21"/>
          <w:u w:val="single"/>
        </w:rPr>
        <w:t xml:space="preserve">      按响应文件的承诺      </w:t>
      </w:r>
      <w:r>
        <w:rPr>
          <w:rFonts w:hint="eastAsia" w:ascii="宋体" w:hAnsi="宋体"/>
          <w:color w:val="auto"/>
          <w:szCs w:val="21"/>
        </w:rPr>
        <w:t>。</w:t>
      </w:r>
    </w:p>
    <w:p w14:paraId="7B86BE5B">
      <w:pPr>
        <w:spacing w:line="382" w:lineRule="exact"/>
        <w:rPr>
          <w:rFonts w:hint="eastAsia" w:ascii="宋体" w:hAnsi="宋体"/>
          <w:b/>
          <w:color w:val="auto"/>
          <w:szCs w:val="21"/>
        </w:rPr>
      </w:pPr>
      <w:r>
        <w:rPr>
          <w:rFonts w:hint="eastAsia" w:ascii="宋体" w:hAnsi="宋体"/>
          <w:color w:val="auto"/>
          <w:szCs w:val="21"/>
        </w:rPr>
        <w:t xml:space="preserve">    </w:t>
      </w:r>
      <w:r>
        <w:rPr>
          <w:rFonts w:hint="eastAsia" w:ascii="宋体" w:hAnsi="宋体"/>
          <w:b/>
          <w:color w:val="auto"/>
          <w:szCs w:val="21"/>
        </w:rPr>
        <w:t>第八条　付款方式</w:t>
      </w:r>
    </w:p>
    <w:p w14:paraId="211E400E">
      <w:pPr>
        <w:spacing w:line="382" w:lineRule="exact"/>
        <w:rPr>
          <w:color w:val="auto"/>
        </w:rPr>
      </w:pPr>
      <w:r>
        <w:rPr>
          <w:rFonts w:hint="eastAsia" w:ascii="宋体" w:hAnsi="宋体"/>
          <w:b/>
          <w:color w:val="auto"/>
          <w:szCs w:val="21"/>
        </w:rPr>
        <w:t xml:space="preserve">    </w:t>
      </w:r>
      <w:r>
        <w:rPr>
          <w:rFonts w:hint="eastAsia"/>
          <w:color w:val="auto"/>
        </w:rPr>
        <w:t>1、当采购数量与实际使用数量不一致时，乙方应根据实际使用量供货，合同的最终结算金额按实际使用量乘以成交单价进行计算。</w:t>
      </w:r>
    </w:p>
    <w:p w14:paraId="208C188D">
      <w:pPr>
        <w:spacing w:line="382" w:lineRule="exact"/>
        <w:rPr>
          <w:color w:val="auto"/>
        </w:rPr>
      </w:pPr>
      <w:r>
        <w:rPr>
          <w:rFonts w:hint="eastAsia"/>
          <w:color w:val="auto"/>
        </w:rPr>
        <w:t xml:space="preserve">    2、资金性质：</w:t>
      </w:r>
      <w:r>
        <w:rPr>
          <w:rFonts w:hint="eastAsia"/>
          <w:color w:val="auto"/>
          <w:u w:val="single"/>
        </w:rPr>
        <w:t xml:space="preserve">  财政性资金    </w:t>
      </w:r>
      <w:r>
        <w:rPr>
          <w:rFonts w:hint="eastAsia"/>
          <w:color w:val="auto"/>
        </w:rPr>
        <w:t>。</w:t>
      </w:r>
    </w:p>
    <w:p w14:paraId="3996AD4B">
      <w:pPr>
        <w:spacing w:line="382" w:lineRule="exact"/>
        <w:rPr>
          <w:rFonts w:hint="eastAsia" w:ascii="宋体" w:hAnsi="宋体" w:eastAsia="宋体" w:cs="宋体"/>
          <w:color w:val="auto"/>
        </w:rPr>
      </w:pPr>
      <w:r>
        <w:rPr>
          <w:rFonts w:hint="eastAsia"/>
          <w:color w:val="auto"/>
        </w:rPr>
        <w:t xml:space="preserve">    3、付款方式：</w:t>
      </w:r>
      <w:r>
        <w:rPr>
          <w:rFonts w:hint="eastAsia" w:ascii="宋体" w:hAnsi="宋体" w:eastAsia="宋体" w:cs="宋体"/>
          <w:color w:val="auto"/>
        </w:rPr>
        <w:t>合同签订后5个工作日内，</w:t>
      </w:r>
      <w:r>
        <w:rPr>
          <w:rFonts w:hint="eastAsia" w:ascii="宋体" w:hAnsi="宋体" w:eastAsia="宋体" w:cs="宋体"/>
          <w:color w:val="auto"/>
          <w:lang w:val="en-US" w:eastAsia="zh-CN"/>
        </w:rPr>
        <w:t>乙方</w:t>
      </w:r>
      <w:r>
        <w:rPr>
          <w:rFonts w:hint="eastAsia" w:ascii="宋体" w:hAnsi="宋体" w:eastAsia="宋体" w:cs="宋体"/>
          <w:color w:val="auto"/>
        </w:rPr>
        <w:t>向</w:t>
      </w:r>
      <w:r>
        <w:rPr>
          <w:rFonts w:hint="eastAsia" w:ascii="宋体" w:hAnsi="宋体" w:eastAsia="宋体" w:cs="宋体"/>
          <w:color w:val="auto"/>
          <w:lang w:val="en-US" w:eastAsia="zh-CN"/>
        </w:rPr>
        <w:t>甲方</w:t>
      </w:r>
      <w:r>
        <w:rPr>
          <w:rFonts w:hint="eastAsia" w:ascii="宋体" w:hAnsi="宋体" w:eastAsia="宋体" w:cs="宋体"/>
          <w:color w:val="auto"/>
        </w:rPr>
        <w:t>提交合同总金额的2%的履约保证金，</w:t>
      </w:r>
      <w:r>
        <w:rPr>
          <w:rFonts w:hint="eastAsia" w:ascii="宋体" w:hAnsi="宋体" w:eastAsia="宋体" w:cs="宋体"/>
          <w:color w:val="auto"/>
          <w:lang w:val="en-US" w:eastAsia="zh-CN"/>
        </w:rPr>
        <w:t>甲方</w:t>
      </w:r>
      <w:r>
        <w:rPr>
          <w:rFonts w:hint="eastAsia" w:ascii="宋体" w:hAnsi="宋体" w:eastAsia="宋体" w:cs="宋体"/>
          <w:color w:val="auto"/>
        </w:rPr>
        <w:t>在收到履约保证金后，设备到货并组装完毕双方组织验收后10个工作日内，</w:t>
      </w:r>
      <w:r>
        <w:rPr>
          <w:rFonts w:hint="eastAsia" w:ascii="宋体" w:hAnsi="宋体" w:eastAsia="宋体" w:cs="宋体"/>
          <w:color w:val="auto"/>
          <w:lang w:val="en-US" w:eastAsia="zh-CN"/>
        </w:rPr>
        <w:t>乙方</w:t>
      </w:r>
      <w:r>
        <w:rPr>
          <w:rFonts w:hint="eastAsia" w:ascii="宋体" w:hAnsi="宋体" w:eastAsia="宋体" w:cs="宋体"/>
          <w:color w:val="auto"/>
        </w:rPr>
        <w:t>开具合同金额100%的增值税专用发票，</w:t>
      </w:r>
      <w:r>
        <w:rPr>
          <w:rFonts w:hint="eastAsia" w:ascii="宋体" w:hAnsi="宋体" w:eastAsia="宋体" w:cs="宋体"/>
          <w:color w:val="auto"/>
          <w:lang w:val="en-US" w:eastAsia="zh-CN"/>
        </w:rPr>
        <w:t>甲方</w:t>
      </w:r>
      <w:r>
        <w:rPr>
          <w:rFonts w:hint="eastAsia" w:ascii="宋体" w:hAnsi="宋体" w:eastAsia="宋体" w:cs="宋体"/>
          <w:color w:val="auto"/>
        </w:rPr>
        <w:t>向</w:t>
      </w:r>
      <w:r>
        <w:rPr>
          <w:rFonts w:hint="eastAsia" w:ascii="宋体" w:hAnsi="宋体" w:eastAsia="宋体" w:cs="宋体"/>
          <w:color w:val="auto"/>
          <w:lang w:val="en-US" w:eastAsia="zh-CN"/>
        </w:rPr>
        <w:t>乙方</w:t>
      </w:r>
      <w:r>
        <w:rPr>
          <w:rFonts w:hint="eastAsia" w:ascii="宋体" w:hAnsi="宋体" w:eastAsia="宋体" w:cs="宋体"/>
          <w:color w:val="auto"/>
        </w:rPr>
        <w:t>支付100%货款；履约保证金在验收合格后返还</w:t>
      </w:r>
      <w:r>
        <w:rPr>
          <w:rFonts w:hint="eastAsia" w:ascii="宋体" w:hAnsi="宋体" w:eastAsia="宋体" w:cs="宋体"/>
          <w:color w:val="auto"/>
          <w:lang w:val="en-US" w:eastAsia="zh-CN"/>
        </w:rPr>
        <w:t>乙方</w:t>
      </w:r>
      <w:r>
        <w:rPr>
          <w:rFonts w:hint="eastAsia" w:ascii="宋体" w:hAnsi="宋体" w:eastAsia="宋体" w:cs="宋体"/>
          <w:color w:val="auto"/>
          <w:kern w:val="0"/>
          <w:szCs w:val="21"/>
        </w:rPr>
        <w:t>。</w:t>
      </w:r>
    </w:p>
    <w:p w14:paraId="6482E871">
      <w:pPr>
        <w:spacing w:line="382" w:lineRule="exact"/>
        <w:rPr>
          <w:rFonts w:hint="eastAsia" w:ascii="宋体" w:hAnsi="宋体"/>
          <w:b/>
          <w:color w:val="auto"/>
          <w:szCs w:val="21"/>
        </w:rPr>
      </w:pPr>
      <w:r>
        <w:rPr>
          <w:rFonts w:hint="eastAsia"/>
          <w:color w:val="auto"/>
        </w:rPr>
        <w:t xml:space="preserve">    </w:t>
      </w:r>
      <w:r>
        <w:rPr>
          <w:rFonts w:hint="eastAsia" w:ascii="宋体" w:hAnsi="宋体"/>
          <w:b/>
          <w:color w:val="auto"/>
          <w:szCs w:val="21"/>
        </w:rPr>
        <w:t>第九条　</w:t>
      </w:r>
      <w:r>
        <w:rPr>
          <w:rFonts w:hint="eastAsia"/>
          <w:b/>
          <w:color w:val="auto"/>
        </w:rPr>
        <w:t>履约</w:t>
      </w:r>
      <w:r>
        <w:rPr>
          <w:rFonts w:hint="eastAsia" w:ascii="宋体" w:hAnsi="宋体"/>
          <w:b/>
          <w:color w:val="auto"/>
          <w:szCs w:val="21"/>
        </w:rPr>
        <w:t>保证金</w:t>
      </w:r>
    </w:p>
    <w:p w14:paraId="0D1C1ADC">
      <w:pPr>
        <w:spacing w:line="382" w:lineRule="exact"/>
        <w:rPr>
          <w:color w:val="auto"/>
        </w:rPr>
      </w:pPr>
      <w:r>
        <w:rPr>
          <w:rFonts w:hint="eastAsia" w:ascii="宋体" w:hAnsi="宋体"/>
          <w:color w:val="auto"/>
          <w:szCs w:val="21"/>
        </w:rPr>
        <w:t xml:space="preserve">    按本项目履约保证金规定比例缴纳。</w:t>
      </w:r>
    </w:p>
    <w:p w14:paraId="0A3F1B4E">
      <w:pPr>
        <w:spacing w:line="382" w:lineRule="exact"/>
        <w:rPr>
          <w:rFonts w:hint="eastAsia" w:ascii="宋体" w:hAnsi="宋体"/>
          <w:b/>
          <w:color w:val="auto"/>
          <w:szCs w:val="21"/>
        </w:rPr>
      </w:pPr>
      <w:r>
        <w:rPr>
          <w:rFonts w:hint="eastAsia"/>
          <w:color w:val="auto"/>
        </w:rPr>
        <w:t xml:space="preserve">    </w:t>
      </w:r>
      <w:r>
        <w:rPr>
          <w:rFonts w:hint="eastAsia" w:ascii="宋体" w:hAnsi="宋体"/>
          <w:b/>
          <w:color w:val="auto"/>
          <w:szCs w:val="21"/>
        </w:rPr>
        <w:t>第十条  税费</w:t>
      </w:r>
    </w:p>
    <w:p w14:paraId="32072759">
      <w:pPr>
        <w:spacing w:line="382" w:lineRule="exact"/>
        <w:rPr>
          <w:rFonts w:hint="eastAsia" w:ascii="宋体" w:hAnsi="宋体"/>
          <w:color w:val="auto"/>
          <w:szCs w:val="21"/>
        </w:rPr>
      </w:pPr>
      <w:r>
        <w:rPr>
          <w:rFonts w:hint="eastAsia" w:ascii="宋体" w:hAnsi="宋体"/>
          <w:b/>
          <w:color w:val="auto"/>
          <w:szCs w:val="21"/>
        </w:rPr>
        <w:t xml:space="preserve">    </w:t>
      </w:r>
      <w:r>
        <w:rPr>
          <w:rFonts w:hint="eastAsia" w:ascii="宋体" w:hAnsi="宋体"/>
          <w:color w:val="auto"/>
          <w:szCs w:val="21"/>
        </w:rPr>
        <w:t>本合同执行中相关的一切税费均由乙方负担。</w:t>
      </w:r>
    </w:p>
    <w:p w14:paraId="577D5B05">
      <w:pPr>
        <w:spacing w:line="382" w:lineRule="exact"/>
        <w:rPr>
          <w:rFonts w:hint="eastAsia" w:ascii="宋体" w:hAnsi="宋体"/>
          <w:b/>
          <w:color w:val="auto"/>
          <w:szCs w:val="21"/>
        </w:rPr>
      </w:pPr>
      <w:r>
        <w:rPr>
          <w:rFonts w:hint="eastAsia" w:ascii="宋体" w:hAnsi="宋体"/>
          <w:color w:val="auto"/>
          <w:szCs w:val="21"/>
        </w:rPr>
        <w:t xml:space="preserve">    </w:t>
      </w:r>
      <w:r>
        <w:rPr>
          <w:rFonts w:hint="eastAsia" w:ascii="宋体" w:hAnsi="宋体"/>
          <w:b/>
          <w:color w:val="auto"/>
          <w:szCs w:val="21"/>
        </w:rPr>
        <w:t>第十一条  质量保证及售后服务</w:t>
      </w:r>
    </w:p>
    <w:p w14:paraId="7F19B8E9">
      <w:pPr>
        <w:spacing w:line="382" w:lineRule="exact"/>
        <w:rPr>
          <w:color w:val="auto"/>
        </w:rPr>
      </w:pPr>
      <w:r>
        <w:rPr>
          <w:rFonts w:hint="eastAsia" w:ascii="宋体"/>
          <w:b/>
          <w:color w:val="auto"/>
          <w:szCs w:val="21"/>
        </w:rPr>
        <w:t xml:space="preserve">    </w:t>
      </w:r>
      <w:r>
        <w:rPr>
          <w:rFonts w:hint="eastAsia" w:ascii="宋体"/>
          <w:color w:val="auto"/>
          <w:szCs w:val="21"/>
        </w:rPr>
        <w:t>1、乙方应按谈判文件规定及响应文件承诺的货物性能、技术要求、质量标准向甲方提供未经使用的全新产品。</w:t>
      </w:r>
      <w:r>
        <w:rPr>
          <w:rFonts w:hint="eastAsia"/>
          <w:color w:val="auto"/>
        </w:rPr>
        <w:t>乙方提供货物的质量保证期按交货验收合格之日起计（期限见《采购需求》中的要求）。在保证期内因货物本身的质量问题发生故障，乙方应负责免费修理和更换零部件。对达不到技术要求者，根据实际情况，经双方协商，可按以下办法处理：</w:t>
      </w:r>
    </w:p>
    <w:p w14:paraId="18D7CAA4">
      <w:pPr>
        <w:spacing w:line="382" w:lineRule="exact"/>
        <w:rPr>
          <w:color w:val="auto"/>
        </w:rPr>
      </w:pPr>
      <w:r>
        <w:rPr>
          <w:rFonts w:hint="eastAsia"/>
          <w:color w:val="auto"/>
        </w:rPr>
        <w:t xml:space="preserve">    （1）更换：由乙方承担所发生的全部费用。</w:t>
      </w:r>
    </w:p>
    <w:p w14:paraId="2985C321">
      <w:pPr>
        <w:spacing w:line="382" w:lineRule="exact"/>
        <w:rPr>
          <w:color w:val="auto"/>
        </w:rPr>
      </w:pPr>
      <w:r>
        <w:rPr>
          <w:rFonts w:hint="eastAsia"/>
          <w:color w:val="auto"/>
        </w:rPr>
        <w:t xml:space="preserve">    （2）贬值处理：由甲乙双方合议定价。</w:t>
      </w:r>
    </w:p>
    <w:p w14:paraId="0B9BA2C2">
      <w:pPr>
        <w:spacing w:line="382" w:lineRule="exact"/>
        <w:rPr>
          <w:color w:val="auto"/>
        </w:rPr>
      </w:pPr>
      <w:r>
        <w:rPr>
          <w:rFonts w:hint="eastAsia"/>
          <w:color w:val="auto"/>
        </w:rPr>
        <w:t xml:space="preserve">    （3）退货处理：乙方应退还甲方支付的合同款，同时应承担该货物的直接费用（运输、保险、检验、</w:t>
      </w:r>
    </w:p>
    <w:p w14:paraId="6CBF90D0">
      <w:pPr>
        <w:spacing w:line="382" w:lineRule="exact"/>
        <w:rPr>
          <w:color w:val="auto"/>
        </w:rPr>
      </w:pPr>
      <w:r>
        <w:rPr>
          <w:rFonts w:hint="eastAsia"/>
          <w:color w:val="auto"/>
        </w:rPr>
        <w:t>货款利息及银行手续费等）。</w:t>
      </w:r>
    </w:p>
    <w:p w14:paraId="0C237F71">
      <w:pPr>
        <w:spacing w:line="382" w:lineRule="exact"/>
        <w:rPr>
          <w:color w:val="auto"/>
        </w:rPr>
      </w:pPr>
      <w:r>
        <w:rPr>
          <w:rFonts w:hint="eastAsia"/>
          <w:color w:val="auto"/>
        </w:rPr>
        <w:t xml:space="preserve">    2、如在使用过程中发生质量问题，乙方在接到甲方通知后在</w:t>
      </w:r>
      <w:r>
        <w:rPr>
          <w:rFonts w:hint="eastAsia" w:ascii="宋体" w:hAnsi="宋体"/>
          <w:b/>
          <w:bCs/>
          <w:color w:val="auto"/>
          <w:szCs w:val="21"/>
          <w:u w:val="single"/>
        </w:rPr>
        <w:t xml:space="preserve">  </w:t>
      </w:r>
      <w:r>
        <w:rPr>
          <w:rFonts w:hint="eastAsia" w:ascii="宋体" w:hAnsi="宋体"/>
          <w:b/>
          <w:bCs/>
          <w:color w:val="auto"/>
          <w:szCs w:val="21"/>
          <w:u w:val="single"/>
          <w:lang w:val="en-US" w:eastAsia="zh-CN"/>
        </w:rPr>
        <w:t>8</w:t>
      </w:r>
      <w:r>
        <w:rPr>
          <w:rFonts w:hint="eastAsia" w:ascii="宋体" w:hAnsi="宋体"/>
          <w:b/>
          <w:bCs/>
          <w:color w:val="auto"/>
          <w:szCs w:val="21"/>
          <w:u w:val="single"/>
        </w:rPr>
        <w:t xml:space="preserve"> </w:t>
      </w:r>
      <w:r>
        <w:rPr>
          <w:rFonts w:hint="eastAsia" w:ascii="宋体" w:hAnsi="宋体"/>
          <w:b/>
          <w:bCs/>
          <w:color w:val="auto"/>
          <w:szCs w:val="21"/>
          <w:u w:val="single"/>
          <w:lang w:val="en-US" w:eastAsia="zh-CN"/>
        </w:rPr>
        <w:t xml:space="preserve"> </w:t>
      </w:r>
      <w:r>
        <w:rPr>
          <w:rFonts w:hint="eastAsia"/>
          <w:color w:val="auto"/>
        </w:rPr>
        <w:t>小时内到达甲方现场。</w:t>
      </w:r>
    </w:p>
    <w:p w14:paraId="48DCB98A">
      <w:pPr>
        <w:spacing w:line="382" w:lineRule="exact"/>
        <w:rPr>
          <w:color w:val="auto"/>
        </w:rPr>
      </w:pPr>
      <w:r>
        <w:rPr>
          <w:rFonts w:hint="eastAsia"/>
          <w:color w:val="auto"/>
        </w:rPr>
        <w:t xml:space="preserve">    3、在质保期内，乙方应对货物出现的质量及安全问题负责处理解决并承担一切费用。</w:t>
      </w:r>
    </w:p>
    <w:p w14:paraId="56C6B268">
      <w:pPr>
        <w:spacing w:line="382" w:lineRule="exact"/>
        <w:ind w:firstLine="420"/>
        <w:rPr>
          <w:rFonts w:hint="eastAsia"/>
          <w:color w:val="auto"/>
        </w:rPr>
      </w:pPr>
      <w:r>
        <w:rPr>
          <w:rFonts w:hint="eastAsia"/>
          <w:color w:val="auto"/>
        </w:rPr>
        <w:t>4、在货物免费保修期内，因人为因素出现的故障不在免费保修范围内。超过保修期的机器设备，终生维修，维修时只收部件成本费。</w:t>
      </w:r>
    </w:p>
    <w:p w14:paraId="560DCD66">
      <w:pPr>
        <w:spacing w:line="382" w:lineRule="exact"/>
        <w:ind w:firstLine="420"/>
        <w:rPr>
          <w:rFonts w:hint="eastAsia" w:eastAsia="宋体"/>
          <w:color w:val="auto"/>
          <w:lang w:val="en-US" w:eastAsia="zh-CN"/>
        </w:rPr>
      </w:pPr>
      <w:r>
        <w:rPr>
          <w:rFonts w:hint="eastAsia"/>
          <w:b/>
          <w:bCs/>
          <w:color w:val="auto"/>
          <w:lang w:val="en-US" w:eastAsia="zh-CN"/>
        </w:rPr>
        <w:t>5、</w:t>
      </w:r>
      <w:r>
        <w:rPr>
          <w:rFonts w:hint="eastAsia" w:ascii="宋体" w:hAnsi="宋体" w:cs="宋体"/>
          <w:b/>
          <w:color w:val="auto"/>
          <w:sz w:val="21"/>
          <w:szCs w:val="21"/>
          <w:u w:val="none"/>
          <w:lang w:val="en-US" w:eastAsia="zh-CN"/>
        </w:rPr>
        <w:t>乙方须为</w:t>
      </w:r>
      <w:r>
        <w:rPr>
          <w:rFonts w:hint="eastAsia" w:ascii="宋体" w:hAnsi="宋体" w:eastAsia="宋体" w:cs="宋体"/>
          <w:b/>
          <w:color w:val="auto"/>
          <w:sz w:val="21"/>
          <w:szCs w:val="21"/>
          <w:u w:val="none"/>
        </w:rPr>
        <w:t>第 71项产品“实时荧光定量PCR系统”</w:t>
      </w:r>
      <w:r>
        <w:rPr>
          <w:rFonts w:hint="eastAsia" w:ascii="宋体" w:hAnsi="宋体" w:cs="宋体"/>
          <w:b/>
          <w:color w:val="auto"/>
          <w:sz w:val="21"/>
          <w:szCs w:val="21"/>
          <w:u w:val="none"/>
          <w:lang w:val="en-US" w:eastAsia="zh-CN"/>
        </w:rPr>
        <w:t>购买产品责任险，保单的保险责任开始时间不得晚于货物交付验收之日，且保障期限不得短于项目的质量保证期。供货时需提供完整的保单，作为该项产品的验收资料之一。</w:t>
      </w:r>
    </w:p>
    <w:p w14:paraId="1FB7205E">
      <w:pPr>
        <w:spacing w:line="382" w:lineRule="exact"/>
        <w:rPr>
          <w:rFonts w:hint="eastAsia" w:hAnsi="宋体"/>
          <w:b/>
          <w:color w:val="auto"/>
        </w:rPr>
      </w:pPr>
      <w:r>
        <w:rPr>
          <w:rFonts w:hint="eastAsia"/>
          <w:color w:val="auto"/>
        </w:rPr>
        <w:t xml:space="preserve">    </w:t>
      </w:r>
      <w:r>
        <w:rPr>
          <w:rFonts w:hint="eastAsia" w:hAnsi="宋体"/>
          <w:b/>
          <w:color w:val="auto"/>
        </w:rPr>
        <w:t>第十二条  调试和验收</w:t>
      </w:r>
    </w:p>
    <w:p w14:paraId="6F4DE3D3">
      <w:pPr>
        <w:spacing w:line="382" w:lineRule="exact"/>
        <w:ind w:firstLine="420"/>
        <w:rPr>
          <w:rFonts w:hint="eastAsia" w:ascii="宋体" w:hAnsi="宋体" w:eastAsia="宋体" w:cs="宋体"/>
          <w:color w:val="auto"/>
        </w:rPr>
      </w:pPr>
      <w:r>
        <w:rPr>
          <w:rFonts w:hint="eastAsia" w:ascii="宋体" w:hAnsi="宋体" w:eastAsia="宋体" w:cs="宋体"/>
          <w:color w:val="auto"/>
        </w:rPr>
        <w:t>1、货物安装</w:t>
      </w:r>
      <w:r>
        <w:rPr>
          <w:rFonts w:hint="eastAsia" w:ascii="宋体" w:hAnsi="宋体" w:cs="宋体"/>
          <w:color w:val="auto"/>
        </w:rPr>
        <w:t>、调试</w:t>
      </w:r>
      <w:r>
        <w:rPr>
          <w:rFonts w:hint="eastAsia" w:ascii="宋体" w:hAnsi="宋体" w:eastAsia="宋体" w:cs="宋体"/>
          <w:color w:val="auto"/>
        </w:rPr>
        <w:t>完成正常运行 7 天后，由</w:t>
      </w:r>
      <w:r>
        <w:rPr>
          <w:rFonts w:hint="eastAsia" w:ascii="宋体" w:hAnsi="宋体" w:eastAsia="宋体" w:cs="宋体"/>
          <w:color w:val="auto"/>
          <w:lang w:val="en-US" w:eastAsia="zh-CN"/>
        </w:rPr>
        <w:t>乙方</w:t>
      </w:r>
      <w:r>
        <w:rPr>
          <w:rFonts w:hint="eastAsia" w:ascii="宋体" w:hAnsi="宋体" w:eastAsia="宋体" w:cs="宋体"/>
          <w:color w:val="auto"/>
        </w:rPr>
        <w:t>提出验收申请，</w:t>
      </w:r>
      <w:r>
        <w:rPr>
          <w:rFonts w:hint="eastAsia" w:ascii="宋体" w:hAnsi="宋体" w:eastAsia="宋体" w:cs="宋体"/>
          <w:color w:val="auto"/>
          <w:lang w:val="en-US" w:eastAsia="zh-CN"/>
        </w:rPr>
        <w:t>甲方</w:t>
      </w:r>
      <w:r>
        <w:rPr>
          <w:rFonts w:hint="eastAsia" w:ascii="宋体" w:hAnsi="宋体" w:eastAsia="宋体" w:cs="宋体"/>
          <w:color w:val="auto"/>
        </w:rPr>
        <w:t>同意后，按照</w:t>
      </w:r>
      <w:r>
        <w:rPr>
          <w:rFonts w:hint="eastAsia" w:ascii="宋体" w:hAnsi="宋体" w:eastAsia="宋体" w:cs="宋体"/>
          <w:color w:val="auto"/>
          <w:lang w:val="en-US" w:eastAsia="zh-CN"/>
        </w:rPr>
        <w:t>甲方</w:t>
      </w:r>
      <w:r>
        <w:rPr>
          <w:rFonts w:hint="eastAsia" w:ascii="宋体" w:hAnsi="宋体" w:eastAsia="宋体" w:cs="宋体"/>
          <w:color w:val="auto"/>
        </w:rPr>
        <w:t>验收的权限，相关部门及人员形成验收小组，验收小组根据采购文件、响应文件、合同等项目文件约定内容对项目进行综合运行验收。</w:t>
      </w:r>
    </w:p>
    <w:p w14:paraId="16FB5A1F">
      <w:pPr>
        <w:spacing w:line="382" w:lineRule="exact"/>
        <w:ind w:firstLine="420"/>
        <w:rPr>
          <w:rFonts w:hint="eastAsia" w:ascii="宋体" w:hAnsi="宋体" w:eastAsia="宋体" w:cs="宋体"/>
          <w:color w:val="auto"/>
        </w:rPr>
      </w:pPr>
      <w:r>
        <w:rPr>
          <w:rFonts w:hint="eastAsia" w:ascii="宋体" w:hAnsi="宋体" w:eastAsia="宋体" w:cs="宋体"/>
          <w:color w:val="auto"/>
          <w:lang w:val="en-US" w:eastAsia="zh-CN"/>
        </w:rPr>
        <w:t>2、</w:t>
      </w:r>
      <w:r>
        <w:rPr>
          <w:rFonts w:hint="eastAsia" w:ascii="宋体" w:hAnsi="宋体" w:eastAsia="宋体" w:cs="宋体"/>
          <w:color w:val="auto"/>
        </w:rPr>
        <w:t>如验收达不到要求，</w:t>
      </w:r>
      <w:r>
        <w:rPr>
          <w:rFonts w:hint="eastAsia" w:ascii="宋体" w:hAnsi="宋体" w:eastAsia="宋体" w:cs="宋体"/>
          <w:color w:val="auto"/>
          <w:lang w:val="en-US" w:eastAsia="zh-CN"/>
        </w:rPr>
        <w:t>甲方</w:t>
      </w:r>
      <w:r>
        <w:rPr>
          <w:rFonts w:hint="eastAsia" w:ascii="宋体" w:hAnsi="宋体" w:eastAsia="宋体" w:cs="宋体"/>
          <w:color w:val="auto"/>
        </w:rPr>
        <w:t>有权要求更换货物或拒绝付款，</w:t>
      </w:r>
      <w:r>
        <w:rPr>
          <w:rFonts w:hint="eastAsia" w:ascii="宋体" w:hAnsi="宋体" w:eastAsia="宋体" w:cs="宋体"/>
          <w:color w:val="auto"/>
          <w:lang w:val="en-US" w:eastAsia="zh-CN"/>
        </w:rPr>
        <w:t>乙方</w:t>
      </w:r>
      <w:r>
        <w:rPr>
          <w:rFonts w:hint="eastAsia" w:ascii="宋体" w:hAnsi="宋体" w:eastAsia="宋体" w:cs="宋体"/>
          <w:color w:val="auto"/>
        </w:rPr>
        <w:t>若违约，</w:t>
      </w:r>
      <w:r>
        <w:rPr>
          <w:rFonts w:hint="eastAsia" w:ascii="宋体" w:hAnsi="宋体" w:eastAsia="宋体" w:cs="宋体"/>
          <w:color w:val="auto"/>
          <w:lang w:val="en-US" w:eastAsia="zh-CN"/>
        </w:rPr>
        <w:t>甲方</w:t>
      </w:r>
      <w:r>
        <w:rPr>
          <w:rFonts w:hint="eastAsia" w:ascii="宋体" w:hAnsi="宋体" w:eastAsia="宋体" w:cs="宋体"/>
          <w:color w:val="auto"/>
        </w:rPr>
        <w:t>将依法追究相应法律责任。</w:t>
      </w:r>
    </w:p>
    <w:p w14:paraId="4F616ECB">
      <w:pPr>
        <w:spacing w:line="382" w:lineRule="exact"/>
        <w:ind w:firstLine="420"/>
        <w:rPr>
          <w:rFonts w:hint="eastAsia" w:ascii="宋体" w:hAnsi="宋体" w:eastAsia="宋体" w:cs="宋体"/>
          <w:color w:val="auto"/>
        </w:rPr>
      </w:pPr>
      <w:r>
        <w:rPr>
          <w:rFonts w:hint="eastAsia" w:ascii="宋体" w:hAnsi="宋体" w:eastAsia="宋体" w:cs="宋体"/>
          <w:color w:val="auto"/>
          <w:lang w:val="en-US" w:eastAsia="zh-CN"/>
        </w:rPr>
        <w:t>3、</w:t>
      </w:r>
      <w:r>
        <w:rPr>
          <w:rFonts w:hint="eastAsia" w:ascii="宋体" w:hAnsi="宋体" w:eastAsia="宋体" w:cs="宋体"/>
          <w:color w:val="auto"/>
        </w:rPr>
        <w:t>甲方对乙方提交的货物依据谈判文件上的技术规格要求和国家有关质量标准进行现场初步验收，外观、说明书符合谈判文件技术要求的，给予签收，初步验收不合格的不予签收。</w:t>
      </w:r>
    </w:p>
    <w:p w14:paraId="67E447DF">
      <w:pPr>
        <w:spacing w:line="382" w:lineRule="exact"/>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lang w:val="en-US" w:eastAsia="zh-CN"/>
        </w:rPr>
        <w:t>4</w:t>
      </w:r>
      <w:r>
        <w:rPr>
          <w:rFonts w:hint="eastAsia" w:ascii="宋体" w:hAnsi="宋体" w:eastAsia="宋体" w:cs="宋体"/>
          <w:color w:val="auto"/>
        </w:rPr>
        <w:t>、乙方交货前应对产品作出全面检查和对验收文件进行整理，并列出清单，作为甲方收货验收和使用的技术条件依据，检验的结果应随货物交甲方。</w:t>
      </w:r>
    </w:p>
    <w:p w14:paraId="3BA625F5">
      <w:pPr>
        <w:spacing w:line="382" w:lineRule="exact"/>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lang w:val="en-US" w:eastAsia="zh-CN"/>
        </w:rPr>
        <w:t>5</w:t>
      </w:r>
      <w:r>
        <w:rPr>
          <w:rFonts w:hint="eastAsia" w:ascii="宋体" w:hAnsi="宋体" w:eastAsia="宋体" w:cs="宋体"/>
          <w:color w:val="auto"/>
        </w:rPr>
        <w:t>、甲方对乙方提供的货物在使用前进行调试时，乙方需负责安装并培训甲方的使用操作人员，并协助甲方一起调试，直到符合技术要求，甲方才做最终验收。</w:t>
      </w:r>
    </w:p>
    <w:p w14:paraId="700AE9B7">
      <w:pPr>
        <w:spacing w:line="382" w:lineRule="exact"/>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lang w:val="en-US" w:eastAsia="zh-CN"/>
        </w:rPr>
        <w:t>6</w:t>
      </w:r>
      <w:r>
        <w:rPr>
          <w:rFonts w:hint="eastAsia" w:ascii="宋体" w:hAnsi="宋体" w:eastAsia="宋体" w:cs="宋体"/>
          <w:color w:val="auto"/>
        </w:rPr>
        <w:t>、对技术复杂的货物，甲方应请国家认可的专业检测机构参与初步验收及最终验收，并由其出具质量检测报告。</w:t>
      </w:r>
    </w:p>
    <w:p w14:paraId="6DB4F6C8">
      <w:pPr>
        <w:spacing w:line="382" w:lineRule="exact"/>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lang w:val="en-US" w:eastAsia="zh-CN"/>
        </w:rPr>
        <w:t>7</w:t>
      </w:r>
      <w:r>
        <w:rPr>
          <w:rFonts w:hint="eastAsia" w:ascii="宋体" w:hAnsi="宋体" w:eastAsia="宋体" w:cs="宋体"/>
          <w:color w:val="auto"/>
        </w:rPr>
        <w:t>、验收时乙方必须在现场，验收完毕后作出验收结果报告；验收费用由乙方负责。</w:t>
      </w:r>
    </w:p>
    <w:p w14:paraId="526C46AC">
      <w:pPr>
        <w:spacing w:line="382" w:lineRule="exact"/>
        <w:rPr>
          <w:rFonts w:hint="eastAsia" w:hAnsi="宋体"/>
          <w:b/>
          <w:color w:val="auto"/>
        </w:rPr>
      </w:pPr>
      <w:r>
        <w:rPr>
          <w:rFonts w:hint="eastAsia" w:hAnsi="宋体"/>
          <w:color w:val="auto"/>
        </w:rPr>
        <w:t xml:space="preserve">    </w:t>
      </w:r>
      <w:r>
        <w:rPr>
          <w:rFonts w:hint="eastAsia" w:hAnsi="宋体"/>
          <w:b/>
          <w:color w:val="auto"/>
        </w:rPr>
        <w:t>第十三条  货物包装、发运及运输</w:t>
      </w:r>
    </w:p>
    <w:p w14:paraId="17C2B319">
      <w:pPr>
        <w:spacing w:line="382" w:lineRule="exact"/>
        <w:rPr>
          <w:rFonts w:hint="eastAsia" w:ascii="宋体" w:hAnsi="宋体" w:eastAsia="宋体" w:cs="宋体"/>
          <w:color w:val="auto"/>
        </w:rPr>
      </w:pPr>
      <w:r>
        <w:rPr>
          <w:rFonts w:hint="eastAsia"/>
          <w:b/>
          <w:color w:val="auto"/>
        </w:rPr>
        <w:t xml:space="preserve"> </w:t>
      </w:r>
      <w:r>
        <w:rPr>
          <w:rFonts w:hint="eastAsia"/>
          <w:color w:val="auto"/>
        </w:rPr>
        <w:t xml:space="preserve">   </w:t>
      </w:r>
      <w:r>
        <w:rPr>
          <w:rFonts w:hint="eastAsia" w:ascii="宋体" w:hAnsi="宋体" w:eastAsia="宋体" w:cs="宋体"/>
          <w:color w:val="auto"/>
        </w:rPr>
        <w:t>1、乙方应在货物发运前对其进行满足运输距离、防潮、防震、防锈和防破损装卸等要求包装，以保证货物安全运达甲方指定地点。</w:t>
      </w:r>
    </w:p>
    <w:p w14:paraId="235D8BFE">
      <w:pPr>
        <w:spacing w:line="382" w:lineRule="exact"/>
        <w:rPr>
          <w:rFonts w:hint="eastAsia" w:ascii="宋体" w:hAnsi="宋体" w:eastAsia="宋体" w:cs="宋体"/>
          <w:color w:val="auto"/>
        </w:rPr>
      </w:pPr>
      <w:r>
        <w:rPr>
          <w:rFonts w:hint="eastAsia" w:ascii="宋体" w:hAnsi="宋体" w:eastAsia="宋体" w:cs="宋体"/>
          <w:color w:val="auto"/>
        </w:rPr>
        <w:t xml:space="preserve">    2、使用说明书、质量检验证明书、随配附件和工具以及清单一并附于货物内。</w:t>
      </w:r>
    </w:p>
    <w:p w14:paraId="56D054CE">
      <w:pPr>
        <w:spacing w:line="382" w:lineRule="exact"/>
        <w:rPr>
          <w:rFonts w:hint="eastAsia" w:ascii="宋体" w:hAnsi="宋体" w:eastAsia="宋体" w:cs="宋体"/>
          <w:color w:val="auto"/>
        </w:rPr>
      </w:pPr>
      <w:r>
        <w:rPr>
          <w:rFonts w:hint="eastAsia" w:ascii="宋体" w:hAnsi="宋体" w:eastAsia="宋体" w:cs="宋体"/>
          <w:color w:val="auto"/>
        </w:rPr>
        <w:t xml:space="preserve">    3、乙方在货物发运手续办理完毕后</w:t>
      </w:r>
      <w:r>
        <w:rPr>
          <w:rFonts w:hint="eastAsia" w:ascii="宋体" w:hAnsi="宋体" w:cs="宋体"/>
          <w:color w:val="auto"/>
          <w:u w:val="single"/>
          <w:lang w:val="en-US" w:eastAsia="zh-CN"/>
        </w:rPr>
        <w:t>24</w:t>
      </w:r>
      <w:r>
        <w:rPr>
          <w:rFonts w:hint="eastAsia" w:ascii="宋体" w:hAnsi="宋体" w:eastAsia="宋体" w:cs="宋体"/>
          <w:color w:val="auto"/>
        </w:rPr>
        <w:t>小时内或货到甲方</w:t>
      </w:r>
      <w:r>
        <w:rPr>
          <w:rFonts w:hint="eastAsia" w:ascii="宋体" w:hAnsi="宋体" w:cs="宋体"/>
          <w:color w:val="auto"/>
          <w:u w:val="single"/>
          <w:lang w:val="en-US" w:eastAsia="zh-CN"/>
        </w:rPr>
        <w:t>48</w:t>
      </w:r>
      <w:r>
        <w:rPr>
          <w:rFonts w:hint="eastAsia" w:ascii="宋体" w:hAnsi="宋体" w:eastAsia="宋体" w:cs="宋体"/>
          <w:color w:val="auto"/>
        </w:rPr>
        <w:t>小时前书面通知甲方，以准备接货。</w:t>
      </w:r>
    </w:p>
    <w:p w14:paraId="11525242">
      <w:pPr>
        <w:spacing w:line="382" w:lineRule="exact"/>
        <w:rPr>
          <w:rFonts w:hint="eastAsia" w:ascii="宋体" w:hAnsi="宋体" w:eastAsia="宋体" w:cs="宋体"/>
          <w:color w:val="auto"/>
        </w:rPr>
      </w:pPr>
      <w:r>
        <w:rPr>
          <w:rFonts w:hint="eastAsia" w:ascii="宋体" w:hAnsi="宋体" w:eastAsia="宋体" w:cs="宋体"/>
          <w:color w:val="auto"/>
        </w:rPr>
        <w:t xml:space="preserve">    4、货物在交付甲方前发生的风险均由乙方负责。</w:t>
      </w:r>
    </w:p>
    <w:p w14:paraId="1E2A6547">
      <w:pPr>
        <w:spacing w:line="382" w:lineRule="exact"/>
        <w:rPr>
          <w:rFonts w:hint="eastAsia" w:ascii="宋体" w:hAnsi="宋体" w:eastAsia="宋体" w:cs="宋体"/>
          <w:color w:val="auto"/>
        </w:rPr>
      </w:pPr>
      <w:r>
        <w:rPr>
          <w:rFonts w:hint="eastAsia" w:ascii="宋体" w:hAnsi="宋体" w:eastAsia="宋体" w:cs="宋体"/>
          <w:color w:val="auto"/>
        </w:rPr>
        <w:t xml:space="preserve">    5、货物在规定的交付期限内由乙方送达甲方指定的地点视为交付，乙方同时需通知甲方货物已送达。</w:t>
      </w:r>
    </w:p>
    <w:p w14:paraId="5B7C0A37">
      <w:pPr>
        <w:spacing w:line="382" w:lineRule="exact"/>
        <w:rPr>
          <w:rFonts w:hint="eastAsia" w:ascii="宋体" w:hAnsi="宋体"/>
          <w:b/>
          <w:color w:val="auto"/>
          <w:szCs w:val="21"/>
        </w:rPr>
      </w:pPr>
      <w:r>
        <w:rPr>
          <w:rFonts w:hint="eastAsia"/>
          <w:color w:val="auto"/>
        </w:rPr>
        <w:t xml:space="preserve">    </w:t>
      </w:r>
      <w:r>
        <w:rPr>
          <w:rFonts w:hint="eastAsia" w:ascii="宋体" w:hAnsi="宋体"/>
          <w:b/>
          <w:color w:val="auto"/>
          <w:szCs w:val="21"/>
        </w:rPr>
        <w:t>第十四条　 违约责任</w:t>
      </w:r>
    </w:p>
    <w:p w14:paraId="40A0CD60">
      <w:pPr>
        <w:spacing w:line="382" w:lineRule="exact"/>
        <w:rPr>
          <w:rFonts w:hint="eastAsia" w:ascii="宋体" w:hAnsi="宋体"/>
          <w:color w:val="auto"/>
          <w:szCs w:val="21"/>
        </w:rPr>
      </w:pPr>
      <w:r>
        <w:rPr>
          <w:rFonts w:hint="eastAsia" w:ascii="宋体" w:hAnsi="宋体"/>
          <w:b/>
          <w:color w:val="auto"/>
          <w:szCs w:val="21"/>
        </w:rPr>
        <w:t xml:space="preserve">    </w:t>
      </w:r>
      <w:r>
        <w:rPr>
          <w:rFonts w:hint="eastAsia" w:ascii="宋体" w:hAnsi="宋体"/>
          <w:color w:val="auto"/>
          <w:szCs w:val="21"/>
        </w:rPr>
        <w:t>1、乙方所提供的货物规格、技术标准、材料等质量不合格的，应及时更换，更换不及时的按逾期交货处理；因质量问题甲方不同意接收的或特殊情况甲方同意接收的，乙方应向甲方支付合同金额15%违约金并赔偿甲方经济损失。</w:t>
      </w:r>
    </w:p>
    <w:p w14:paraId="73F3BD34">
      <w:pPr>
        <w:spacing w:line="382" w:lineRule="exact"/>
        <w:rPr>
          <w:rFonts w:hint="eastAsia" w:ascii="宋体" w:hAnsi="宋体"/>
          <w:color w:val="auto"/>
          <w:szCs w:val="21"/>
        </w:rPr>
      </w:pPr>
      <w:r>
        <w:rPr>
          <w:rFonts w:hint="eastAsia" w:ascii="宋体" w:hAnsi="宋体"/>
          <w:color w:val="auto"/>
          <w:szCs w:val="21"/>
        </w:rPr>
        <w:t xml:space="preserve">    2、乙方提供的货物如侵犯了第三方合法权益而引发的任何纠纷或诉讼，均由乙方负责交涉并承担全部责任。</w:t>
      </w:r>
    </w:p>
    <w:p w14:paraId="68AE7238">
      <w:pPr>
        <w:spacing w:line="382" w:lineRule="exact"/>
        <w:rPr>
          <w:rFonts w:hint="eastAsia" w:ascii="宋体" w:hAnsi="宋体"/>
          <w:color w:val="auto"/>
          <w:szCs w:val="21"/>
        </w:rPr>
      </w:pPr>
      <w:r>
        <w:rPr>
          <w:rFonts w:hint="eastAsia" w:ascii="宋体" w:hAnsi="宋体"/>
          <w:color w:val="auto"/>
          <w:szCs w:val="21"/>
        </w:rPr>
        <w:t xml:space="preserve">    3、因包装、运输引起的货物损坏，按质量不合格处理。</w:t>
      </w:r>
    </w:p>
    <w:p w14:paraId="0760B1C7">
      <w:pPr>
        <w:spacing w:line="382" w:lineRule="exact"/>
        <w:rPr>
          <w:rFonts w:hint="eastAsia" w:ascii="宋体" w:hAnsi="宋体"/>
          <w:color w:val="auto"/>
          <w:szCs w:val="21"/>
        </w:rPr>
      </w:pPr>
      <w:r>
        <w:rPr>
          <w:rFonts w:hint="eastAsia" w:ascii="宋体" w:hAnsi="宋体"/>
          <w:color w:val="auto"/>
          <w:szCs w:val="21"/>
        </w:rPr>
        <w:t xml:space="preserve">    4、甲方无故延期接收货物、乙方逾期交货的，每天向对方偿付违约货款额万分之</w:t>
      </w:r>
      <w:r>
        <w:rPr>
          <w:rFonts w:hint="eastAsia" w:ascii="宋体" w:hAnsi="宋体"/>
          <w:color w:val="auto"/>
          <w:szCs w:val="21"/>
          <w:lang w:val="en-US" w:eastAsia="zh-CN"/>
        </w:rPr>
        <w:t>一</w:t>
      </w:r>
      <w:r>
        <w:rPr>
          <w:rFonts w:hint="eastAsia" w:ascii="宋体" w:hAnsi="宋体"/>
          <w:color w:val="auto"/>
          <w:szCs w:val="21"/>
        </w:rPr>
        <w:t>违约金，但违约金累计不得超过合同金额</w:t>
      </w:r>
      <w:r>
        <w:rPr>
          <w:rFonts w:hint="eastAsia" w:ascii="宋体" w:hAnsi="宋体"/>
          <w:color w:val="auto"/>
          <w:szCs w:val="21"/>
          <w:u w:val="single"/>
          <w:lang w:val="en-US" w:eastAsia="zh-CN"/>
        </w:rPr>
        <w:t>5%</w:t>
      </w:r>
      <w:r>
        <w:rPr>
          <w:rFonts w:hint="eastAsia" w:ascii="宋体" w:hAnsi="宋体"/>
          <w:color w:val="auto"/>
          <w:szCs w:val="21"/>
        </w:rPr>
        <w:t>，超过</w:t>
      </w:r>
      <w:r>
        <w:rPr>
          <w:rFonts w:hint="eastAsia" w:ascii="宋体" w:hAnsi="宋体"/>
          <w:color w:val="auto"/>
          <w:szCs w:val="21"/>
          <w:u w:val="single"/>
        </w:rPr>
        <w:t xml:space="preserve">  10  </w:t>
      </w:r>
      <w:r>
        <w:rPr>
          <w:rFonts w:hint="eastAsia" w:ascii="宋体" w:hAnsi="宋体"/>
          <w:color w:val="auto"/>
          <w:szCs w:val="21"/>
        </w:rPr>
        <w:t>天对方有权解除合同，违约方应按合同金额</w:t>
      </w:r>
      <w:r>
        <w:rPr>
          <w:rFonts w:hint="eastAsia" w:ascii="宋体" w:hAnsi="宋体"/>
          <w:color w:val="auto"/>
          <w:szCs w:val="21"/>
          <w:u w:val="single"/>
          <w:lang w:val="en-US" w:eastAsia="zh-CN"/>
        </w:rPr>
        <w:t>5%</w:t>
      </w:r>
      <w:r>
        <w:rPr>
          <w:rFonts w:hint="eastAsia" w:ascii="宋体" w:hAnsi="宋体"/>
          <w:color w:val="auto"/>
          <w:szCs w:val="21"/>
        </w:rPr>
        <w:t>支付违约金并承担因此给对方造成经济损失；甲方延期付货款的，每天向乙方偿付延期货款额万分之</w:t>
      </w:r>
      <w:r>
        <w:rPr>
          <w:rFonts w:hint="eastAsia" w:ascii="宋体" w:hAnsi="宋体"/>
          <w:color w:val="auto"/>
          <w:szCs w:val="21"/>
          <w:lang w:val="en-US" w:eastAsia="zh-CN"/>
        </w:rPr>
        <w:t>一</w:t>
      </w:r>
      <w:r>
        <w:rPr>
          <w:rFonts w:hint="eastAsia" w:ascii="宋体" w:hAnsi="宋体"/>
          <w:color w:val="auto"/>
          <w:szCs w:val="21"/>
        </w:rPr>
        <w:t>违约金，但违约金累计不得超过延期货款额</w:t>
      </w:r>
      <w:r>
        <w:rPr>
          <w:rFonts w:hint="eastAsia" w:ascii="宋体" w:hAnsi="宋体"/>
          <w:color w:val="auto"/>
          <w:szCs w:val="21"/>
          <w:u w:val="single"/>
          <w:lang w:val="en-US" w:eastAsia="zh-CN"/>
        </w:rPr>
        <w:t>5%</w:t>
      </w:r>
      <w:r>
        <w:rPr>
          <w:rFonts w:hint="eastAsia" w:ascii="宋体" w:hAnsi="宋体"/>
          <w:color w:val="auto"/>
          <w:szCs w:val="21"/>
        </w:rPr>
        <w:t>。</w:t>
      </w:r>
    </w:p>
    <w:p w14:paraId="2390D432">
      <w:pPr>
        <w:spacing w:line="382" w:lineRule="exact"/>
        <w:rPr>
          <w:rFonts w:hint="eastAsia" w:ascii="宋体" w:hAnsi="宋体"/>
          <w:color w:val="auto"/>
          <w:szCs w:val="21"/>
        </w:rPr>
      </w:pPr>
      <w:r>
        <w:rPr>
          <w:rFonts w:hint="eastAsia" w:ascii="宋体" w:hAnsi="宋体"/>
          <w:color w:val="auto"/>
          <w:szCs w:val="21"/>
        </w:rPr>
        <w:t xml:space="preserve">    5、乙方未按本合同和响应文件中规定的服务承诺提供售后服务的，乙方应按本合同合计金额</w:t>
      </w:r>
      <w:r>
        <w:rPr>
          <w:rFonts w:hint="eastAsia" w:ascii="宋体" w:hAnsi="宋体"/>
          <w:color w:val="auto"/>
          <w:szCs w:val="21"/>
          <w:u w:val="single"/>
          <w:lang w:val="en-US" w:eastAsia="zh-CN"/>
        </w:rPr>
        <w:t>5%</w:t>
      </w:r>
      <w:r>
        <w:rPr>
          <w:rFonts w:hint="eastAsia" w:ascii="宋体" w:hAnsi="宋体"/>
          <w:color w:val="auto"/>
          <w:szCs w:val="21"/>
        </w:rPr>
        <w:t>向甲方支付违约金。</w:t>
      </w:r>
    </w:p>
    <w:p w14:paraId="06293EC9">
      <w:pPr>
        <w:spacing w:line="382" w:lineRule="exact"/>
        <w:rPr>
          <w:rFonts w:hint="eastAsia" w:ascii="宋体" w:hAnsi="宋体"/>
          <w:color w:val="auto"/>
          <w:szCs w:val="21"/>
        </w:rPr>
      </w:pPr>
      <w:r>
        <w:rPr>
          <w:rFonts w:hint="eastAsia" w:ascii="宋体" w:hAnsi="宋体"/>
          <w:color w:val="auto"/>
          <w:szCs w:val="21"/>
        </w:rPr>
        <w:t xml:space="preserve">    6、乙方提供的货物在质量保证期内，因设计、工艺或材料的缺陷和其它质量原因造成的问题，由乙方负责。</w:t>
      </w:r>
    </w:p>
    <w:p w14:paraId="5FB4354C">
      <w:pPr>
        <w:spacing w:line="382" w:lineRule="exact"/>
        <w:ind w:firstLine="420"/>
        <w:rPr>
          <w:rFonts w:hint="eastAsia" w:ascii="宋体" w:hAnsi="宋体"/>
          <w:color w:val="auto"/>
          <w:szCs w:val="21"/>
        </w:rPr>
      </w:pPr>
      <w:r>
        <w:rPr>
          <w:rFonts w:hint="eastAsia" w:ascii="宋体" w:hAnsi="宋体"/>
          <w:color w:val="auto"/>
          <w:szCs w:val="21"/>
        </w:rPr>
        <w:t>7、乙方支付的违约金不足以弥补甲方损失的，还应承担赔偿责任。</w:t>
      </w:r>
    </w:p>
    <w:p w14:paraId="1F6DA09E">
      <w:pPr>
        <w:spacing w:line="382" w:lineRule="exact"/>
        <w:rPr>
          <w:rFonts w:hint="eastAsia" w:hAnsi="宋体"/>
          <w:b/>
          <w:color w:val="auto"/>
        </w:rPr>
      </w:pPr>
      <w:r>
        <w:rPr>
          <w:rFonts w:hint="eastAsia" w:ascii="宋体" w:hAnsi="宋体"/>
          <w:color w:val="auto"/>
          <w:szCs w:val="21"/>
        </w:rPr>
        <w:t xml:space="preserve">    </w:t>
      </w:r>
      <w:r>
        <w:rPr>
          <w:rFonts w:hint="eastAsia" w:hAnsi="宋体"/>
          <w:b/>
          <w:color w:val="auto"/>
        </w:rPr>
        <w:t>第十五条  不可抗力事件处理</w:t>
      </w:r>
    </w:p>
    <w:p w14:paraId="4BB7987A">
      <w:pPr>
        <w:spacing w:line="382" w:lineRule="exact"/>
        <w:rPr>
          <w:rFonts w:hint="eastAsia" w:hAnsi="宋体"/>
          <w:color w:val="auto"/>
        </w:rPr>
      </w:pPr>
      <w:r>
        <w:rPr>
          <w:rFonts w:hint="eastAsia" w:hAnsi="宋体"/>
          <w:color w:val="auto"/>
        </w:rPr>
        <w:t xml:space="preserve">    1、在合同有效期内，任何一方因不可抗力事件导致不能履行合同，则合同履行期可延长，其延长期与不可抗力影响期相同。</w:t>
      </w:r>
    </w:p>
    <w:p w14:paraId="5D615A4F">
      <w:pPr>
        <w:spacing w:line="382" w:lineRule="exact"/>
        <w:rPr>
          <w:rFonts w:hint="eastAsia" w:hAnsi="宋体"/>
          <w:color w:val="auto"/>
        </w:rPr>
      </w:pPr>
      <w:r>
        <w:rPr>
          <w:rFonts w:hint="eastAsia" w:hAnsi="宋体"/>
          <w:color w:val="auto"/>
        </w:rPr>
        <w:t xml:space="preserve">    2、不可抗力事件发生后，应立即通知对方，并寄送有关权威机构出具的证明。</w:t>
      </w:r>
    </w:p>
    <w:p w14:paraId="7AD2684E">
      <w:pPr>
        <w:spacing w:line="382" w:lineRule="exact"/>
        <w:rPr>
          <w:rFonts w:hint="eastAsia" w:hAnsi="宋体"/>
          <w:color w:val="auto"/>
        </w:rPr>
      </w:pPr>
      <w:r>
        <w:rPr>
          <w:rFonts w:hint="eastAsia" w:hAnsi="宋体"/>
          <w:color w:val="auto"/>
        </w:rPr>
        <w:t xml:space="preserve">    3、不可抗力事件延续</w:t>
      </w:r>
      <w:r>
        <w:rPr>
          <w:rFonts w:hint="eastAsia" w:ascii="宋体" w:hAnsi="宋体" w:eastAsia="宋体" w:cs="宋体"/>
          <w:color w:val="auto"/>
          <w:u w:val="single"/>
          <w:lang w:val="en-US" w:eastAsia="zh-CN"/>
        </w:rPr>
        <w:t>120</w:t>
      </w:r>
      <w:r>
        <w:rPr>
          <w:rFonts w:hint="eastAsia" w:hAnsi="宋体"/>
          <w:color w:val="auto"/>
        </w:rPr>
        <w:t>天以上，双方应通过友好协商，确定是否继续履行合同。</w:t>
      </w:r>
    </w:p>
    <w:p w14:paraId="74F86FD8">
      <w:pPr>
        <w:spacing w:line="382" w:lineRule="exact"/>
        <w:rPr>
          <w:rFonts w:hint="eastAsia" w:ascii="宋体" w:hAnsi="宋体"/>
          <w:b/>
          <w:color w:val="auto"/>
          <w:szCs w:val="21"/>
        </w:rPr>
      </w:pPr>
      <w:r>
        <w:rPr>
          <w:rFonts w:hint="eastAsia" w:hAnsi="宋体"/>
          <w:color w:val="auto"/>
        </w:rPr>
        <w:t xml:space="preserve">    </w:t>
      </w:r>
      <w:r>
        <w:rPr>
          <w:rFonts w:hint="eastAsia" w:ascii="宋体" w:hAnsi="宋体"/>
          <w:b/>
          <w:color w:val="auto"/>
          <w:szCs w:val="21"/>
        </w:rPr>
        <w:t>第十六条  合同争议解决</w:t>
      </w:r>
    </w:p>
    <w:p w14:paraId="79E7A6E1">
      <w:pPr>
        <w:spacing w:line="382" w:lineRule="exact"/>
        <w:rPr>
          <w:rFonts w:hint="eastAsia" w:ascii="宋体" w:hAnsi="宋体"/>
          <w:color w:val="auto"/>
          <w:szCs w:val="21"/>
        </w:rPr>
      </w:pPr>
      <w:r>
        <w:rPr>
          <w:rFonts w:hint="eastAsia" w:ascii="宋体" w:hAnsi="宋体"/>
          <w:b/>
          <w:color w:val="auto"/>
          <w:szCs w:val="21"/>
        </w:rPr>
        <w:t xml:space="preserve">    </w:t>
      </w:r>
      <w:r>
        <w:rPr>
          <w:rFonts w:hint="eastAsia" w:ascii="宋体" w:hAnsi="宋体"/>
          <w:color w:val="auto"/>
          <w:szCs w:val="21"/>
        </w:rPr>
        <w:t>1、因货物质量问题发生争议的，应邀请国家认可的质量检测机构对货物质量进行鉴定。货物符合标准的，鉴定费由甲方承担；货物不符合标准的，鉴定费由乙方承担。</w:t>
      </w:r>
    </w:p>
    <w:p w14:paraId="46F9F7DB">
      <w:pPr>
        <w:spacing w:line="382" w:lineRule="exact"/>
        <w:rPr>
          <w:rFonts w:hint="eastAsia" w:ascii="宋体" w:hAnsi="宋体"/>
          <w:color w:val="auto"/>
          <w:szCs w:val="21"/>
        </w:rPr>
      </w:pPr>
      <w:r>
        <w:rPr>
          <w:rFonts w:hint="eastAsia" w:ascii="宋体" w:hAnsi="宋体"/>
          <w:color w:val="auto"/>
          <w:szCs w:val="21"/>
        </w:rPr>
        <w:t xml:space="preserve">    2、因履行本合同引起的或与本合同有关的争议，甲乙双方应首先通过友好协商解决，如果协商不能解决，可向甲方所在地人民法院提起诉讼。</w:t>
      </w:r>
    </w:p>
    <w:p w14:paraId="7EA6589B">
      <w:pPr>
        <w:spacing w:line="382" w:lineRule="exact"/>
        <w:rPr>
          <w:rFonts w:hint="eastAsia" w:ascii="宋体" w:hAnsi="宋体"/>
          <w:color w:val="auto"/>
          <w:szCs w:val="21"/>
        </w:rPr>
      </w:pPr>
      <w:r>
        <w:rPr>
          <w:rFonts w:hint="eastAsia" w:ascii="宋体" w:hAnsi="宋体"/>
          <w:color w:val="auto"/>
          <w:szCs w:val="21"/>
        </w:rPr>
        <w:t xml:space="preserve">    3、诉讼期间，本合同继续履行。</w:t>
      </w:r>
    </w:p>
    <w:p w14:paraId="4EA24086">
      <w:pPr>
        <w:spacing w:line="382" w:lineRule="exact"/>
        <w:rPr>
          <w:rFonts w:hint="eastAsia" w:hAnsi="宋体"/>
          <w:b/>
          <w:color w:val="auto"/>
        </w:rPr>
      </w:pPr>
      <w:r>
        <w:rPr>
          <w:rFonts w:hint="eastAsia" w:ascii="宋体" w:hAnsi="宋体"/>
          <w:color w:val="auto"/>
          <w:szCs w:val="21"/>
        </w:rPr>
        <w:t xml:space="preserve"> </w:t>
      </w:r>
      <w:r>
        <w:rPr>
          <w:rFonts w:hint="eastAsia"/>
          <w:color w:val="auto"/>
        </w:rPr>
        <w:t xml:space="preserve">   </w:t>
      </w:r>
      <w:r>
        <w:rPr>
          <w:rFonts w:hint="eastAsia" w:hAnsi="宋体"/>
          <w:b/>
          <w:color w:val="auto"/>
        </w:rPr>
        <w:t>第十七条  合同生效及其它</w:t>
      </w:r>
    </w:p>
    <w:p w14:paraId="4192253A">
      <w:pPr>
        <w:spacing w:line="382" w:lineRule="exact"/>
        <w:rPr>
          <w:rFonts w:hint="eastAsia" w:hAnsi="宋体"/>
          <w:b w:val="0"/>
          <w:bCs/>
          <w:color w:val="auto"/>
        </w:rPr>
      </w:pPr>
      <w:r>
        <w:rPr>
          <w:rFonts w:hint="eastAsia" w:hAnsi="宋体"/>
          <w:b/>
          <w:color w:val="auto"/>
        </w:rPr>
        <w:t xml:space="preserve">    </w:t>
      </w:r>
      <w:r>
        <w:rPr>
          <w:rFonts w:hint="eastAsia" w:hAnsi="宋体"/>
          <w:b w:val="0"/>
          <w:bCs/>
          <w:color w:val="auto"/>
        </w:rPr>
        <w:t>1、合同经双方法定代表人(负责人)或授权代表（委托代理人）签字并加盖单位公章后生效。</w:t>
      </w:r>
    </w:p>
    <w:p w14:paraId="1EAB0607">
      <w:pPr>
        <w:spacing w:line="382" w:lineRule="exact"/>
        <w:rPr>
          <w:rFonts w:hint="eastAsia" w:hAnsi="宋体"/>
          <w:b w:val="0"/>
          <w:bCs/>
          <w:color w:val="auto"/>
        </w:rPr>
      </w:pPr>
      <w:r>
        <w:rPr>
          <w:rFonts w:hint="eastAsia" w:hAnsi="宋体"/>
          <w:b w:val="0"/>
          <w:bCs/>
          <w:color w:val="auto"/>
        </w:rPr>
        <w:t xml:space="preserve">    2、合同执行中涉及采购资金和采购内容修改或补充的，须签书面补充协议报广西壮族自治区财政厅政府采购监督管理处备案，方可作为主合同不可分割的一部分。</w:t>
      </w:r>
    </w:p>
    <w:p w14:paraId="2212F9DC">
      <w:pPr>
        <w:spacing w:line="382" w:lineRule="exact"/>
        <w:rPr>
          <w:rFonts w:hint="eastAsia" w:hAnsi="宋体"/>
          <w:b/>
          <w:color w:val="auto"/>
        </w:rPr>
      </w:pPr>
      <w:r>
        <w:rPr>
          <w:rFonts w:hint="eastAsia" w:hAnsi="宋体"/>
          <w:b w:val="0"/>
          <w:bCs/>
          <w:color w:val="auto"/>
        </w:rPr>
        <w:t xml:space="preserve">    3、本合同未尽事宜，遵照《中华人民共和国民法典》有关条文执行。</w:t>
      </w:r>
    </w:p>
    <w:p w14:paraId="4D08330E">
      <w:pPr>
        <w:spacing w:line="382" w:lineRule="exact"/>
        <w:rPr>
          <w:rFonts w:hint="eastAsia" w:ascii="宋体" w:hAnsi="宋体"/>
          <w:b/>
          <w:color w:val="auto"/>
          <w:szCs w:val="21"/>
        </w:rPr>
      </w:pPr>
      <w:r>
        <w:rPr>
          <w:rFonts w:hint="eastAsia" w:hAnsi="宋体"/>
          <w:b/>
          <w:color w:val="auto"/>
        </w:rPr>
        <w:t xml:space="preserve">    </w:t>
      </w:r>
      <w:r>
        <w:rPr>
          <w:rFonts w:hint="eastAsia" w:ascii="宋体" w:hAnsi="宋体"/>
          <w:b/>
          <w:color w:val="auto"/>
          <w:szCs w:val="21"/>
        </w:rPr>
        <w:t>第十八条　 合同的变更、终止与转让</w:t>
      </w:r>
    </w:p>
    <w:p w14:paraId="4E9B7A86">
      <w:pPr>
        <w:snapToGrid w:val="0"/>
        <w:spacing w:line="382" w:lineRule="exact"/>
        <w:ind w:firstLine="420" w:firstLineChars="200"/>
        <w:rPr>
          <w:rFonts w:hint="eastAsia" w:ascii="宋体" w:hAnsi="宋体"/>
          <w:color w:val="auto"/>
          <w:szCs w:val="21"/>
        </w:rPr>
      </w:pPr>
      <w:r>
        <w:rPr>
          <w:rFonts w:hint="eastAsia" w:ascii="宋体" w:hAnsi="宋体"/>
          <w:color w:val="auto"/>
          <w:szCs w:val="21"/>
        </w:rPr>
        <w:t>1、除《中华人民共和国政府采购法》第五十条规定的情形外，本合同一经签订，甲乙双方不得擅自变更、中止或终止。</w:t>
      </w:r>
    </w:p>
    <w:p w14:paraId="3DB849BC">
      <w:pPr>
        <w:snapToGrid w:val="0"/>
        <w:spacing w:line="382" w:lineRule="exact"/>
        <w:ind w:firstLine="420" w:firstLineChars="200"/>
        <w:rPr>
          <w:rFonts w:hint="eastAsia" w:hAnsi="宋体"/>
          <w:color w:val="auto"/>
        </w:rPr>
      </w:pPr>
      <w:r>
        <w:rPr>
          <w:rFonts w:hint="eastAsia" w:hAnsi="宋体"/>
          <w:color w:val="auto"/>
        </w:rPr>
        <w:t>2、乙方不得擅自转让（无进口资格的供应商委托进口货物除外）其应履行的合同义务。</w:t>
      </w:r>
    </w:p>
    <w:p w14:paraId="61F19014">
      <w:pPr>
        <w:snapToGrid w:val="0"/>
        <w:spacing w:line="382" w:lineRule="exact"/>
        <w:ind w:firstLine="422" w:firstLineChars="200"/>
        <w:rPr>
          <w:rFonts w:hint="eastAsia" w:ascii="宋体" w:hAnsi="宋体"/>
          <w:b/>
          <w:color w:val="auto"/>
          <w:szCs w:val="21"/>
        </w:rPr>
      </w:pPr>
      <w:r>
        <w:rPr>
          <w:rFonts w:hint="eastAsia" w:ascii="宋体" w:hAnsi="宋体"/>
          <w:b/>
          <w:color w:val="auto"/>
          <w:szCs w:val="21"/>
        </w:rPr>
        <w:t>第十九条　 签订本合同依据</w:t>
      </w:r>
    </w:p>
    <w:p w14:paraId="0B3146DB">
      <w:pPr>
        <w:snapToGrid w:val="0"/>
        <w:spacing w:line="382" w:lineRule="exact"/>
        <w:ind w:firstLine="420" w:firstLineChars="200"/>
        <w:rPr>
          <w:rFonts w:hint="eastAsia" w:ascii="宋体" w:hAnsi="宋体"/>
          <w:color w:val="auto"/>
          <w:szCs w:val="21"/>
        </w:rPr>
      </w:pPr>
      <w:r>
        <w:rPr>
          <w:rFonts w:hint="eastAsia" w:ascii="宋体" w:hAnsi="宋体"/>
          <w:color w:val="auto"/>
          <w:szCs w:val="21"/>
        </w:rPr>
        <w:t>1、谈判文件；</w:t>
      </w:r>
    </w:p>
    <w:p w14:paraId="7C77EF22">
      <w:pPr>
        <w:snapToGrid w:val="0"/>
        <w:spacing w:line="382" w:lineRule="exact"/>
        <w:ind w:firstLine="420" w:firstLineChars="200"/>
        <w:rPr>
          <w:rFonts w:hint="eastAsia" w:ascii="宋体" w:hAnsi="宋体"/>
          <w:color w:val="auto"/>
          <w:szCs w:val="21"/>
        </w:rPr>
      </w:pPr>
      <w:r>
        <w:rPr>
          <w:rFonts w:hint="eastAsia" w:ascii="宋体" w:hAnsi="宋体"/>
          <w:color w:val="auto"/>
          <w:szCs w:val="21"/>
        </w:rPr>
        <w:t>2、乙方提供的响应文件；</w:t>
      </w:r>
    </w:p>
    <w:p w14:paraId="201DF8AB">
      <w:pPr>
        <w:snapToGrid w:val="0"/>
        <w:spacing w:line="382" w:lineRule="exact"/>
        <w:ind w:firstLine="420" w:firstLineChars="200"/>
        <w:rPr>
          <w:rFonts w:hint="eastAsia" w:ascii="宋体" w:hAnsi="宋体"/>
          <w:color w:val="auto"/>
          <w:szCs w:val="21"/>
        </w:rPr>
      </w:pPr>
      <w:r>
        <w:rPr>
          <w:rFonts w:hint="eastAsia" w:ascii="宋体" w:hAnsi="宋体"/>
          <w:color w:val="auto"/>
          <w:szCs w:val="21"/>
        </w:rPr>
        <w:t>3、成交通知书。</w:t>
      </w:r>
    </w:p>
    <w:p w14:paraId="38D981C7">
      <w:pPr>
        <w:snapToGrid w:val="0"/>
        <w:spacing w:line="400" w:lineRule="exact"/>
        <w:ind w:firstLine="422" w:firstLineChars="200"/>
        <w:rPr>
          <w:rFonts w:hint="eastAsia" w:ascii="宋体" w:hAnsi="宋体"/>
          <w:color w:val="auto"/>
          <w:szCs w:val="21"/>
        </w:rPr>
      </w:pPr>
      <w:r>
        <w:rPr>
          <w:rFonts w:hint="eastAsia" w:ascii="宋体" w:hAnsi="宋体"/>
          <w:b/>
          <w:color w:val="auto"/>
          <w:szCs w:val="21"/>
        </w:rPr>
        <w:t>第二十条　</w:t>
      </w:r>
      <w:r>
        <w:rPr>
          <w:rFonts w:hint="eastAsia" w:ascii="宋体" w:hAnsi="宋体"/>
          <w:color w:val="auto"/>
          <w:szCs w:val="21"/>
        </w:rPr>
        <w:t>本合同一式七份，具有同等法律效力，</w:t>
      </w:r>
      <w:r>
        <w:rPr>
          <w:rFonts w:hint="eastAsia" w:ascii="宋体" w:hAnsi="宋体"/>
          <w:color w:val="auto"/>
          <w:spacing w:val="4"/>
          <w:szCs w:val="21"/>
        </w:rPr>
        <w:t>广西壮族自治区财政厅政府采购监督管理处、</w:t>
      </w:r>
      <w:r>
        <w:rPr>
          <w:rFonts w:hint="eastAsia" w:ascii="宋体" w:hAnsi="宋体"/>
          <w:color w:val="auto"/>
          <w:szCs w:val="21"/>
        </w:rPr>
        <w:t>采购代理机构各一份，甲方四份，乙方一份。</w:t>
      </w:r>
    </w:p>
    <w:p w14:paraId="0B5477FA">
      <w:pPr>
        <w:snapToGrid w:val="0"/>
        <w:spacing w:line="400" w:lineRule="exact"/>
        <w:ind w:firstLine="420" w:firstLineChars="200"/>
        <w:rPr>
          <w:rFonts w:eastAsia="仿宋_GB2312"/>
          <w:color w:val="auto"/>
        </w:rPr>
      </w:pPr>
      <w:r>
        <w:rPr>
          <w:rFonts w:hint="eastAsia" w:ascii="宋体" w:hAnsi="宋体"/>
          <w:color w:val="auto"/>
          <w:szCs w:val="21"/>
        </w:rPr>
        <w:t>本合同甲乙双方签字盖章后生效，自签订之日起7个工作日内，采购人应当将合同副本报同级政府采购监督管理部门和有关部门备案，并应当自签订之日起2个工作日内，将政府采购合同在省级以上人民政府财政部门指定的媒体上公告。</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39"/>
        <w:gridCol w:w="4640"/>
      </w:tblGrid>
      <w:tr w14:paraId="70024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1" w:hRule="atLeast"/>
          <w:jc w:val="center"/>
        </w:trPr>
        <w:tc>
          <w:tcPr>
            <w:tcW w:w="4639" w:type="dxa"/>
            <w:vAlign w:val="center"/>
          </w:tcPr>
          <w:p w14:paraId="79D3999B">
            <w:pPr>
              <w:snapToGrid w:val="0"/>
              <w:spacing w:line="400" w:lineRule="exact"/>
              <w:rPr>
                <w:rFonts w:hint="eastAsia" w:ascii="宋体" w:hAnsi="宋体"/>
                <w:color w:val="auto"/>
                <w:szCs w:val="21"/>
              </w:rPr>
            </w:pPr>
            <w:r>
              <w:rPr>
                <w:rFonts w:hint="eastAsia" w:ascii="宋体" w:hAnsi="宋体"/>
                <w:color w:val="auto"/>
                <w:szCs w:val="21"/>
              </w:rPr>
              <w:t>甲方（</w:t>
            </w:r>
            <w:r>
              <w:rPr>
                <w:rFonts w:hint="eastAsia" w:ascii="宋体" w:hAnsi="宋体"/>
                <w:color w:val="auto"/>
                <w:szCs w:val="21"/>
                <w:lang w:val="en-US" w:eastAsia="zh-CN"/>
              </w:rPr>
              <w:t>公</w:t>
            </w:r>
            <w:r>
              <w:rPr>
                <w:rFonts w:hint="eastAsia" w:ascii="宋体" w:hAnsi="宋体"/>
                <w:color w:val="auto"/>
                <w:szCs w:val="21"/>
              </w:rPr>
              <w:t xml:space="preserve">章）           </w:t>
            </w:r>
          </w:p>
          <w:p w14:paraId="45B8BAD5">
            <w:pPr>
              <w:snapToGrid w:val="0"/>
              <w:spacing w:line="400" w:lineRule="exact"/>
              <w:rPr>
                <w:rFonts w:hint="eastAsia" w:ascii="宋体" w:hAnsi="宋体"/>
                <w:color w:val="auto"/>
                <w:szCs w:val="21"/>
              </w:rPr>
            </w:pPr>
          </w:p>
          <w:p w14:paraId="5AE44A07">
            <w:pPr>
              <w:snapToGrid w:val="0"/>
              <w:spacing w:line="400" w:lineRule="exact"/>
              <w:ind w:firstLine="945" w:firstLineChars="450"/>
              <w:jc w:val="right"/>
              <w:rPr>
                <w:rFonts w:hint="eastAsia" w:ascii="宋体" w:hAnsi="宋体"/>
                <w:color w:val="auto"/>
                <w:szCs w:val="21"/>
              </w:rPr>
            </w:pPr>
            <w:r>
              <w:rPr>
                <w:rFonts w:hint="eastAsia" w:ascii="宋体" w:hAnsi="宋体"/>
                <w:color w:val="auto"/>
                <w:szCs w:val="21"/>
              </w:rPr>
              <w:t>年   月   日</w:t>
            </w:r>
          </w:p>
        </w:tc>
        <w:tc>
          <w:tcPr>
            <w:tcW w:w="4640" w:type="dxa"/>
            <w:vAlign w:val="center"/>
          </w:tcPr>
          <w:p w14:paraId="21E09317">
            <w:pPr>
              <w:snapToGrid w:val="0"/>
              <w:spacing w:line="400" w:lineRule="exact"/>
              <w:rPr>
                <w:rFonts w:hint="eastAsia" w:ascii="宋体" w:hAnsi="宋体"/>
                <w:color w:val="auto"/>
                <w:szCs w:val="21"/>
              </w:rPr>
            </w:pPr>
            <w:r>
              <w:rPr>
                <w:rFonts w:hint="eastAsia" w:ascii="宋体" w:hAnsi="宋体"/>
                <w:color w:val="auto"/>
                <w:szCs w:val="21"/>
              </w:rPr>
              <w:t>乙方（</w:t>
            </w:r>
            <w:r>
              <w:rPr>
                <w:rFonts w:hint="eastAsia" w:ascii="宋体" w:hAnsi="宋体"/>
                <w:color w:val="auto"/>
                <w:szCs w:val="21"/>
                <w:lang w:val="en-US" w:eastAsia="zh-CN"/>
              </w:rPr>
              <w:t>公</w:t>
            </w:r>
            <w:r>
              <w:rPr>
                <w:rFonts w:hint="eastAsia" w:ascii="宋体" w:hAnsi="宋体"/>
                <w:color w:val="auto"/>
                <w:szCs w:val="21"/>
              </w:rPr>
              <w:t xml:space="preserve">章）              </w:t>
            </w:r>
          </w:p>
          <w:p w14:paraId="3F778C02">
            <w:pPr>
              <w:snapToGrid w:val="0"/>
              <w:spacing w:line="400" w:lineRule="exact"/>
              <w:rPr>
                <w:rFonts w:hint="eastAsia" w:ascii="宋体" w:hAnsi="宋体"/>
                <w:color w:val="auto"/>
                <w:szCs w:val="21"/>
              </w:rPr>
            </w:pPr>
          </w:p>
          <w:p w14:paraId="68431179">
            <w:pPr>
              <w:snapToGrid w:val="0"/>
              <w:spacing w:line="400" w:lineRule="exact"/>
              <w:jc w:val="right"/>
              <w:rPr>
                <w:rFonts w:hint="eastAsia" w:ascii="宋体" w:hAnsi="宋体"/>
                <w:color w:val="auto"/>
                <w:szCs w:val="21"/>
              </w:rPr>
            </w:pPr>
            <w:r>
              <w:rPr>
                <w:rFonts w:hint="eastAsia" w:ascii="宋体" w:hAnsi="宋体"/>
                <w:color w:val="auto"/>
                <w:szCs w:val="21"/>
              </w:rPr>
              <w:t xml:space="preserve"> 年   月   日</w:t>
            </w:r>
          </w:p>
        </w:tc>
      </w:tr>
      <w:tr w14:paraId="0EB92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jc w:val="center"/>
        </w:trPr>
        <w:tc>
          <w:tcPr>
            <w:tcW w:w="4639" w:type="dxa"/>
          </w:tcPr>
          <w:p w14:paraId="2341EDF7">
            <w:pPr>
              <w:snapToGrid w:val="0"/>
              <w:spacing w:line="400" w:lineRule="exact"/>
              <w:rPr>
                <w:rFonts w:hint="eastAsia" w:ascii="宋体" w:hAnsi="宋体"/>
                <w:color w:val="auto"/>
                <w:szCs w:val="21"/>
              </w:rPr>
            </w:pPr>
            <w:r>
              <w:rPr>
                <w:rFonts w:hint="eastAsia" w:ascii="宋体" w:hAnsi="宋体"/>
                <w:color w:val="auto"/>
                <w:szCs w:val="21"/>
              </w:rPr>
              <w:t>单位地址：</w:t>
            </w:r>
          </w:p>
        </w:tc>
        <w:tc>
          <w:tcPr>
            <w:tcW w:w="4640" w:type="dxa"/>
          </w:tcPr>
          <w:p w14:paraId="3352E8C9">
            <w:pPr>
              <w:snapToGrid w:val="0"/>
              <w:spacing w:line="400" w:lineRule="exact"/>
              <w:rPr>
                <w:rFonts w:hint="eastAsia" w:ascii="宋体" w:hAnsi="宋体"/>
                <w:color w:val="auto"/>
                <w:szCs w:val="21"/>
              </w:rPr>
            </w:pPr>
            <w:r>
              <w:rPr>
                <w:rFonts w:hint="eastAsia" w:ascii="宋体" w:hAnsi="宋体"/>
                <w:color w:val="auto"/>
                <w:szCs w:val="21"/>
              </w:rPr>
              <w:t>单位地址：</w:t>
            </w:r>
          </w:p>
        </w:tc>
      </w:tr>
      <w:tr w14:paraId="6FE98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1" w:hRule="atLeast"/>
          <w:jc w:val="center"/>
        </w:trPr>
        <w:tc>
          <w:tcPr>
            <w:tcW w:w="4639" w:type="dxa"/>
          </w:tcPr>
          <w:p w14:paraId="7053D39F">
            <w:pPr>
              <w:snapToGrid w:val="0"/>
              <w:spacing w:line="400" w:lineRule="exact"/>
              <w:rPr>
                <w:rFonts w:hint="eastAsia" w:ascii="宋体" w:hAnsi="宋体"/>
                <w:color w:val="auto"/>
                <w:szCs w:val="21"/>
              </w:rPr>
            </w:pPr>
            <w:r>
              <w:rPr>
                <w:rFonts w:hint="eastAsia" w:ascii="宋体" w:hAnsi="宋体"/>
                <w:color w:val="auto"/>
                <w:szCs w:val="21"/>
              </w:rPr>
              <w:t>法定代表人(负责人)：</w:t>
            </w:r>
          </w:p>
        </w:tc>
        <w:tc>
          <w:tcPr>
            <w:tcW w:w="4640" w:type="dxa"/>
          </w:tcPr>
          <w:p w14:paraId="5AEA7724">
            <w:pPr>
              <w:snapToGrid w:val="0"/>
              <w:spacing w:line="400" w:lineRule="exact"/>
              <w:rPr>
                <w:rFonts w:hint="eastAsia" w:ascii="宋体" w:hAnsi="宋体"/>
                <w:color w:val="auto"/>
                <w:szCs w:val="21"/>
              </w:rPr>
            </w:pPr>
            <w:r>
              <w:rPr>
                <w:rFonts w:hint="eastAsia" w:ascii="宋体" w:hAnsi="宋体"/>
                <w:color w:val="auto"/>
                <w:szCs w:val="21"/>
              </w:rPr>
              <w:t>法定代表人(负责人)：</w:t>
            </w:r>
          </w:p>
        </w:tc>
      </w:tr>
      <w:tr w14:paraId="6196E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0" w:hRule="atLeast"/>
          <w:jc w:val="center"/>
        </w:trPr>
        <w:tc>
          <w:tcPr>
            <w:tcW w:w="4639" w:type="dxa"/>
          </w:tcPr>
          <w:p w14:paraId="6DF95B62">
            <w:pPr>
              <w:snapToGrid w:val="0"/>
              <w:spacing w:line="400" w:lineRule="exact"/>
              <w:rPr>
                <w:rFonts w:hint="eastAsia" w:ascii="宋体" w:hAnsi="宋体"/>
                <w:color w:val="auto"/>
                <w:szCs w:val="21"/>
              </w:rPr>
            </w:pPr>
            <w:r>
              <w:rPr>
                <w:rFonts w:hint="eastAsia" w:ascii="宋体" w:hAnsi="宋体"/>
                <w:color w:val="auto"/>
                <w:szCs w:val="21"/>
              </w:rPr>
              <w:t>委托代理人：</w:t>
            </w:r>
          </w:p>
        </w:tc>
        <w:tc>
          <w:tcPr>
            <w:tcW w:w="4640" w:type="dxa"/>
          </w:tcPr>
          <w:p w14:paraId="1233A03C">
            <w:pPr>
              <w:snapToGrid w:val="0"/>
              <w:spacing w:line="400" w:lineRule="exact"/>
              <w:rPr>
                <w:rFonts w:hint="eastAsia" w:ascii="宋体" w:hAnsi="宋体"/>
                <w:color w:val="auto"/>
                <w:szCs w:val="21"/>
              </w:rPr>
            </w:pPr>
            <w:r>
              <w:rPr>
                <w:rFonts w:hint="eastAsia" w:ascii="宋体" w:hAnsi="宋体"/>
                <w:color w:val="auto"/>
                <w:szCs w:val="21"/>
              </w:rPr>
              <w:t>委托代理人：</w:t>
            </w:r>
          </w:p>
        </w:tc>
      </w:tr>
      <w:tr w14:paraId="520D0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1" w:hRule="atLeast"/>
          <w:jc w:val="center"/>
        </w:trPr>
        <w:tc>
          <w:tcPr>
            <w:tcW w:w="4639" w:type="dxa"/>
          </w:tcPr>
          <w:p w14:paraId="75CF8F18">
            <w:pPr>
              <w:snapToGrid w:val="0"/>
              <w:spacing w:line="400" w:lineRule="exact"/>
              <w:rPr>
                <w:rFonts w:hint="eastAsia" w:ascii="宋体" w:hAnsi="宋体"/>
                <w:color w:val="auto"/>
                <w:szCs w:val="21"/>
              </w:rPr>
            </w:pPr>
            <w:r>
              <w:rPr>
                <w:rFonts w:hint="eastAsia" w:ascii="宋体" w:hAnsi="宋体"/>
                <w:color w:val="auto"/>
                <w:szCs w:val="21"/>
              </w:rPr>
              <w:t>电话：</w:t>
            </w:r>
          </w:p>
        </w:tc>
        <w:tc>
          <w:tcPr>
            <w:tcW w:w="4640" w:type="dxa"/>
          </w:tcPr>
          <w:p w14:paraId="36B17CC9">
            <w:pPr>
              <w:snapToGrid w:val="0"/>
              <w:spacing w:line="400" w:lineRule="exact"/>
              <w:rPr>
                <w:rFonts w:hint="eastAsia" w:ascii="宋体" w:hAnsi="宋体"/>
                <w:color w:val="auto"/>
                <w:szCs w:val="21"/>
              </w:rPr>
            </w:pPr>
            <w:r>
              <w:rPr>
                <w:rFonts w:hint="eastAsia" w:ascii="宋体" w:hAnsi="宋体"/>
                <w:color w:val="auto"/>
                <w:szCs w:val="21"/>
              </w:rPr>
              <w:t>电话：</w:t>
            </w:r>
          </w:p>
        </w:tc>
      </w:tr>
      <w:tr w14:paraId="1275D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5" w:hRule="atLeast"/>
          <w:jc w:val="center"/>
        </w:trPr>
        <w:tc>
          <w:tcPr>
            <w:tcW w:w="4639" w:type="dxa"/>
          </w:tcPr>
          <w:p w14:paraId="590FF720">
            <w:pPr>
              <w:snapToGrid w:val="0"/>
              <w:spacing w:line="400" w:lineRule="exact"/>
              <w:rPr>
                <w:rFonts w:hint="eastAsia" w:ascii="宋体" w:hAnsi="宋体"/>
                <w:color w:val="auto"/>
                <w:szCs w:val="21"/>
              </w:rPr>
            </w:pPr>
            <w:r>
              <w:rPr>
                <w:rFonts w:hint="eastAsia" w:ascii="宋体" w:hAnsi="宋体"/>
                <w:color w:val="auto"/>
                <w:szCs w:val="21"/>
              </w:rPr>
              <w:t>电子邮箱：</w:t>
            </w:r>
          </w:p>
        </w:tc>
        <w:tc>
          <w:tcPr>
            <w:tcW w:w="4640" w:type="dxa"/>
          </w:tcPr>
          <w:p w14:paraId="54887824">
            <w:pPr>
              <w:snapToGrid w:val="0"/>
              <w:spacing w:line="400" w:lineRule="exact"/>
              <w:rPr>
                <w:rFonts w:hint="eastAsia" w:ascii="宋体" w:hAnsi="宋体"/>
                <w:color w:val="auto"/>
                <w:szCs w:val="21"/>
              </w:rPr>
            </w:pPr>
            <w:r>
              <w:rPr>
                <w:rFonts w:hint="eastAsia" w:ascii="宋体" w:hAnsi="宋体"/>
                <w:color w:val="auto"/>
                <w:szCs w:val="21"/>
              </w:rPr>
              <w:t>电子邮箱：</w:t>
            </w:r>
          </w:p>
        </w:tc>
      </w:tr>
      <w:tr w14:paraId="2364C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4" w:hRule="atLeast"/>
          <w:jc w:val="center"/>
        </w:trPr>
        <w:tc>
          <w:tcPr>
            <w:tcW w:w="4639" w:type="dxa"/>
          </w:tcPr>
          <w:p w14:paraId="4ED3DAC2">
            <w:pPr>
              <w:snapToGrid w:val="0"/>
              <w:spacing w:line="400" w:lineRule="exact"/>
              <w:rPr>
                <w:rFonts w:hint="eastAsia" w:ascii="宋体" w:hAnsi="宋体"/>
                <w:color w:val="auto"/>
                <w:szCs w:val="21"/>
              </w:rPr>
            </w:pPr>
            <w:r>
              <w:rPr>
                <w:rFonts w:hint="eastAsia" w:ascii="宋体" w:hAnsi="宋体"/>
                <w:color w:val="auto"/>
                <w:szCs w:val="21"/>
              </w:rPr>
              <w:t>开户银行：</w:t>
            </w:r>
          </w:p>
        </w:tc>
        <w:tc>
          <w:tcPr>
            <w:tcW w:w="4640" w:type="dxa"/>
          </w:tcPr>
          <w:p w14:paraId="307C1600">
            <w:pPr>
              <w:snapToGrid w:val="0"/>
              <w:spacing w:line="400" w:lineRule="exact"/>
              <w:rPr>
                <w:rFonts w:hint="eastAsia" w:ascii="宋体" w:hAnsi="宋体"/>
                <w:color w:val="auto"/>
                <w:szCs w:val="21"/>
              </w:rPr>
            </w:pPr>
            <w:r>
              <w:rPr>
                <w:rFonts w:hint="eastAsia" w:ascii="宋体" w:hAnsi="宋体"/>
                <w:color w:val="auto"/>
                <w:szCs w:val="21"/>
              </w:rPr>
              <w:t>开户银行：</w:t>
            </w:r>
          </w:p>
        </w:tc>
      </w:tr>
      <w:tr w14:paraId="50BE4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4639" w:type="dxa"/>
          </w:tcPr>
          <w:p w14:paraId="6C913D9B">
            <w:pPr>
              <w:snapToGrid w:val="0"/>
              <w:spacing w:line="400" w:lineRule="exact"/>
              <w:rPr>
                <w:rFonts w:hint="eastAsia" w:ascii="宋体" w:hAnsi="宋体"/>
                <w:color w:val="auto"/>
                <w:szCs w:val="21"/>
              </w:rPr>
            </w:pPr>
            <w:r>
              <w:rPr>
                <w:rFonts w:hint="eastAsia" w:ascii="宋体" w:hAnsi="宋体"/>
                <w:color w:val="auto"/>
                <w:szCs w:val="21"/>
              </w:rPr>
              <w:t>账号：</w:t>
            </w:r>
          </w:p>
        </w:tc>
        <w:tc>
          <w:tcPr>
            <w:tcW w:w="4640" w:type="dxa"/>
          </w:tcPr>
          <w:p w14:paraId="1AF554AD">
            <w:pPr>
              <w:snapToGrid w:val="0"/>
              <w:spacing w:line="400" w:lineRule="exact"/>
              <w:rPr>
                <w:rFonts w:hint="eastAsia" w:ascii="宋体" w:hAnsi="宋体"/>
                <w:color w:val="auto"/>
                <w:szCs w:val="21"/>
              </w:rPr>
            </w:pPr>
            <w:r>
              <w:rPr>
                <w:rFonts w:hint="eastAsia" w:ascii="宋体" w:hAnsi="宋体"/>
                <w:color w:val="auto"/>
                <w:szCs w:val="21"/>
              </w:rPr>
              <w:t>账号：</w:t>
            </w:r>
          </w:p>
        </w:tc>
      </w:tr>
      <w:tr w14:paraId="3A79F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4639" w:type="dxa"/>
          </w:tcPr>
          <w:p w14:paraId="2E415F40">
            <w:pPr>
              <w:snapToGrid w:val="0"/>
              <w:spacing w:line="400" w:lineRule="exact"/>
              <w:rPr>
                <w:rFonts w:hint="eastAsia" w:ascii="宋体" w:hAnsi="宋体"/>
                <w:color w:val="auto"/>
                <w:szCs w:val="21"/>
              </w:rPr>
            </w:pPr>
            <w:r>
              <w:rPr>
                <w:rFonts w:hint="eastAsia" w:ascii="宋体" w:hAnsi="宋体"/>
                <w:color w:val="auto"/>
              </w:rPr>
              <w:t>纳税人识别号或统一社会信用代码：</w:t>
            </w:r>
          </w:p>
        </w:tc>
        <w:tc>
          <w:tcPr>
            <w:tcW w:w="4640" w:type="dxa"/>
          </w:tcPr>
          <w:p w14:paraId="1CEFE6E7">
            <w:pPr>
              <w:snapToGrid w:val="0"/>
              <w:spacing w:line="400" w:lineRule="exact"/>
              <w:rPr>
                <w:rFonts w:hint="eastAsia" w:ascii="宋体" w:hAnsi="宋体"/>
                <w:color w:val="auto"/>
                <w:szCs w:val="21"/>
              </w:rPr>
            </w:pPr>
            <w:r>
              <w:rPr>
                <w:rFonts w:hint="eastAsia" w:ascii="宋体" w:hAnsi="宋体"/>
                <w:color w:val="auto"/>
              </w:rPr>
              <w:t>纳税人识别号或统一社会信用代码：</w:t>
            </w:r>
          </w:p>
        </w:tc>
      </w:tr>
      <w:tr w14:paraId="733BC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639" w:type="dxa"/>
          </w:tcPr>
          <w:p w14:paraId="7530612C">
            <w:pPr>
              <w:snapToGrid w:val="0"/>
              <w:spacing w:line="400" w:lineRule="exact"/>
              <w:rPr>
                <w:rFonts w:hint="eastAsia" w:ascii="宋体" w:hAnsi="宋体"/>
                <w:color w:val="auto"/>
                <w:szCs w:val="21"/>
              </w:rPr>
            </w:pPr>
            <w:r>
              <w:rPr>
                <w:rFonts w:hint="eastAsia" w:ascii="宋体" w:hAnsi="宋体"/>
                <w:color w:val="auto"/>
                <w:szCs w:val="21"/>
              </w:rPr>
              <w:t>邮政编码：</w:t>
            </w:r>
          </w:p>
        </w:tc>
        <w:tc>
          <w:tcPr>
            <w:tcW w:w="4640" w:type="dxa"/>
          </w:tcPr>
          <w:p w14:paraId="5C0CD45C">
            <w:pPr>
              <w:snapToGrid w:val="0"/>
              <w:spacing w:line="400" w:lineRule="exact"/>
              <w:rPr>
                <w:rFonts w:hint="eastAsia" w:ascii="宋体" w:hAnsi="宋体"/>
                <w:color w:val="auto"/>
                <w:szCs w:val="21"/>
              </w:rPr>
            </w:pPr>
            <w:r>
              <w:rPr>
                <w:rFonts w:hint="eastAsia" w:ascii="宋体" w:hAnsi="宋体"/>
                <w:color w:val="auto"/>
                <w:szCs w:val="21"/>
              </w:rPr>
              <w:t>邮政编码：</w:t>
            </w:r>
          </w:p>
        </w:tc>
      </w:tr>
    </w:tbl>
    <w:p w14:paraId="5715D2C3">
      <w:pPr>
        <w:snapToGrid w:val="0"/>
        <w:ind w:left="420" w:hanging="420" w:hangingChars="200"/>
        <w:rPr>
          <w:rFonts w:hint="eastAsia" w:ascii="宋体" w:hAnsi="宋体"/>
          <w:color w:val="auto"/>
          <w:szCs w:val="21"/>
        </w:rPr>
      </w:pPr>
    </w:p>
    <w:p w14:paraId="7B437374">
      <w:pPr>
        <w:snapToGrid w:val="0"/>
        <w:spacing w:line="360" w:lineRule="auto"/>
        <w:jc w:val="center"/>
        <w:rPr>
          <w:rFonts w:hint="eastAsia" w:ascii="宋体" w:hAnsi="宋体"/>
          <w:color w:val="auto"/>
          <w:szCs w:val="21"/>
        </w:rPr>
      </w:pPr>
      <w:r>
        <w:rPr>
          <w:rFonts w:hint="eastAsia" w:ascii="宋体" w:hAnsi="宋体"/>
          <w:b/>
          <w:color w:val="auto"/>
          <w:szCs w:val="21"/>
        </w:rPr>
        <w:t>合 同 附 件</w:t>
      </w:r>
    </w:p>
    <w:tbl>
      <w:tblPr>
        <w:tblStyle w:val="39"/>
        <w:tblW w:w="0" w:type="auto"/>
        <w:jc w:val="center"/>
        <w:tblLayout w:type="fixed"/>
        <w:tblCellMar>
          <w:top w:w="0" w:type="dxa"/>
          <w:left w:w="108" w:type="dxa"/>
          <w:bottom w:w="0" w:type="dxa"/>
          <w:right w:w="108" w:type="dxa"/>
        </w:tblCellMar>
      </w:tblPr>
      <w:tblGrid>
        <w:gridCol w:w="4433"/>
        <w:gridCol w:w="4887"/>
      </w:tblGrid>
      <w:tr w14:paraId="58948667">
        <w:tblPrEx>
          <w:tblCellMar>
            <w:top w:w="0" w:type="dxa"/>
            <w:left w:w="108" w:type="dxa"/>
            <w:bottom w:w="0" w:type="dxa"/>
            <w:right w:w="108" w:type="dxa"/>
          </w:tblCellMar>
        </w:tblPrEx>
        <w:trPr>
          <w:trHeight w:val="448" w:hRule="atLeast"/>
          <w:jc w:val="center"/>
        </w:trPr>
        <w:tc>
          <w:tcPr>
            <w:tcW w:w="9320" w:type="dxa"/>
            <w:gridSpan w:val="2"/>
            <w:tcBorders>
              <w:top w:val="single" w:color="auto" w:sz="4" w:space="0"/>
              <w:left w:val="single" w:color="auto" w:sz="4" w:space="0"/>
              <w:right w:val="single" w:color="auto" w:sz="4" w:space="0"/>
            </w:tcBorders>
          </w:tcPr>
          <w:p w14:paraId="65B12991">
            <w:pPr>
              <w:snapToGrid w:val="0"/>
              <w:spacing w:line="400" w:lineRule="exact"/>
              <w:rPr>
                <w:rFonts w:hint="eastAsia" w:ascii="宋体" w:hAnsi="宋体"/>
                <w:b/>
                <w:color w:val="auto"/>
                <w:szCs w:val="21"/>
              </w:rPr>
            </w:pPr>
            <w:r>
              <w:rPr>
                <w:rFonts w:hint="eastAsia" w:ascii="宋体" w:hAnsi="宋体"/>
                <w:b/>
                <w:color w:val="auto"/>
                <w:szCs w:val="21"/>
              </w:rPr>
              <w:t>1、供应商承诺具体事项：详见响应文件。</w:t>
            </w:r>
          </w:p>
        </w:tc>
      </w:tr>
      <w:tr w14:paraId="54E98EB5">
        <w:tblPrEx>
          <w:tblCellMar>
            <w:top w:w="0" w:type="dxa"/>
            <w:left w:w="108" w:type="dxa"/>
            <w:bottom w:w="0" w:type="dxa"/>
            <w:right w:w="108" w:type="dxa"/>
          </w:tblCellMar>
        </w:tblPrEx>
        <w:trPr>
          <w:trHeight w:val="513" w:hRule="atLeast"/>
          <w:jc w:val="center"/>
        </w:trPr>
        <w:tc>
          <w:tcPr>
            <w:tcW w:w="9320" w:type="dxa"/>
            <w:gridSpan w:val="2"/>
            <w:tcBorders>
              <w:top w:val="single" w:color="auto" w:sz="4" w:space="0"/>
              <w:left w:val="single" w:color="auto" w:sz="4" w:space="0"/>
              <w:right w:val="single" w:color="auto" w:sz="4" w:space="0"/>
            </w:tcBorders>
          </w:tcPr>
          <w:p w14:paraId="54F4F861">
            <w:pPr>
              <w:snapToGrid w:val="0"/>
              <w:spacing w:line="400" w:lineRule="exact"/>
              <w:rPr>
                <w:rFonts w:hint="eastAsia" w:ascii="宋体" w:hAnsi="宋体"/>
                <w:b/>
                <w:color w:val="auto"/>
                <w:szCs w:val="21"/>
              </w:rPr>
            </w:pPr>
            <w:r>
              <w:rPr>
                <w:rFonts w:hint="eastAsia" w:ascii="宋体" w:hAnsi="宋体"/>
                <w:b/>
                <w:color w:val="auto"/>
                <w:szCs w:val="21"/>
              </w:rPr>
              <w:t>2、售后服务具体事项：详见响应文件。</w:t>
            </w:r>
          </w:p>
        </w:tc>
      </w:tr>
      <w:tr w14:paraId="750052EE">
        <w:tblPrEx>
          <w:tblCellMar>
            <w:top w:w="0" w:type="dxa"/>
            <w:left w:w="108" w:type="dxa"/>
            <w:bottom w:w="0" w:type="dxa"/>
            <w:right w:w="108" w:type="dxa"/>
          </w:tblCellMar>
        </w:tblPrEx>
        <w:trPr>
          <w:trHeight w:val="366" w:hRule="atLeast"/>
          <w:jc w:val="center"/>
        </w:trPr>
        <w:tc>
          <w:tcPr>
            <w:tcW w:w="9320" w:type="dxa"/>
            <w:gridSpan w:val="2"/>
            <w:tcBorders>
              <w:top w:val="single" w:color="auto" w:sz="4" w:space="0"/>
              <w:left w:val="single" w:color="auto" w:sz="4" w:space="0"/>
              <w:right w:val="single" w:color="auto" w:sz="4" w:space="0"/>
            </w:tcBorders>
          </w:tcPr>
          <w:p w14:paraId="1F149E0E">
            <w:pPr>
              <w:snapToGrid w:val="0"/>
              <w:spacing w:line="400" w:lineRule="exact"/>
              <w:rPr>
                <w:rFonts w:hint="eastAsia" w:ascii="宋体" w:hAnsi="宋体"/>
                <w:b/>
                <w:color w:val="auto"/>
                <w:szCs w:val="21"/>
              </w:rPr>
            </w:pPr>
            <w:r>
              <w:rPr>
                <w:rFonts w:hint="eastAsia" w:ascii="宋体" w:hAnsi="宋体"/>
                <w:b/>
                <w:color w:val="auto"/>
                <w:szCs w:val="21"/>
              </w:rPr>
              <w:t>3、保修期责任：详见响应文件。</w:t>
            </w:r>
          </w:p>
        </w:tc>
      </w:tr>
      <w:tr w14:paraId="789340D9">
        <w:tblPrEx>
          <w:tblCellMar>
            <w:top w:w="0" w:type="dxa"/>
            <w:left w:w="108" w:type="dxa"/>
            <w:bottom w:w="0" w:type="dxa"/>
            <w:right w:w="108" w:type="dxa"/>
          </w:tblCellMar>
        </w:tblPrEx>
        <w:trPr>
          <w:trHeight w:val="447" w:hRule="atLeast"/>
          <w:jc w:val="center"/>
        </w:trPr>
        <w:tc>
          <w:tcPr>
            <w:tcW w:w="9320" w:type="dxa"/>
            <w:gridSpan w:val="2"/>
            <w:tcBorders>
              <w:top w:val="single" w:color="auto" w:sz="4" w:space="0"/>
              <w:left w:val="single" w:color="auto" w:sz="4" w:space="0"/>
              <w:right w:val="single" w:color="auto" w:sz="4" w:space="0"/>
            </w:tcBorders>
          </w:tcPr>
          <w:p w14:paraId="287A581E">
            <w:pPr>
              <w:snapToGrid w:val="0"/>
              <w:spacing w:line="400" w:lineRule="exact"/>
              <w:rPr>
                <w:rFonts w:hint="eastAsia" w:ascii="宋体" w:hAnsi="宋体"/>
                <w:b/>
                <w:color w:val="auto"/>
                <w:szCs w:val="21"/>
              </w:rPr>
            </w:pPr>
            <w:r>
              <w:rPr>
                <w:rFonts w:hint="eastAsia" w:ascii="宋体" w:hAnsi="宋体"/>
                <w:b/>
                <w:color w:val="auto"/>
                <w:szCs w:val="21"/>
              </w:rPr>
              <w:t>4、其他具体事项：详见响应文件。</w:t>
            </w:r>
          </w:p>
        </w:tc>
      </w:tr>
      <w:tr w14:paraId="7371B782">
        <w:tblPrEx>
          <w:tblCellMar>
            <w:top w:w="0" w:type="dxa"/>
            <w:left w:w="108" w:type="dxa"/>
            <w:bottom w:w="0" w:type="dxa"/>
            <w:right w:w="108" w:type="dxa"/>
          </w:tblCellMar>
        </w:tblPrEx>
        <w:trPr>
          <w:trHeight w:val="132" w:hRule="atLeast"/>
          <w:jc w:val="center"/>
        </w:trPr>
        <w:tc>
          <w:tcPr>
            <w:tcW w:w="4433" w:type="dxa"/>
            <w:tcBorders>
              <w:top w:val="single" w:color="auto" w:sz="4" w:space="0"/>
              <w:left w:val="single" w:color="auto" w:sz="4" w:space="0"/>
              <w:bottom w:val="single" w:color="auto" w:sz="4" w:space="0"/>
              <w:right w:val="single" w:color="auto" w:sz="4" w:space="0"/>
            </w:tcBorders>
          </w:tcPr>
          <w:p w14:paraId="74BBCC0B">
            <w:pPr>
              <w:snapToGrid w:val="0"/>
              <w:spacing w:line="400" w:lineRule="exact"/>
              <w:rPr>
                <w:rFonts w:hint="eastAsia" w:ascii="宋体" w:hAnsi="宋体"/>
                <w:b/>
                <w:color w:val="auto"/>
                <w:szCs w:val="21"/>
              </w:rPr>
            </w:pPr>
            <w:r>
              <w:rPr>
                <w:rFonts w:hint="eastAsia" w:ascii="宋体" w:hAnsi="宋体"/>
                <w:b/>
                <w:color w:val="auto"/>
                <w:szCs w:val="21"/>
              </w:rPr>
              <w:t>甲方（章）</w:t>
            </w:r>
          </w:p>
          <w:p w14:paraId="638FBD8D">
            <w:pPr>
              <w:snapToGrid w:val="0"/>
              <w:spacing w:line="400" w:lineRule="exact"/>
              <w:ind w:firstLine="422" w:firstLineChars="200"/>
              <w:rPr>
                <w:rFonts w:hint="eastAsia" w:ascii="宋体" w:hAnsi="宋体"/>
                <w:b/>
                <w:color w:val="auto"/>
                <w:szCs w:val="21"/>
              </w:rPr>
            </w:pPr>
            <w:r>
              <w:rPr>
                <w:rFonts w:hint="eastAsia" w:ascii="宋体" w:hAnsi="宋体"/>
                <w:b/>
                <w:color w:val="auto"/>
                <w:szCs w:val="21"/>
              </w:rPr>
              <w:t xml:space="preserve">                 </w:t>
            </w:r>
          </w:p>
          <w:p w14:paraId="1C67B84B">
            <w:pPr>
              <w:snapToGrid w:val="0"/>
              <w:spacing w:line="400" w:lineRule="exact"/>
              <w:ind w:firstLine="422" w:firstLineChars="200"/>
              <w:jc w:val="right"/>
              <w:rPr>
                <w:rFonts w:hint="eastAsia" w:ascii="宋体" w:hAnsi="宋体"/>
                <w:b/>
                <w:color w:val="auto"/>
                <w:szCs w:val="21"/>
              </w:rPr>
            </w:pPr>
            <w:r>
              <w:rPr>
                <w:rFonts w:hint="eastAsia" w:ascii="宋体" w:hAnsi="宋体"/>
                <w:b/>
                <w:color w:val="auto"/>
                <w:szCs w:val="21"/>
              </w:rPr>
              <w:t xml:space="preserve">年   月   日 </w:t>
            </w:r>
          </w:p>
        </w:tc>
        <w:tc>
          <w:tcPr>
            <w:tcW w:w="4887" w:type="dxa"/>
            <w:tcBorders>
              <w:top w:val="single" w:color="auto" w:sz="4" w:space="0"/>
              <w:left w:val="single" w:color="auto" w:sz="4" w:space="0"/>
              <w:bottom w:val="single" w:color="auto" w:sz="4" w:space="0"/>
              <w:right w:val="single" w:color="auto" w:sz="4" w:space="0"/>
            </w:tcBorders>
          </w:tcPr>
          <w:p w14:paraId="2D87DBEB">
            <w:pPr>
              <w:snapToGrid w:val="0"/>
              <w:spacing w:line="400" w:lineRule="exact"/>
              <w:rPr>
                <w:rFonts w:hint="eastAsia" w:ascii="宋体" w:hAnsi="宋体"/>
                <w:b/>
                <w:color w:val="auto"/>
                <w:szCs w:val="21"/>
              </w:rPr>
            </w:pPr>
            <w:r>
              <w:rPr>
                <w:rFonts w:hint="eastAsia" w:ascii="宋体" w:hAnsi="宋体"/>
                <w:b/>
                <w:color w:val="auto"/>
                <w:szCs w:val="21"/>
              </w:rPr>
              <w:t>乙方（章）</w:t>
            </w:r>
          </w:p>
          <w:p w14:paraId="0B96D565">
            <w:pPr>
              <w:snapToGrid w:val="0"/>
              <w:spacing w:line="400" w:lineRule="exact"/>
              <w:rPr>
                <w:rFonts w:hint="eastAsia" w:ascii="宋体" w:hAnsi="宋体"/>
                <w:b/>
                <w:color w:val="auto"/>
                <w:szCs w:val="21"/>
              </w:rPr>
            </w:pPr>
            <w:r>
              <w:rPr>
                <w:rFonts w:hint="eastAsia" w:ascii="宋体" w:hAnsi="宋体"/>
                <w:b/>
                <w:color w:val="auto"/>
                <w:szCs w:val="21"/>
              </w:rPr>
              <w:t xml:space="preserve">              </w:t>
            </w:r>
          </w:p>
          <w:p w14:paraId="3485288F">
            <w:pPr>
              <w:snapToGrid w:val="0"/>
              <w:spacing w:line="400" w:lineRule="exact"/>
              <w:ind w:firstLine="422" w:firstLineChars="200"/>
              <w:jc w:val="right"/>
              <w:rPr>
                <w:rFonts w:hint="eastAsia" w:ascii="宋体" w:hAnsi="宋体"/>
                <w:b/>
                <w:color w:val="auto"/>
                <w:szCs w:val="21"/>
              </w:rPr>
            </w:pPr>
            <w:r>
              <w:rPr>
                <w:rFonts w:hint="eastAsia" w:ascii="宋体" w:hAnsi="宋体"/>
                <w:b/>
                <w:color w:val="auto"/>
                <w:szCs w:val="21"/>
              </w:rPr>
              <w:t>年   月   日</w:t>
            </w:r>
          </w:p>
        </w:tc>
      </w:tr>
    </w:tbl>
    <w:p w14:paraId="6C99F3F4">
      <w:pPr>
        <w:spacing w:line="400" w:lineRule="exact"/>
        <w:jc w:val="left"/>
        <w:rPr>
          <w:rFonts w:hint="eastAsia" w:ascii="宋体" w:hAnsi="宋体"/>
          <w:color w:val="auto"/>
          <w:sz w:val="32"/>
          <w:szCs w:val="32"/>
        </w:rPr>
      </w:pPr>
      <w:r>
        <w:rPr>
          <w:rFonts w:hint="eastAsia" w:ascii="宋体" w:hAnsi="宋体"/>
          <w:color w:val="auto"/>
          <w:szCs w:val="21"/>
        </w:rPr>
        <w:t xml:space="preserve">   注：售后服务事项填不下时可另加附页</w:t>
      </w:r>
    </w:p>
    <w:p w14:paraId="508D1DDB">
      <w:pPr>
        <w:pStyle w:val="36"/>
        <w:rPr>
          <w:rFonts w:hint="eastAsia"/>
          <w:color w:val="auto"/>
          <w:kern w:val="0"/>
          <w:sz w:val="44"/>
          <w:szCs w:val="44"/>
        </w:rPr>
      </w:pPr>
      <w:bookmarkStart w:id="76" w:name="_Toc31634"/>
      <w:bookmarkStart w:id="77" w:name="_Toc476258673"/>
    </w:p>
    <w:p w14:paraId="6930D00C">
      <w:pPr>
        <w:pStyle w:val="36"/>
        <w:rPr>
          <w:color w:val="auto"/>
          <w:kern w:val="0"/>
          <w:sz w:val="44"/>
          <w:szCs w:val="44"/>
        </w:rPr>
      </w:pPr>
      <w:r>
        <w:rPr>
          <w:rFonts w:hint="eastAsia"/>
          <w:color w:val="auto"/>
          <w:kern w:val="0"/>
          <w:sz w:val="44"/>
          <w:szCs w:val="44"/>
        </w:rPr>
        <w:t>第六章  评定标准</w:t>
      </w:r>
      <w:bookmarkEnd w:id="76"/>
      <w:bookmarkEnd w:id="77"/>
    </w:p>
    <w:p w14:paraId="10AA58AB">
      <w:pPr>
        <w:pStyle w:val="22"/>
        <w:spacing w:line="720" w:lineRule="auto"/>
        <w:jc w:val="center"/>
        <w:rPr>
          <w:rFonts w:hint="eastAsia" w:ascii="仿宋_GB2312" w:eastAsia="仿宋_GB2312"/>
          <w:color w:val="auto"/>
        </w:rPr>
      </w:pPr>
      <w:r>
        <w:rPr>
          <w:rFonts w:hint="eastAsia" w:ascii="仿宋_GB2312" w:eastAsia="仿宋_GB2312"/>
          <w:b/>
          <w:color w:val="auto"/>
          <w:kern w:val="0"/>
          <w:sz w:val="32"/>
          <w:szCs w:val="32"/>
        </w:rPr>
        <w:t>评定标准</w:t>
      </w:r>
    </w:p>
    <w:p w14:paraId="721858B5">
      <w:pPr>
        <w:pStyle w:val="22"/>
        <w:spacing w:line="380" w:lineRule="exact"/>
        <w:rPr>
          <w:rFonts w:hint="eastAsia" w:ascii="仿宋_GB2312" w:eastAsia="仿宋_GB2312"/>
          <w:color w:val="auto"/>
        </w:rPr>
      </w:pPr>
      <w:r>
        <w:rPr>
          <w:rFonts w:hint="eastAsia"/>
          <w:b/>
          <w:color w:val="auto"/>
        </w:rPr>
        <w:t>一、评审原则</w:t>
      </w:r>
    </w:p>
    <w:p w14:paraId="2B1007A0">
      <w:pPr>
        <w:pStyle w:val="22"/>
        <w:spacing w:line="380" w:lineRule="exact"/>
        <w:rPr>
          <w:rFonts w:ascii="Times New Roman" w:hAnsi="Times New Roman" w:cs="Times New Roman"/>
          <w:color w:val="auto"/>
        </w:rPr>
      </w:pPr>
      <w:r>
        <w:rPr>
          <w:rFonts w:hint="eastAsia" w:ascii="仿宋_GB2312" w:eastAsia="仿宋_GB2312"/>
          <w:color w:val="auto"/>
        </w:rPr>
        <w:t xml:space="preserve">    </w:t>
      </w:r>
      <w:r>
        <w:rPr>
          <w:rFonts w:hint="eastAsia" w:ascii="Times New Roman" w:hAnsi="Times New Roman" w:cs="Times New Roman"/>
          <w:color w:val="auto"/>
        </w:rPr>
        <w:t>（一）谈判小组成员组成：本竞争性谈判采购项目的谈判小组由采购人代表和评审专家共三人以上的单数组成（达到公开招标数额标准以上的项目，竞争性谈判小组成员由五人以上单数组成），其中评审专家的人数不得少于谈判小组成员总数的三分之二。</w:t>
      </w:r>
    </w:p>
    <w:p w14:paraId="21013FF2">
      <w:pPr>
        <w:pStyle w:val="22"/>
        <w:spacing w:line="380" w:lineRule="exact"/>
        <w:rPr>
          <w:rFonts w:ascii="Times New Roman" w:hAnsi="Times New Roman" w:cs="Times New Roman"/>
          <w:bCs/>
          <w:color w:val="auto"/>
        </w:rPr>
      </w:pPr>
      <w:r>
        <w:rPr>
          <w:rFonts w:hint="eastAsia" w:ascii="Times New Roman" w:hAnsi="Times New Roman" w:cs="Times New Roman"/>
          <w:color w:val="auto"/>
        </w:rPr>
        <w:t xml:space="preserve">    （二）评审依据：以竞争性谈判文件和竞争性</w:t>
      </w:r>
      <w:r>
        <w:rPr>
          <w:rFonts w:hint="eastAsia" w:ascii="Times New Roman" w:hAnsi="Times New Roman" w:cs="Times New Roman"/>
          <w:bCs/>
          <w:color w:val="auto"/>
        </w:rPr>
        <w:t>谈判响应文件为依据</w:t>
      </w:r>
      <w:r>
        <w:rPr>
          <w:rFonts w:hint="eastAsia"/>
          <w:bCs/>
          <w:color w:val="auto"/>
        </w:rPr>
        <w:t>。</w:t>
      </w:r>
    </w:p>
    <w:p w14:paraId="47FEF0F1">
      <w:pPr>
        <w:pStyle w:val="22"/>
        <w:spacing w:line="380" w:lineRule="exact"/>
        <w:rPr>
          <w:rFonts w:hint="eastAsia"/>
          <w:b/>
          <w:bCs/>
          <w:color w:val="auto"/>
        </w:rPr>
      </w:pPr>
      <w:r>
        <w:rPr>
          <w:rFonts w:hint="eastAsia"/>
          <w:b/>
          <w:bCs/>
          <w:color w:val="auto"/>
        </w:rPr>
        <w:t>二、评标方法</w:t>
      </w:r>
    </w:p>
    <w:p w14:paraId="1A6E3913">
      <w:pPr>
        <w:pStyle w:val="22"/>
        <w:spacing w:line="380" w:lineRule="exact"/>
        <w:rPr>
          <w:rFonts w:hint="eastAsia" w:cs="宋体"/>
          <w:color w:val="auto"/>
          <w:kern w:val="0"/>
        </w:rPr>
      </w:pPr>
      <w:r>
        <w:rPr>
          <w:rFonts w:hint="eastAsia"/>
          <w:b/>
          <w:bCs/>
          <w:color w:val="auto"/>
        </w:rPr>
        <w:t xml:space="preserve">    </w:t>
      </w:r>
      <w:r>
        <w:rPr>
          <w:rFonts w:hint="eastAsia" w:cs="宋体"/>
          <w:color w:val="auto"/>
          <w:kern w:val="0"/>
        </w:rPr>
        <w:t>对资格性和符合性检查合格的竞争性谈判响应文件，采用</w:t>
      </w:r>
      <w:r>
        <w:rPr>
          <w:rFonts w:hint="eastAsia" w:cs="宋体"/>
          <w:b/>
          <w:color w:val="auto"/>
          <w:kern w:val="0"/>
        </w:rPr>
        <w:t>最低评标价法</w:t>
      </w:r>
      <w:r>
        <w:rPr>
          <w:rFonts w:hint="eastAsia" w:cs="宋体"/>
          <w:color w:val="auto"/>
          <w:kern w:val="0"/>
        </w:rPr>
        <w:t>进行评审。</w:t>
      </w:r>
    </w:p>
    <w:p w14:paraId="11905A7B">
      <w:pPr>
        <w:pStyle w:val="22"/>
        <w:spacing w:line="380" w:lineRule="exact"/>
        <w:ind w:firstLine="420"/>
        <w:rPr>
          <w:rFonts w:hint="eastAsia" w:cs="宋体"/>
          <w:color w:val="auto"/>
          <w:kern w:val="0"/>
        </w:rPr>
      </w:pPr>
      <w:r>
        <w:rPr>
          <w:rFonts w:hint="eastAsia" w:cs="宋体"/>
          <w:color w:val="auto"/>
          <w:kern w:val="0"/>
        </w:rPr>
        <w:t>谈判小组将以</w:t>
      </w:r>
      <w:r>
        <w:rPr>
          <w:rFonts w:hint="eastAsia"/>
          <w:color w:val="auto"/>
        </w:rPr>
        <w:t>竞争性</w:t>
      </w:r>
      <w:r>
        <w:rPr>
          <w:rFonts w:hint="eastAsia" w:cs="宋体"/>
          <w:color w:val="auto"/>
          <w:kern w:val="0"/>
        </w:rPr>
        <w:t>谈判文件、竞争性谈判响应文件为评审依据，在质量和服务均能满足</w:t>
      </w:r>
      <w:r>
        <w:rPr>
          <w:rFonts w:hint="eastAsia"/>
          <w:color w:val="auto"/>
        </w:rPr>
        <w:t>竞争性</w:t>
      </w:r>
      <w:r>
        <w:rPr>
          <w:rFonts w:hint="eastAsia" w:cs="宋体"/>
          <w:color w:val="auto"/>
          <w:kern w:val="0"/>
        </w:rPr>
        <w:t>谈判文件实质性响应要求的供应商中，以提出最后报价（价格扣除后）最低的供应商作为成交供应商。该价格扣除后的报价仅用于评审排序，不作为合同签订价，合同按谈判供应商实际提出的最后报价签订。</w:t>
      </w:r>
    </w:p>
    <w:p w14:paraId="69EBEC95">
      <w:pPr>
        <w:spacing w:line="360" w:lineRule="auto"/>
        <w:ind w:firstLine="420" w:firstLineChars="200"/>
        <w:rPr>
          <w:color w:val="auto"/>
        </w:rPr>
      </w:pPr>
      <w:r>
        <w:rPr>
          <w:rFonts w:hint="eastAsia" w:ascii="宋体" w:hAnsi="宋体" w:cs="宋体"/>
          <w:color w:val="auto"/>
          <w:szCs w:val="21"/>
        </w:rPr>
        <w:t>根据《政府采购促进中小企业发展管理办法》（财库〔2020〕46号）的规定，供应商在其响应文件中提供《中小企业声明函》，</w:t>
      </w:r>
      <w:r>
        <w:rPr>
          <w:rFonts w:hint="eastAsia" w:ascii="宋体" w:hAnsi="宋体"/>
          <w:bCs/>
          <w:color w:val="auto"/>
          <w:szCs w:val="21"/>
        </w:rPr>
        <w:t>且其竞标全部货物均由小微企业提供的</w:t>
      </w:r>
      <w:r>
        <w:rPr>
          <w:rFonts w:hint="eastAsia" w:ascii="宋体" w:hAnsi="宋体" w:cs="宋体"/>
          <w:color w:val="auto"/>
          <w:szCs w:val="21"/>
        </w:rPr>
        <w:t>，</w:t>
      </w:r>
      <w:r>
        <w:rPr>
          <w:rFonts w:hint="eastAsia" w:ascii="宋体" w:hAnsi="宋体"/>
          <w:bCs/>
          <w:color w:val="auto"/>
          <w:szCs w:val="21"/>
        </w:rPr>
        <w:t>对供应商的竞标报价给予10%的扣除，扣除后的价格为评审价，即评审价=竞标报价×（1-</w:t>
      </w:r>
      <w:r>
        <w:rPr>
          <w:rFonts w:ascii="宋体" w:hAnsi="宋体"/>
          <w:bCs/>
          <w:color w:val="auto"/>
          <w:szCs w:val="21"/>
        </w:rPr>
        <w:t>10</w:t>
      </w:r>
      <w:r>
        <w:rPr>
          <w:rFonts w:hint="eastAsia" w:ascii="宋体" w:hAnsi="宋体"/>
          <w:bCs/>
          <w:color w:val="auto"/>
          <w:szCs w:val="21"/>
        </w:rPr>
        <w:t>%）。接受大中型企业与小微企业组成联合体或者允许大中型企业向一家或者多家小微企业分包的采购项目，联合协议或者分包意向协议约定小微企业的合同份额占到合同总金额30%以上的，采购人、采购代理机构应当对联合体或者大中型企业的报价给予</w:t>
      </w:r>
      <w:r>
        <w:rPr>
          <w:rFonts w:hint="eastAsia" w:ascii="宋体" w:hAnsi="宋体"/>
          <w:bCs/>
          <w:color w:val="auto"/>
          <w:szCs w:val="21"/>
          <w:u w:val="single"/>
        </w:rPr>
        <w:t xml:space="preserve"> 4% </w:t>
      </w:r>
      <w:r>
        <w:rPr>
          <w:rFonts w:hint="eastAsia" w:ascii="宋体" w:hAnsi="宋体"/>
          <w:bCs/>
          <w:color w:val="auto"/>
          <w:szCs w:val="21"/>
        </w:rPr>
        <w:t>（范围为4%-6%） 的扣除，用扣除后的价格参加评审，扣除后的价格为评审价，即评审价=竞标报价×（1-</w:t>
      </w:r>
      <w:r>
        <w:rPr>
          <w:rFonts w:ascii="宋体" w:hAnsi="宋体"/>
          <w:bCs/>
          <w:color w:val="auto"/>
          <w:szCs w:val="21"/>
          <w:u w:val="single"/>
        </w:rPr>
        <w:t xml:space="preserve"> </w:t>
      </w:r>
      <w:r>
        <w:rPr>
          <w:rFonts w:hint="eastAsia" w:ascii="宋体" w:hAnsi="宋体"/>
          <w:bCs/>
          <w:color w:val="auto"/>
          <w:szCs w:val="21"/>
          <w:u w:val="single"/>
        </w:rPr>
        <w:t>4</w:t>
      </w:r>
      <w:r>
        <w:rPr>
          <w:rFonts w:ascii="宋体" w:hAnsi="宋体"/>
          <w:bCs/>
          <w:color w:val="auto"/>
          <w:szCs w:val="21"/>
          <w:u w:val="single"/>
        </w:rPr>
        <w:t xml:space="preserve"> </w:t>
      </w:r>
      <w:r>
        <w:rPr>
          <w:rFonts w:hint="eastAsia" w:ascii="宋体" w:hAnsi="宋体"/>
          <w:bCs/>
          <w:color w:val="auto"/>
          <w:szCs w:val="21"/>
        </w:rPr>
        <w:t>%）。</w:t>
      </w:r>
    </w:p>
    <w:p w14:paraId="1AE01069">
      <w:pPr>
        <w:pStyle w:val="22"/>
        <w:spacing w:line="380" w:lineRule="exact"/>
        <w:ind w:firstLine="420"/>
        <w:rPr>
          <w:rFonts w:hint="eastAsia"/>
          <w:color w:val="auto"/>
        </w:rPr>
      </w:pPr>
      <w:r>
        <w:rPr>
          <w:rFonts w:hint="eastAsia" w:cs="宋体"/>
          <w:color w:val="auto"/>
        </w:rPr>
        <w:t>按照</w:t>
      </w:r>
      <w:r>
        <w:rPr>
          <w:rFonts w:hint="eastAsia"/>
          <w:color w:val="auto"/>
        </w:rPr>
        <w:t>《</w:t>
      </w:r>
      <w:r>
        <w:rPr>
          <w:color w:val="auto"/>
        </w:rPr>
        <w:t>关于政府采购支持监狱企业发展有关问题的通知</w:t>
      </w:r>
      <w:r>
        <w:rPr>
          <w:rFonts w:hint="eastAsia"/>
          <w:color w:val="auto"/>
        </w:rPr>
        <w:t>》(</w:t>
      </w:r>
      <w:r>
        <w:rPr>
          <w:color w:val="auto"/>
        </w:rPr>
        <w:t>财库</w:t>
      </w:r>
      <w:r>
        <w:rPr>
          <w:rFonts w:hint="eastAsia"/>
          <w:color w:val="auto"/>
        </w:rPr>
        <w:t>〔</w:t>
      </w:r>
      <w:r>
        <w:rPr>
          <w:color w:val="auto"/>
        </w:rPr>
        <w:t>2014</w:t>
      </w:r>
      <w:r>
        <w:rPr>
          <w:rFonts w:hint="eastAsia"/>
          <w:color w:val="auto"/>
        </w:rPr>
        <w:t>〕</w:t>
      </w:r>
      <w:r>
        <w:rPr>
          <w:color w:val="auto"/>
        </w:rPr>
        <w:t>68号</w:t>
      </w:r>
      <w:r>
        <w:rPr>
          <w:rFonts w:hint="eastAsia"/>
          <w:color w:val="auto"/>
        </w:rPr>
        <w:t>)认定为</w:t>
      </w:r>
      <w:r>
        <w:rPr>
          <w:color w:val="auto"/>
        </w:rPr>
        <w:t>监狱企业</w:t>
      </w:r>
      <w:r>
        <w:rPr>
          <w:rFonts w:hint="eastAsia"/>
          <w:color w:val="auto"/>
        </w:rPr>
        <w:t>的，</w:t>
      </w:r>
      <w:r>
        <w:rPr>
          <w:color w:val="auto"/>
        </w:rPr>
        <w:t>在政府采购活动中，监狱企业视同小型、微型企业。监狱企业参加政府采购活动时，应当提供由省级以上监狱管理局、戒毒管理局(含新疆生产建设兵团)出具的属于监狱企业的证明文件。</w:t>
      </w:r>
    </w:p>
    <w:p w14:paraId="20E23E6C">
      <w:pPr>
        <w:pStyle w:val="22"/>
        <w:spacing w:line="380" w:lineRule="exact"/>
        <w:ind w:firstLine="420"/>
        <w:rPr>
          <w:rFonts w:hint="eastAsia"/>
          <w:color w:val="auto"/>
        </w:rPr>
      </w:pPr>
      <w:r>
        <w:rPr>
          <w:rFonts w:hint="eastAsia"/>
          <w:color w:val="auto"/>
        </w:rPr>
        <w:t>符合《关于促进残疾人就业政府采购政策的通知》(财库〔2017〕141号)规定条件，认定为残疾人福利性单位的，在政府采购活动中，残疾人福利性单位视同小型、微型企业。残疾人福利性单位参加政府采购活动时，应当提供该通知规定的《残疾人福利性单位声明函》，并对声明的真实性负责。成交供应商为残疾人福利性单位的，随成交结果公告其《残疾人福利性单位声明函》，接受社会监督。</w:t>
      </w:r>
    </w:p>
    <w:p w14:paraId="22818A81">
      <w:pPr>
        <w:pStyle w:val="22"/>
        <w:spacing w:line="380" w:lineRule="exact"/>
        <w:ind w:firstLine="420"/>
        <w:rPr>
          <w:rFonts w:hint="eastAsia" w:cs="宋体"/>
          <w:color w:val="auto"/>
        </w:rPr>
      </w:pPr>
      <w:r>
        <w:rPr>
          <w:rFonts w:hint="eastAsia" w:cs="宋体"/>
          <w:color w:val="auto"/>
        </w:rPr>
        <w:t>2.根据《国务院办公厅关于在政府采购中实施本国产品标准及相关政策的通知》（国办发〔2025〕34号）的规定，供应商对其提供的产品出具符合要求的《关于符合本国产品标准的声明函》，该产品视为本国产品。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5EAB4576">
      <w:pPr>
        <w:pStyle w:val="22"/>
        <w:spacing w:line="380" w:lineRule="exact"/>
        <w:ind w:firstLine="420"/>
        <w:rPr>
          <w:rFonts w:hint="eastAsia"/>
          <w:b/>
          <w:bCs/>
          <w:color w:val="auto"/>
        </w:rPr>
      </w:pPr>
      <w:r>
        <w:rPr>
          <w:rFonts w:hint="eastAsia" w:cs="宋体"/>
          <w:b/>
          <w:bCs/>
          <w:color w:val="auto"/>
        </w:rPr>
        <w:t>注：本国产品价格扣除政策与中小企业、监狱企业、残疾人福利性单位价格扣除政策可重复享受。</w:t>
      </w:r>
    </w:p>
    <w:p w14:paraId="6B94AE76">
      <w:pPr>
        <w:pStyle w:val="22"/>
        <w:spacing w:line="380" w:lineRule="exact"/>
        <w:rPr>
          <w:rFonts w:hint="eastAsia"/>
          <w:b/>
          <w:color w:val="auto"/>
        </w:rPr>
      </w:pPr>
      <w:r>
        <w:rPr>
          <w:rFonts w:hint="eastAsia"/>
          <w:b/>
          <w:color w:val="auto"/>
        </w:rPr>
        <w:t>三、成交候选人推荐原则</w:t>
      </w:r>
    </w:p>
    <w:p w14:paraId="41F5C29A">
      <w:pPr>
        <w:pStyle w:val="22"/>
        <w:spacing w:line="380" w:lineRule="exact"/>
        <w:ind w:firstLine="421"/>
        <w:rPr>
          <w:rFonts w:hint="eastAsia" w:cs="Times New Roman"/>
          <w:color w:val="auto"/>
        </w:rPr>
      </w:pPr>
      <w:r>
        <w:rPr>
          <w:rFonts w:hint="eastAsia" w:ascii="Times New Roman" w:hAnsi="Times New Roman" w:cs="Times New Roman"/>
          <w:color w:val="auto"/>
        </w:rPr>
        <w:t>（一）竞争性谈判响应文件</w:t>
      </w:r>
      <w:r>
        <w:rPr>
          <w:rFonts w:hint="eastAsia"/>
          <w:color w:val="auto"/>
        </w:rPr>
        <w:t>在</w:t>
      </w:r>
      <w:r>
        <w:rPr>
          <w:rFonts w:hint="eastAsia" w:cs="宋体"/>
          <w:color w:val="auto"/>
          <w:kern w:val="0"/>
        </w:rPr>
        <w:t>质量和服务均能满足</w:t>
      </w:r>
      <w:r>
        <w:rPr>
          <w:rFonts w:hint="eastAsia"/>
          <w:color w:val="auto"/>
        </w:rPr>
        <w:t>竞争性</w:t>
      </w:r>
      <w:r>
        <w:rPr>
          <w:rFonts w:hint="eastAsia" w:cs="宋体"/>
          <w:color w:val="auto"/>
          <w:kern w:val="0"/>
        </w:rPr>
        <w:t>谈判文件实质性响应要求时</w:t>
      </w:r>
      <w:r>
        <w:rPr>
          <w:rFonts w:hint="eastAsia" w:ascii="Times New Roman" w:hAnsi="Times New Roman" w:cs="Times New Roman"/>
          <w:bCs/>
          <w:color w:val="auto"/>
        </w:rPr>
        <w:t>，谈判小组将按最后报价由低到高顺序推荐3名以上成交候选人（最后报价相同时，</w:t>
      </w:r>
      <w:r>
        <w:rPr>
          <w:rFonts w:hint="eastAsia"/>
          <w:color w:val="auto"/>
        </w:rPr>
        <w:t>依次按节能环保和自主创新产品优先、技术指标高优先、质量保证期长优先、交货时间短优先、故障响应时间短优先的顺序排列</w:t>
      </w:r>
      <w:r>
        <w:rPr>
          <w:rFonts w:hint="eastAsia" w:ascii="Times New Roman" w:hAnsi="Times New Roman" w:cs="Times New Roman"/>
          <w:bCs/>
          <w:color w:val="auto"/>
        </w:rPr>
        <w:t>确定排序，并按确定排序由低到高的原则推荐成交候选人）。采购人应当确定谈判小组推荐排名第一的成交候选人为成交</w:t>
      </w:r>
      <w:r>
        <w:rPr>
          <w:rFonts w:hint="eastAsia"/>
          <w:bCs/>
          <w:color w:val="auto"/>
        </w:rPr>
        <w:t>供应商</w:t>
      </w:r>
      <w:r>
        <w:rPr>
          <w:rFonts w:hint="eastAsia" w:ascii="Times New Roman" w:hAnsi="Times New Roman" w:cs="Times New Roman"/>
          <w:bCs/>
          <w:color w:val="auto"/>
        </w:rPr>
        <w:t>。排名第一的成交候选人</w:t>
      </w:r>
      <w:r>
        <w:rPr>
          <w:rFonts w:hint="eastAsia" w:cs="宋体"/>
          <w:color w:val="auto"/>
          <w:kern w:val="0"/>
        </w:rPr>
        <w:t>拒绝签订政府采购合同的</w:t>
      </w:r>
      <w:r>
        <w:rPr>
          <w:rFonts w:hint="eastAsia" w:ascii="Times New Roman" w:hAnsi="Times New Roman" w:cs="Times New Roman"/>
          <w:bCs/>
          <w:color w:val="auto"/>
        </w:rPr>
        <w:t>，采购人可以确定排名第二的成交候选人为成交</w:t>
      </w:r>
      <w:r>
        <w:rPr>
          <w:rFonts w:hint="eastAsia"/>
          <w:bCs/>
          <w:color w:val="auto"/>
        </w:rPr>
        <w:t>供应商</w:t>
      </w:r>
      <w:r>
        <w:rPr>
          <w:rFonts w:hint="eastAsia" w:ascii="Times New Roman" w:hAnsi="Times New Roman" w:cs="Times New Roman"/>
          <w:bCs/>
          <w:color w:val="auto"/>
        </w:rPr>
        <w:t>。排名第二的成交候选人因前款规定的同样原因不能签订合同的，采购人可以确定排名第三的成交候选人为成交</w:t>
      </w:r>
      <w:r>
        <w:rPr>
          <w:rFonts w:hint="eastAsia"/>
          <w:bCs/>
          <w:color w:val="auto"/>
        </w:rPr>
        <w:t>供应商</w:t>
      </w:r>
      <w:r>
        <w:rPr>
          <w:rFonts w:hint="eastAsia" w:ascii="Times New Roman" w:hAnsi="Times New Roman" w:cs="Times New Roman"/>
          <w:bCs/>
          <w:color w:val="auto"/>
        </w:rPr>
        <w:t>。采购人也可以决定重新采购。</w:t>
      </w:r>
      <w:r>
        <w:rPr>
          <w:rFonts w:hint="eastAsia" w:cs="Times New Roman"/>
          <w:color w:val="auto"/>
        </w:rPr>
        <w:t>对采购过程、成交结果提出的质疑</w:t>
      </w:r>
      <w:r>
        <w:rPr>
          <w:rFonts w:cs="Times New Roman"/>
          <w:color w:val="auto"/>
        </w:rPr>
        <w:t>成立</w:t>
      </w:r>
      <w:r>
        <w:rPr>
          <w:rFonts w:hint="eastAsia" w:cs="Times New Roman"/>
          <w:color w:val="auto"/>
        </w:rPr>
        <w:t>后取</w:t>
      </w:r>
      <w:r>
        <w:rPr>
          <w:rFonts w:hint="eastAsia"/>
          <w:color w:val="auto"/>
        </w:rPr>
        <w:t>消成交资格</w:t>
      </w:r>
      <w:r>
        <w:rPr>
          <w:rFonts w:hint="eastAsia" w:cs="Times New Roman"/>
          <w:color w:val="auto"/>
        </w:rPr>
        <w:t>，合格供应商符合法定数量时，可以从合格的成交候选人中另行确定成交供应商的，应当依法另行确定成交供应商，否则应当重新开展采购活动。</w:t>
      </w:r>
    </w:p>
    <w:p w14:paraId="0C3770C7">
      <w:pPr>
        <w:pStyle w:val="22"/>
        <w:spacing w:line="380" w:lineRule="exact"/>
        <w:ind w:firstLine="421"/>
        <w:rPr>
          <w:rFonts w:hint="eastAsia"/>
          <w:color w:val="auto"/>
        </w:rPr>
      </w:pPr>
      <w:r>
        <w:rPr>
          <w:rFonts w:hint="eastAsia"/>
          <w:color w:val="auto"/>
        </w:rPr>
        <w:t>（二）异常低价审查：具体详见第二章《谈判供应商须知》。</w:t>
      </w:r>
    </w:p>
    <w:sectPr>
      <w:headerReference r:id="rId5" w:type="default"/>
      <w:footerReference r:id="rId6" w:type="default"/>
      <w:footerReference r:id="rId7" w:type="even"/>
      <w:pgSz w:w="11906" w:h="16838"/>
      <w:pgMar w:top="1134" w:right="1134" w:bottom="1134" w:left="1134" w:header="851" w:footer="992" w:gutter="0"/>
      <w:pgNumType w:start="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华文新魏">
    <w:panose1 w:val="02010800040101010101"/>
    <w:charset w:val="86"/>
    <w:family w:val="auto"/>
    <w:pitch w:val="default"/>
    <w:sig w:usb0="00000001" w:usb1="080F0000" w:usb2="00000000" w:usb3="00000000" w:csb0="00040000" w:csb1="00000000"/>
  </w:font>
  <w:font w:name="楷体">
    <w:panose1 w:val="02010609060101010101"/>
    <w:charset w:val="86"/>
    <w:family w:val="modern"/>
    <w:pitch w:val="default"/>
    <w:sig w:usb0="800002BF" w:usb1="38CF7CFA" w:usb2="00000016" w:usb3="00000000" w:csb0="00040001" w:csb1="00000000"/>
  </w:font>
  <w:font w:name="Arial Unicode MS">
    <w:altName w:val="宋体"/>
    <w:panose1 w:val="020B0604020202020204"/>
    <w:charset w:val="86"/>
    <w:family w:val="roman"/>
    <w:pitch w:val="default"/>
    <w:sig w:usb0="00000000" w:usb1="00000000" w:usb2="0000003F" w:usb3="00000000" w:csb0="603F01FF" w:csb1="FFFF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4F4C0">
    <w:pPr>
      <w:pStyle w:val="2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33C4C">
    <w:pPr>
      <w:pStyle w:val="26"/>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53D495E9">
                          <w:pPr>
                            <w:pStyle w:val="26"/>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Alies8kBAACSAwAADgAAAAAAAAABACAAAAAfAQAAZHJzL2Uyb0Rv&#10;Yy54bWxQSwUGAAAAAAYABgBZAQAAWgUAAAAA&#10;">
              <v:fill on="f" focussize="0,0"/>
              <v:stroke on="f"/>
              <v:imagedata o:title=""/>
              <o:lock v:ext="edit" aspectratio="f"/>
              <v:textbox inset="0mm,0mm,0mm,0mm" style="mso-fit-shape-to-text:t;">
                <w:txbxContent>
                  <w:p w14:paraId="53D495E9">
                    <w:pPr>
                      <w:pStyle w:val="26"/>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5BC6AB">
    <w:pPr>
      <w:pStyle w:val="26"/>
      <w:framePr w:wrap="around" w:vAnchor="text" w:hAnchor="margin" w:xAlign="center" w:y="1"/>
      <w:rPr>
        <w:rStyle w:val="43"/>
      </w:rPr>
    </w:pPr>
    <w:r>
      <w:fldChar w:fldCharType="begin"/>
    </w:r>
    <w:r>
      <w:rPr>
        <w:rStyle w:val="43"/>
      </w:rPr>
      <w:instrText xml:space="preserve">PAGE  </w:instrText>
    </w:r>
    <w:r>
      <w:fldChar w:fldCharType="separate"/>
    </w:r>
    <w:r>
      <w:rPr>
        <w:rStyle w:val="43"/>
      </w:rPr>
      <w:t>4</w:t>
    </w:r>
    <w:r>
      <w:fldChar w:fldCharType="end"/>
    </w:r>
  </w:p>
  <w:p w14:paraId="33E15993">
    <w:pPr>
      <w:pStyle w:val="2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56DD13">
    <w:pPr>
      <w:pStyle w:val="26"/>
      <w:framePr w:wrap="around" w:vAnchor="text" w:hAnchor="margin" w:xAlign="center" w:y="1"/>
      <w:rPr>
        <w:rStyle w:val="43"/>
      </w:rPr>
    </w:pPr>
    <w:r>
      <w:fldChar w:fldCharType="begin"/>
    </w:r>
    <w:r>
      <w:rPr>
        <w:rStyle w:val="43"/>
      </w:rPr>
      <w:instrText xml:space="preserve">PAGE  </w:instrText>
    </w:r>
    <w:r>
      <w:fldChar w:fldCharType="end"/>
    </w:r>
  </w:p>
  <w:p w14:paraId="606C02DC">
    <w:pPr>
      <w:pStyle w:val="2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ED1191">
    <w:pPr>
      <w:pStyle w:val="27"/>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singleLevel"/>
    <w:tmpl w:val="00000001"/>
    <w:lvl w:ilvl="0" w:tentative="0">
      <w:start w:val="1"/>
      <w:numFmt w:val="decimal"/>
      <w:lvlText w:val="%1."/>
      <w:lvlJc w:val="left"/>
      <w:pPr>
        <w:tabs>
          <w:tab w:val="left" w:pos="312"/>
        </w:tabs>
      </w:pPr>
    </w:lvl>
  </w:abstractNum>
  <w:abstractNum w:abstractNumId="1">
    <w:nsid w:val="00000002"/>
    <w:multiLevelType w:val="singleLevel"/>
    <w:tmpl w:val="00000002"/>
    <w:lvl w:ilvl="0" w:tentative="0">
      <w:start w:val="1"/>
      <w:numFmt w:val="decimal"/>
      <w:pStyle w:val="20"/>
      <w:lvlText w:val="%1."/>
      <w:lvlJc w:val="left"/>
      <w:pPr>
        <w:tabs>
          <w:tab w:val="left" w:pos="1200"/>
        </w:tabs>
        <w:ind w:left="1200" w:hanging="360"/>
      </w:pPr>
    </w:lvl>
  </w:abstractNum>
  <w:abstractNum w:abstractNumId="2">
    <w:nsid w:val="00000003"/>
    <w:multiLevelType w:val="multilevel"/>
    <w:tmpl w:val="00000003"/>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3">
    <w:nsid w:val="00000004"/>
    <w:multiLevelType w:val="multilevel"/>
    <w:tmpl w:val="00000004"/>
    <w:lvl w:ilvl="0" w:tentative="0">
      <w:start w:val="1"/>
      <w:numFmt w:val="chineseCountingThousand"/>
      <w:suff w:val="nothing"/>
      <w:lvlText w:val="第%1章"/>
      <w:lvlJc w:val="left"/>
      <w:pPr>
        <w:ind w:left="0" w:firstLine="0"/>
      </w:pPr>
      <w:rPr>
        <w:rFonts w:hint="eastAsia" w:ascii="仿宋_GB2312" w:eastAsia="仿宋_GB2312"/>
        <w:sz w:val="44"/>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pStyle w:val="6"/>
      <w:suff w:val="nothing"/>
      <w:lvlText w:val=""/>
      <w:lvlJc w:val="left"/>
      <w:pPr>
        <w:ind w:left="0" w:firstLine="0"/>
      </w:pPr>
      <w:rPr>
        <w:rFonts w:hint="eastAsia"/>
      </w:rPr>
    </w:lvl>
    <w:lvl w:ilvl="5" w:tentative="0">
      <w:start w:val="1"/>
      <w:numFmt w:val="none"/>
      <w:pStyle w:val="8"/>
      <w:suff w:val="nothing"/>
      <w:lvlText w:val=""/>
      <w:lvlJc w:val="left"/>
      <w:pPr>
        <w:ind w:left="0" w:firstLine="0"/>
      </w:pPr>
      <w:rPr>
        <w:rFonts w:hint="eastAsia"/>
      </w:rPr>
    </w:lvl>
    <w:lvl w:ilvl="6" w:tentative="0">
      <w:start w:val="1"/>
      <w:numFmt w:val="none"/>
      <w:pStyle w:val="9"/>
      <w:suff w:val="nothing"/>
      <w:lvlText w:val=""/>
      <w:lvlJc w:val="left"/>
      <w:pPr>
        <w:ind w:left="0" w:firstLine="0"/>
      </w:pPr>
      <w:rPr>
        <w:rFonts w:hint="eastAsia"/>
      </w:rPr>
    </w:lvl>
    <w:lvl w:ilvl="7" w:tentative="0">
      <w:start w:val="1"/>
      <w:numFmt w:val="none"/>
      <w:pStyle w:val="10"/>
      <w:suff w:val="nothing"/>
      <w:lvlText w:val=""/>
      <w:lvlJc w:val="left"/>
      <w:pPr>
        <w:ind w:left="0" w:firstLine="0"/>
      </w:pPr>
      <w:rPr>
        <w:rFonts w:hint="eastAsia"/>
      </w:rPr>
    </w:lvl>
    <w:lvl w:ilvl="8" w:tentative="0">
      <w:start w:val="1"/>
      <w:numFmt w:val="none"/>
      <w:pStyle w:val="11"/>
      <w:suff w:val="nothing"/>
      <w:lvlText w:val=""/>
      <w:lvlJc w:val="left"/>
      <w:pPr>
        <w:ind w:left="0" w:firstLine="0"/>
      </w:pPr>
      <w:rPr>
        <w:rFonts w:hint="eastAsia"/>
      </w:rPr>
    </w:lvl>
  </w:abstractNum>
  <w:abstractNum w:abstractNumId="4">
    <w:nsid w:val="00000005"/>
    <w:multiLevelType w:val="multilevel"/>
    <w:tmpl w:val="00000005"/>
    <w:lvl w:ilvl="0" w:tentative="0">
      <w:start w:val="1"/>
      <w:numFmt w:val="decimal"/>
      <w:suff w:val="nothing"/>
      <w:lvlText w:val="%1"/>
      <w:lvlJc w:val="center"/>
      <w:pPr>
        <w:ind w:left="0" w:firstLine="0"/>
      </w:pPr>
      <w:rPr>
        <w:rFonts w:hint="eastAsia"/>
        <w:b w:val="0"/>
        <w:i w:val="0"/>
        <w:snapToGrid w:val="0"/>
        <w:kern w:val="0"/>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5">
    <w:nsid w:val="00000006"/>
    <w:multiLevelType w:val="singleLevel"/>
    <w:tmpl w:val="00000006"/>
    <w:lvl w:ilvl="0" w:tentative="0">
      <w:start w:val="1"/>
      <w:numFmt w:val="decimal"/>
      <w:suff w:val="space"/>
      <w:lvlText w:val="%1."/>
      <w:lvlJc w:val="left"/>
    </w:lvl>
  </w:abstractNum>
  <w:abstractNum w:abstractNumId="6">
    <w:nsid w:val="0053208E"/>
    <w:multiLevelType w:val="singleLevel"/>
    <w:tmpl w:val="0053208E"/>
    <w:lvl w:ilvl="0" w:tentative="0">
      <w:start w:val="1"/>
      <w:numFmt w:val="decimal"/>
      <w:suff w:val="nothing"/>
      <w:lvlText w:val="%1"/>
      <w:lvlJc w:val="center"/>
      <w:pPr>
        <w:tabs>
          <w:tab w:val="left" w:pos="0"/>
        </w:tabs>
        <w:ind w:left="0" w:firstLine="0"/>
      </w:pPr>
      <w:rPr>
        <w:rFonts w:hint="default"/>
      </w:rPr>
    </w:lvl>
  </w:abstractNum>
  <w:num w:numId="1">
    <w:abstractNumId w:val="3"/>
  </w:num>
  <w:num w:numId="2">
    <w:abstractNumId w:val="1"/>
  </w:num>
  <w:num w:numId="3">
    <w:abstractNumId w:val="4"/>
  </w:num>
  <w:num w:numId="4">
    <w:abstractNumId w:val="6"/>
  </w:num>
  <w:num w:numId="5">
    <w:abstractNumId w:val="0"/>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49E"/>
    <w:rsid w:val="002125F6"/>
    <w:rsid w:val="0035254A"/>
    <w:rsid w:val="00413EA2"/>
    <w:rsid w:val="00BE449E"/>
    <w:rsid w:val="0C720894"/>
    <w:rsid w:val="0D7D414E"/>
    <w:rsid w:val="0DF513F2"/>
    <w:rsid w:val="0F9B5360"/>
    <w:rsid w:val="105C1946"/>
    <w:rsid w:val="10E8616A"/>
    <w:rsid w:val="15861A08"/>
    <w:rsid w:val="1F1C676A"/>
    <w:rsid w:val="23DA7C6E"/>
    <w:rsid w:val="24FF14A8"/>
    <w:rsid w:val="29256D45"/>
    <w:rsid w:val="3B837CC4"/>
    <w:rsid w:val="48867C0A"/>
    <w:rsid w:val="4C2C7FFD"/>
    <w:rsid w:val="4D3054ED"/>
    <w:rsid w:val="545435AC"/>
    <w:rsid w:val="54A052EF"/>
    <w:rsid w:val="57A37CC2"/>
    <w:rsid w:val="58DC7930"/>
    <w:rsid w:val="5A2A59FE"/>
    <w:rsid w:val="5E341674"/>
    <w:rsid w:val="67CF7001"/>
    <w:rsid w:val="6D0010D1"/>
    <w:rsid w:val="6FD74F07"/>
    <w:rsid w:val="7A8622A1"/>
    <w:rsid w:val="7B9939D6"/>
    <w:rsid w:val="7DE4763D"/>
    <w:rsid w:val="B77D10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99" w:semiHidden="0"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qFormat="1" w:unhideWhenUsed="0" w:uiPriority="0" w:semiHidden="0" w:name="toc 6"/>
    <w:lsdException w:uiPriority="39" w:name="toc 7"/>
    <w:lsdException w:uiPriority="39" w:name="toc 8"/>
    <w:lsdException w:qFormat="1" w:unhideWhenUsed="0"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qFormat="1" w:unhideWhenUsed="0" w:uiPriority="0" w:semiHidden="0"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qFormat="1" w:unhideWhenUsed="0" w:uiPriority="0"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99" w:semiHidden="0"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7"/>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48"/>
    <w:unhideWhenUsed/>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unhideWhenUsed/>
    <w:qFormat/>
    <w:uiPriority w:val="9"/>
    <w:pPr>
      <w:spacing w:before="100" w:beforeAutospacing="1" w:after="100" w:afterAutospacing="1"/>
      <w:jc w:val="left"/>
      <w:outlineLvl w:val="2"/>
    </w:pPr>
    <w:rPr>
      <w:rFonts w:hint="eastAsia" w:ascii="宋体" w:hAnsi="宋体"/>
      <w:b/>
      <w:kern w:val="0"/>
      <w:sz w:val="27"/>
      <w:szCs w:val="27"/>
    </w:rPr>
  </w:style>
  <w:style w:type="paragraph" w:styleId="5">
    <w:name w:val="heading 4"/>
    <w:basedOn w:val="1"/>
    <w:next w:val="1"/>
    <w:semiHidden/>
    <w:unhideWhenUsed/>
    <w:qFormat/>
    <w:uiPriority w:val="9"/>
    <w:pPr>
      <w:keepNext/>
      <w:keepLines/>
      <w:widowControl/>
      <w:spacing w:before="120" w:after="120" w:line="360" w:lineRule="auto"/>
      <w:jc w:val="center"/>
      <w:outlineLvl w:val="3"/>
    </w:pPr>
    <w:rPr>
      <w:rFonts w:ascii="Arial" w:hAnsi="Arial" w:eastAsia="黑体"/>
      <w:kern w:val="0"/>
      <w:sz w:val="28"/>
      <w:szCs w:val="20"/>
    </w:rPr>
  </w:style>
  <w:style w:type="paragraph" w:styleId="6">
    <w:name w:val="heading 5"/>
    <w:basedOn w:val="1"/>
    <w:next w:val="7"/>
    <w:semiHidden/>
    <w:unhideWhenUsed/>
    <w:qFormat/>
    <w:uiPriority w:val="9"/>
    <w:pPr>
      <w:keepNext/>
      <w:keepLines/>
      <w:numPr>
        <w:ilvl w:val="4"/>
        <w:numId w:val="1"/>
      </w:numPr>
      <w:spacing w:before="280" w:after="290" w:line="376" w:lineRule="auto"/>
      <w:outlineLvl w:val="4"/>
    </w:pPr>
    <w:rPr>
      <w:b/>
      <w:sz w:val="28"/>
    </w:rPr>
  </w:style>
  <w:style w:type="paragraph" w:styleId="8">
    <w:name w:val="heading 6"/>
    <w:basedOn w:val="1"/>
    <w:next w:val="7"/>
    <w:semiHidden/>
    <w:unhideWhenUsed/>
    <w:qFormat/>
    <w:uiPriority w:val="9"/>
    <w:pPr>
      <w:keepNext/>
      <w:keepLines/>
      <w:numPr>
        <w:ilvl w:val="5"/>
        <w:numId w:val="1"/>
      </w:numPr>
      <w:spacing w:before="240" w:after="64" w:line="320" w:lineRule="auto"/>
      <w:outlineLvl w:val="5"/>
    </w:pPr>
    <w:rPr>
      <w:rFonts w:ascii="Arial" w:hAnsi="Arial" w:eastAsia="黑体"/>
      <w:b/>
      <w:sz w:val="24"/>
    </w:rPr>
  </w:style>
  <w:style w:type="paragraph" w:styleId="9">
    <w:name w:val="heading 7"/>
    <w:basedOn w:val="1"/>
    <w:next w:val="7"/>
    <w:qFormat/>
    <w:uiPriority w:val="0"/>
    <w:pPr>
      <w:keepNext/>
      <w:keepLines/>
      <w:numPr>
        <w:ilvl w:val="6"/>
        <w:numId w:val="1"/>
      </w:numPr>
      <w:spacing w:before="240" w:after="64" w:line="320" w:lineRule="auto"/>
      <w:outlineLvl w:val="6"/>
    </w:pPr>
    <w:rPr>
      <w:b/>
      <w:sz w:val="24"/>
    </w:rPr>
  </w:style>
  <w:style w:type="paragraph" w:styleId="10">
    <w:name w:val="heading 8"/>
    <w:basedOn w:val="1"/>
    <w:next w:val="7"/>
    <w:qFormat/>
    <w:uiPriority w:val="0"/>
    <w:pPr>
      <w:keepNext/>
      <w:keepLines/>
      <w:numPr>
        <w:ilvl w:val="7"/>
        <w:numId w:val="1"/>
      </w:numPr>
      <w:spacing w:before="240" w:after="64" w:line="320" w:lineRule="auto"/>
      <w:outlineLvl w:val="7"/>
    </w:pPr>
    <w:rPr>
      <w:rFonts w:ascii="Arial" w:hAnsi="Arial" w:eastAsia="黑体"/>
      <w:sz w:val="24"/>
    </w:rPr>
  </w:style>
  <w:style w:type="paragraph" w:styleId="11">
    <w:name w:val="heading 9"/>
    <w:basedOn w:val="1"/>
    <w:next w:val="7"/>
    <w:qFormat/>
    <w:uiPriority w:val="0"/>
    <w:pPr>
      <w:keepNext/>
      <w:keepLines/>
      <w:numPr>
        <w:ilvl w:val="8"/>
        <w:numId w:val="1"/>
      </w:numPr>
      <w:spacing w:before="240" w:after="64" w:line="320" w:lineRule="auto"/>
      <w:outlineLvl w:val="8"/>
    </w:pPr>
    <w:rPr>
      <w:rFonts w:ascii="Arial" w:hAnsi="Arial" w:eastAsia="黑体"/>
    </w:rPr>
  </w:style>
  <w:style w:type="character" w:default="1" w:styleId="41">
    <w:name w:val="Default Paragraph Font"/>
    <w:unhideWhenUsed/>
    <w:qFormat/>
    <w:uiPriority w:val="1"/>
  </w:style>
  <w:style w:type="table" w:default="1" w:styleId="39">
    <w:name w:val="Normal Table"/>
    <w:semiHidden/>
    <w:unhideWhenUsed/>
    <w:qFormat/>
    <w:uiPriority w:val="99"/>
    <w:tblPr>
      <w:tblCellMar>
        <w:top w:w="0" w:type="dxa"/>
        <w:left w:w="108" w:type="dxa"/>
        <w:bottom w:w="0" w:type="dxa"/>
        <w:right w:w="108" w:type="dxa"/>
      </w:tblCellMar>
    </w:tblPr>
  </w:style>
  <w:style w:type="paragraph" w:styleId="7">
    <w:name w:val="Normal Indent"/>
    <w:basedOn w:val="1"/>
    <w:qFormat/>
    <w:uiPriority w:val="0"/>
    <w:pPr>
      <w:ind w:firstLine="420"/>
    </w:pPr>
    <w:rPr>
      <w:szCs w:val="20"/>
    </w:rPr>
  </w:style>
  <w:style w:type="paragraph" w:styleId="12">
    <w:name w:val="index 8"/>
    <w:basedOn w:val="1"/>
    <w:next w:val="1"/>
    <w:qFormat/>
    <w:uiPriority w:val="99"/>
    <w:pPr>
      <w:ind w:left="1400" w:leftChars="1400"/>
    </w:pPr>
  </w:style>
  <w:style w:type="paragraph" w:styleId="13">
    <w:name w:val="List Number"/>
    <w:basedOn w:val="1"/>
    <w:qFormat/>
    <w:uiPriority w:val="0"/>
    <w:pPr>
      <w:widowControl/>
      <w:tabs>
        <w:tab w:val="left" w:pos="454"/>
        <w:tab w:val="left" w:pos="720"/>
        <w:tab w:val="left" w:pos="840"/>
      </w:tabs>
      <w:spacing w:after="50" w:afterLines="50"/>
      <w:ind w:left="454" w:hanging="284"/>
      <w:jc w:val="left"/>
    </w:pPr>
    <w:rPr>
      <w:kern w:val="0"/>
      <w:sz w:val="24"/>
      <w:szCs w:val="20"/>
    </w:rPr>
  </w:style>
  <w:style w:type="paragraph" w:styleId="14">
    <w:name w:val="caption"/>
    <w:basedOn w:val="1"/>
    <w:next w:val="1"/>
    <w:qFormat/>
    <w:uiPriority w:val="0"/>
    <w:pPr>
      <w:spacing w:before="152" w:after="160"/>
    </w:pPr>
    <w:rPr>
      <w:rFonts w:ascii="Arial" w:hAnsi="Arial" w:eastAsia="黑体" w:cs="Arial"/>
      <w:sz w:val="20"/>
      <w:szCs w:val="20"/>
    </w:rPr>
  </w:style>
  <w:style w:type="paragraph" w:styleId="15">
    <w:name w:val="Document Map"/>
    <w:basedOn w:val="1"/>
    <w:qFormat/>
    <w:uiPriority w:val="0"/>
    <w:pPr>
      <w:shd w:val="clear" w:color="auto" w:fill="000080"/>
    </w:pPr>
  </w:style>
  <w:style w:type="paragraph" w:styleId="16">
    <w:name w:val="annotation text"/>
    <w:basedOn w:val="1"/>
    <w:link w:val="49"/>
    <w:qFormat/>
    <w:uiPriority w:val="0"/>
    <w:pPr>
      <w:jc w:val="left"/>
    </w:pPr>
  </w:style>
  <w:style w:type="paragraph" w:styleId="17">
    <w:name w:val="Body Text 3"/>
    <w:basedOn w:val="1"/>
    <w:qFormat/>
    <w:uiPriority w:val="0"/>
    <w:pPr>
      <w:spacing w:line="500" w:lineRule="exact"/>
    </w:pPr>
    <w:rPr>
      <w:b/>
      <w:bCs/>
      <w:sz w:val="24"/>
    </w:rPr>
  </w:style>
  <w:style w:type="paragraph" w:styleId="18">
    <w:name w:val="Body Text"/>
    <w:basedOn w:val="1"/>
    <w:qFormat/>
    <w:uiPriority w:val="0"/>
    <w:pPr>
      <w:spacing w:line="380" w:lineRule="exact"/>
    </w:pPr>
    <w:rPr>
      <w:sz w:val="24"/>
    </w:rPr>
  </w:style>
  <w:style w:type="paragraph" w:styleId="19">
    <w:name w:val="Body Text Indent"/>
    <w:basedOn w:val="1"/>
    <w:link w:val="50"/>
    <w:qFormat/>
    <w:uiPriority w:val="0"/>
    <w:pPr>
      <w:ind w:firstLine="830" w:firstLineChars="352"/>
    </w:pPr>
    <w:rPr>
      <w:rFonts w:ascii="仿宋_GB2312" w:eastAsia="仿宋_GB2312"/>
      <w:sz w:val="32"/>
      <w:szCs w:val="20"/>
    </w:rPr>
  </w:style>
  <w:style w:type="paragraph" w:styleId="20">
    <w:name w:val="List Number 3"/>
    <w:basedOn w:val="1"/>
    <w:qFormat/>
    <w:uiPriority w:val="0"/>
    <w:pPr>
      <w:numPr>
        <w:ilvl w:val="0"/>
        <w:numId w:val="2"/>
      </w:numPr>
    </w:pPr>
  </w:style>
  <w:style w:type="paragraph" w:styleId="21">
    <w:name w:val="List 2"/>
    <w:basedOn w:val="1"/>
    <w:qFormat/>
    <w:uiPriority w:val="0"/>
    <w:pPr>
      <w:ind w:left="100" w:leftChars="200" w:hanging="200" w:hangingChars="200"/>
    </w:pPr>
    <w:rPr>
      <w:sz w:val="28"/>
    </w:rPr>
  </w:style>
  <w:style w:type="paragraph" w:styleId="22">
    <w:name w:val="Plain Text"/>
    <w:basedOn w:val="1"/>
    <w:link w:val="51"/>
    <w:qFormat/>
    <w:uiPriority w:val="0"/>
    <w:rPr>
      <w:rFonts w:ascii="宋体" w:hAnsi="宋体" w:cs="Courier New"/>
      <w:szCs w:val="21"/>
    </w:rPr>
  </w:style>
  <w:style w:type="paragraph" w:styleId="23">
    <w:name w:val="Date"/>
    <w:basedOn w:val="1"/>
    <w:next w:val="1"/>
    <w:qFormat/>
    <w:uiPriority w:val="0"/>
    <w:pPr>
      <w:ind w:left="100" w:leftChars="2500"/>
    </w:pPr>
    <w:rPr>
      <w:rFonts w:ascii="宋体" w:hAnsi="Courier New" w:cs="Courier New"/>
      <w:szCs w:val="21"/>
    </w:rPr>
  </w:style>
  <w:style w:type="paragraph" w:styleId="24">
    <w:name w:val="Body Text Indent 2"/>
    <w:basedOn w:val="1"/>
    <w:qFormat/>
    <w:uiPriority w:val="0"/>
    <w:pPr>
      <w:ind w:firstLine="630"/>
    </w:pPr>
    <w:rPr>
      <w:sz w:val="32"/>
      <w:szCs w:val="20"/>
    </w:rPr>
  </w:style>
  <w:style w:type="paragraph" w:styleId="25">
    <w:name w:val="Balloon Text"/>
    <w:basedOn w:val="1"/>
    <w:qFormat/>
    <w:uiPriority w:val="0"/>
    <w:rPr>
      <w:sz w:val="18"/>
      <w:szCs w:val="18"/>
    </w:rPr>
  </w:style>
  <w:style w:type="paragraph" w:styleId="26">
    <w:name w:val="footer"/>
    <w:basedOn w:val="1"/>
    <w:next w:val="1"/>
    <w:qFormat/>
    <w:uiPriority w:val="0"/>
    <w:pPr>
      <w:tabs>
        <w:tab w:val="center" w:pos="4153"/>
        <w:tab w:val="right" w:pos="8306"/>
      </w:tabs>
      <w:snapToGrid w:val="0"/>
      <w:jc w:val="left"/>
    </w:pPr>
    <w:rPr>
      <w:sz w:val="18"/>
      <w:szCs w:val="18"/>
    </w:rPr>
  </w:style>
  <w:style w:type="paragraph" w:styleId="2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8">
    <w:name w:val="toc 1"/>
    <w:basedOn w:val="1"/>
    <w:next w:val="1"/>
    <w:qFormat/>
    <w:uiPriority w:val="39"/>
  </w:style>
  <w:style w:type="paragraph" w:styleId="29">
    <w:name w:val="List"/>
    <w:basedOn w:val="1"/>
    <w:qFormat/>
    <w:uiPriority w:val="0"/>
    <w:pPr>
      <w:ind w:left="200" w:hanging="200" w:hangingChars="200"/>
    </w:pPr>
    <w:rPr>
      <w:sz w:val="28"/>
    </w:rPr>
  </w:style>
  <w:style w:type="paragraph" w:styleId="30">
    <w:name w:val="toc 6"/>
    <w:basedOn w:val="1"/>
    <w:next w:val="1"/>
    <w:qFormat/>
    <w:uiPriority w:val="0"/>
    <w:pPr>
      <w:tabs>
        <w:tab w:val="right" w:leader="dot" w:pos="9185"/>
      </w:tabs>
      <w:adjustRightInd w:val="0"/>
      <w:spacing w:line="312" w:lineRule="atLeast"/>
      <w:ind w:left="2100"/>
      <w:textAlignment w:val="baseline"/>
    </w:pPr>
    <w:rPr>
      <w:kern w:val="0"/>
      <w:szCs w:val="20"/>
    </w:rPr>
  </w:style>
  <w:style w:type="paragraph" w:styleId="31">
    <w:name w:val="Body Text Indent 3"/>
    <w:basedOn w:val="1"/>
    <w:qFormat/>
    <w:uiPriority w:val="0"/>
    <w:pPr>
      <w:spacing w:after="120"/>
      <w:ind w:left="420" w:leftChars="200"/>
    </w:pPr>
    <w:rPr>
      <w:sz w:val="16"/>
      <w:szCs w:val="16"/>
    </w:rPr>
  </w:style>
  <w:style w:type="paragraph" w:styleId="32">
    <w:name w:val="toc 9"/>
    <w:basedOn w:val="1"/>
    <w:next w:val="1"/>
    <w:qFormat/>
    <w:uiPriority w:val="0"/>
    <w:pPr>
      <w:tabs>
        <w:tab w:val="right" w:leader="dot" w:pos="9185"/>
      </w:tabs>
      <w:adjustRightInd w:val="0"/>
      <w:spacing w:line="312" w:lineRule="atLeast"/>
      <w:ind w:left="3360"/>
      <w:textAlignment w:val="baseline"/>
    </w:pPr>
    <w:rPr>
      <w:kern w:val="0"/>
      <w:szCs w:val="20"/>
    </w:rPr>
  </w:style>
  <w:style w:type="paragraph" w:styleId="33">
    <w:name w:val="Body Text 2"/>
    <w:basedOn w:val="1"/>
    <w:qFormat/>
    <w:uiPriority w:val="0"/>
    <w:pPr>
      <w:spacing w:after="120" w:line="480" w:lineRule="auto"/>
    </w:pPr>
  </w:style>
  <w:style w:type="paragraph" w:styleId="34">
    <w:name w:val="Normal (Web)"/>
    <w:basedOn w:val="1"/>
    <w:qFormat/>
    <w:uiPriority w:val="0"/>
    <w:pPr>
      <w:widowControl/>
      <w:spacing w:before="100" w:beforeAutospacing="1" w:after="100" w:afterAutospacing="1"/>
      <w:jc w:val="left"/>
    </w:pPr>
    <w:rPr>
      <w:rFonts w:ascii="宋体" w:hAnsi="宋体"/>
      <w:kern w:val="0"/>
      <w:sz w:val="24"/>
    </w:rPr>
  </w:style>
  <w:style w:type="paragraph" w:styleId="35">
    <w:name w:val="index 1"/>
    <w:basedOn w:val="1"/>
    <w:next w:val="1"/>
    <w:qFormat/>
    <w:uiPriority w:val="0"/>
    <w:pPr>
      <w:spacing w:line="400" w:lineRule="exact"/>
      <w:ind w:firstLine="420" w:firstLineChars="200"/>
    </w:pPr>
    <w:rPr>
      <w:rFonts w:ascii="宋体" w:hAnsi="Courier New"/>
      <w:b/>
      <w:szCs w:val="20"/>
    </w:rPr>
  </w:style>
  <w:style w:type="paragraph" w:styleId="36">
    <w:name w:val="Title"/>
    <w:basedOn w:val="1"/>
    <w:next w:val="1"/>
    <w:link w:val="52"/>
    <w:qFormat/>
    <w:uiPriority w:val="10"/>
    <w:pPr>
      <w:spacing w:before="240" w:after="60"/>
      <w:jc w:val="center"/>
      <w:outlineLvl w:val="0"/>
    </w:pPr>
    <w:rPr>
      <w:rFonts w:ascii="Cambria" w:hAnsi="Cambria"/>
      <w:b/>
      <w:bCs/>
      <w:sz w:val="32"/>
      <w:szCs w:val="32"/>
    </w:rPr>
  </w:style>
  <w:style w:type="paragraph" w:styleId="37">
    <w:name w:val="annotation subject"/>
    <w:basedOn w:val="16"/>
    <w:next w:val="16"/>
    <w:link w:val="53"/>
    <w:qFormat/>
    <w:uiPriority w:val="0"/>
    <w:rPr>
      <w:b/>
      <w:bCs/>
    </w:rPr>
  </w:style>
  <w:style w:type="paragraph" w:styleId="38">
    <w:name w:val="Body Text First Indent"/>
    <w:basedOn w:val="18"/>
    <w:qFormat/>
    <w:uiPriority w:val="99"/>
    <w:pPr>
      <w:ind w:firstLine="420" w:firstLineChars="100"/>
    </w:pPr>
  </w:style>
  <w:style w:type="table" w:styleId="40">
    <w:name w:val="Table Grid"/>
    <w:basedOn w:val="3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Strong"/>
    <w:qFormat/>
    <w:uiPriority w:val="0"/>
    <w:rPr>
      <w:b/>
    </w:rPr>
  </w:style>
  <w:style w:type="character" w:styleId="43">
    <w:name w:val="page number"/>
    <w:qFormat/>
    <w:uiPriority w:val="0"/>
  </w:style>
  <w:style w:type="character" w:styleId="44">
    <w:name w:val="Emphasis"/>
    <w:qFormat/>
    <w:uiPriority w:val="0"/>
    <w:rPr>
      <w:i/>
    </w:rPr>
  </w:style>
  <w:style w:type="character" w:styleId="45">
    <w:name w:val="Hyperlink"/>
    <w:qFormat/>
    <w:uiPriority w:val="99"/>
    <w:rPr>
      <w:color w:val="0000FF"/>
      <w:u w:val="single"/>
    </w:rPr>
  </w:style>
  <w:style w:type="character" w:styleId="46">
    <w:name w:val="annotation reference"/>
    <w:qFormat/>
    <w:uiPriority w:val="0"/>
    <w:rPr>
      <w:sz w:val="21"/>
      <w:szCs w:val="21"/>
    </w:rPr>
  </w:style>
  <w:style w:type="character" w:customStyle="1" w:styleId="47">
    <w:name w:val="标题 1 字符"/>
    <w:link w:val="2"/>
    <w:qFormat/>
    <w:uiPriority w:val="0"/>
    <w:rPr>
      <w:rFonts w:eastAsia="宋体"/>
      <w:b/>
      <w:bCs/>
      <w:kern w:val="44"/>
      <w:sz w:val="44"/>
      <w:szCs w:val="44"/>
      <w:lang w:val="en-US" w:eastAsia="zh-CN" w:bidi="ar-SA"/>
    </w:rPr>
  </w:style>
  <w:style w:type="character" w:customStyle="1" w:styleId="48">
    <w:name w:val="标题 2 字符"/>
    <w:link w:val="3"/>
    <w:qFormat/>
    <w:uiPriority w:val="0"/>
    <w:rPr>
      <w:rFonts w:ascii="Cambria" w:hAnsi="Cambria" w:eastAsia="宋体" w:cs="Times New Roman"/>
      <w:b/>
      <w:bCs/>
      <w:kern w:val="2"/>
      <w:sz w:val="32"/>
      <w:szCs w:val="32"/>
    </w:rPr>
  </w:style>
  <w:style w:type="character" w:customStyle="1" w:styleId="49">
    <w:name w:val="批注文字 字符"/>
    <w:link w:val="16"/>
    <w:qFormat/>
    <w:uiPriority w:val="0"/>
    <w:rPr>
      <w:kern w:val="2"/>
      <w:sz w:val="21"/>
      <w:szCs w:val="24"/>
    </w:rPr>
  </w:style>
  <w:style w:type="character" w:customStyle="1" w:styleId="50">
    <w:name w:val="正文文本缩进 字符"/>
    <w:link w:val="19"/>
    <w:qFormat/>
    <w:uiPriority w:val="0"/>
    <w:rPr>
      <w:rFonts w:ascii="仿宋_GB2312" w:eastAsia="仿宋_GB2312"/>
      <w:kern w:val="2"/>
      <w:sz w:val="32"/>
    </w:rPr>
  </w:style>
  <w:style w:type="character" w:customStyle="1" w:styleId="51">
    <w:name w:val="纯文本 字符"/>
    <w:link w:val="22"/>
    <w:qFormat/>
    <w:uiPriority w:val="0"/>
    <w:rPr>
      <w:rFonts w:ascii="宋体" w:hAnsi="宋体" w:eastAsia="宋体" w:cs="Courier New"/>
      <w:kern w:val="2"/>
      <w:sz w:val="21"/>
      <w:szCs w:val="21"/>
      <w:lang w:val="en-US" w:eastAsia="zh-CN" w:bidi="ar-SA"/>
    </w:rPr>
  </w:style>
  <w:style w:type="character" w:customStyle="1" w:styleId="52">
    <w:name w:val="标题 字符"/>
    <w:link w:val="36"/>
    <w:qFormat/>
    <w:uiPriority w:val="0"/>
    <w:rPr>
      <w:rFonts w:ascii="Cambria" w:hAnsi="Cambria" w:cs="Times New Roman"/>
      <w:b/>
      <w:bCs/>
      <w:kern w:val="2"/>
      <w:sz w:val="32"/>
      <w:szCs w:val="32"/>
    </w:rPr>
  </w:style>
  <w:style w:type="character" w:customStyle="1" w:styleId="53">
    <w:name w:val="批注主题 字符"/>
    <w:link w:val="37"/>
    <w:qFormat/>
    <w:uiPriority w:val="0"/>
    <w:rPr>
      <w:b/>
      <w:bCs/>
      <w:kern w:val="2"/>
      <w:sz w:val="21"/>
      <w:szCs w:val="24"/>
    </w:rPr>
  </w:style>
  <w:style w:type="paragraph" w:customStyle="1" w:styleId="54">
    <w:name w:val="正文文本首行缩进1"/>
    <w:basedOn w:val="18"/>
    <w:qFormat/>
    <w:uiPriority w:val="99"/>
    <w:pPr>
      <w:ind w:firstLine="721" w:firstLineChars="200"/>
    </w:pPr>
    <w:rPr>
      <w:rFonts w:eastAsia="仿宋_GB2312"/>
      <w:sz w:val="32"/>
    </w:rPr>
  </w:style>
  <w:style w:type="character" w:customStyle="1" w:styleId="55">
    <w:name w:val="font21"/>
    <w:qFormat/>
    <w:uiPriority w:val="0"/>
    <w:rPr>
      <w:rFonts w:hint="default" w:ascii="Times New Roman" w:hAnsi="Times New Roman" w:cs="Times New Roman"/>
      <w:color w:val="000000"/>
      <w:sz w:val="21"/>
      <w:szCs w:val="21"/>
      <w:u w:val="none"/>
    </w:rPr>
  </w:style>
  <w:style w:type="character" w:customStyle="1" w:styleId="56">
    <w:name w:val="Comment Text Char"/>
    <w:qFormat/>
    <w:uiPriority w:val="0"/>
    <w:rPr>
      <w:rFonts w:cs="Times New Roman"/>
      <w:kern w:val="2"/>
      <w:sz w:val="24"/>
      <w:szCs w:val="24"/>
    </w:rPr>
  </w:style>
  <w:style w:type="character" w:customStyle="1" w:styleId="57">
    <w:name w:val="普通文字 Char Char3"/>
    <w:qFormat/>
    <w:uiPriority w:val="0"/>
    <w:rPr>
      <w:rFonts w:ascii="宋体" w:hAnsi="Courier New" w:eastAsia="宋体" w:cs="Courier New"/>
      <w:kern w:val="2"/>
      <w:sz w:val="21"/>
      <w:szCs w:val="21"/>
      <w:lang w:val="en-US" w:eastAsia="zh-CN" w:bidi="ar-SA"/>
    </w:rPr>
  </w:style>
  <w:style w:type="character" w:customStyle="1" w:styleId="58">
    <w:name w:val="普通文字 Char Char2"/>
    <w:qFormat/>
    <w:uiPriority w:val="0"/>
    <w:rPr>
      <w:rFonts w:ascii="宋体" w:hAnsi="Courier New" w:eastAsia="宋体"/>
      <w:kern w:val="2"/>
      <w:sz w:val="21"/>
      <w:lang w:val="en-US" w:eastAsia="zh-CN" w:bidi="ar-SA"/>
    </w:rPr>
  </w:style>
  <w:style w:type="character" w:customStyle="1" w:styleId="59">
    <w:name w:val="1ji Char"/>
    <w:link w:val="60"/>
    <w:qFormat/>
    <w:uiPriority w:val="0"/>
    <w:rPr>
      <w:rFonts w:ascii="宋体" w:hAnsi="宋体" w:eastAsia="宋体"/>
      <w:b/>
      <w:bCs/>
      <w:kern w:val="44"/>
      <w:sz w:val="36"/>
      <w:szCs w:val="44"/>
      <w:lang w:val="en-US" w:eastAsia="zh-CN" w:bidi="ar-SA"/>
    </w:rPr>
  </w:style>
  <w:style w:type="paragraph" w:customStyle="1" w:styleId="60">
    <w:name w:val="1ji"/>
    <w:basedOn w:val="2"/>
    <w:link w:val="59"/>
    <w:qFormat/>
    <w:uiPriority w:val="0"/>
    <w:pPr>
      <w:keepLines w:val="0"/>
      <w:widowControl/>
      <w:spacing w:before="0" w:after="0" w:line="240" w:lineRule="auto"/>
      <w:jc w:val="center"/>
    </w:pPr>
    <w:rPr>
      <w:rFonts w:ascii="宋体" w:hAnsi="宋体"/>
      <w:sz w:val="36"/>
    </w:rPr>
  </w:style>
  <w:style w:type="paragraph" w:customStyle="1" w:styleId="61">
    <w:name w:val="1"/>
    <w:basedOn w:val="1"/>
    <w:next w:val="22"/>
    <w:qFormat/>
    <w:uiPriority w:val="0"/>
    <w:rPr>
      <w:rFonts w:ascii="宋体" w:hAnsi="Courier New"/>
      <w:szCs w:val="20"/>
    </w:rPr>
  </w:style>
  <w:style w:type="paragraph" w:customStyle="1" w:styleId="62">
    <w:name w:val="列表段落1"/>
    <w:basedOn w:val="1"/>
    <w:qFormat/>
    <w:uiPriority w:val="34"/>
    <w:pPr>
      <w:widowControl/>
      <w:ind w:firstLine="420" w:firstLineChars="200"/>
      <w:jc w:val="left"/>
    </w:pPr>
    <w:rPr>
      <w:rFonts w:ascii="宋体" w:hAnsi="宋体" w:cs="宋体"/>
      <w:kern w:val="0"/>
    </w:rPr>
  </w:style>
  <w:style w:type="paragraph" w:customStyle="1" w:styleId="63">
    <w:name w:val="Char"/>
    <w:basedOn w:val="15"/>
    <w:qFormat/>
    <w:uiPriority w:val="0"/>
    <w:pPr>
      <w:widowControl/>
      <w:ind w:firstLine="454"/>
      <w:jc w:val="left"/>
    </w:pPr>
    <w:rPr>
      <w:rFonts w:ascii="Tahoma" w:hAnsi="Tahoma" w:cs="宋体"/>
      <w:kern w:val="0"/>
      <w:sz w:val="24"/>
      <w:szCs w:val="20"/>
    </w:rPr>
  </w:style>
  <w:style w:type="paragraph" w:customStyle="1" w:styleId="64">
    <w:name w:val="正文段"/>
    <w:basedOn w:val="1"/>
    <w:qFormat/>
    <w:uiPriority w:val="0"/>
    <w:pPr>
      <w:widowControl/>
      <w:snapToGrid w:val="0"/>
      <w:spacing w:after="50" w:afterLines="50"/>
      <w:ind w:firstLine="200" w:firstLineChars="200"/>
    </w:pPr>
    <w:rPr>
      <w:kern w:val="0"/>
      <w:sz w:val="24"/>
      <w:szCs w:val="20"/>
    </w:rPr>
  </w:style>
  <w:style w:type="paragraph" w:customStyle="1" w:styleId="65">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66">
    <w:name w:val="Char1"/>
    <w:basedOn w:val="15"/>
    <w:qFormat/>
    <w:uiPriority w:val="0"/>
    <w:pPr>
      <w:widowControl/>
      <w:ind w:firstLine="454"/>
      <w:jc w:val="left"/>
    </w:pPr>
    <w:rPr>
      <w:rFonts w:ascii="Tahoma" w:hAnsi="Tahoma" w:cs="宋体"/>
      <w:kern w:val="0"/>
      <w:sz w:val="24"/>
      <w:szCs w:val="20"/>
    </w:rPr>
  </w:style>
  <w:style w:type="paragraph" w:customStyle="1" w:styleId="67">
    <w:name w:val="默认段落字体 Para Char Char Char Char Char Char Char Char Char1 Char Char Char Char"/>
    <w:basedOn w:val="1"/>
    <w:qFormat/>
    <w:uiPriority w:val="0"/>
    <w:rPr>
      <w:rFonts w:ascii="Tahoma" w:hAnsi="Tahoma"/>
      <w:sz w:val="24"/>
      <w:szCs w:val="20"/>
    </w:rPr>
  </w:style>
  <w:style w:type="paragraph" w:customStyle="1" w:styleId="68">
    <w:name w:val="_Style 62"/>
    <w:basedOn w:val="2"/>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69">
    <w:name w:val="_Style 35"/>
    <w:basedOn w:val="15"/>
    <w:qFormat/>
    <w:uiPriority w:val="0"/>
    <w:pPr>
      <w:widowControl/>
      <w:ind w:firstLine="454"/>
      <w:jc w:val="left"/>
    </w:pPr>
  </w:style>
  <w:style w:type="paragraph" w:customStyle="1" w:styleId="70">
    <w:name w:val="列出段落1"/>
    <w:basedOn w:val="1"/>
    <w:qFormat/>
    <w:uiPriority w:val="34"/>
    <w:pPr>
      <w:spacing w:line="312" w:lineRule="auto"/>
      <w:ind w:firstLine="420" w:firstLineChars="200"/>
    </w:pPr>
  </w:style>
  <w:style w:type="character" w:customStyle="1" w:styleId="71">
    <w:name w:val="正文文本缩进 Char1"/>
    <w:qFormat/>
    <w:uiPriority w:val="0"/>
    <w:rPr>
      <w:kern w:val="2"/>
      <w:sz w:val="21"/>
      <w:szCs w:val="22"/>
    </w:rPr>
  </w:style>
  <w:style w:type="character" w:customStyle="1" w:styleId="72">
    <w:name w:val="llyf92"/>
    <w:qFormat/>
    <w:uiPriority w:val="0"/>
    <w:rPr>
      <w:sz w:val="18"/>
      <w:szCs w:val="18"/>
    </w:rPr>
  </w:style>
  <w:style w:type="character" w:customStyle="1" w:styleId="73">
    <w:name w:val="纯文本 Char2"/>
    <w:qFormat/>
    <w:uiPriority w:val="0"/>
    <w:rPr>
      <w:rFonts w:ascii="宋体" w:hAnsi="宋体" w:eastAsia="宋体" w:cs="Courier New"/>
      <w:color w:val="000000"/>
      <w:kern w:val="1"/>
      <w:sz w:val="21"/>
      <w:szCs w:val="21"/>
      <w:lang w:val="en-US" w:eastAsia="zh-CN" w:bidi="ar-SA"/>
    </w:rPr>
  </w:style>
  <w:style w:type="character" w:customStyle="1" w:styleId="74">
    <w:name w:val="p1"/>
    <w:qFormat/>
    <w:uiPriority w:val="0"/>
  </w:style>
  <w:style w:type="paragraph" w:customStyle="1" w:styleId="75">
    <w:name w:val="_Style 69"/>
    <w:qFormat/>
    <w:uiPriority w:val="0"/>
    <w:rPr>
      <w:rFonts w:ascii="Times New Roman" w:hAnsi="Times New Roman" w:eastAsia="宋体" w:cs="Times New Roman"/>
      <w:kern w:val="2"/>
      <w:sz w:val="21"/>
      <w:szCs w:val="24"/>
      <w:lang w:val="en-US" w:eastAsia="zh-CN" w:bidi="ar-SA"/>
    </w:rPr>
  </w:style>
  <w:style w:type="paragraph" w:customStyle="1" w:styleId="76">
    <w:name w:val="09.表格文字"/>
    <w:qFormat/>
    <w:uiPriority w:val="0"/>
    <w:pPr>
      <w:widowControl w:val="0"/>
      <w:topLinePunct/>
      <w:autoSpaceDE w:val="0"/>
      <w:autoSpaceDN w:val="0"/>
      <w:adjustRightInd w:val="0"/>
      <w:snapToGrid w:val="0"/>
      <w:spacing w:line="560" w:lineRule="exact"/>
    </w:pPr>
    <w:rPr>
      <w:rFonts w:ascii="Times New Roman" w:hAnsi="Times New Roman" w:eastAsia="仿宋_GB2312" w:cs="微软雅黑"/>
      <w:color w:val="333333"/>
      <w:sz w:val="24"/>
      <w:szCs w:val="18"/>
      <w:lang w:val="en-US" w:eastAsia="zh-CN" w:bidi="ar-SA"/>
    </w:rPr>
  </w:style>
  <w:style w:type="paragraph" w:customStyle="1" w:styleId="77">
    <w:name w:val="修订1"/>
    <w:qFormat/>
    <w:uiPriority w:val="99"/>
    <w:rPr>
      <w:rFonts w:ascii="Times New Roman" w:hAnsi="Times New Roman" w:eastAsia="宋体" w:cs="Times New Roman"/>
      <w:kern w:val="2"/>
      <w:sz w:val="21"/>
      <w:szCs w:val="24"/>
      <w:lang w:val="en-US" w:eastAsia="zh-CN" w:bidi="ar-SA"/>
    </w:rPr>
  </w:style>
  <w:style w:type="paragraph" w:customStyle="1" w:styleId="78">
    <w:name w:val="Table caption|1"/>
    <w:basedOn w:val="1"/>
    <w:qFormat/>
    <w:uiPriority w:val="0"/>
    <w:pPr>
      <w:spacing w:line="548" w:lineRule="exact"/>
      <w:ind w:firstLine="620"/>
    </w:pPr>
    <w:rPr>
      <w:rFonts w:ascii="宋体" w:hAnsi="宋体" w:cs="宋体"/>
      <w:sz w:val="26"/>
      <w:szCs w:val="26"/>
      <w:lang w:val="zh-TW" w:eastAsia="zh-TW" w:bidi="zh-TW"/>
    </w:rPr>
  </w:style>
  <w:style w:type="character" w:customStyle="1" w:styleId="79">
    <w:name w:val="15"/>
    <w:qFormat/>
    <w:uiPriority w:val="0"/>
    <w:rPr>
      <w:rFonts w:hint="default" w:ascii="Times New Roman" w:hAnsi="Times New Roman" w:eastAsia="宋体" w:cs="Times New Roman"/>
      <w:b/>
    </w:rPr>
  </w:style>
  <w:style w:type="paragraph" w:customStyle="1" w:styleId="80">
    <w:name w:val="Default"/>
    <w:qFormat/>
    <w:uiPriority w:val="0"/>
    <w:pPr>
      <w:widowControl w:val="0"/>
    </w:pPr>
    <w:rPr>
      <w:rFonts w:ascii="宋体" w:hAnsi="宋体" w:eastAsia="宋体" w:cs="宋体"/>
      <w:color w:val="000000"/>
      <w:sz w:val="24"/>
      <w:szCs w:val="24"/>
      <w:lang w:val="en-US" w:eastAsia="zh-CN" w:bidi="ar-SA"/>
    </w:rPr>
  </w:style>
  <w:style w:type="paragraph" w:customStyle="1" w:styleId="81">
    <w:name w:val="Table Text"/>
    <w:basedOn w:val="1"/>
    <w:qFormat/>
    <w:uiPriority w:val="0"/>
    <w:rPr>
      <w:rFonts w:ascii="宋体" w:hAnsi="宋体" w:cs="宋体"/>
      <w:sz w:val="22"/>
      <w:szCs w:val="22"/>
      <w:lang w:eastAsia="en-US"/>
    </w:rPr>
  </w:style>
  <w:style w:type="paragraph" w:styleId="82">
    <w:name w:val="List Paragraph"/>
    <w:basedOn w:val="1"/>
    <w:qFormat/>
    <w:uiPriority w:val="1"/>
    <w:pPr>
      <w:ind w:firstLine="420" w:firstLineChars="200"/>
    </w:pPr>
    <w:rPr>
      <w:rFonts w:ascii="Calibri" w:hAnsi="Calibri"/>
      <w:szCs w:val="22"/>
    </w:rPr>
  </w:style>
  <w:style w:type="paragraph" w:customStyle="1" w:styleId="83">
    <w:name w:val="Char Char Char3"/>
    <w:basedOn w:val="1"/>
    <w:qFormat/>
    <w:uiPriority w:val="0"/>
    <w:pPr>
      <w:spacing w:after="160" w:line="240" w:lineRule="exact"/>
      <w:jc w:val="left"/>
    </w:pPr>
    <w:rPr>
      <w:rFonts w:ascii="Verdana" w:hAnsi="Verdana"/>
      <w:kern w:val="0"/>
      <w:sz w:val="20"/>
      <w:szCs w:val="20"/>
      <w:lang w:eastAsia="en-US"/>
    </w:rPr>
  </w:style>
  <w:style w:type="character" w:customStyle="1" w:styleId="84">
    <w:name w:val="font31"/>
    <w:qFormat/>
    <w:uiPriority w:val="0"/>
    <w:rPr>
      <w:rFonts w:hint="eastAsia" w:ascii="宋体" w:hAnsi="宋体" w:eastAsia="宋体" w:cs="宋体"/>
      <w:color w:val="000000"/>
      <w:sz w:val="20"/>
      <w:szCs w:val="20"/>
      <w:u w:val="none"/>
    </w:rPr>
  </w:style>
  <w:style w:type="character" w:customStyle="1" w:styleId="85">
    <w:name w:val="font51"/>
    <w:qFormat/>
    <w:uiPriority w:val="0"/>
    <w:rPr>
      <w:rFonts w:hint="default" w:ascii="Times New Roman" w:hAnsi="Times New Roman" w:cs="Times New Roman"/>
      <w:color w:val="000000"/>
      <w:sz w:val="20"/>
      <w:szCs w:val="20"/>
      <w:u w:val="none"/>
    </w:rPr>
  </w:style>
  <w:style w:type="paragraph" w:customStyle="1" w:styleId="86">
    <w:name w:val="_Style 85"/>
    <w:qFormat/>
    <w:uiPriority w:val="99"/>
    <w:rPr>
      <w:rFonts w:ascii="Times New Roman" w:hAnsi="Times New Roman" w:eastAsia="宋体" w:cs="Times New Roman"/>
      <w:kern w:val="2"/>
      <w:sz w:val="21"/>
      <w:szCs w:val="24"/>
      <w:lang w:val="en-US" w:eastAsia="zh-CN" w:bidi="ar-SA"/>
    </w:rPr>
  </w:style>
  <w:style w:type="paragraph" w:customStyle="1" w:styleId="87">
    <w:name w:val="Revision_f37e3254-6282-4c04-98a7-cf95f17105b1"/>
    <w:qFormat/>
    <w:uiPriority w:val="99"/>
    <w:rPr>
      <w:rFonts w:ascii="Times New Roman" w:hAnsi="Times New Roman" w:eastAsia="宋体" w:cs="Times New Roman"/>
      <w:kern w:val="2"/>
      <w:sz w:val="21"/>
      <w:szCs w:val="24"/>
      <w:lang w:val="en-US" w:eastAsia="zh-CN" w:bidi="ar-SA"/>
    </w:rPr>
  </w:style>
  <w:style w:type="paragraph" w:customStyle="1" w:styleId="88">
    <w:name w:val="Revision_abd85b13-37ed-41d6-8fec-f16f3db44459"/>
    <w:qFormat/>
    <w:uiPriority w:val="99"/>
    <w:rPr>
      <w:rFonts w:ascii="Times New Roman" w:hAnsi="Times New Roman" w:eastAsia="宋体" w:cs="Times New Roman"/>
      <w:kern w:val="2"/>
      <w:sz w:val="21"/>
      <w:szCs w:val="24"/>
      <w:lang w:val="en-US" w:eastAsia="zh-CN" w:bidi="ar-SA"/>
    </w:rPr>
  </w:style>
  <w:style w:type="paragraph" w:customStyle="1" w:styleId="89">
    <w:name w:val="Revision"/>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4.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contractReview xmlns="http://schemas.wps.cn/vas-ai-hub/contract-review">
  <reviewItems>
    <reviewItem>
      <errorID>075ed236-0837-4763-86b9-bb06d2545773</errorID>
      <errorWord>日至2026年</errorWord>
      <group>L1_Word</group>
      <groupName>字词问题</groupName>
      <ability>L2_Typo</ability>
      <abilityName>字词错误</abilityName>
      <candidateList>
        <item>日起至2026年</item>
      </candidateList>
      <explain/>
      <paraID>71AB0CD5</paraID>
      <start>12</start>
      <end>19</end>
      <status>unmodified</status>
      <modifiedWord/>
      <trackRevisions>false</trackRevisions>
    </reviewItem>
    <reviewItem>
      <errorID>065a5abc-d888-46f1-9742-cac9b0a7834f</errorID>
      <errorWord>交纳</errorWord>
      <group>L1_Word</group>
      <groupName>字词问题</groupName>
      <ability>L2_Typo</ability>
      <abilityName>字词错误</abilityName>
      <candidateList>
        <item>缴纳</item>
      </candidateList>
      <explain/>
      <paraID>2BBC1984</paraID>
      <start>32</start>
      <end>34</end>
      <status>unmodified</status>
      <modifiedWord/>
      <trackRevisions>false</trackRevisions>
    </reviewItem>
    <reviewItem>
      <errorID>b0f7662f-7a6c-4348-a39e-84fcab169972</errorID>
      <errorWord>-</errorWord>
      <group>L1_Format</group>
      <groupName>格式问题</groupName>
      <ability>L2_HalfPunc_CN</ability>
      <abilityName>全半角问题</abilityName>
      <candidateList>
        <item>－</item>
      </candidateList>
      <explain>文本全半角错误。</explain>
      <paraID> AD53899</paraID>
      <start>86</start>
      <end>87</end>
      <status>unmodified</status>
      <modifiedWord/>
      <trackRevisions>false</trackRevisions>
    </reviewItem>
    <reviewItem>
      <errorID>1befe9c4-33cc-4d96-9d89-a034d041af31</errorID>
      <errorWord>-</errorWord>
      <group>L1_Format</group>
      <groupName>格式问题</groupName>
      <ability>L2_HalfPunc_CN</ability>
      <abilityName>全半角问题</abilityName>
      <candidateList>
        <item>－</item>
      </candidateList>
      <explain>文本全半角错误。</explain>
      <paraID> AD53899</paraID>
      <start>108</start>
      <end>109</end>
      <status>unmodified</status>
      <modifiedWord/>
      <trackRevisions>false</trackRevisions>
    </reviewItem>
    <reviewItem>
      <errorID>4e919adb-d148-4158-8903-4a342bb4573c</errorID>
      <errorWord>-</errorWord>
      <group>L1_Format</group>
      <groupName>格式问题</groupName>
      <ability>L2_HalfPunc_CN</ability>
      <abilityName>全半角问题</abilityName>
      <candidateList>
        <item>－</item>
      </candidateList>
      <explain>文本全半角错误。</explain>
      <paraID> AD53899</paraID>
      <start>109</start>
      <end>110</end>
      <status>unmodified</status>
      <modifiedWord/>
      <trackRevisions>false</trackRevisions>
    </reviewItem>
    <reviewItem>
      <errorID>0d47b8d2-a2cb-4019-8c51-a1e4da1b05c2</errorID>
      <errorWord>详细</errorWord>
      <group>L1_Word</group>
      <groupName>字词问题</groupName>
      <ability>L2_Typo</ability>
      <abilityName>字词错误</abilityName>
      <candidateList>
        <item>详</item>
      </candidateList>
      <explain/>
      <paraID>3F4E09FE</paraID>
      <start>12</start>
      <end>14</end>
      <status>unmodified</status>
      <modifiedWord/>
      <trackRevisions>false</trackRevisions>
    </reviewItem>
    <reviewItem>
      <errorID>be9a5ba3-9963-4d91-8152-3a34f96c52c2</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4AB5A7D6</paraID>
      <start>68</start>
      <end>71</end>
      <status>unmodified</status>
      <modifiedWord/>
      <trackRevisions>false</trackRevisions>
    </reviewItem>
    <reviewItem>
      <errorID>4373b6d6-97bb-4042-b2ac-663185339bb0</errorID>
      <errorWord>,</errorWord>
      <group>L1_Format</group>
      <groupName>格式问题</groupName>
      <ability>L2_HalfPunc_CN</ability>
      <abilityName>全半角问题</abilityName>
      <candidateList>
        <item>，</item>
      </candidateList>
      <explain>文本全半角错误。</explain>
      <paraID>678B01DB</paraID>
      <start>52</start>
      <end>53</end>
      <status>unmodified</status>
      <modifiedWord/>
      <trackRevisions>false</trackRevisions>
    </reviewItem>
    <reviewItem>
      <errorID>31d2b644-c247-432d-be05-693175112431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58637BE</paraID>
      <start>210</start>
      <end>211</end>
      <status>unmodified</status>
      <modifiedWord/>
      <trackRevisions>false</trackRevisions>
    </reviewItem>
    <reviewItem>
      <errorID>5cf7f457-2718-415b-9185-14b854d115f3</errorID>
      <errorWord>(</errorWord>
      <group>L1_Format</group>
      <groupName>格式问题</groupName>
      <ability>L2_HalfPunc_CN</ability>
      <abilityName>全半角问题</abilityName>
      <candidateList>
        <item>（</item>
      </candidateList>
      <explain>文本全半角错误。</explain>
      <paraID>3F43F813</paraID>
      <start>13</start>
      <end>14</end>
      <status>unmodified</status>
      <modifiedWord/>
      <trackRevisions>false</trackRevisions>
    </reviewItem>
    <reviewItem>
      <errorID>0a7cad32-c52f-4752-b9bc-d9f4dfc1edf0</errorID>
      <errorWord>)</errorWord>
      <group>L1_Format</group>
      <groupName>格式问题</groupName>
      <ability>L2_HalfPunc_CN</ability>
      <abilityName>全半角问题</abilityName>
      <candidateList>
        <item>）</item>
      </candidateList>
      <explain>文本全半角错误。</explain>
      <paraID>3F43F813</paraID>
      <start>36</start>
      <end>37</end>
      <status>unmodified</status>
      <modifiedWord/>
      <trackRevisions>false</trackRevisions>
    </reviewItem>
    <reviewItem>
      <errorID>be78be8f-db6c-4305-adf3-b4e0506448e7</errorID>
      <errorWord>(</errorWord>
      <group>L1_Format</group>
      <groupName>格式问题</groupName>
      <ability>L2_HalfPunc_CN</ability>
      <abilityName>全半角问题</abilityName>
      <candidateList>
        <item>（</item>
      </candidateList>
      <explain>文本全半角错误。</explain>
      <paraID>3F43F813</paraID>
      <start>46</start>
      <end>47</end>
      <status>unmodified</status>
      <modifiedWord/>
      <trackRevisions>false</trackRevisions>
    </reviewItem>
    <reviewItem>
      <errorID>20b90cb5-c38c-45a1-b292-573a39a8669c</errorID>
      <errorWord>)</errorWord>
      <group>L1_Format</group>
      <groupName>格式问题</groupName>
      <ability>L2_HalfPunc_CN</ability>
      <abilityName>全半角问题</abilityName>
      <candidateList>
        <item>）</item>
      </candidateList>
      <explain>文本全半角错误。</explain>
      <paraID>3F43F813</paraID>
      <start>62</start>
      <end>63</end>
      <status>unmodified</status>
      <modifiedWord/>
      <trackRevisions>false</trackRevisions>
    </reviewItem>
    <reviewItem>
      <errorID>04179bc7-2bb6-4630-80c5-aa080649cf75</errorID>
      <errorWord>(</errorWord>
      <group>L1_Format</group>
      <groupName>格式问题</groupName>
      <ability>L2_HalfPunc_CN</ability>
      <abilityName>全半角问题</abilityName>
      <candidateList>
        <item>（</item>
      </candidateList>
      <explain>文本全半角错误。</explain>
      <paraID>70740BCE</paraID>
      <start>19</start>
      <end>20</end>
      <status>unmodified</status>
      <modifiedWord/>
      <trackRevisions>false</trackRevisions>
    </reviewItem>
    <reviewItem>
      <errorID>672bfc91-650c-4b57-a293-b02b9d8be868</errorID>
      <errorWord>)</errorWord>
      <group>L1_Format</group>
      <groupName>格式问题</groupName>
      <ability>L2_HalfPunc_CN</ability>
      <abilityName>全半角问题</abilityName>
      <candidateList>
        <item>）</item>
      </candidateList>
      <explain>文本全半角错误。</explain>
      <paraID>70740BCE</paraID>
      <start>42</start>
      <end>43</end>
      <status>unmodified</status>
      <modifiedWord/>
      <trackRevisions>false</trackRevisions>
    </reviewItem>
    <reviewItem>
      <errorID>4966e5e1-45d4-4b91-a1c6-030c9816eff4</errorID>
      <errorWord>(</errorWord>
      <group>L1_Format</group>
      <groupName>格式问题</groupName>
      <ability>L2_HalfPunc_CN</ability>
      <abilityName>全半角问题</abilityName>
      <candidateList>
        <item>（</item>
      </candidateList>
      <explain>文本全半角错误。</explain>
      <paraID>70740BCE</paraID>
      <start>52</start>
      <end>53</end>
      <status>unmodified</status>
      <modifiedWord/>
      <trackRevisions>false</trackRevisions>
    </reviewItem>
    <reviewItem>
      <errorID>d8f6d181-bd2b-491a-a14f-316dd54347e3</errorID>
      <errorWord>)</errorWord>
      <group>L1_Format</group>
      <groupName>格式问题</groupName>
      <ability>L2_HalfPunc_CN</ability>
      <abilityName>全半角问题</abilityName>
      <candidateList>
        <item>）</item>
      </candidateList>
      <explain>文本全半角错误。</explain>
      <paraID>70740BCE</paraID>
      <start>68</start>
      <end>69</end>
      <status>unmodified</status>
      <modifiedWord/>
      <trackRevisions>false</trackRevisions>
    </reviewItem>
    <reviewItem>
      <errorID>9d775b46-3b2f-47f6-9203-9a9533f7cc39</errorID>
      <errorWord>&lt;</errorWord>
      <group>L1_Format</group>
      <groupName>格式问题</groupName>
      <ability>L2_HalfPunc_CN</ability>
      <abilityName>全半角问题</abilityName>
      <candidateList>
        <item>〈</item>
      </candidateList>
      <explain>文本全半角错误。</explain>
      <paraID> F067AAA</paraID>
      <start>38</start>
      <end>39</end>
      <status>unmodified</status>
      <modifiedWord/>
      <trackRevisions>false</trackRevisions>
    </reviewItem>
    <reviewItem>
      <errorID>c0bb4802-ecb7-4aca-9652-d1dcf3ea4974</errorID>
      <errorWord>&lt;</errorWord>
      <group>L1_Format</group>
      <groupName>格式问题</groupName>
      <ability>L2_HalfPunc_CN</ability>
      <abilityName>全半角问题</abilityName>
      <candidateList>
        <item>〈</item>
      </candidateList>
      <explain>文本全半角错误。</explain>
      <paraID> 69C9677</paraID>
      <start>38</start>
      <end>39</end>
      <status>unmodified</status>
      <modifiedWord/>
      <trackRevisions>false</trackRevisions>
    </reviewItem>
    <reviewItem>
      <errorID>4eab3111-a314-499a-a367-7bc7258231e8</errorID>
      <errorWord>&lt;</errorWord>
      <group>L1_Format</group>
      <groupName>格式问题</groupName>
      <ability>L2_HalfPunc_CN</ability>
      <abilityName>全半角问题</abilityName>
      <candidateList>
        <item>〈</item>
      </candidateList>
      <explain>文本全半角错误。</explain>
      <paraID>40450A61</paraID>
      <start>27</start>
      <end>28</end>
      <status>unmodified</status>
      <modifiedWord/>
      <trackRevisions>false</trackRevisions>
    </reviewItem>
    <reviewItem>
      <errorID>c443335b-963a-46dc-98e0-4736c0a0dbdc</errorID>
      <errorWord>，</errorWord>
      <group>L1_Word</group>
      <groupName>字词问题</groupName>
      <ability>L2_Typo</ability>
      <abilityName>字词错误</abilityName>
      <candidateList>
        <item>，并</item>
      </candidateList>
      <explain/>
      <paraID>677FB6A1</paraID>
      <start>67</start>
      <end>68</end>
      <status>unmodified</status>
      <modifiedWord/>
      <trackRevisions>false</trackRevisions>
    </reviewItem>
    <reviewItem>
      <errorID>4f01334e-e7f0-4a2e-846a-ea05ecdc2793</errorID>
      <errorWord>送达至</errorWord>
      <group>L1_Word</group>
      <groupName>字词问题</groupName>
      <ability>L2_Typo</ability>
      <abilityName>字词错误</abilityName>
      <candidateList>
        <item>送达</item>
      </candidateList>
      <explain/>
      <paraID>6D2F156C</paraID>
      <start>72</start>
      <end>75</end>
      <status>unmodified</status>
      <modifiedWord/>
      <trackRevisions>false</trackRevisions>
    </reviewItem>
    <reviewItem>
      <errorID>9c168460-8f15-44dd-8d15-2077b0e9f35c</errorID>
      <errorWord>法律、法规</errorWord>
      <group>L1_Word</group>
      <groupName>字词问题</groupName>
      <ability>L2_Typo</ability>
      <abilityName>字词错误</abilityName>
      <candidateList>
        <item>法律法规</item>
      </candidateList>
      <explain/>
      <paraID>61519976</paraID>
      <start>3</start>
      <end>8</end>
      <status>unmodified</status>
      <modifiedWord/>
      <trackRevisions>false</trackRevisions>
    </reviewItem>
    <reviewItem>
      <errorID>cc183ed8-400a-4769-98e0-b3668dcd77f4</errorID>
      <errorWord>会</errorWord>
      <group>L1_Word</group>
      <groupName>字词问题</groupName>
      <ability>L2_Typo</ability>
      <abilityName>字词错误</abilityName>
      <candidateList>
        <item>会议</item>
      </candidateList>
      <explain/>
      <paraID>6E07DFA3</paraID>
      <start>4</start>
      <end>5</end>
      <status>unmodified</status>
      <modifiedWord/>
      <trackRevisions>false</trackRevisions>
    </reviewItem>
    <reviewItem>
      <errorID>d3f4f69f-21d3-4054-b2f5-5e4aef7087cb</errorID>
      <errorWord>,</errorWord>
      <group>L1_Format</group>
      <groupName>格式问题</groupName>
      <ability>L2_HalfPunc_CN</ability>
      <abilityName>全半角问题</abilityName>
      <candidateList>
        <item>，</item>
      </candidateList>
      <explain>文本全半角错误。</explain>
      <paraID>174AB1F0</paraID>
      <start>33</start>
      <end>34</end>
      <status>unmodified</status>
      <modifiedWord/>
      <trackRevisions>false</trackRevisions>
    </reviewItem>
    <reviewItem>
      <errorID>0f7ce309-b41d-42c8-9e76-e518a7f4abd9</errorID>
      <errorWord>(</errorWord>
      <group>L1_Format</group>
      <groupName>格式问题</groupName>
      <ability>L2_HalfPunc_CN</ability>
      <abilityName>全半角问题</abilityName>
      <candidateList>
        <item>（</item>
      </candidateList>
      <explain>文本全半角错误。</explain>
      <paraID>3C6D56BF</paraID>
      <start>62</start>
      <end>63</end>
      <status>unmodified</status>
      <modifiedWord/>
      <trackRevisions>false</trackRevisions>
    </reviewItem>
    <reviewItem>
      <errorID>b48d7ff4-58fe-4b37-90f5-4481828a1499</errorID>
      <errorWord>)</errorWord>
      <group>L1_Format</group>
      <groupName>格式问题</groupName>
      <ability>L2_HalfPunc_CN</ability>
      <abilityName>全半角问题</abilityName>
      <candidateList>
        <item>）</item>
      </candidateList>
      <explain>文本全半角错误。</explain>
      <paraID>3C6D56BF</paraID>
      <start>66</start>
      <end>67</end>
      <status>unmodified</status>
      <modifiedWord/>
      <trackRevisions>false</trackRevisions>
    </reviewItem>
    <reviewItem>
      <errorID>45b7a5ba-f7f3-4989-8876-eadd32b80046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6F9DAE4A</paraID>
      <start>0</start>
      <end>3</end>
      <status>unmodified</status>
      <modifiedWord/>
      <trackRevisions>false</trackRevisions>
    </reviewItem>
    <reviewItem>
      <errorID>319b3720-e56d-4107-8a6f-f879aa927689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F342F0B</paraID>
      <start>0</start>
      <end>3</end>
      <status>unmodified</status>
      <modifiedWord/>
      <trackRevisions>false</trackRevisions>
    </reviewItem>
    <reviewItem>
      <errorID>2610d991-7ce1-4624-afe8-06a2649a8678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5FFD6AAC</paraID>
      <start>0</start>
      <end>3</end>
      <status>unmodified</status>
      <modifiedWord/>
      <trackRevisions>false</trackRevisions>
    </reviewItem>
    <reviewItem>
      <errorID>8c8bcd47-6501-49d9-8370-35754e833170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17F232BC</paraID>
      <start>0</start>
      <end>3</end>
      <status>unmodified</status>
      <modifiedWord/>
      <trackRevisions>false</trackRevisions>
    </reviewItem>
    <reviewItem>
      <errorID>e5d21f8f-3953-4242-8d84-4f70eb97f0c3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41911F81</paraID>
      <start>0</start>
      <end>3</end>
      <status>unmodified</status>
      <modifiedWord/>
      <trackRevisions>false</trackRevisions>
    </reviewItem>
    <reviewItem>
      <errorID>6f79815f-def3-4182-a94e-4ebb301513fe</errorID>
      <errorWord>：</errorWord>
      <group>L1_Word</group>
      <groupName>字词问题</groupName>
      <ability>L2_Typo</ability>
      <abilityName>字词错误</abilityName>
      <candidateList>
        <item>：在</item>
      </candidateList>
      <explain/>
      <paraID>  49F759</paraID>
      <start>16</start>
      <end>17</end>
      <status>unmodified</status>
      <modifiedWord/>
      <trackRevisions>false</trackRevisions>
    </reviewItem>
    <reviewItem>
      <errorID>19e9a7af-e358-4b4f-a502-9589ab9b05a1</errorID>
      <errorWord>做出</errorWord>
      <group>L1_Word</group>
      <groupName>字词问题</groupName>
      <ability>L2_Typo</ability>
      <abilityName>字词错误</abilityName>
      <candidateList>
        <item>作出</item>
      </candidateList>
      <explain/>
      <paraID>25E051DB</paraID>
      <start>129</start>
      <end>131</end>
      <status>unmodified</status>
      <modifiedWord/>
      <trackRevisions>false</trackRevisions>
    </reviewItem>
    <reviewItem>
      <errorID>02c45355-8a29-4f5f-b9ef-6a38c1d2500a</errorID>
      <errorWord>做出</errorWord>
      <group>L1_Word</group>
      <groupName>字词问题</groupName>
      <ability>L2_Typo</ability>
      <abilityName>字词错误</abilityName>
      <candidateList>
        <item>作出</item>
      </candidateList>
      <explain/>
      <paraID>29B1072A</paraID>
      <start>52</start>
      <end>54</end>
      <status>unmodified</status>
      <modifiedWord/>
      <trackRevisions>false</trackRevisions>
    </reviewItem>
    <reviewItem>
      <errorID>2bc5d04c-ba6d-4bde-97ab-d407f3549925</errorID>
      <errorWord>下午15时00</errorWord>
      <group>L1_Knowledge</group>
      <groupName>知识性问题</groupName>
      <ability>L2_Time</ability>
      <abilityName>日期时间</abilityName>
      <candidateList>
        <item>15时00</item>
      </candidateList>
      <explain>24小时制的时间，不需要强调“下午”。</explain>
      <paraID>6F3456F4</paraID>
      <start>25</start>
      <end>32</end>
      <status>unmodified</status>
      <modifiedWord/>
      <trackRevisions>false</trackRevisions>
    </reviewItem>
    <reviewItem>
      <errorID>13097277-0802-4f47-84c8-a37b4ee92e39</errorID>
      <errorWord>100～500万</errorWord>
      <group>L1_Knowledge</group>
      <groupName>知识性问题</groupName>
      <ability>L2_Knowledge</ability>
      <abilityName>其他知识</abilityName>
      <candidateList>
        <item>100万～500万</item>
      </candidateList>
      <explain>1. “100～500万”中的单位“万”仅出现在后一个数字上，容易引起歧义；根据《现代汉语标点符号数字用法规范手册》，数字表示范围两边需要使用统一的格式。2.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6E665B97</paraID>
      <start>0</start>
      <end>8</end>
      <status>unmodified</status>
      <modifiedWord/>
      <trackRevisions>false</trackRevisions>
    </reviewItem>
    <reviewItem>
      <errorID>cb8c6f51-da37-4540-8375-923a0c0f7571</errorID>
      <errorWord>500～1000万</errorWord>
      <group>L1_Knowledge</group>
      <groupName>知识性问题</groupName>
      <ability>L2_Knowledge</ability>
      <abilityName>其他知识</abilityName>
      <candidateList>
        <item>500万～1000万</item>
      </candidateList>
      <explain>1. “500～1000万”中的单位“万”仅出现在后一个数字上，容易引起歧义；根据《现代汉语标点符号数字用法规范手册》，数字表示范围两边需要使用统一的格式。2.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6BF382C0</paraID>
      <start>0</start>
      <end>9</end>
      <status>unmodified</status>
      <modifiedWord/>
      <trackRevisions>false</trackRevisions>
    </reviewItem>
    <reviewItem>
      <errorID>611c60ec-2cfc-4b56-8b08-8cb23a84a359</errorID>
      <errorWord>1000～5000万</errorWord>
      <group>L1_Knowledge</group>
      <groupName>知识性问题</groupName>
      <ability>L2_Knowledge</ability>
      <abilityName>其他知识</abilityName>
      <candidateList>
        <item>1000万～5000万</item>
      </candidateList>
      <explain>1. “1000～5000万”中的单位“万”仅出现在后一个数字上，容易引起歧义；根据《现代汉语标点符号数字用法规范手册》，数字表示范围两边需要使用统一的格式。2.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68D19893</paraID>
      <start>0</start>
      <end>10</end>
      <status>unmodified</status>
      <modifiedWord/>
      <trackRevisions>false</trackRevisions>
    </reviewItem>
    <reviewItem>
      <errorID>3ff23fff-54b0-4642-aebc-42da227fa570</errorID>
      <errorWord>1～5亿</errorWord>
      <group>L1_Knowledge</group>
      <groupName>知识性问题</groupName>
      <ability>L2_Knowledge</ability>
      <abilityName>其他知识</abilityName>
      <candidateList>
        <item>1亿～5亿</item>
      </candidateList>
      <explain>1. “1～5亿”中的单位“亿”仅出现在后一个数字上，容易引起歧义；根据《现代汉语标点符号数字用法规范手册》，数字表示范围两边需要使用统一的格式。2.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5AF01FD7</paraID>
      <start>0</start>
      <end>4</end>
      <status>unmodified</status>
      <modifiedWord/>
      <trackRevisions>false</trackRevisions>
    </reviewItem>
    <reviewItem>
      <errorID>e8191f06-d663-49b1-8f43-cfb5a1f51a3d</errorID>
      <errorWord>5～10亿</errorWord>
      <group>L1_Knowledge</group>
      <groupName>知识性问题</groupName>
      <ability>L2_Knowledge</ability>
      <abilityName>其他知识</abilityName>
      <candidateList>
        <item>5亿～10亿</item>
      </candidateList>
      <explain>1. “5～10亿”中的单位“亿”仅出现在后一个数字上，容易引起歧义；根据《现代汉语标点符号数字用法规范手册》，数字表示范围两边需要使用统一的格式。2.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31662867</paraID>
      <start>0</start>
      <end>5</end>
      <status>unmodified</status>
      <modifiedWord/>
      <trackRevisions>false</trackRevisions>
    </reviewItem>
    <reviewItem>
      <errorID>4c952846-09ab-4bdd-8551-80f500cc1d3c</errorID>
      <errorWord>10～50亿</errorWord>
      <group>L1_Knowledge</group>
      <groupName>知识性问题</groupName>
      <ability>L2_Knowledge</ability>
      <abilityName>其他知识</abilityName>
      <candidateList>
        <item>10亿～50亿</item>
      </candidateList>
      <explain>1. “10～50亿”中的单位“亿”仅出现在后一个数字上，容易引起歧义；根据《现代汉语标点符号数字用法规范手册》，数字表示范围两边需要使用统一的格式。2.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15E7F84A</paraID>
      <start>0</start>
      <end>6</end>
      <status>unmodified</status>
      <modifiedWord/>
      <trackRevisions>false</trackRevisions>
    </reviewItem>
    <reviewItem>
      <errorID>d6c60a40-6d9b-45f4-9710-37b1b225d7b8</errorID>
      <errorWord>50～100亿</errorWord>
      <group>L1_Knowledge</group>
      <groupName>知识性问题</groupName>
      <ability>L2_Knowledge</ability>
      <abilityName>其他知识</abilityName>
      <candidateList>
        <item>50亿～100亿</item>
      </candidateList>
      <explain>1. “50～100亿”中的单位“亿”仅出现在后一个数字上，容易引起歧义；根据《现代汉语标点符号数字用法规范手册》，数字表示范围两边需要使用统一的格式。2.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34AA79C6</paraID>
      <start>0</start>
      <end>7</end>
      <status>unmodified</status>
      <modifiedWord/>
      <trackRevisions>false</trackRevisions>
    </reviewItem>
    <reviewItem>
      <errorID>f23274d1-8461-4722-bca5-219a5465595d</errorID>
      <errorWord>亿</errorWord>
      <group>L1_Word</group>
      <groupName>字词问题</groupName>
      <ability>L2_Typo</ability>
      <abilityName>字词错误</abilityName>
      <candidateList>
        <item>亿元</item>
      </candidateList>
      <explain/>
      <paraID>5C5E867E</paraID>
      <start>3</start>
      <end>4</end>
      <status>unmodified</status>
      <modifiedWord/>
      <trackRevisions>false</trackRevisions>
    </reviewItem>
    <reviewItem>
      <errorID>4d5fafc2-e94d-4ffe-9825-855061dec433</errorID>
      <errorWord>法律、法规</errorWord>
      <group>L1_Word</group>
      <groupName>字词问题</groupName>
      <ability>L2_Typo</ability>
      <abilityName>字词错误</abilityName>
      <candidateList>
        <item>法律法规</item>
      </candidateList>
      <explain/>
      <paraID>3A8784B0</paraID>
      <start>15</start>
      <end>20</end>
      <status>unmodified</status>
      <modifiedWord/>
      <trackRevisions>false</trackRevisions>
    </reviewItem>
    <reviewItem>
      <errorID>01cb7369-3f44-4cb6-90b7-83700e79a706</errorID>
      <errorWord>属</errorWord>
      <group>L1_Word</group>
      <groupName>字词问题</groupName>
      <ability>L2_Typo</ability>
      <abilityName>字词错误</abilityName>
      <candidateList>
        <item>属于</item>
      </candidateList>
      <explain/>
      <paraID>3A8784B0</paraID>
      <start>46</start>
      <end>47</end>
      <status>unmodified</status>
      <modifiedWord/>
      <trackRevisions>false</trackRevisions>
    </reviewItem>
    <reviewItem>
      <errorID>048ce883-0386-4a0e-8375-ccbee0f02199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48CC10AE</paraID>
      <start>0</start>
      <end>2</end>
      <status>unmodified</status>
      <modifiedWord/>
      <trackRevisions>false</trackRevisions>
    </reviewItem>
    <reviewItem>
      <errorID>248d569d-8c13-4aab-adc8-477abb86e124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57A8B4CF</paraID>
      <start>0</start>
      <end>2</end>
      <status>unmodified</status>
      <modifiedWord/>
      <trackRevisions>false</trackRevisions>
    </reviewItem>
    <reviewItem>
      <errorID>ae12bbf8-dbfd-4a35-b609-fb65601486ed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7E2D3B9E</paraID>
      <start>0</start>
      <end>2</end>
      <status>unmodified</status>
      <modifiedWord/>
      <trackRevisions>false</trackRevisions>
    </reviewItem>
    <reviewItem>
      <errorID>763b1b73-7163-465f-a6df-ed012a7b5785</errorID>
      <errorWord>)</errorWord>
      <group>L1_Format</group>
      <groupName>格式问题</groupName>
      <ability>L2_HalfPunc_CN</ability>
      <abilityName>全半角问题</abilityName>
      <candidateList>
        <item>）</item>
      </candidateList>
      <explain>文本全半角错误。</explain>
      <paraID>3AD6F02F</paraID>
      <start>103</start>
      <end>104</end>
      <status>unmodified</status>
      <modifiedWord/>
      <trackRevisions>false</trackRevisions>
    </reviewItem>
    <reviewItem>
      <errorID>63367172-3303-4d8f-b0b7-1da185d5d104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174AACE</paraID>
      <start>25</start>
      <end>26</end>
      <status>unmodified</status>
      <modifiedWord/>
      <trackRevisions>false</trackRevisions>
    </reviewItem>
    <reviewItem>
      <errorID>6994a6b9-33d2-4c3d-8ccb-447b40a491a9</errorID>
      <errorWord>(</errorWord>
      <group>L1_Format</group>
      <groupName>格式问题</groupName>
      <ability>L2_HalfPunc_CN</ability>
      <abilityName>全半角问题</abilityName>
      <candidateList>
        <item>（</item>
      </candidateList>
      <explain>文本全半角错误。</explain>
      <paraID>21DE94DD</paraID>
      <start>11</start>
      <end>12</end>
      <status>unmodified</status>
      <modifiedWord/>
      <trackRevisions>false</trackRevisions>
    </reviewItem>
    <reviewItem>
      <errorID>5c03a6be-7236-47ee-a032-901b1ce32e49</errorID>
      <errorWord>)</errorWord>
      <group>L1_Format</group>
      <groupName>格式问题</groupName>
      <ability>L2_HalfPunc_CN</ability>
      <abilityName>全半角问题</abilityName>
      <candidateList>
        <item>）</item>
      </candidateList>
      <explain>文本全半角错误。</explain>
      <paraID>21DE94DD</paraID>
      <start>22</start>
      <end>23</end>
      <status>unmodified</status>
      <modifiedWord/>
      <trackRevisions>false</trackRevisions>
    </reviewItem>
    <reviewItem>
      <errorID>171b3a4f-eb0c-4df9-8149-20a584456d2a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A2ECB3F</paraID>
      <start>8</start>
      <end>9</end>
      <status>unmodified</status>
      <modifiedWord/>
      <trackRevisions>false</trackRevisions>
    </reviewItem>
    <reviewItem>
      <errorID>75be6799-e5ca-459d-a9ce-0682d01d0f73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16BF4745</paraID>
      <start>71</start>
      <end>72</end>
      <status>unmodified</status>
      <modifiedWord/>
      <trackRevisions>false</trackRevisions>
    </reviewItem>
    <reviewItem>
      <errorID>fdec66dc-535a-4890-a3f6-0cb2021b9641</errorID>
      <errorWord>(</errorWord>
      <group>L1_Format</group>
      <groupName>格式问题</groupName>
      <ability>L2_HalfPunc_CN</ability>
      <abilityName>全半角问题</abilityName>
      <candidateList>
        <item>（</item>
      </candidateList>
      <explain>文本全半角错误。</explain>
      <paraID> 1E9AFF0</paraID>
      <start>8</start>
      <end>9</end>
      <status>unmodified</status>
      <modifiedWord/>
      <trackRevisions>false</trackRevisions>
    </reviewItem>
    <reviewItem>
      <errorID>07c43bc7-ea96-44d4-835d-38fb3524555a</errorID>
      <errorWord>)</errorWord>
      <group>L1_Format</group>
      <groupName>格式问题</groupName>
      <ability>L2_HalfPunc_CN</ability>
      <abilityName>全半角问题</abilityName>
      <candidateList>
        <item>）</item>
      </candidateList>
      <explain>文本全半角错误。</explain>
      <paraID> 1E9AFF0</paraID>
      <start>19</start>
      <end>20</end>
      <status>unmodified</status>
      <modifiedWord/>
      <trackRevisions>false</trackRevisions>
    </reviewItem>
    <reviewItem>
      <errorID>58a03778-72f7-43d5-a845-09a8e3929c8a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79055194</paraID>
      <start>0</start>
      <end>2</end>
      <status>unmodified</status>
      <modifiedWord/>
      <trackRevisions>false</trackRevisions>
    </reviewItem>
    <reviewItem>
      <errorID>9847d9bd-cc1c-4e82-8364-69627a9cfda5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5C17A468</paraID>
      <start>0</start>
      <end>2</end>
      <status>unmodified</status>
      <modifiedWord/>
      <trackRevisions>false</trackRevisions>
    </reviewItem>
    <reviewItem>
      <errorID>d0302f0f-12a9-4797-9c11-1c6e791b3c25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120B1D8C</paraID>
      <start>0</start>
      <end>2</end>
      <status>unmodified</status>
      <modifiedWord/>
      <trackRevisions>false</trackRevisions>
    </reviewItem>
    <reviewItem>
      <errorID>fc189011-b260-480c-bf8a-75dd13a2018a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4F794FB0</paraID>
      <start>0</start>
      <end>2</end>
      <status>unmodified</status>
      <modifiedWord/>
      <trackRevisions>false</trackRevisions>
    </reviewItem>
    <reviewItem>
      <errorID>4b672726-49f2-47bd-a3c2-37c06576de8d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7BF2E5E1</paraID>
      <start>0</start>
      <end>2</end>
      <status>unmodified</status>
      <modifiedWord/>
      <trackRevisions>false</trackRevisions>
    </reviewItem>
    <reviewItem>
      <errorID>ef738626-a001-4211-bc23-afdd74d834ac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3069EBDD</paraID>
      <start>0</start>
      <end>2</end>
      <status>unmodified</status>
      <modifiedWord/>
      <trackRevisions>false</trackRevisions>
    </reviewItem>
    <reviewItem>
      <errorID>de5e2248-a8f5-446a-b988-9eed94faa177</errorID>
      <errorWord>0-200%</errorWord>
      <group>L1_Knowledge</group>
      <groupName>知识性问题</groupName>
      <ability>L2_Knowledge</ability>
      <abilityName>其他知识</abilityName>
      <candidateList>
        <item>0—200%</item>
      </candidateList>
      <explain>1. “0-200%”中的单位“%”仅出现在后一个数字上，容易引起歧义；根据《现代汉语标点符号数字用法规范手册》，数字表示范围两边需要使用统一的格式。2. 根据标点国标 4.13 中的规则，数字、时间或地域连接符应使用（视觉上更长的）“—”或“～”。</explain>
      <paraID>36C0E4D2</paraID>
      <start>9</start>
      <end>15</end>
      <status>unmodified</status>
      <modifiedWord/>
      <trackRevisions>false</trackRevisions>
    </reviewItem>
    <reviewItem>
      <errorID>832e57b1-38f5-4ede-9db4-ed1867b68c92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36C0E4D2</paraID>
      <start>21</start>
      <end>22</end>
      <status>unmodified</status>
      <modifiedWord/>
      <trackRevisions>false</trackRevisions>
    </reviewItem>
    <reviewItem>
      <errorID>2c8903b4-e2a8-421e-ac95-5420e9614e1f</errorID>
      <errorWord>:</errorWord>
      <group>L1_Format</group>
      <groupName>格式问题</groupName>
      <ability>L2_HalfPunc_CN</ability>
      <abilityName>全半角问题</abilityName>
      <candidateList>
        <item>：</item>
      </candidateList>
      <explain>文本全半角错误。</explain>
      <paraID>6760C289</paraID>
      <start>191</start>
      <end>192</end>
      <status>unmodified</status>
      <modifiedWord/>
      <trackRevisions>false</trackRevisions>
    </reviewItem>
    <reviewItem>
      <errorID>dad2a32f-bd38-4cfe-89c6-927ff3dac669</errorID>
      <errorWord>最大秤量</errorWord>
      <group>L1_Word</group>
      <groupName>字词问题</groupName>
      <ability>L2_Typo</ability>
      <abilityName>字词错误</abilityName>
      <candidateList>
        <item>最大称量</item>
      </candidateList>
      <explain/>
      <paraID> 598E1BD</paraID>
      <start>2</start>
      <end>6</end>
      <status>unmodified</status>
      <modifiedWord/>
      <trackRevisions>false</trackRevisions>
    </reviewItem>
    <reviewItem>
      <errorID>2bef2820-57f5-47a3-8306-eba9b12ab08a</errorID>
      <errorWord>:</errorWord>
      <group>L1_Format</group>
      <groupName>格式问题</groupName>
      <ability>L2_HalfPunc_CN</ability>
      <abilityName>全半角问题</abilityName>
      <candidateList>
        <item>：</item>
      </candidateList>
      <explain>文本全半角错误。</explain>
      <paraID> 598E1BD</paraID>
      <start>6</start>
      <end>7</end>
      <status>unmodified</status>
      <modifiedWord/>
      <trackRevisions>false</trackRevisions>
    </reviewItem>
    <reviewItem>
      <errorID>8da334a8-4660-4c66-bd59-14361bb8c7f8</errorID>
      <errorWord>:</errorWord>
      <group>L1_Format</group>
      <groupName>格式问题</groupName>
      <ability>L2_HalfPunc_CN</ability>
      <abilityName>全半角问题</abilityName>
      <candidateList>
        <item>：</item>
      </candidateList>
      <explain>文本全半角错误。</explain>
      <paraID> 598E1BD</paraID>
      <start>18</start>
      <end>19</end>
      <status>unmodified</status>
      <modifiedWord/>
      <trackRevisions>false</trackRevisions>
    </reviewItem>
    <reviewItem>
      <errorID>dbd22352-476c-4f17-93c3-8668b1cbba4b</errorID>
      <errorWord>:</errorWord>
      <group>L1_Format</group>
      <groupName>格式问题</groupName>
      <ability>L2_HalfPunc_CN</ability>
      <abilityName>全半角问题</abilityName>
      <candidateList>
        <item>：</item>
      </candidateList>
      <explain>文本全半角错误。</explain>
      <paraID> 598E1BD</paraID>
      <start>32</start>
      <end>33</end>
      <status>unmodified</status>
      <modifiedWord/>
      <trackRevisions>false</trackRevisions>
    </reviewItem>
    <reviewItem>
      <errorID>44f3626f-1b2a-49fc-aa55-5bcfc41af6ac</errorID>
      <errorWord>:</errorWord>
      <group>L1_Format</group>
      <groupName>格式问题</groupName>
      <ability>L2_HalfPunc_CN</ability>
      <abilityName>全半角问题</abilityName>
      <candidateList>
        <item>：</item>
      </candidateList>
      <explain>文本全半角错误。</explain>
      <paraID> 598E1BD</paraID>
      <start>46</start>
      <end>47</end>
      <status>unmodified</status>
      <modifiedWord/>
      <trackRevisions>false</trackRevisions>
    </reviewItem>
    <reviewItem>
      <errorID>77f8e20c-67b4-4548-85f0-9fb7495e6b63</errorID>
      <errorWord>:</errorWord>
      <group>L1_Format</group>
      <groupName>格式问题</groupName>
      <ability>L2_HalfPunc_CN</ability>
      <abilityName>全半角问题</abilityName>
      <candidateList>
        <item>：</item>
      </candidateList>
      <explain>文本全半角错误。</explain>
      <paraID> 598E1BD</paraID>
      <start>70</start>
      <end>71</end>
      <status>unmodified</status>
      <modifiedWord/>
      <trackRevisions>false</trackRevisions>
    </reviewItem>
    <reviewItem>
      <errorID>a8899a73-f824-4ffc-a1a9-9dd2b352add4</errorID>
      <errorWord>(</errorWord>
      <group>L1_Format</group>
      <groupName>格式问题</groupName>
      <ability>L2_HalfPunc_CN</ability>
      <abilityName>全半角问题</abilityName>
      <candidateList>
        <item>（</item>
      </candidateList>
      <explain>文本全半角错误。</explain>
      <paraID> 598E1BD</paraID>
      <start>96</start>
      <end>97</end>
      <status>unmodified</status>
      <modifiedWord/>
      <trackRevisions>false</trackRevisions>
    </reviewItem>
    <reviewItem>
      <errorID>ced41385-d184-4e17-a57b-5050e6f8ad23</errorID>
      <errorWord>)</errorWord>
      <group>L1_Format</group>
      <groupName>格式问题</groupName>
      <ability>L2_HalfPunc_CN</ability>
      <abilityName>全半角问题</abilityName>
      <candidateList>
        <item>）</item>
      </candidateList>
      <explain>文本全半角错误。</explain>
      <paraID> 598E1BD</paraID>
      <start>102</start>
      <end>103</end>
      <status>unmodified</status>
      <modifiedWord/>
      <trackRevisions>false</trackRevisions>
    </reviewItem>
    <reviewItem>
      <errorID>359d578e-5db4-4442-bd34-03cb0f250b68</errorID>
      <errorWord>:</errorWord>
      <group>L1_Format</group>
      <groupName>格式问题</groupName>
      <ability>L2_HalfPunc_CN</ability>
      <abilityName>全半角问题</abilityName>
      <candidateList>
        <item>：</item>
      </candidateList>
      <explain>文本全半角错误。</explain>
      <paraID> 598E1BD</paraID>
      <start>109</start>
      <end>110</end>
      <status>unmodified</status>
      <modifiedWord/>
      <trackRevisions>false</trackRevisions>
    </reviewItem>
    <reviewItem>
      <errorID>e9933c63-4622-4275-8acb-8b3e463cbd1d</errorID>
      <errorWord>:</errorWord>
      <group>L1_Format</group>
      <groupName>格式问题</groupName>
      <ability>L2_HalfPunc_CN</ability>
      <abilityName>全半角问题</abilityName>
      <candidateList>
        <item>：</item>
      </candidateList>
      <explain>文本全半角错误。</explain>
      <paraID> 598E1BD</paraID>
      <start>133</start>
      <end>134</end>
      <status>unmodified</status>
      <modifiedWord/>
      <trackRevisions>false</trackRevisions>
    </reviewItem>
    <reviewItem>
      <errorID>a9d314d4-b905-4e7b-8165-5a5048cbda23</errorID>
      <errorWord>:</errorWord>
      <group>L1_Format</group>
      <groupName>格式问题</groupName>
      <ability>L2_HalfPunc_CN</ability>
      <abilityName>全半角问题</abilityName>
      <candidateList>
        <item>：</item>
      </candidateList>
      <explain>文本全半角错误。</explain>
      <paraID> 598E1BD</paraID>
      <start>147</start>
      <end>148</end>
      <status>unmodified</status>
      <modifiedWord/>
      <trackRevisions>false</trackRevisions>
    </reviewItem>
    <reviewItem>
      <errorID>03ca340d-399d-4ead-b8f1-67a877611a33</errorID>
      <errorWord>:</errorWord>
      <group>L1_Format</group>
      <groupName>格式问题</groupName>
      <ability>L2_HalfPunc_CN</ability>
      <abilityName>全半角问题</abilityName>
      <candidateList>
        <item>：</item>
      </candidateList>
      <explain>文本全半角错误。</explain>
      <paraID> 598E1BD</paraID>
      <start>172</start>
      <end>173</end>
      <status>unmodified</status>
      <modifiedWord/>
      <trackRevisions>false</trackRevisions>
    </reviewItem>
    <reviewItem>
      <errorID>993e075f-9407-4c3a-8f93-7a49b0a0b8df</errorID>
      <errorWord>:</errorWord>
      <group>L1_Format</group>
      <groupName>格式问题</groupName>
      <ability>L2_HalfPunc_CN</ability>
      <abilityName>全半角问题</abilityName>
      <candidateList>
        <item>：</item>
      </candidateList>
      <explain>文本全半角错误。</explain>
      <paraID> 598E1BD</paraID>
      <start>196</start>
      <end>197</end>
      <status>unmodified</status>
      <modifiedWord/>
      <trackRevisions>false</trackRevisions>
    </reviewItem>
    <reviewItem>
      <errorID>321f7570-4264-459d-9eff-4641ff8d09a0</errorID>
      <errorWord>:</errorWord>
      <group>L1_Format</group>
      <groupName>格式问题</groupName>
      <ability>L2_HalfPunc_CN</ability>
      <abilityName>全半角问题</abilityName>
      <candidateList>
        <item>：</item>
      </candidateList>
      <explain>文本全半角错误。</explain>
      <paraID> 598E1BD</paraID>
      <start>211</start>
      <end>212</end>
      <status>unmodified</status>
      <modifiedWord/>
      <trackRevisions>false</trackRevisions>
    </reviewItem>
    <reviewItem>
      <errorID>5b06c3b8-1d65-4383-a4cd-3feab0cf2b36</errorID>
      <errorWord>:</errorWord>
      <group>L1_Format</group>
      <groupName>格式问题</groupName>
      <ability>L2_HalfPunc_CN</ability>
      <abilityName>全半角问题</abilityName>
      <candidateList>
        <item>：</item>
      </candidateList>
      <explain>文本全半角错误。</explain>
      <paraID> 598E1BD</paraID>
      <start>225</start>
      <end>226</end>
      <status>unmodified</status>
      <modifiedWord/>
      <trackRevisions>false</trackRevisions>
    </reviewItem>
    <reviewItem>
      <errorID>e418609d-4b11-4f83-98e5-12867dfe04c3</errorID>
      <errorWord>:</errorWord>
      <group>L1_Format</group>
      <groupName>格式问题</groupName>
      <ability>L2_HalfPunc_CN</ability>
      <abilityName>全半角问题</abilityName>
      <candidateList>
        <item>：</item>
      </candidateList>
      <explain>文本全半角错误。</explain>
      <paraID> 598E1BD</paraID>
      <start>241</start>
      <end>242</end>
      <status>unmodified</status>
      <modifiedWord/>
      <trackRevisions>false</trackRevisions>
    </reviewItem>
    <reviewItem>
      <errorID>18a83a03-3db4-4240-99f7-5f21eb62b694</errorID>
      <errorWord>:</errorWord>
      <group>L1_Format</group>
      <groupName>格式问题</groupName>
      <ability>L2_HalfPunc_CN</ability>
      <abilityName>全半角问题</abilityName>
      <candidateList>
        <item>：</item>
      </candidateList>
      <explain>文本全半角错误。</explain>
      <paraID> 598E1BD</paraID>
      <start>312</start>
      <end>313</end>
      <status>unmodified</status>
      <modifiedWord/>
      <trackRevisions>false</trackRevisions>
    </reviewItem>
    <reviewItem>
      <errorID>c2342aa6-19b8-43c0-a533-47686f3746bc</errorID>
      <errorWord>,</errorWord>
      <group>L1_Format</group>
      <groupName>格式问题</groupName>
      <ability>L2_HalfPunc_CN</ability>
      <abilityName>全半角问题</abilityName>
      <candidateList>
        <item>，</item>
      </candidateList>
      <explain>文本全半角错误。</explain>
      <paraID> 598E1BD</paraID>
      <start>350</start>
      <end>351</end>
      <status>unmodified</status>
      <modifiedWord/>
      <trackRevisions>false</trackRevisions>
    </reviewItem>
    <reviewItem>
      <errorID>af686883-8ab5-4690-9c55-68018c842dd9</errorID>
      <errorWord>,</errorWord>
      <group>L1_Format</group>
      <groupName>格式问题</groupName>
      <ability>L2_HalfPunc_CN</ability>
      <abilityName>全半角问题</abilityName>
      <candidateList>
        <item>，</item>
      </candidateList>
      <explain>文本全半角错误。</explain>
      <paraID> 598E1BD</paraID>
      <start>357</start>
      <end>358</end>
      <status>unmodified</status>
      <modifiedWord/>
      <trackRevisions>false</trackRevisions>
    </reviewItem>
    <reviewItem>
      <errorID>34dcfc92-e30c-472c-84f4-868a6cb7a050</errorID>
      <errorWord>(</errorWord>
      <group>L1_Format</group>
      <groupName>格式问题</groupName>
      <ability>L2_HalfPunc_CN</ability>
      <abilityName>全半角问题</abilityName>
      <candidateList>
        <item>（</item>
      </candidateList>
      <explain>文本全半角错误。</explain>
      <paraID> 598E1BD</paraID>
      <start>378</start>
      <end>379</end>
      <status>unmodified</status>
      <modifiedWord/>
      <trackRevisions>false</trackRevisions>
    </reviewItem>
    <reviewItem>
      <errorID>8f39dc36-4b71-42f8-bc3a-ef9486b73d04</errorID>
      <errorWord>)</errorWord>
      <group>L1_Format</group>
      <groupName>格式问题</groupName>
      <ability>L2_HalfPunc_CN</ability>
      <abilityName>全半角问题</abilityName>
      <candidateList>
        <item>）</item>
      </candidateList>
      <explain>文本全半角错误。</explain>
      <paraID> 598E1BD</paraID>
      <start>382</start>
      <end>383</end>
      <status>unmodified</status>
      <modifiedWord/>
      <trackRevisions>false</trackRevisions>
    </reviewItem>
    <reviewItem>
      <errorID>c217944d-3f03-49c5-9dc7-e89dbe0added</errorID>
      <errorWord>:</errorWord>
      <group>L1_Format</group>
      <groupName>格式问题</groupName>
      <ability>L2_HalfPunc_CN</ability>
      <abilityName>全半角问题</abilityName>
      <candidateList>
        <item>：</item>
      </candidateList>
      <explain>文本全半角错误。</explain>
      <paraID>184241D1</paraID>
      <start>6</start>
      <end>7</end>
      <status>unmodified</status>
      <modifiedWord/>
      <trackRevisions>false</trackRevisions>
    </reviewItem>
    <reviewItem>
      <errorID>13c1b80e-cd16-445a-9a67-44b1f17d6e38</errorID>
      <errorWord>:</errorWord>
      <group>L1_Format</group>
      <groupName>格式问题</groupName>
      <ability>L2_HalfPunc_CN</ability>
      <abilityName>全半角问题</abilityName>
      <candidateList>
        <item>：</item>
      </candidateList>
      <explain>文本全半角错误。</explain>
      <paraID>184241D1</paraID>
      <start>34</start>
      <end>35</end>
      <status>unmodified</status>
      <modifiedWord/>
      <trackRevisions>false</trackRevisions>
    </reviewItem>
    <reviewItem>
      <errorID>e0a23b55-0a9e-4713-bc74-fabeb8e4069e</errorID>
      <errorWord>:</errorWord>
      <group>L1_Format</group>
      <groupName>格式问题</groupName>
      <ability>L2_HalfPunc_CN</ability>
      <abilityName>全半角问题</abilityName>
      <candidateList>
        <item>：</item>
      </candidateList>
      <explain>文本全半角错误。</explain>
      <paraID>184241D1</paraID>
      <start>48</start>
      <end>49</end>
      <status>unmodified</status>
      <modifiedWord/>
      <trackRevisions>false</trackRevisions>
    </reviewItem>
    <reviewItem>
      <errorID>b94da942-d7e0-4348-9b79-5deda71470cb</errorID>
      <errorWord>(</errorWord>
      <group>L1_Format</group>
      <groupName>格式问题</groupName>
      <ability>L2_HalfPunc_CN</ability>
      <abilityName>全半角问题</abilityName>
      <candidateList>
        <item>（</item>
      </candidateList>
      <explain>文本全半角错误。</explain>
      <paraID>184241D1</paraID>
      <start>99</start>
      <end>100</end>
      <status>unmodified</status>
      <modifiedWord/>
      <trackRevisions>false</trackRevisions>
    </reviewItem>
    <reviewItem>
      <errorID>8971aa97-6e4f-4d82-81b7-a3445c9306dc</errorID>
      <errorWord>)</errorWord>
      <group>L1_Format</group>
      <groupName>格式问题</groupName>
      <ability>L2_HalfPunc_CN</ability>
      <abilityName>全半角问题</abilityName>
      <candidateList>
        <item>）</item>
      </candidateList>
      <explain>文本全半角错误。</explain>
      <paraID>184241D1</paraID>
      <start>105</start>
      <end>106</end>
      <status>unmodified</status>
      <modifiedWord/>
      <trackRevisions>false</trackRevisions>
    </reviewItem>
    <reviewItem>
      <errorID>4051a824-1864-4165-9856-b5ef1f74f212</errorID>
      <errorWord>(</errorWord>
      <group>L1_Format</group>
      <groupName>格式问题</groupName>
      <ability>L2_HalfPunc_CN</ability>
      <abilityName>全半角问题</abilityName>
      <candidateList>
        <item>（</item>
      </candidateList>
      <explain>文本全半角错误。</explain>
      <paraID>184241D1</paraID>
      <start>119</start>
      <end>120</end>
      <status>unmodified</status>
      <modifiedWord/>
      <trackRevisions>false</trackRevisions>
    </reviewItem>
    <reviewItem>
      <errorID>c9269c81-6550-431e-88f8-47e1b87f5552</errorID>
      <errorWord>)</errorWord>
      <group>L1_Format</group>
      <groupName>格式问题</groupName>
      <ability>L2_HalfPunc_CN</ability>
      <abilityName>全半角问题</abilityName>
      <candidateList>
        <item>）</item>
      </candidateList>
      <explain>文本全半角错误。</explain>
      <paraID>184241D1</paraID>
      <start>136</start>
      <end>137</end>
      <status>unmodified</status>
      <modifiedWord/>
      <trackRevisions>false</trackRevisions>
    </reviewItem>
    <reviewItem>
      <errorID>470007dc-71b3-4652-9779-f9083cc14936</errorID>
      <errorWord>(</errorWord>
      <group>L1_Format</group>
      <groupName>格式问题</groupName>
      <ability>L2_HalfPunc_CN</ability>
      <abilityName>全半角问题</abilityName>
      <candidateList>
        <item>（</item>
      </candidateList>
      <explain>文本全半角错误。</explain>
      <paraID>184241D1</paraID>
      <start>154</start>
      <end>155</end>
      <status>unmodified</status>
      <modifiedWord/>
      <trackRevisions>false</trackRevisions>
    </reviewItem>
    <reviewItem>
      <errorID>95baa1da-c0c5-4b52-9f4a-f797fa833e48</errorID>
      <errorWord>:</errorWord>
      <group>L1_Format</group>
      <groupName>格式问题</groupName>
      <ability>L2_HalfPunc_CN</ability>
      <abilityName>全半角问题</abilityName>
      <candidateList>
        <item>：</item>
      </candidateList>
      <explain>文本全半角错误。</explain>
      <paraID>184241D1</paraID>
      <start>196</start>
      <end>197</end>
      <status>unmodified</status>
      <modifiedWord/>
      <trackRevisions>false</trackRevisions>
    </reviewItem>
    <reviewItem>
      <errorID>a4776eb2-113c-4e13-ac6e-acff81eeeb5a</errorID>
      <errorWord>:</errorWord>
      <group>L1_Format</group>
      <groupName>格式问题</groupName>
      <ability>L2_HalfPunc_CN</ability>
      <abilityName>全半角问题</abilityName>
      <candidateList>
        <item>：</item>
      </candidateList>
      <explain>文本全半角错误。</explain>
      <paraID>184241D1</paraID>
      <start>408</start>
      <end>409</end>
      <status>unmodified</status>
      <modifiedWord/>
      <trackRevisions>false</trackRevisions>
    </reviewItem>
    <reviewItem>
      <errorID>29d304b1-dd86-49bd-9fe0-f57003bc0f69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5D7B9114</paraID>
      <start>170</start>
      <end>171</end>
      <status>unmodified</status>
      <modifiedWord/>
      <trackRevisions>false</trackRevisions>
    </reviewItem>
    <reviewItem>
      <errorID>10fa0496-3f3b-4771-99c6-5365dde3f1d3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5D7B9114</paraID>
      <start>178</start>
      <end>179</end>
      <status>unmodified</status>
      <modifiedWord/>
      <trackRevisions>false</trackRevisions>
    </reviewItem>
    <reviewItem>
      <errorID>7112ac23-3b30-4b4f-8539-6529f8bef965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5D7B9114</paraID>
      <start>189</start>
      <end>190</end>
      <status>unmodified</status>
      <modifiedWord/>
      <trackRevisions>false</trackRevisions>
    </reviewItem>
    <reviewItem>
      <errorID>0b606f21-251b-452a-b57e-68170ea04f23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5D7B9114</paraID>
      <start>199</start>
      <end>200</end>
      <status>unmodified</status>
      <modifiedWord/>
      <trackRevisions>false</trackRevisions>
    </reviewItem>
    <reviewItem>
      <errorID>b7cdae1f-f4ba-4c5f-b48c-af3e64243ac4</errorID>
      <errorWord>(</errorWord>
      <group>L1_Format</group>
      <groupName>格式问题</groupName>
      <ability>L2_HalfPunc_CN</ability>
      <abilityName>全半角问题</abilityName>
      <candidateList>
        <item>（</item>
      </candidateList>
      <explain>文本全半角错误。</explain>
      <paraID>5D7B9114</paraID>
      <start>332</start>
      <end>333</end>
      <status>unmodified</status>
      <modifiedWord/>
      <trackRevisions>false</trackRevisions>
    </reviewItem>
    <reviewItem>
      <errorID>07e4e148-e8dd-4604-9f2e-e4109ff88970</errorID>
      <errorWord>(</errorWord>
      <group>L1_Format</group>
      <groupName>格式问题</groupName>
      <ability>L2_HalfPunc_CN</ability>
      <abilityName>全半角问题</abilityName>
      <candidateList>
        <item>（</item>
      </candidateList>
      <explain>文本全半角错误。</explain>
      <paraID>5D7B9114</paraID>
      <start>441</start>
      <end>442</end>
      <status>unmodified</status>
      <modifiedWord/>
      <trackRevisions>false</trackRevisions>
    </reviewItem>
    <reviewItem>
      <errorID>390d281f-c180-45db-8bb6-877dabec4b3f</errorID>
      <errorWord>(</errorWord>
      <group>L1_Format</group>
      <groupName>格式问题</groupName>
      <ability>L2_HalfPunc_CN</ability>
      <abilityName>全半角问题</abilityName>
      <candidateList>
        <item>（</item>
      </candidateList>
      <explain>文本全半角错误。</explain>
      <paraID>5D7B9114</paraID>
      <start>514</start>
      <end>515</end>
      <status>unmodified</status>
      <modifiedWord/>
      <trackRevisions>false</trackRevisions>
    </reviewItem>
    <reviewItem>
      <errorID>78a04049-8082-4467-abda-1d10c270c78a</errorID>
      <errorWord>链接</errorWord>
      <group>L1_Word</group>
      <groupName>字词问题</groupName>
      <ability>L2_Typo</ability>
      <abilityName>字词错误</abilityName>
      <candidateList>
        <item>连接</item>
      </candidateList>
      <explain>存在发音相同字词的误用。</explain>
      <paraID>5D7B9114</paraID>
      <start>562</start>
      <end>564</end>
      <status>unmodified</status>
      <modifiedWord/>
      <trackRevisions>false</trackRevisions>
    </reviewItem>
    <reviewItem>
      <errorID>df9b4c80-d1cf-4670-9a2e-986525a1e7f3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5D7B9114</paraID>
      <start>790</start>
      <end>791</end>
      <status>unmodified</status>
      <modifiedWord/>
      <trackRevisions>false</trackRevisions>
    </reviewItem>
    <reviewItem>
      <errorID>25d1c805-e49a-4e80-9cce-bcb36928dbaf</errorID>
      <errorWord>~</errorWord>
      <group>L1_Format</group>
      <groupName>格式问题</groupName>
      <ability>L2_HalfPunc_CN</ability>
      <abilityName>全半角问题</abilityName>
      <candidateList>
        <item>～</item>
      </candidateList>
      <explain>文本全半角错误。</explain>
      <paraID>5AC3B56A</paraID>
      <start>30</start>
      <end>31</end>
      <status>unmodified</status>
      <modifiedWord/>
      <trackRevisions>false</trackRevisions>
    </reviewItem>
    <reviewItem>
      <errorID>e5337865-fed6-45da-9bcc-1fb9b384a401</errorID>
      <errorWord>噪音</errorWord>
      <group>L1_Word</group>
      <groupName>字词问题</groupName>
      <ability>L2_Alias</ability>
      <abilityName>也作/曾用词</abilityName>
      <candidateList>
        <item>噪声</item>
      </candidateList>
      <explain>词汇[噪音]为不规范表述或旧称，其规范书面表述为[噪声]。</explain>
      <paraID> CA1C4A5</paraID>
      <start>63</start>
      <end>65</end>
      <status>unmodified</status>
      <modifiedWord/>
      <trackRevisions>false</trackRevisions>
    </reviewItem>
    <reviewItem>
      <errorID>e8540ccb-548e-48b4-926d-467675aaf1f8</errorID>
      <errorWord>HZ</errorWord>
      <group>L1_Word</group>
      <groupName>字词问题</groupName>
      <ability>L2_Typo</ability>
      <abilityName>字词错误</abilityName>
      <candidateList>
        <item>Hz</item>
      </candidateList>
      <explain/>
      <paraID> CA1C4A5</paraID>
      <start>116</start>
      <end>118</end>
      <status>unmodified</status>
      <modifiedWord/>
      <trackRevisions>false</trackRevisions>
    </reviewItem>
    <reviewItem>
      <errorID>3ee53b8b-a00c-46ce-9647-c93ec25f9e78</errorID>
      <errorWord>(</errorWord>
      <group>L1_Format</group>
      <groupName>格式问题</groupName>
      <ability>L2_HalfPunc_CN</ability>
      <abilityName>全半角问题</abilityName>
      <candidateList>
        <item>（</item>
      </candidateList>
      <explain>文本全半角错误。</explain>
      <paraID> CA1C4A5</paraID>
      <start>248</start>
      <end>249</end>
      <status>unmodified</status>
      <modifiedWord/>
      <trackRevisions>false</trackRevisions>
    </reviewItem>
    <reviewItem>
      <errorID>f7fe8969-e0a9-4ffc-bc14-22a7b897939a</errorID>
      <errorWord>)</errorWord>
      <group>L1_Format</group>
      <groupName>格式问题</groupName>
      <ability>L2_HalfPunc_CN</ability>
      <abilityName>全半角问题</abilityName>
      <candidateList>
        <item>）</item>
      </candidateList>
      <explain>文本全半角错误。</explain>
      <paraID> CA1C4A5</paraID>
      <start>251</start>
      <end>252</end>
      <status>unmodified</status>
      <modifiedWord/>
      <trackRevisions>false</trackRevisions>
    </reviewItem>
    <reviewItem>
      <errorID>890f39f0-2434-48ee-abd9-6c0c391666dc</errorID>
      <errorWord>Kg</errorWord>
      <group>L1_Word</group>
      <groupName>字词问题</groupName>
      <ability>L2_Typo</ability>
      <abilityName>字词错误</abilityName>
      <candidateList>
        <item>kg</item>
      </candidateList>
      <explain/>
      <paraID> CA1C4A5</paraID>
      <start>274</start>
      <end>276</end>
      <status>unmodified</status>
      <modifiedWord/>
      <trackRevisions>false</trackRevisions>
    </reviewItem>
    <reviewItem>
      <errorID>0b4870f0-4869-4816-9e63-e0505b65c495</errorID>
      <errorWord>(</errorWord>
      <group>L1_Format</group>
      <groupName>格式问题</groupName>
      <ability>L2_HalfPunc_CN</ability>
      <abilityName>全半角问题</abilityName>
      <candidateList>
        <item>（</item>
      </candidateList>
      <explain>文本全半角错误。</explain>
      <paraID>70487595</paraID>
      <start>8</start>
      <end>9</end>
      <status>unmodified</status>
      <modifiedWord/>
      <trackRevisions>false</trackRevisions>
    </reviewItem>
    <reviewItem>
      <errorID>796c09db-7378-485b-89d8-ed56d0b4d1e0</errorID>
      <errorWord>)</errorWord>
      <group>L1_Format</group>
      <groupName>格式问题</groupName>
      <ability>L2_HalfPunc_CN</ability>
      <abilityName>全半角问题</abilityName>
      <candidateList>
        <item>）</item>
      </candidateList>
      <explain>文本全半角错误。</explain>
      <paraID>70487595</paraID>
      <start>16</start>
      <end>17</end>
      <status>unmodified</status>
      <modifiedWord/>
      <trackRevisions>false</trackRevisions>
    </reviewItem>
    <reviewItem>
      <errorID>4e754600-232f-4aa9-8b22-43c9c3627d5d</errorID>
      <errorWord>(</errorWord>
      <group>L1_Format</group>
      <groupName>格式问题</groupName>
      <ability>L2_HalfPunc_CN</ability>
      <abilityName>全半角问题</abilityName>
      <candidateList>
        <item>（</item>
      </candidateList>
      <explain>文本全半角错误。</explain>
      <paraID>31033050</paraID>
      <start>8</start>
      <end>9</end>
      <status>unmodified</status>
      <modifiedWord/>
      <trackRevisions>false</trackRevisions>
    </reviewItem>
    <reviewItem>
      <errorID>82c51dbf-ef8a-4468-b7b1-fbb3bb21544e</errorID>
      <errorWord>)</errorWord>
      <group>L1_Format</group>
      <groupName>格式问题</groupName>
      <ability>L2_HalfPunc_CN</ability>
      <abilityName>全半角问题</abilityName>
      <candidateList>
        <item>）</item>
      </candidateList>
      <explain>文本全半角错误。</explain>
      <paraID>31033050</paraID>
      <start>16</start>
      <end>17</end>
      <status>unmodified</status>
      <modifiedWord/>
      <trackRevisions>false</trackRevisions>
    </reviewItem>
    <reviewItem>
      <errorID>cc4ff6d7-f054-49cb-b068-d9466f2eadf6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6706480F</paraID>
      <start>11</start>
      <end>12</end>
      <status>unmodified</status>
      <modifiedWord/>
      <trackRevisions>false</trackRevisions>
    </reviewItem>
    <reviewItem>
      <errorID>ad61a2b7-1d0d-4a42-b207-53f34dabcb8c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190D857F</paraID>
      <start>101</start>
      <end>102</end>
      <status>unmodified</status>
      <modifiedWord/>
      <trackRevisions>false</trackRevisions>
    </reviewItem>
    <reviewItem>
      <errorID>7c18e6ec-6db5-4def-a7e3-12a198951453</errorID>
      <errorWord>(</errorWord>
      <group>L1_Format</group>
      <groupName>格式问题</groupName>
      <ability>L2_HalfPunc_CN</ability>
      <abilityName>全半角问题</abilityName>
      <candidateList>
        <item>（</item>
      </candidateList>
      <explain>文本全半角错误。</explain>
      <paraID>190D857F</paraID>
      <start>169</start>
      <end>170</end>
      <status>unmodified</status>
      <modifiedWord/>
      <trackRevisions>false</trackRevisions>
    </reviewItem>
    <reviewItem>
      <errorID>c7e8c3f3-667b-4ea5-9e7d-6a1c8ae7ed41</errorID>
      <errorWord>)</errorWord>
      <group>L1_Format</group>
      <groupName>格式问题</groupName>
      <ability>L2_HalfPunc_CN</ability>
      <abilityName>全半角问题</abilityName>
      <candidateList>
        <item>）</item>
      </candidateList>
      <explain>文本全半角错误。</explain>
      <paraID>190D857F</paraID>
      <start>172</start>
      <end>173</end>
      <status>unmodified</status>
      <modifiedWord/>
      <trackRevisions>false</trackRevisions>
    </reviewItem>
    <reviewItem>
      <errorID>0620f143-62c1-4a86-b9ab-dee8c24039d7</errorID>
      <errorWord>(</errorWord>
      <group>L1_Format</group>
      <groupName>格式问题</groupName>
      <ability>L2_HalfPunc_CN</ability>
      <abilityName>全半角问题</abilityName>
      <candidateList>
        <item>（</item>
      </candidateList>
      <explain>文本全半角错误。</explain>
      <paraID>190D857F</paraID>
      <start>193</start>
      <end>194</end>
      <status>unmodified</status>
      <modifiedWord/>
      <trackRevisions>false</trackRevisions>
    </reviewItem>
    <reviewItem>
      <errorID>6fd06da0-6ffa-4efd-8a93-def694b64a33</errorID>
      <errorWord>,</errorWord>
      <group>L1_Format</group>
      <groupName>格式问题</groupName>
      <ability>L2_HalfPunc_CN</ability>
      <abilityName>全半角问题</abilityName>
      <candidateList>
        <item>，</item>
      </candidateList>
      <explain>文本全半角错误。</explain>
      <paraID>190D857F</paraID>
      <start>196</start>
      <end>197</end>
      <status>unmodified</status>
      <modifiedWord/>
      <trackRevisions>false</trackRevisions>
    </reviewItem>
    <reviewItem>
      <errorID>cb2683d2-709f-423b-be24-04df49e8fe47</errorID>
      <errorWord>)</errorWord>
      <group>L1_Format</group>
      <groupName>格式问题</groupName>
      <ability>L2_HalfPunc_CN</ability>
      <abilityName>全半角问题</abilityName>
      <candidateList>
        <item>）</item>
      </candidateList>
      <explain>文本全半角错误。</explain>
      <paraID>190D857F</paraID>
      <start>198</start>
      <end>199</end>
      <status>unmodified</status>
      <modifiedWord/>
      <trackRevisions>false</trackRevisions>
    </reviewItem>
    <reviewItem>
      <errorID>755c996f-ff02-4262-86a2-5d059d82479a</errorID>
      <errorWord>:</errorWord>
      <group>L1_Format</group>
      <groupName>格式问题</groupName>
      <ability>L2_HalfPunc_CN</ability>
      <abilityName>全半角问题</abilityName>
      <candidateList>
        <item>：</item>
      </candidateList>
      <explain>文本全半角错误。</explain>
      <paraID>190D857F</paraID>
      <start>267</start>
      <end>268</end>
      <status>unmodified</status>
      <modifiedWord/>
      <trackRevisions>false</trackRevisions>
    </reviewItem>
    <reviewItem>
      <errorID>babcc424-c4ca-4dc0-b6a0-6b8c709c0aea</errorID>
      <errorWord>:</errorWord>
      <group>L1_Format</group>
      <groupName>格式问题</groupName>
      <ability>L2_HalfPunc_CN</ability>
      <abilityName>全半角问题</abilityName>
      <candidateList>
        <item>：</item>
      </candidateList>
      <explain>文本全半角错误。</explain>
      <paraID>190D857F</paraID>
      <start>283</start>
      <end>284</end>
      <status>unmodified</status>
      <modifiedWord/>
      <trackRevisions>false</trackRevisions>
    </reviewItem>
    <reviewItem>
      <errorID>09f673f0-523b-40f8-8a03-f78c8a2e64d7</errorID>
      <errorWord>(</errorWord>
      <group>L1_Format</group>
      <groupName>格式问题</groupName>
      <ability>L2_HalfPunc_CN</ability>
      <abilityName>全半角问题</abilityName>
      <candidateList>
        <item>（</item>
      </candidateList>
      <explain>文本全半角错误。</explain>
      <paraID>190D857F</paraID>
      <start>329</start>
      <end>330</end>
      <status>unmodified</status>
      <modifiedWord/>
      <trackRevisions>false</trackRevisions>
    </reviewItem>
    <reviewItem>
      <errorID>a604ccac-c2e6-4203-8239-04189d244833</errorID>
      <errorWord>)</errorWord>
      <group>L1_Format</group>
      <groupName>格式问题</groupName>
      <ability>L2_HalfPunc_CN</ability>
      <abilityName>全半角问题</abilityName>
      <candidateList>
        <item>）</item>
      </candidateList>
      <explain>文本全半角错误。</explain>
      <paraID>190D857F</paraID>
      <start>334</start>
      <end>335</end>
      <status>unmodified</status>
      <modifiedWord/>
      <trackRevisions>false</trackRevisions>
    </reviewItem>
    <reviewItem>
      <errorID>b19e10e3-4350-471d-aecb-af48d86d5979</errorID>
      <errorWord>)</errorWord>
      <group>L1_Format</group>
      <groupName>格式问题</groupName>
      <ability>L2_HalfPunc_CN</ability>
      <abilityName>全半角问题</abilityName>
      <candidateList>
        <item>）</item>
      </candidateList>
      <explain>文本全半角错误。</explain>
      <paraID>190D857F</paraID>
      <start>344</start>
      <end>345</end>
      <status>unmodified</status>
      <modifiedWord/>
      <trackRevisions>false</trackRevisions>
    </reviewItem>
    <reviewItem>
      <errorID>02719f62-1ed8-4050-9fe5-6e55d4f047fa</errorID>
      <errorWord>(</errorWord>
      <group>L1_Format</group>
      <groupName>格式问题</groupName>
      <ability>L2_HalfPunc_CN</ability>
      <abilityName>全半角问题</abilityName>
      <candidateList>
        <item>（</item>
      </candidateList>
      <explain>文本全半角错误。</explain>
      <paraID>190D857F</paraID>
      <start>360</start>
      <end>361</end>
      <status>unmodified</status>
      <modifiedWord/>
      <trackRevisions>false</trackRevisions>
    </reviewItem>
    <reviewItem>
      <errorID>106e57d8-24d0-4713-876c-e704aecf7b62</errorID>
      <errorWord>)</errorWord>
      <group>L1_Format</group>
      <groupName>格式问题</groupName>
      <ability>L2_HalfPunc_CN</ability>
      <abilityName>全半角问题</abilityName>
      <candidateList>
        <item>）</item>
      </candidateList>
      <explain>文本全半角错误。</explain>
      <paraID>190D857F</paraID>
      <start>365</start>
      <end>366</end>
      <status>unmodified</status>
      <modifiedWord/>
      <trackRevisions>false</trackRevisions>
    </reviewItem>
    <reviewItem>
      <errorID>8eaebacb-0d14-44aa-a5c6-1a538d3f17e9</errorID>
      <errorWord>:</errorWord>
      <group>L1_Format</group>
      <groupName>格式问题</groupName>
      <ability>L2_HalfPunc_CN</ability>
      <abilityName>全半角问题</abilityName>
      <candidateList>
        <item>：</item>
      </candidateList>
      <explain>文本全半角错误。</explain>
      <paraID>56E3D24C</paraID>
      <start>486</start>
      <end>487</end>
      <status>unmodified</status>
      <modifiedWord/>
      <trackRevisions>false</trackRevisions>
    </reviewItem>
    <reviewItem>
      <errorID>b588751d-7d10-4aa3-a6c4-dd67aaa9f791</errorID>
      <errorWord>:</errorWord>
      <group>L1_Format</group>
      <groupName>格式问题</groupName>
      <ability>L2_HalfPunc_CN</ability>
      <abilityName>全半角问题</abilityName>
      <candidateList>
        <item>：</item>
      </candidateList>
      <explain>文本全半角错误。</explain>
      <paraID>56E3D24C</paraID>
      <start>502</start>
      <end>503</end>
      <status>unmodified</status>
      <modifiedWord/>
      <trackRevisions>false</trackRevisions>
    </reviewItem>
    <reviewItem>
      <errorID>2f9a2761-458a-4d2e-a388-e06e4d753e1f</errorID>
      <errorWord>(</errorWord>
      <group>L1_Format</group>
      <groupName>格式问题</groupName>
      <ability>L2_HalfPunc_CN</ability>
      <abilityName>全半角问题</abilityName>
      <candidateList>
        <item>（</item>
      </candidateList>
      <explain>文本全半角错误。</explain>
      <paraID>600C53CA</paraID>
      <start>4</start>
      <end>5</end>
      <status>unmodified</status>
      <modifiedWord/>
      <trackRevisions>false</trackRevisions>
    </reviewItem>
    <reviewItem>
      <errorID>6e192bd5-9218-4473-8f44-425bc77815e2</errorID>
      <errorWord>)</errorWord>
      <group>L1_Format</group>
      <groupName>格式问题</groupName>
      <ability>L2_HalfPunc_CN</ability>
      <abilityName>全半角问题</abilityName>
      <candidateList>
        <item>）</item>
      </candidateList>
      <explain>文本全半角错误。</explain>
      <paraID>600C53CA</paraID>
      <start>8</start>
      <end>9</end>
      <status>unmodified</status>
      <modifiedWord/>
      <trackRevisions>false</trackRevisions>
    </reviewItem>
    <reviewItem>
      <errorID>99d870b6-96f6-454b-b49d-a02d3ddbbd2e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353DED48</paraID>
      <start>359</start>
      <end>360</end>
      <status>unmodified</status>
      <modifiedWord/>
      <trackRevisions>false</trackRevisions>
    </reviewItem>
    <reviewItem>
      <errorID>6a09c8b1-9c23-4ff5-b7e2-f43cb5813484</errorID>
      <errorWord>)</errorWord>
      <group>L1_Format</group>
      <groupName>格式问题</groupName>
      <ability>L2_HalfPunc_CN</ability>
      <abilityName>全半角问题</abilityName>
      <candidateList>
        <item>）</item>
      </candidateList>
      <explain>文本全半角错误。</explain>
      <paraID>353DED48</paraID>
      <start>364</start>
      <end>365</end>
      <status>unmodified</status>
      <modifiedWord/>
      <trackRevisions>false</trackRevisions>
    </reviewItem>
    <reviewItem>
      <errorID>ec1bf4a3-58d0-456e-9b1f-0807f3738c62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353DED48</paraID>
      <start>378</start>
      <end>379</end>
      <status>unmodified</status>
      <modifiedWord/>
      <trackRevisions>false</trackRevisions>
    </reviewItem>
    <reviewItem>
      <errorID>44d5703b-9df0-4efc-a40e-790bcf0804f7</errorID>
      <errorWord>噪音</errorWord>
      <group>L1_Word</group>
      <groupName>字词问题</groupName>
      <ability>L2_Alias</ability>
      <abilityName>也作/曾用词</abilityName>
      <candidateList>
        <item>噪声</item>
      </candidateList>
      <explain>词汇[噪音]为不规范表述或旧称，其规范书面表述为[噪声]。</explain>
      <paraID>44C2E68A</paraID>
      <start>67</start>
      <end>69</end>
      <status>unmodified</status>
      <modifiedWord/>
      <trackRevisions>false</trackRevisions>
    </reviewItem>
    <reviewItem>
      <errorID>e9e0087f-ca03-4645-9964-cab9c52f7a97</errorID>
      <errorWord>Kg</errorWord>
      <group>L1_Word</group>
      <groupName>字词问题</groupName>
      <ability>L2_Typo</ability>
      <abilityName>字词错误</abilityName>
      <candidateList>
        <item>kg</item>
      </candidateList>
      <explain/>
      <paraID>44C2E68A</paraID>
      <start>153</start>
      <end>155</end>
      <status>unmodified</status>
      <modifiedWord/>
      <trackRevisions>false</trackRevisions>
    </reviewItem>
    <reviewItem>
      <errorID>25cd59cb-8571-47a2-bb27-0974973cb78f</errorID>
      <errorWord>(</errorWord>
      <group>L1_Format</group>
      <groupName>格式问题</groupName>
      <ability>L2_HalfPunc_CN</ability>
      <abilityName>全半角问题</abilityName>
      <candidateList>
        <item>（</item>
      </candidateList>
      <explain>文本全半角错误。</explain>
      <paraID>44C2E68A</paraID>
      <start>252</start>
      <end>253</end>
      <status>unmodified</status>
      <modifiedWord/>
      <trackRevisions>false</trackRevisions>
    </reviewItem>
    <reviewItem>
      <errorID>ed38e8da-7e5c-4809-af9e-aa5cbf1f4482</errorID>
      <errorWord>)</errorWord>
      <group>L1_Format</group>
      <groupName>格式问题</groupName>
      <ability>L2_HalfPunc_CN</ability>
      <abilityName>全半角问题</abilityName>
      <candidateList>
        <item>）</item>
      </candidateList>
      <explain>文本全半角错误。</explain>
      <paraID>44C2E68A</paraID>
      <start>261</start>
      <end>262</end>
      <status>unmodified</status>
      <modifiedWord/>
      <trackRevisions>false</trackRevisions>
    </reviewItem>
    <reviewItem>
      <errorID>9d9017cb-3659-41cd-babf-492a6a90bee4</errorID>
      <errorWord>:</errorWord>
      <group>L1_Format</group>
      <groupName>格式问题</groupName>
      <ability>L2_HalfPunc_CN</ability>
      <abilityName>全半角问题</abilityName>
      <candidateList>
        <item>：</item>
      </candidateList>
      <explain>文本全半角错误。</explain>
      <paraID> 9A4DDDF</paraID>
      <start>6</start>
      <end>7</end>
      <status>unmodified</status>
      <modifiedWord/>
      <trackRevisions>false</trackRevisions>
    </reviewItem>
    <reviewItem>
      <errorID>163d64ba-5893-43cb-970d-5c564bc1d083</errorID>
      <errorWord>:</errorWord>
      <group>L1_Format</group>
      <groupName>格式问题</groupName>
      <ability>L2_HalfPunc_CN</ability>
      <abilityName>全半角问题</abilityName>
      <candidateList>
        <item>：</item>
      </candidateList>
      <explain>文本全半角错误。</explain>
      <paraID> 9A4DDDF</paraID>
      <start>46</start>
      <end>47</end>
      <status>unmodified</status>
      <modifiedWord/>
      <trackRevisions>false</trackRevisions>
    </reviewItem>
    <reviewItem>
      <errorID>ffb2259d-2ae2-4326-8d8d-e880692bd8b7</errorID>
      <errorWord>:</errorWord>
      <group>L1_Format</group>
      <groupName>格式问题</groupName>
      <ability>L2_HalfPunc_CN</ability>
      <abilityName>全半角问题</abilityName>
      <candidateList>
        <item>：</item>
      </candidateList>
      <explain>文本全半角错误。</explain>
      <paraID> 9A4DDDF</paraID>
      <start>72</start>
      <end>73</end>
      <status>unmodified</status>
      <modifiedWord/>
      <trackRevisions>false</trackRevisions>
    </reviewItem>
    <reviewItem>
      <errorID>decf38b2-6e5c-4f0d-9616-551ad3eb084e</errorID>
      <errorWord>)</errorWord>
      <group>L1_Format</group>
      <groupName>格式问题</groupName>
      <ability>L2_HalfPunc_CN</ability>
      <abilityName>全半角问题</abilityName>
      <candidateList>
        <item>）</item>
      </candidateList>
      <explain>文本全半角错误。</explain>
      <paraID> 9A4DDDF</paraID>
      <start>87</start>
      <end>88</end>
      <status>unmodified</status>
      <modifiedWord/>
      <trackRevisions>false</trackRevisions>
    </reviewItem>
    <reviewItem>
      <errorID>9557c4f7-1f09-4428-a9a3-c9ef1de71585</errorID>
      <errorWord>(</errorWord>
      <group>L1_Format</group>
      <groupName>格式问题</groupName>
      <ability>L2_HalfPunc_CN</ability>
      <abilityName>全半角问题</abilityName>
      <candidateList>
        <item>（</item>
      </candidateList>
      <explain>文本全半角错误。</explain>
      <paraID>454B9977</paraID>
      <start>6</start>
      <end>7</end>
      <status>unmodified</status>
      <modifiedWord/>
      <trackRevisions>false</trackRevisions>
    </reviewItem>
    <reviewItem>
      <errorID>ae39c6d0-f8e3-488f-8cb7-c92a44b6920d</errorID>
      <errorWord>)</errorWord>
      <group>L1_Format</group>
      <groupName>格式问题</groupName>
      <ability>L2_HalfPunc_CN</ability>
      <abilityName>全半角问题</abilityName>
      <candidateList>
        <item>）</item>
      </candidateList>
      <explain>文本全半角错误。</explain>
      <paraID>454B9977</paraID>
      <start>8</start>
      <end>9</end>
      <status>unmodified</status>
      <modifiedWord/>
      <trackRevisions>false</trackRevisions>
    </reviewItem>
    <reviewItem>
      <errorID>2b13e024-f722-4e23-af56-8618f58d91c1</errorID>
      <errorWord>(</errorWord>
      <group>L1_Format</group>
      <groupName>格式问题</groupName>
      <ability>L2_HalfPunc_CN</ability>
      <abilityName>全半角问题</abilityName>
      <candidateList>
        <item>（</item>
      </candidateList>
      <explain>文本全半角错误。</explain>
      <paraID>454B9977</paraID>
      <start>19</start>
      <end>20</end>
      <status>unmodified</status>
      <modifiedWord/>
      <trackRevisions>false</trackRevisions>
    </reviewItem>
    <reviewItem>
      <errorID>05fba84a-c89c-4469-8277-e32402c452f5</errorID>
      <errorWord>)</errorWord>
      <group>L1_Format</group>
      <groupName>格式问题</groupName>
      <ability>L2_HalfPunc_CN</ability>
      <abilityName>全半角问题</abilityName>
      <candidateList>
        <item>）</item>
      </candidateList>
      <explain>文本全半角错误。</explain>
      <paraID>454B9977</paraID>
      <start>21</start>
      <end>22</end>
      <status>unmodified</status>
      <modifiedWord/>
      <trackRevisions>false</trackRevisions>
    </reviewItem>
    <reviewItem>
      <errorID>1b37bdcb-2852-4802-b73a-f459d589d37b</errorID>
      <errorWord>(</errorWord>
      <group>L1_Format</group>
      <groupName>格式问题</groupName>
      <ability>L2_HalfPunc_CN</ability>
      <abilityName>全半角问题</abilityName>
      <candidateList>
        <item>（</item>
      </candidateList>
      <explain>文本全半角错误。</explain>
      <paraID>454B9977</paraID>
      <start>38</start>
      <end>39</end>
      <status>unmodified</status>
      <modifiedWord/>
      <trackRevisions>false</trackRevisions>
    </reviewItem>
    <reviewItem>
      <errorID>1dbfebb6-2e9a-4ba9-b17b-96c5dba0d3e7</errorID>
      <errorWord>)</errorWord>
      <group>L1_Format</group>
      <groupName>格式问题</groupName>
      <ability>L2_HalfPunc_CN</ability>
      <abilityName>全半角问题</abilityName>
      <candidateList>
        <item>）</item>
      </candidateList>
      <explain>文本全半角错误。</explain>
      <paraID>454B9977</paraID>
      <start>47</start>
      <end>48</end>
      <status>unmodified</status>
      <modifiedWord/>
      <trackRevisions>false</trackRevisions>
    </reviewItem>
    <reviewItem>
      <errorID>c208d9ba-6a40-4109-90c0-fb0a06b0a98e</errorID>
      <errorWord>(</errorWord>
      <group>L1_Format</group>
      <groupName>格式问题</groupName>
      <ability>L2_HalfPunc_CN</ability>
      <abilityName>全半角问题</abilityName>
      <candidateList>
        <item>（</item>
      </candidateList>
      <explain>文本全半角错误。</explain>
      <paraID>454B9977</paraID>
      <start>66</start>
      <end>67</end>
      <status>unmodified</status>
      <modifiedWord/>
      <trackRevisions>false</trackRevisions>
    </reviewItem>
    <reviewItem>
      <errorID>4c2c973d-34cc-4a03-9edf-c53bf0992c2a</errorID>
      <errorWord>)</errorWord>
      <group>L1_Format</group>
      <groupName>格式问题</groupName>
      <ability>L2_HalfPunc_CN</ability>
      <abilityName>全半角问题</abilityName>
      <candidateList>
        <item>）</item>
      </candidateList>
      <explain>文本全半角错误。</explain>
      <paraID>454B9977</paraID>
      <start>75</start>
      <end>76</end>
      <status>unmodified</status>
      <modifiedWord/>
      <trackRevisions>false</trackRevisions>
    </reviewItem>
    <reviewItem>
      <errorID>8f8d2b78-f4ed-4557-b57f-04c0bb15c282</errorID>
      <errorWord>(</errorWord>
      <group>L1_Format</group>
      <groupName>格式问题</groupName>
      <ability>L2_HalfPunc_CN</ability>
      <abilityName>全半角问题</abilityName>
      <candidateList>
        <item>（</item>
      </candidateList>
      <explain>文本全半角错误。</explain>
      <paraID> F03B58A</paraID>
      <start>15</start>
      <end>16</end>
      <status>unmodified</status>
      <modifiedWord/>
      <trackRevisions>false</trackRevisions>
    </reviewItem>
    <reviewItem>
      <errorID>d5f78e0c-773d-4ca7-990c-8db0580e6550</errorID>
      <errorWord>)</errorWord>
      <group>L1_Format</group>
      <groupName>格式问题</groupName>
      <ability>L2_HalfPunc_CN</ability>
      <abilityName>全半角问题</abilityName>
      <candidateList>
        <item>）</item>
      </candidateList>
      <explain>文本全半角错误。</explain>
      <paraID> F03B58A</paraID>
      <start>20</start>
      <end>21</end>
      <status>unmodified</status>
      <modifiedWord/>
      <trackRevisions>false</trackRevisions>
    </reviewItem>
    <reviewItem>
      <errorID>c3b4d670-0136-4f3f-a671-6d8405131045</errorID>
      <errorWord>(</errorWord>
      <group>L1_Format</group>
      <groupName>格式问题</groupName>
      <ability>L2_HalfPunc_CN</ability>
      <abilityName>全半角问题</abilityName>
      <candidateList>
        <item>（</item>
      </candidateList>
      <explain>文本全半角错误。</explain>
      <paraID>6EDE7105</paraID>
      <start>15</start>
      <end>16</end>
      <status>unmodified</status>
      <modifiedWord/>
      <trackRevisions>false</trackRevisions>
    </reviewItem>
    <reviewItem>
      <errorID>a7be9f32-7437-4225-86d1-90a1fabe5faf</errorID>
      <errorWord>)</errorWord>
      <group>L1_Format</group>
      <groupName>格式问题</groupName>
      <ability>L2_HalfPunc_CN</ability>
      <abilityName>全半角问题</abilityName>
      <candidateList>
        <item>）</item>
      </candidateList>
      <explain>文本全半角错误。</explain>
      <paraID>6EDE7105</paraID>
      <start>23</start>
      <end>24</end>
      <status>unmodified</status>
      <modifiedWord/>
      <trackRevisions>false</trackRevisions>
    </reviewItem>
    <reviewItem>
      <errorID>98948175-25d9-4d10-bad6-42747bc42e05</errorID>
      <errorWord>~</errorWord>
      <group>L1_Format</group>
      <groupName>格式问题</groupName>
      <ability>L2_HalfPunc_CN</ability>
      <abilityName>全半角问题</abilityName>
      <candidateList>
        <item>～</item>
      </candidateList>
      <explain>文本全半角错误。</explain>
      <paraID>3C6A123A</paraID>
      <start>84</start>
      <end>85</end>
      <status>unmodified</status>
      <modifiedWord/>
      <trackRevisions>false</trackRevisions>
    </reviewItem>
    <reviewItem>
      <errorID>62e78039-9955-4e4d-8e31-8410accd37c1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363DECAC</paraID>
      <start>135</start>
      <end>136</end>
      <status>unmodified</status>
      <modifiedWord/>
      <trackRevisions>false</trackRevisions>
    </reviewItem>
    <reviewItem>
      <errorID>fb9ec1eb-c383-47f2-a0f2-ae7b702b3415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363DECAC</paraID>
      <start>269</start>
      <end>270</end>
      <status>unmodified</status>
      <modifiedWord/>
      <trackRevisions>false</trackRevisions>
    </reviewItem>
    <reviewItem>
      <errorID>0822623b-5b73-4e7f-b0fc-620c2638c780</errorID>
      <errorWord>噪音</errorWord>
      <group>L1_Word</group>
      <groupName>字词问题</groupName>
      <ability>L2_Alias</ability>
      <abilityName>也作/曾用词</abilityName>
      <candidateList>
        <item>噪声</item>
      </candidateList>
      <explain>词汇[噪音]为不规范表述或旧称，其规范书面表述为[噪声]。</explain>
      <paraID>535C9E4F</paraID>
      <start>2</start>
      <end>4</end>
      <status>unmodified</status>
      <modifiedWord/>
      <trackRevisions>false</trackRevisions>
    </reviewItem>
    <reviewItem>
      <errorID>7c86fa3b-09cf-42f2-a3ee-744711ca8da7</errorID>
      <errorWord>HZ</errorWord>
      <group>L1_Word</group>
      <groupName>字词问题</groupName>
      <ability>L2_Typo</ability>
      <abilityName>字词错误</abilityName>
      <candidateList>
        <item>Hz</item>
      </candidateList>
      <explain/>
      <paraID>53807ED7</paraID>
      <start>13</start>
      <end>15</end>
      <status>unmodified</status>
      <modifiedWord/>
      <trackRevisions>false</trackRevisions>
    </reviewItem>
    <reviewItem>
      <errorID>e75552ad-58fd-44a5-8775-5478936f6459</errorID>
      <errorWord>Kg</errorWord>
      <group>L1_Word</group>
      <groupName>字词问题</groupName>
      <ability>L2_Typo</ability>
      <abilityName>字词错误</abilityName>
      <candidateList>
        <item>kg</item>
      </candidateList>
      <explain/>
      <paraID> 38ED21B</paraID>
      <start>11</start>
      <end>13</end>
      <status>unmodified</status>
      <modifiedWord/>
      <trackRevisions>false</trackRevisions>
    </reviewItem>
    <reviewItem>
      <errorID>c5addf24-9ffe-4683-9d35-963fa6f9b053</errorID>
      <errorWord>,</errorWord>
      <group>L1_Format</group>
      <groupName>格式问题</groupName>
      <ability>L2_HalfPunc_CN</ability>
      <abilityName>全半角问题</abilityName>
      <candidateList>
        <item>，</item>
      </candidateList>
      <explain>文本全半角错误。</explain>
      <paraID>1CA232D5</paraID>
      <start>17</start>
      <end>18</end>
      <status>unmodified</status>
      <modifiedWord/>
      <trackRevisions>false</trackRevisions>
    </reviewItem>
    <reviewItem>
      <errorID>516a9c7b-ce5b-4b9f-a01e-983465e07e87</errorID>
      <errorWord>,</errorWord>
      <group>L1_Format</group>
      <groupName>格式问题</groupName>
      <ability>L2_HalfPunc_CN</ability>
      <abilityName>全半角问题</abilityName>
      <candidateList>
        <item>，</item>
      </candidateList>
      <explain>文本全半角错误。</explain>
      <paraID>1CA232D5</paraID>
      <start>27</start>
      <end>28</end>
      <status>unmodified</status>
      <modifiedWord/>
      <trackRevisions>false</trackRevisions>
    </reviewItem>
    <reviewItem>
      <errorID>74fe7e32-1c20-4eeb-8f84-0420939e5a8a</errorID>
      <errorWord>,</errorWord>
      <group>L1_Format</group>
      <groupName>格式问题</groupName>
      <ability>L2_HalfPunc_CN</ability>
      <abilityName>全半角问题</abilityName>
      <candidateList>
        <item>，</item>
      </candidateList>
      <explain>文本全半角错误。</explain>
      <paraID>1CA232D5</paraID>
      <start>36</start>
      <end>37</end>
      <status>unmodified</status>
      <modifiedWord/>
      <trackRevisions>false</trackRevisions>
    </reviewItem>
    <reviewItem>
      <errorID>2f537dd0-e2d0-4193-911f-bbc9ad38b054</errorID>
      <errorWord>,</errorWord>
      <group>L1_Format</group>
      <groupName>格式问题</groupName>
      <ability>L2_HalfPunc_CN</ability>
      <abilityName>全半角问题</abilityName>
      <candidateList>
        <item>，</item>
      </candidateList>
      <explain>文本全半角错误。</explain>
      <paraID>1CA232D5</paraID>
      <start>43</start>
      <end>44</end>
      <status>unmodified</status>
      <modifiedWord/>
      <trackRevisions>false</trackRevisions>
    </reviewItem>
    <reviewItem>
      <errorID>f7a5168c-80ff-4ef2-97f0-96c68377d55e</errorID>
      <errorWord>,</errorWord>
      <group>L1_Format</group>
      <groupName>格式问题</groupName>
      <ability>L2_HalfPunc_CN</ability>
      <abilityName>全半角问题</abilityName>
      <candidateList>
        <item>，</item>
      </candidateList>
      <explain>文本全半角错误。</explain>
      <paraID>1CA232D5</paraID>
      <start>50</start>
      <end>51</end>
      <status>unmodified</status>
      <modifiedWord/>
      <trackRevisions>false</trackRevisions>
    </reviewItem>
    <reviewItem>
      <errorID>9243ec2c-41bb-46d1-951a-17c5d3d5907f</errorID>
      <errorWord>,</errorWord>
      <group>L1_Format</group>
      <groupName>格式问题</groupName>
      <ability>L2_HalfPunc_CN</ability>
      <abilityName>全半角问题</abilityName>
      <candidateList>
        <item>，</item>
      </candidateList>
      <explain>文本全半角错误。</explain>
      <paraID>1CA232D5</paraID>
      <start>57</start>
      <end>58</end>
      <status>unmodified</status>
      <modifiedWord/>
      <trackRevisions>false</trackRevisions>
    </reviewItem>
    <reviewItem>
      <errorID>957661b3-30a3-44fc-b3c3-9b6ddeb928cf</errorID>
      <errorWord>,</errorWord>
      <group>L1_Format</group>
      <groupName>格式问题</groupName>
      <ability>L2_HalfPunc_CN</ability>
      <abilityName>全半角问题</abilityName>
      <candidateList>
        <item>，</item>
      </candidateList>
      <explain>文本全半角错误。</explain>
      <paraID>1CA232D5</paraID>
      <start>65</start>
      <end>66</end>
      <status>unmodified</status>
      <modifiedWord/>
      <trackRevisions>false</trackRevisions>
    </reviewItem>
    <reviewItem>
      <errorID>45e5db2c-3efe-456a-8233-1f4e6b029483</errorID>
      <errorWord>,</errorWord>
      <group>L1_Format</group>
      <groupName>格式问题</groupName>
      <ability>L2_HalfPunc_CN</ability>
      <abilityName>全半角问题</abilityName>
      <candidateList>
        <item>，</item>
      </candidateList>
      <explain>文本全半角错误。</explain>
      <paraID>1CA232D5</paraID>
      <start>73</start>
      <end>74</end>
      <status>unmodified</status>
      <modifiedWord/>
      <trackRevisions>false</trackRevisions>
    </reviewItem>
    <reviewItem>
      <errorID>e9354cdf-ccab-466b-91f5-181d2d6681a7</errorID>
      <errorWord>,</errorWord>
      <group>L1_Format</group>
      <groupName>格式问题</groupName>
      <ability>L2_HalfPunc_CN</ability>
      <abilityName>全半角问题</abilityName>
      <candidateList>
        <item>，</item>
      </candidateList>
      <explain>文本全半角错误。</explain>
      <paraID>1CA232D5</paraID>
      <start>81</start>
      <end>82</end>
      <status>unmodified</status>
      <modifiedWord/>
      <trackRevisions>false</trackRevisions>
    </reviewItem>
    <reviewItem>
      <errorID>9d22b6b9-4091-4c8a-9079-0e547393040d</errorID>
      <errorWord>~</errorWord>
      <group>L1_Format</group>
      <groupName>格式问题</groupName>
      <ability>L2_HalfPunc_CN</ability>
      <abilityName>全半角问题</abilityName>
      <candidateList>
        <item>～</item>
      </candidateList>
      <explain>文本全半角错误。</explain>
      <paraID>4C1234E8</paraID>
      <start>47</start>
      <end>48</end>
      <status>unmodified</status>
      <modifiedWord/>
      <trackRevisions>false</trackRevisions>
    </reviewItem>
    <reviewItem>
      <errorID>72df9e07-686f-497f-9e52-981fe43dd939</errorID>
      <errorWord>(</errorWord>
      <group>L1_Format</group>
      <groupName>格式问题</groupName>
      <ability>L2_HalfPunc_CN</ability>
      <abilityName>全半角问题</abilityName>
      <candidateList>
        <item>（</item>
      </candidateList>
      <explain>文本全半角错误。</explain>
      <paraID>4C1234E8</paraID>
      <start>60</start>
      <end>61</end>
      <status>unmodified</status>
      <modifiedWord/>
      <trackRevisions>false</trackRevisions>
    </reviewItem>
    <reviewItem>
      <errorID>026a1846-788c-4c3a-b0f5-99a6b82b3565</errorID>
      <errorWord>)</errorWord>
      <group>L1_Format</group>
      <groupName>格式问题</groupName>
      <ability>L2_HalfPunc_CN</ability>
      <abilityName>全半角问题</abilityName>
      <candidateList>
        <item>）</item>
      </candidateList>
      <explain>文本全半角错误。</explain>
      <paraID>4C1234E8</paraID>
      <start>66</start>
      <end>67</end>
      <status>unmodified</status>
      <modifiedWord/>
      <trackRevisions>false</trackRevisions>
    </reviewItem>
    <reviewItem>
      <errorID>f900e9ba-8951-4c49-9d53-1a718b9e2691</errorID>
      <errorWord>最大称量</errorWord>
      <group>L1_Knowledge</group>
      <groupName>知识性问题</groupName>
      <ability>L2_Term</ability>
      <abilityName>专业术语</abilityName>
      <candidateList>
        <item>最大秤量</item>
      </candidateList>
      <explain/>
      <paraID> D7EF9D0</paraID>
      <start>2</start>
      <end>6</end>
      <status>unmodified</status>
      <modifiedWord/>
      <trackRevisions>false</trackRevisions>
    </reviewItem>
    <reviewItem>
      <errorID>48d81259-a3b7-442c-a700-bbefcf0243c4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D7EF9D0</paraID>
      <start>60</start>
      <end>61</end>
      <status>unmodified</status>
      <modifiedWord/>
      <trackRevisions>false</trackRevisions>
    </reviewItem>
    <reviewItem>
      <errorID>fbc05378-d50d-44f9-969f-b33f2f2cdf40</errorID>
      <errorWord>噪音</errorWord>
      <group>L1_Word</group>
      <groupName>字词问题</groupName>
      <ability>L2_Alias</ability>
      <abilityName>也作/曾用词</abilityName>
      <candidateList>
        <item>噪声</item>
      </candidateList>
      <explain>词汇[噪音]为不规范表述或旧称，其规范书面表述为[噪声]。</explain>
      <paraID>18E2D80E</paraID>
      <start>5</start>
      <end>7</end>
      <status>unmodified</status>
      <modifiedWord/>
      <trackRevisions>false</trackRevisions>
    </reviewItem>
    <reviewItem>
      <errorID>4ab43a1e-2d1f-4157-979f-6b73655ee6cb</errorID>
      <errorWord>分</errorWord>
      <group>L1_Word</group>
      <groupName>字词问题</groupName>
      <ability>L2_Typo</ability>
      <abilityName>字词错误</abilityName>
      <candidateList>
        <item>分钟</item>
      </candidateList>
      <explain/>
      <paraID>14BABFC3</paraID>
      <start>700</start>
      <end>701</end>
      <status>unmodified</status>
      <modifiedWord/>
      <trackRevisions>false</trackRevisions>
    </reviewItem>
    <reviewItem>
      <errorID>bd9653fd-2a19-4cc5-b4c1-31ee5f35c29a</errorID>
      <errorWord>:</errorWord>
      <group>L1_Format</group>
      <groupName>格式问题</groupName>
      <ability>L2_HalfPunc_CN</ability>
      <abilityName>全半角问题</abilityName>
      <candidateList>
        <item>：</item>
      </candidateList>
      <explain>文本全半角错误。</explain>
      <paraID>7273B328</paraID>
      <start>12</start>
      <end>13</end>
      <status>unmodified</status>
      <modifiedWord/>
      <trackRevisions>false</trackRevisions>
    </reviewItem>
    <reviewItem>
      <errorID>ff2f937f-e806-4594-adaa-d9d372b9cb51</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7273B328</paraID>
      <start>13</start>
      <end>19</end>
      <status>unmodified</status>
      <modifiedWord/>
      <trackRevisions>false</trackRevisions>
    </reviewItem>
    <reviewItem>
      <errorID>b7cba697-4d7a-4cfa-9e5e-f4b9067b5cd2</errorID>
      <errorWord>:</errorWord>
      <group>L1_Format</group>
      <groupName>格式问题</groupName>
      <ability>L2_HalfPunc_CN</ability>
      <abilityName>全半角问题</abilityName>
      <candidateList>
        <item>：</item>
      </candidateList>
      <explain>文本全半角错误。</explain>
      <paraID>5BACF420</paraID>
      <start>7</start>
      <end>8</end>
      <status>unmodified</status>
      <modifiedWord/>
      <trackRevisions>false</trackRevisions>
    </reviewItem>
    <reviewItem>
      <errorID>7d60cb44-a17a-42d4-9f69-465468d86791</errorID>
      <errorWord>:</errorWord>
      <group>L1_Format</group>
      <groupName>格式问题</groupName>
      <ability>L2_HalfPunc_CN</ability>
      <abilityName>全半角问题</abilityName>
      <candidateList>
        <item>：</item>
      </candidateList>
      <explain>文本全半角错误。</explain>
      <paraID>151E4D5D</paraID>
      <start>6</start>
      <end>7</end>
      <status>unmodified</status>
      <modifiedWord/>
      <trackRevisions>false</trackRevisions>
    </reviewItem>
    <reviewItem>
      <errorID>3d13c334-d323-4c19-a720-08830a6271b3</errorID>
      <errorWord>0-50%</errorWord>
      <group>L1_Knowledge</group>
      <groupName>知识性问题</groupName>
      <ability>L2_Knowledge</ability>
      <abilityName>其他知识</abilityName>
      <candidateList>
        <item>0—50%</item>
      </candidateList>
      <explain>1. “0-50%”中的单位“%”仅出现在后一个数字上，容易引起歧义；根据《现代汉语标点符号数字用法规范手册》，数字表示范围两边需要使用统一的格式。2. 根据标点国标 4.13 中的规则，数字、时间或地域连接符应使用（视觉上更长的）“—”或“～”。</explain>
      <paraID>151E4D5D</paraID>
      <start>11</start>
      <end>16</end>
      <status>unmodified</status>
      <modifiedWord/>
      <trackRevisions>false</trackRevisions>
    </reviewItem>
    <reviewItem>
      <errorID>573db4f7-cc92-4d86-85b8-100e826483c4</errorID>
      <errorWord>)</errorWord>
      <group>L1_Format</group>
      <groupName>格式问题</groupName>
      <ability>L2_HalfPunc_CN</ability>
      <abilityName>全半角问题</abilityName>
      <candidateList>
        <item>）</item>
      </candidateList>
      <explain>文本全半角错误。</explain>
      <paraID>1095CE85</paraID>
      <start>11</start>
      <end>12</end>
      <status>unmodified</status>
      <modifiedWord/>
      <trackRevisions>false</trackRevisions>
    </reviewItem>
    <reviewItem>
      <errorID>c876fcfc-d8d3-425f-af39-42a46f4685a8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200AFC3C</paraID>
      <start>491</start>
      <end>492</end>
      <status>unmodified</status>
      <modifiedWord/>
      <trackRevisions>false</trackRevisions>
    </reviewItem>
    <reviewItem>
      <errorID>3c678c2a-4e08-4de4-8582-39cddb9f3b6c</errorID>
      <errorWord>HZ</errorWord>
      <group>L1_Word</group>
      <groupName>字词问题</groupName>
      <ability>L2_Typo</ability>
      <abilityName>字词错误</abilityName>
      <candidateList>
        <item>Hz</item>
      </candidateList>
      <explain/>
      <paraID>200AFC3C</paraID>
      <start>545</start>
      <end>547</end>
      <status>unmodified</status>
      <modifiedWord/>
      <trackRevisions>false</trackRevisions>
    </reviewItem>
    <reviewItem>
      <errorID>de8d98c7-0df6-4780-ab9e-69d51eaca913</errorID>
      <errorWord>十字型</errorWord>
      <group>L1_Word</group>
      <groupName>字词问题</groupName>
      <ability>L2_Typo</ability>
      <abilityName>字词错误</abilityName>
      <candidateList>
        <item>十字形</item>
      </candidateList>
      <explain>存在发音相同字词的误用。</explain>
      <paraID>1F867B4D</paraID>
      <start>9</start>
      <end>12</end>
      <status>unmodified</status>
      <modifiedWord/>
      <trackRevisions>false</trackRevisions>
    </reviewItem>
    <reviewItem>
      <errorID>c6596d72-9b12-459c-b6c1-583972f19edc</errorID>
      <errorWord>(</errorWord>
      <group>L1_Format</group>
      <groupName>格式问题</groupName>
      <ability>L2_HalfPunc_CN</ability>
      <abilityName>全半角问题</abilityName>
      <candidateList>
        <item>（</item>
      </candidateList>
      <explain>文本全半角错误。</explain>
      <paraID>4C3DC41A</paraID>
      <start>22</start>
      <end>23</end>
      <status>unmodified</status>
      <modifiedWord/>
      <trackRevisions>false</trackRevisions>
    </reviewItem>
    <reviewItem>
      <errorID>fc396b6d-4c44-4718-bf7f-05e3878f453e</errorID>
      <errorWord>)</errorWord>
      <group>L1_Format</group>
      <groupName>格式问题</groupName>
      <ability>L2_HalfPunc_CN</ability>
      <abilityName>全半角问题</abilityName>
      <candidateList>
        <item>）</item>
      </candidateList>
      <explain>文本全半角错误。</explain>
      <paraID>4C3DC41A</paraID>
      <start>26</start>
      <end>27</end>
      <status>unmodified</status>
      <modifiedWord/>
      <trackRevisions>false</trackRevisions>
    </reviewItem>
    <reviewItem>
      <errorID>1c49128f-8b51-4167-808c-33dd6ca86974</errorID>
      <errorWord>,</errorWord>
      <group>L1_Format</group>
      <groupName>格式问题</groupName>
      <ability>L2_HalfPunc_CN</ability>
      <abilityName>全半角问题</abilityName>
      <candidateList>
        <item>，</item>
      </candidateList>
      <explain>文本全半角错误。</explain>
      <paraID>6AAC9293</paraID>
      <start>82</start>
      <end>83</end>
      <status>unmodified</status>
      <modifiedWord/>
      <trackRevisions>false</trackRevisions>
    </reviewItem>
    <reviewItem>
      <errorID>4071f527-cf27-4123-818e-07dca58ca34c</errorID>
      <errorWord>震荡</errorWord>
      <group>L1_Word</group>
      <groupName>字词问题</groupName>
      <ability>L2_Typo</ability>
      <abilityName>字词错误</abilityName>
      <candidateList>
        <item>振荡</item>
      </candidateList>
      <explain>存在发音相同字词的误用。</explain>
      <paraID>16158C67</paraID>
      <start>7</start>
      <end>9</end>
      <status>unmodified</status>
      <modifiedWord/>
      <trackRevisions>false</trackRevisions>
    </reviewItem>
    <reviewItem>
      <errorID>3d9d5667-f494-498d-bb64-98070a2b4eb9</errorID>
      <errorWord>rpm</errorWord>
      <group>L1_Knowledge</group>
      <groupName>知识性问题</groupName>
      <ability>L2_Knowledge</ability>
      <abilityName>其他知识</abilityName>
      <candidateList/>
      <explain>非法定单位</explain>
      <paraID>5EC0D52C</paraID>
      <start>18</start>
      <end>21</end>
      <status>unmodified</status>
      <modifiedWord/>
      <trackRevisions>false</trackRevisions>
    </reviewItem>
    <reviewItem>
      <errorID>a8c4b20c-27fc-4fca-b780-ea1d1be81445</errorID>
      <errorWord>rpm</errorWord>
      <group>L1_Knowledge</group>
      <groupName>知识性问题</groupName>
      <ability>L2_Knowledge</ability>
      <abilityName>其他知识</abilityName>
      <candidateList/>
      <explain>非法定单位</explain>
      <paraID>26BED72C</paraID>
      <start>14</start>
      <end>17</end>
      <status>unmodified</status>
      <modifiedWord/>
      <trackRevisions>false</trackRevisions>
    </reviewItem>
    <reviewItem>
      <errorID>0022340f-0c9a-4bbe-85a1-35cecf4db68f</errorID>
      <errorWord>kw</errorWord>
      <group>L1_Word</group>
      <groupName>字词问题</groupName>
      <ability>L2_Typo</ability>
      <abilityName>字词错误</abilityName>
      <candidateList>
        <item>kW</item>
      </candidateList>
      <explain/>
      <paraID> 359A18F</paraID>
      <start>14</start>
      <end>16</end>
      <status>unmodified</status>
      <modifiedWord/>
      <trackRevisions>false</trackRevisions>
    </reviewItem>
    <reviewItem>
      <errorID>88f050a7-c15e-4349-a3d7-31937579be7d</errorID>
      <errorWord>)</errorWord>
      <group>L1_Format</group>
      <groupName>格式问题</groupName>
      <ability>L2_HalfPunc_CN</ability>
      <abilityName>全半角问题</abilityName>
      <candidateList>
        <item>）</item>
      </candidateList>
      <explain>文本全半角错误。</explain>
      <paraID> 19186E6</paraID>
      <start>12</start>
      <end>13</end>
      <status>unmodified</status>
      <modifiedWord/>
      <trackRevisions>false</trackRevisions>
    </reviewItem>
    <reviewItem>
      <errorID>72898cb7-3b9b-44ee-b0b8-d9204021e4d1</errorID>
      <errorWord>KW</errorWord>
      <group>L1_Word</group>
      <groupName>字词问题</groupName>
      <ability>L2_Typo</ability>
      <abilityName>字词错误</abilityName>
      <candidateList>
        <item>kW</item>
      </candidateList>
      <explain/>
      <paraID>3C0BE74D</paraID>
      <start>12</start>
      <end>14</end>
      <status>unmodified</status>
      <modifiedWord/>
      <trackRevisions>false</trackRevisions>
    </reviewItem>
    <reviewItem>
      <errorID>aea0004d-f194-4e48-8032-95eab16b411a</errorID>
      <errorWord>(</errorWord>
      <group>L1_Format</group>
      <groupName>格式问题</groupName>
      <ability>L2_HalfPunc_CN</ability>
      <abilityName>全半角问题</abilityName>
      <candidateList>
        <item>（</item>
      </candidateList>
      <explain>文本全半角错误。</explain>
      <paraID>2FB54346</paraID>
      <start>8</start>
      <end>9</end>
      <status>unmodified</status>
      <modifiedWord/>
      <trackRevisions>false</trackRevisions>
    </reviewItem>
    <reviewItem>
      <errorID>efcec3b3-7c59-40f7-af36-225b33b3d560</errorID>
      <errorWord>)</errorWord>
      <group>L1_Format</group>
      <groupName>格式问题</groupName>
      <ability>L2_HalfPunc_CN</ability>
      <abilityName>全半角问题</abilityName>
      <candidateList>
        <item>）</item>
      </candidateList>
      <explain>文本全半角错误。</explain>
      <paraID>2FB54346</paraID>
      <start>14</start>
      <end>15</end>
      <status>unmodified</status>
      <modifiedWord/>
      <trackRevisions>false</trackRevisions>
    </reviewItem>
    <reviewItem>
      <errorID>0e7dabb3-e84e-4393-9731-3f5a2b5b47c6</errorID>
      <errorWord>:</errorWord>
      <group>L1_Format</group>
      <groupName>格式问题</groupName>
      <ability>L2_HalfPunc_CN</ability>
      <abilityName>全半角问题</abilityName>
      <candidateList>
        <item>：</item>
      </candidateList>
      <explain>文本全半角错误。</explain>
      <paraID>7257D032</paraID>
      <start>6</start>
      <end>7</end>
      <status>unmodified</status>
      <modifiedWord/>
      <trackRevisions>false</trackRevisions>
    </reviewItem>
    <reviewItem>
      <errorID>3a302f15-a381-42db-a76a-6ea27419aa6f</errorID>
      <errorWord>:</errorWord>
      <group>L1_Format</group>
      <groupName>格式问题</groupName>
      <ability>L2_HalfPunc_CN</ability>
      <abilityName>全半角问题</abilityName>
      <candidateList>
        <item>：</item>
      </candidateList>
      <explain>文本全半角错误。</explain>
      <paraID>7257D032</paraID>
      <start>9</start>
      <end>10</end>
      <status>unmodified</status>
      <modifiedWord/>
      <trackRevisions>false</trackRevisions>
    </reviewItem>
    <reviewItem>
      <errorID>e46ae55c-a058-465a-8c14-a3319c3b3702</errorID>
      <errorWord>:</errorWord>
      <group>L1_Format</group>
      <groupName>格式问题</groupName>
      <ability>L2_HalfPunc_CN</ability>
      <abilityName>全半角问题</abilityName>
      <candidateList>
        <item>：</item>
      </candidateList>
      <explain>文本全半角错误。</explain>
      <paraID>2DDAF3B1</paraID>
      <start>10</start>
      <end>11</end>
      <status>unmodified</status>
      <modifiedWord/>
      <trackRevisions>false</trackRevisions>
    </reviewItem>
    <reviewItem>
      <errorID>e8996d32-c494-42df-bd34-4612cfac9452</errorID>
      <errorWord>:</errorWord>
      <group>L1_Format</group>
      <groupName>格式问题</groupName>
      <ability>L2_HalfPunc_CN</ability>
      <abilityName>全半角问题</abilityName>
      <candidateList>
        <item>：</item>
      </candidateList>
      <explain>文本全半角错误。</explain>
      <paraID>43C3ABEF</paraID>
      <start>13</start>
      <end>14</end>
      <status>unmodified</status>
      <modifiedWord/>
      <trackRevisions>false</trackRevisions>
    </reviewItem>
    <reviewItem>
      <errorID>a2bf5034-5020-4fed-8c5f-138c965a5727</errorID>
      <errorWord>:</errorWord>
      <group>L1_Format</group>
      <groupName>格式问题</groupName>
      <ability>L2_HalfPunc_CN</ability>
      <abilityName>全半角问题</abilityName>
      <candidateList>
        <item>：</item>
      </candidateList>
      <explain>文本全半角错误。</explain>
      <paraID>44A7D979</paraID>
      <start>6</start>
      <end>7</end>
      <status>unmodified</status>
      <modifiedWord/>
      <trackRevisions>false</trackRevisions>
    </reviewItem>
    <reviewItem>
      <errorID>89a01981-f529-4ac1-9745-657ae388935e</errorID>
      <errorWord>:</errorWord>
      <group>L1_Format</group>
      <groupName>格式问题</groupName>
      <ability>L2_HalfPunc_CN</ability>
      <abilityName>全半角问题</abilityName>
      <candidateList>
        <item>：</item>
      </candidateList>
      <explain>文本全半角错误。</explain>
      <paraID>44A7D979</paraID>
      <start>9</start>
      <end>10</end>
      <status>unmodified</status>
      <modifiedWord/>
      <trackRevisions>false</trackRevisions>
    </reviewItem>
    <reviewItem>
      <errorID>a29e3589-799a-44fa-a5b8-77b677d4da70</errorID>
      <errorWord>:</errorWord>
      <group>L1_Format</group>
      <groupName>格式问题</groupName>
      <ability>L2_HalfPunc_CN</ability>
      <abilityName>全半角问题</abilityName>
      <candidateList>
        <item>：</item>
      </candidateList>
      <explain>文本全半角错误。</explain>
      <paraID>764ED524</paraID>
      <start>10</start>
      <end>11</end>
      <status>unmodified</status>
      <modifiedWord/>
      <trackRevisions>false</trackRevisions>
    </reviewItem>
    <reviewItem>
      <errorID>d894db9a-4bac-4e59-a986-656c73d8a153</errorID>
      <errorWord>:</errorWord>
      <group>L1_Format</group>
      <groupName>格式问题</groupName>
      <ability>L2_HalfPunc_CN</ability>
      <abilityName>全半角问题</abilityName>
      <candidateList>
        <item>：</item>
      </candidateList>
      <explain>文本全半角错误。</explain>
      <paraID>4953AC48</paraID>
      <start>13</start>
      <end>14</end>
      <status>unmodified</status>
      <modifiedWord/>
      <trackRevisions>false</trackRevisions>
    </reviewItem>
    <reviewItem>
      <errorID>20a30ebd-92fe-4a7d-9bf7-0e43d3079c4f</errorID>
      <errorWord>:</errorWord>
      <group>L1_Format</group>
      <groupName>格式问题</groupName>
      <ability>L2_HalfPunc_CN</ability>
      <abilityName>全半角问题</abilityName>
      <candidateList>
        <item>：</item>
      </candidateList>
      <explain>文本全半角错误。</explain>
      <paraID>4953AC48</paraID>
      <start>25</start>
      <end>26</end>
      <status>unmodified</status>
      <modifiedWord/>
      <trackRevisions>false</trackRevisions>
    </reviewItem>
    <reviewItem>
      <errorID>6392aa93-2ee3-44f7-adf0-21d0dbca536b</errorID>
      <errorWord>(</errorWord>
      <group>L1_Format</group>
      <groupName>格式问题</groupName>
      <ability>L2_HalfPunc_CN</ability>
      <abilityName>全半角问题</abilityName>
      <candidateList>
        <item>（</item>
      </candidateList>
      <explain>文本全半角错误。</explain>
      <paraID>4953AC48</paraID>
      <start>31</start>
      <end>32</end>
      <status>unmodified</status>
      <modifiedWord/>
      <trackRevisions>false</trackRevisions>
    </reviewItem>
    <reviewItem>
      <errorID>8220448a-6cd6-49dc-a901-df0a8316c441</errorID>
      <errorWord>(</errorWord>
      <group>L1_Punc</group>
      <groupName>标点问题</groupName>
      <ability>L2_Punc_CN</ability>
      <abilityName>标点符号问题</abilityName>
      <candidateList/>
      <explain>同一形式括号套用。</explain>
      <paraID>4953AC48</paraID>
      <start>37</start>
      <end>38</end>
      <status>unmodified</status>
      <modifiedWord/>
      <trackRevisions>false</trackRevisions>
    </reviewItem>
    <reviewItem>
      <errorID>e3260af8-216e-45e7-bc83-8aa1cf913815</errorID>
      <errorWord>)</errorWord>
      <group>L1_Punc</group>
      <groupName>标点问题</groupName>
      <ability>L2_Punc_CN</ability>
      <abilityName>标点符号问题</abilityName>
      <candidateList/>
      <explain>同一形式括号套用。</explain>
      <paraID>4953AC48</paraID>
      <start>45</start>
      <end>46</end>
      <status>unmodified</status>
      <modifiedWord/>
      <trackRevisions>false</trackRevisions>
    </reviewItem>
    <reviewItem>
      <errorID>6776fa69-0e74-4f8e-8d26-9fcfa1ec5339</errorID>
      <errorWord>(</errorWord>
      <group>L1_Format</group>
      <groupName>格式问题</groupName>
      <ability>L2_HalfPunc_CN</ability>
      <abilityName>全半角问题</abilityName>
      <candidateList>
        <item>（</item>
      </candidateList>
      <explain>文本全半角错误。</explain>
      <paraID>4953AC48</paraID>
      <start>62</start>
      <end>63</end>
      <status>unmodified</status>
      <modifiedWord/>
      <trackRevisions>false</trackRevisions>
    </reviewItem>
    <reviewItem>
      <errorID>586c134f-9824-409a-8c07-ad44f4bf165e</errorID>
      <errorWord>)</errorWord>
      <group>L1_Format</group>
      <groupName>格式问题</groupName>
      <ability>L2_HalfPunc_CN</ability>
      <abilityName>全半角问题</abilityName>
      <candidateList>
        <item>）</item>
      </candidateList>
      <explain>文本全半角错误。</explain>
      <paraID>4953AC48</paraID>
      <start>71</start>
      <end>72</end>
      <status>unmodified</status>
      <modifiedWord/>
      <trackRevisions>false</trackRevisions>
    </reviewItem>
    <reviewItem>
      <errorID>72be2d2b-c603-48e4-81f4-ed2eaa0be1bd</errorID>
      <errorWord>(</errorWord>
      <group>L1_Format</group>
      <groupName>格式问题</groupName>
      <ability>L2_HalfPunc_CN</ability>
      <abilityName>全半角问题</abilityName>
      <candidateList>
        <item>（</item>
      </candidateList>
      <explain>文本全半角错误。</explain>
      <paraID>4953AC48</paraID>
      <start>75</start>
      <end>76</end>
      <status>unmodified</status>
      <modifiedWord/>
      <trackRevisions>false</trackRevisions>
    </reviewItem>
    <reviewItem>
      <errorID>249df6a1-c346-4955-b32e-e6c67361787d</errorID>
      <errorWord>)</errorWord>
      <group>L1_Format</group>
      <groupName>格式问题</groupName>
      <ability>L2_HalfPunc_CN</ability>
      <abilityName>全半角问题</abilityName>
      <candidateList>
        <item>）</item>
      </candidateList>
      <explain>文本全半角错误。</explain>
      <paraID>4953AC48</paraID>
      <start>78</start>
      <end>79</end>
      <status>unmodified</status>
      <modifiedWord/>
      <trackRevisions>false</trackRevisions>
    </reviewItem>
    <reviewItem>
      <errorID>967d93a5-b166-4067-9863-a3f1240d8ef5</errorID>
      <errorWord>(</errorWord>
      <group>L1_Format</group>
      <groupName>格式问题</groupName>
      <ability>L2_HalfPunc_CN</ability>
      <abilityName>全半角问题</abilityName>
      <candidateList>
        <item>（</item>
      </candidateList>
      <explain>文本全半角错误。</explain>
      <paraID>4953AC48</paraID>
      <start>103</start>
      <end>104</end>
      <status>unmodified</status>
      <modifiedWord/>
      <trackRevisions>false</trackRevisions>
    </reviewItem>
    <reviewItem>
      <errorID>bae336b9-240d-44ea-adb7-079ffa280490</errorID>
      <errorWord>)</errorWord>
      <group>L1_Format</group>
      <groupName>格式问题</groupName>
      <ability>L2_HalfPunc_CN</ability>
      <abilityName>全半角问题</abilityName>
      <candidateList>
        <item>）</item>
      </candidateList>
      <explain>文本全半角错误。</explain>
      <paraID>4953AC48</paraID>
      <start>112</start>
      <end>113</end>
      <status>unmodified</status>
      <modifiedWord/>
      <trackRevisions>false</trackRevisions>
    </reviewItem>
    <reviewItem>
      <errorID>4ca3bea3-129d-4276-9a7b-e7a354843846</errorID>
      <errorWord>(</errorWord>
      <group>L1_Format</group>
      <groupName>格式问题</groupName>
      <ability>L2_HalfPunc_CN</ability>
      <abilityName>全半角问题</abilityName>
      <candidateList>
        <item>（</item>
      </candidateList>
      <explain>文本全半角错误。</explain>
      <paraID>4953AC48</paraID>
      <start>116</start>
      <end>117</end>
      <status>unmodified</status>
      <modifiedWord/>
      <trackRevisions>false</trackRevisions>
    </reviewItem>
    <reviewItem>
      <errorID>caad3df0-5ed8-4247-9820-ffa08211cb10</errorID>
      <errorWord>)</errorWord>
      <group>L1_Format</group>
      <groupName>格式问题</groupName>
      <ability>L2_HalfPunc_CN</ability>
      <abilityName>全半角问题</abilityName>
      <candidateList>
        <item>）</item>
      </candidateList>
      <explain>文本全半角错误。</explain>
      <paraID>4953AC48</paraID>
      <start>119</start>
      <end>120</end>
      <status>unmodified</status>
      <modifiedWord/>
      <trackRevisions>false</trackRevisions>
    </reviewItem>
    <reviewItem>
      <errorID>d28dcfa2-d9ee-45c5-9093-3584c6a0b9b3</errorID>
      <errorWord>WiFi</errorWord>
      <group>L1_Punc</group>
      <groupName>标点问题</groupName>
      <ability>L2_Punc_CN</ability>
      <abilityName>标点符号问题</abilityName>
      <candidateList>
        <item>Wi-Fi</item>
      </candidateList>
      <explain/>
      <paraID>5E474134</paraID>
      <start>501</start>
      <end>505</end>
      <status>unmodified</status>
      <modifiedWord/>
      <trackRevisions>false</trackRevisions>
    </reviewItem>
    <reviewItem>
      <errorID>b443780f-5c5b-4b95-a77e-4c4760d3d629</errorID>
      <errorWord>,</errorWord>
      <group>L1_Format</group>
      <groupName>格式问题</groupName>
      <ability>L2_HalfPunc_CN</ability>
      <abilityName>全半角问题</abilityName>
      <candidateList>
        <item>，</item>
      </candidateList>
      <explain>文本全半角错误。</explain>
      <paraID>5E474134</paraID>
      <start>536</start>
      <end>537</end>
      <status>unmodified</status>
      <modifiedWord/>
      <trackRevisions>false</trackRevisions>
    </reviewItem>
    <reviewItem>
      <errorID>95bbf19c-28b5-4bd0-a0ef-bfa9eead146f</errorID>
      <errorWord>。。</errorWord>
      <group>L1_Punc</group>
      <groupName>标点问题</groupName>
      <ability>L2_Punc_CN</ability>
      <abilityName>标点符号问题</abilityName>
      <candidateList>
        <item>。</item>
      </candidateList>
      <explain/>
      <paraID>5E474134</paraID>
      <start>628</start>
      <end>630</end>
      <status>unmodified</status>
      <modifiedWord/>
      <trackRevisions>false</trackRevisions>
    </reviewItem>
    <reviewItem>
      <errorID>8e5aa85b-f44e-4362-8ae6-c4099680b81c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4C8B5799</paraID>
      <start>0</start>
      <end>3</end>
      <status>unmodified</status>
      <modifiedWord/>
      <trackRevisions>false</trackRevisions>
    </reviewItem>
    <reviewItem>
      <errorID>b3f4f0a2-b7ab-4da0-8c84-a091d2e4161c</errorID>
      <errorWord>飘移</errorWord>
      <group>L1_Word</group>
      <groupName>字词问题</groupName>
      <ability>L2_Typo</ability>
      <abilityName>字词错误</abilityName>
      <candidateList>
        <item>漂移</item>
      </candidateList>
      <explain>存在发音相同字词的误用。</explain>
      <paraID>4C8B5799</paraID>
      <start>18</start>
      <end>20</end>
      <status>unmodified</status>
      <modifiedWord/>
      <trackRevisions>false</trackRevisions>
    </reviewItem>
    <reviewItem>
      <errorID>2727ea7a-b578-4fed-9644-8b127665280e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370B1EE6</paraID>
      <start>0</start>
      <end>3</end>
      <status>unmodified</status>
      <modifiedWord/>
      <trackRevisions>false</trackRevisions>
    </reviewItem>
    <reviewItem>
      <errorID>66a9fc0b-9042-412c-95dd-f7a5ec5a2572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6EA6AB43</paraID>
      <start>0</start>
      <end>3</end>
      <status>unmodified</status>
      <modifiedWord/>
      <trackRevisions>false</trackRevisions>
    </reviewItem>
    <reviewItem>
      <errorID>fad9790f-d604-4262-bf9f-bb3ba801dcbe</errorID>
      <errorWord>Ph值</errorWord>
      <group>L1_Word</group>
      <groupName>字词问题</groupName>
      <ability>L2_Typo</ability>
      <abilityName>字词错误</abilityName>
      <candidateList>
        <item>pH值</item>
      </candidateList>
      <explain/>
      <paraID>6EA6AB43</paraID>
      <start>18</start>
      <end>21</end>
      <status>unmodified</status>
      <modifiedWord/>
      <trackRevisions>false</trackRevisions>
    </reviewItem>
    <reviewItem>
      <errorID>62bb28fb-dc40-4b49-8713-5490e3cd8d87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7D35AD63</paraID>
      <start>0</start>
      <end>3</end>
      <status>unmodified</status>
      <modifiedWord/>
      <trackRevisions>false</trackRevisions>
    </reviewItem>
    <reviewItem>
      <errorID>4506f6df-0005-46cc-a852-79b8613d428b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7BEA24BF</paraID>
      <start>0</start>
      <end>3</end>
      <status>unmodified</status>
      <modifiedWord/>
      <trackRevisions>false</trackRevisions>
    </reviewItem>
    <reviewItem>
      <errorID>8df30be3-66c7-4d09-af41-b134a382367a</errorID>
      <errorWord>(</errorWord>
      <group>L1_Format</group>
      <groupName>格式问题</groupName>
      <ability>L2_HalfPunc_CN</ability>
      <abilityName>全半角问题</abilityName>
      <candidateList>
        <item>（</item>
      </candidateList>
      <explain>文本全半角错误。</explain>
      <paraID>5CF94B9A</paraID>
      <start>0</start>
      <end>1</end>
      <status>unmodified</status>
      <modifiedWord/>
      <trackRevisions>false</trackRevisions>
    </reviewItem>
    <reviewItem>
      <errorID>bfcc281a-5c2c-432e-acec-ba95c8d2f046</errorID>
      <errorWord>)</errorWord>
      <group>L1_Format</group>
      <groupName>格式问题</groupName>
      <ability>L2_HalfPunc_CN</ability>
      <abilityName>全半角问题</abilityName>
      <candidateList>
        <item>）</item>
      </candidateList>
      <explain>文本全半角错误。</explain>
      <paraID>5CF94B9A</paraID>
      <start>2</start>
      <end>3</end>
      <status>unmodified</status>
      <modifiedWord/>
      <trackRevisions>false</trackRevisions>
    </reviewItem>
    <reviewItem>
      <errorID>8d3758dd-0da4-43e4-816e-79f89c382429</errorID>
      <errorWord>(</errorWord>
      <group>L1_Format</group>
      <groupName>格式问题</groupName>
      <ability>L2_HalfPunc_CN</ability>
      <abilityName>全半角问题</abilityName>
      <candidateList>
        <item>（</item>
      </candidateList>
      <explain>文本全半角错误。</explain>
      <paraID>74636FAD</paraID>
      <start>0</start>
      <end>1</end>
      <status>unmodified</status>
      <modifiedWord/>
      <trackRevisions>false</trackRevisions>
    </reviewItem>
    <reviewItem>
      <errorID>348becb8-6258-4dba-9884-9190e28244b2</errorID>
      <errorWord>)</errorWord>
      <group>L1_Format</group>
      <groupName>格式问题</groupName>
      <ability>L2_HalfPunc_CN</ability>
      <abilityName>全半角问题</abilityName>
      <candidateList>
        <item>）</item>
      </candidateList>
      <explain>文本全半角错误。</explain>
      <paraID>74636FAD</paraID>
      <start>2</start>
      <end>3</end>
      <status>unmodified</status>
      <modifiedWord/>
      <trackRevisions>false</trackRevisions>
    </reviewItem>
    <reviewItem>
      <errorID>6e3da492-074c-4811-8c88-8ffa197ec4a6</errorID>
      <errorWord>成份</errorWord>
      <group>L1_Knowledge</group>
      <groupName>知识性问题</groupName>
      <ability>L2_Knowledge</ability>
      <abilityName>其他知识</abilityName>
      <candidateList>
        <item>成分</item>
      </candidateList>
      <explain/>
      <paraID> 634E463</paraID>
      <start>80</start>
      <end>82</end>
      <status>unmodified</status>
      <modifiedWord/>
      <trackRevisions>false</trackRevisions>
    </reviewItem>
    <reviewItem>
      <errorID>65966c50-8fa0-4384-97c7-bc0862166bc9</errorID>
      <errorWord>~</errorWord>
      <group>L1_Format</group>
      <groupName>格式问题</groupName>
      <ability>L2_HalfPunc_CN</ability>
      <abilityName>全半角问题</abilityName>
      <candidateList>
        <item>～</item>
      </candidateList>
      <explain>文本全半角错误。</explain>
      <paraID> 634E463</paraID>
      <start>246</start>
      <end>247</end>
      <status>unmodified</status>
      <modifiedWord/>
      <trackRevisions>false</trackRevisions>
    </reviewItem>
    <reviewItem>
      <errorID>e1ecdb67-ba34-4730-8568-75c3eac63334</errorID>
      <errorWord>式</errorWord>
      <group>L1_Word</group>
      <groupName>字词问题</groupName>
      <ability>L2_Typo</ability>
      <abilityName>字词错误</abilityName>
      <candidateList>
        <item>式为</item>
      </candidateList>
      <explain/>
      <paraID> 634E463</paraID>
      <start>359</start>
      <end>360</end>
      <status>unmodified</status>
      <modifiedWord/>
      <trackRevisions>false</trackRevisions>
    </reviewItem>
    <reviewItem>
      <errorID>81f316e9-fba8-4432-b870-11e58483c45e</errorID>
      <errorWord>等捷</errorWord>
      <group>L1_Word</group>
      <groupName>字词问题</groupName>
      <ability>L2_Typo</ability>
      <abilityName>字词错误</abilityName>
      <candidateList>
        <item>等</item>
      </candidateList>
      <explain/>
      <paraID> 634E463</paraID>
      <start>528</start>
      <end>530</end>
      <status>unmodified</status>
      <modifiedWord/>
      <trackRevisions>false</trackRevisions>
    </reviewItem>
    <reviewItem>
      <errorID>45f4e990-8d4d-484e-8fb0-1ed2405cacd6</errorID>
      <errorWord>度</errorWord>
      <group>L1_Word</group>
      <groupName>字词问题</groupName>
      <ability>L2_Typo</ability>
      <abilityName>字词错误</abilityName>
      <candidateList>
        <item>度等</item>
      </candidateList>
      <explain/>
      <paraID> 634E463</paraID>
      <start>591</start>
      <end>592</end>
      <status>unmodified</status>
      <modifiedWord/>
      <trackRevisions>false</trackRevisions>
    </reviewItem>
    <reviewItem>
      <errorID>0e013a3e-546f-46bc-9a72-c916bfb1c31c</errorID>
      <errorWord>0.00-100.00%</errorWord>
      <group>L1_Knowledge</group>
      <groupName>知识性问题</groupName>
      <ability>L2_Knowledge</ability>
      <abilityName>其他知识</abilityName>
      <candidateList>
        <item>0.00—100.00%</item>
      </candidateList>
      <explain>1. “0.00-100.00%”中的单位“%”仅出现在后一个数字上，容易引起歧义；根据《现代汉语标点符号数字用法规范手册》，数字表示范围两边需要使用统一的格式。2. 根据标点国标 4.13 中的规则，数字、时间或地域连接符应使用（视觉上更长的）“—”或“～”。</explain>
      <paraID>140BF879</paraID>
      <start>11</start>
      <end>23</end>
      <status>unmodified</status>
      <modifiedWord/>
      <trackRevisions>false</trackRevisions>
    </reviewItem>
    <reviewItem>
      <errorID>83299ba6-c636-404f-b5d9-6e09396570eb</errorID>
      <errorWord>大大</errorWord>
      <group>L1_Grammar</group>
      <groupName>语法问题</groupName>
      <ability>L2_Grammar</ability>
      <abilityName>语法错误</abilityName>
      <candidateList>
        <item>大幅</item>
      </candidateList>
      <explain>“大大～提升”搭配不当，建议修改为“大幅～提升”。</explain>
      <paraID>63081D8C</paraID>
      <start>310</start>
      <end>312</end>
      <status>unmodified</status>
      <modifiedWord/>
      <trackRevisions>false</trackRevisions>
    </reviewItem>
    <reviewItem>
      <errorID>a7a87ad1-5a08-4702-a0ab-30b977f2d042</errorID>
      <errorWord>3-4小时</errorWord>
      <group>L1_Word</group>
      <groupName>字词问题</groupName>
      <ability>L2_Typo</ability>
      <abilityName>字词错误</abilityName>
      <candidateList>
        <item>3～4小时</item>
      </candidateList>
      <explain/>
      <paraID>1BA761BF</paraID>
      <start>18</start>
      <end>23</end>
      <status>unmodified</status>
      <modifiedWord/>
      <trackRevisions>false</trackRevisions>
    </reviewItem>
    <reviewItem>
      <errorID>4d0a636a-8d60-4a35-ae93-46e66ba3ebb7</errorID>
      <errorWord>0.0~99.9%</errorWord>
      <group>L1_Knowledge</group>
      <groupName>知识性问题</groupName>
      <ability>L2_Knowledge</ability>
      <abilityName>其他知识</abilityName>
      <candidateList>
        <item>0.0～99.9%</item>
      </candidateList>
      <explain>1. “0.0~99.9%”中的单位“%”仅出现在后一个数字上，容易引起歧义；根据《现代汉语标点符号数字用法规范手册》，数字表示范围两边需要使用统一的格式。2. 根据标点国标 4.13 中的规则，数字、时间或地域连接符应使用（视觉上更长的）“—”或“～”。</explain>
      <paraID>7EF56562</paraID>
      <start>7</start>
      <end>16</end>
      <status>unmodified</status>
      <modifiedWord/>
      <trackRevisions>false</trackRevisions>
    </reviewItem>
    <reviewItem>
      <errorID>baf1aa93-64b9-44a3-9f9c-504c15fdc2a9</errorID>
      <errorWord>(</errorWord>
      <group>L1_Format</group>
      <groupName>格式问题</groupName>
      <ability>L2_HalfPunc_CN</ability>
      <abilityName>全半角问题</abilityName>
      <candidateList>
        <item>（</item>
      </candidateList>
      <explain>文本全半角错误。</explain>
      <paraID> B4E36F9</paraID>
      <start>14</start>
      <end>15</end>
      <status>unmodified</status>
      <modifiedWord/>
      <trackRevisions>false</trackRevisions>
    </reviewItem>
    <reviewItem>
      <errorID>14668351-a724-426d-b373-2bd1d4e8e542</errorID>
      <errorWord>)</errorWord>
      <group>L1_Format</group>
      <groupName>格式问题</groupName>
      <ability>L2_HalfPunc_CN</ability>
      <abilityName>全半角问题</abilityName>
      <candidateList>
        <item>）</item>
      </candidateList>
      <explain>文本全半角错误。</explain>
      <paraID> B4E36F9</paraID>
      <start>30</start>
      <end>31</end>
      <status>unmodified</status>
      <modifiedWord/>
      <trackRevisions>false</trackRevisions>
    </reviewItem>
    <reviewItem>
      <errorID>f44d3cf3-d653-4f26-96c1-b13c24639efb</errorID>
      <errorWord>(</errorWord>
      <group>L1_Format</group>
      <groupName>格式问题</groupName>
      <ability>L2_HalfPunc_CN</ability>
      <abilityName>全半角问题</abilityName>
      <candidateList>
        <item>（</item>
      </candidateList>
      <explain>文本全半角错误。</explain>
      <paraID>1312213C</paraID>
      <start>15</start>
      <end>16</end>
      <status>unmodified</status>
      <modifiedWord/>
      <trackRevisions>false</trackRevisions>
    </reviewItem>
    <reviewItem>
      <errorID>3356f3b5-2acf-4a74-94e1-5429f4b43f90</errorID>
      <errorWord>)</errorWord>
      <group>L1_Format</group>
      <groupName>格式问题</groupName>
      <ability>L2_HalfPunc_CN</ability>
      <abilityName>全半角问题</abilityName>
      <candidateList>
        <item>）</item>
      </candidateList>
      <explain>文本全半角错误。</explain>
      <paraID>1312213C</paraID>
      <start>31</start>
      <end>32</end>
      <status>unmodified</status>
      <modifiedWord/>
      <trackRevisions>false</trackRevisions>
    </reviewItem>
    <reviewItem>
      <errorID>e12aab42-8e60-4898-9d19-4cca4e328601</errorID>
      <errorWord>:</errorWord>
      <group>L1_Format</group>
      <groupName>格式问题</groupName>
      <ability>L2_HalfPunc_CN</ability>
      <abilityName>全半角问题</abilityName>
      <candidateList>
        <item>：</item>
      </candidateList>
      <explain>文本全半角错误。</explain>
      <paraID>66D26C31</paraID>
      <start>8</start>
      <end>9</end>
      <status>unmodified</status>
      <modifiedWord/>
      <trackRevisions>false</trackRevisions>
    </reviewItem>
    <reviewItem>
      <errorID>f1e117bc-1b0e-4b22-9e99-b16a8981cb1e</errorID>
      <errorWord>(</errorWord>
      <group>L1_Format</group>
      <groupName>格式问题</groupName>
      <ability>L2_HalfPunc_CN</ability>
      <abilityName>全半角问题</abilityName>
      <candidateList>
        <item>（</item>
      </candidateList>
      <explain>文本全半角错误。</explain>
      <paraID>66D26C31</paraID>
      <start>68</start>
      <end>69</end>
      <status>unmodified</status>
      <modifiedWord/>
      <trackRevisions>false</trackRevisions>
    </reviewItem>
    <reviewItem>
      <errorID>4985e06f-24be-43d2-a66e-094bc51833d7</errorID>
      <errorWord>)</errorWord>
      <group>L1_Format</group>
      <groupName>格式问题</groupName>
      <ability>L2_HalfPunc_CN</ability>
      <abilityName>全半角问题</abilityName>
      <candidateList>
        <item>）</item>
      </candidateList>
      <explain>文本全半角错误。</explain>
      <paraID>66D26C31</paraID>
      <start>72</start>
      <end>73</end>
      <status>unmodified</status>
      <modifiedWord/>
      <trackRevisions>false</trackRevisions>
    </reviewItem>
    <reviewItem>
      <errorID>52dd701b-3610-46d2-ae53-d25c371bf37a</errorID>
      <errorWord>(</errorWord>
      <group>L1_Format</group>
      <groupName>格式问题</groupName>
      <ability>L2_HalfPunc_CN</ability>
      <abilityName>全半角问题</abilityName>
      <candidateList>
        <item>（</item>
      </candidateList>
      <explain>文本全半角错误。</explain>
      <paraID>66D26C31</paraID>
      <start>78</start>
      <end>79</end>
      <status>unmodified</status>
      <modifiedWord/>
      <trackRevisions>false</trackRevisions>
    </reviewItem>
    <reviewItem>
      <errorID>379da67d-ece5-470f-a1ba-ba2250790d85</errorID>
      <errorWord>)</errorWord>
      <group>L1_Format</group>
      <groupName>格式问题</groupName>
      <ability>L2_HalfPunc_CN</ability>
      <abilityName>全半角问题</abilityName>
      <candidateList>
        <item>）</item>
      </candidateList>
      <explain>文本全半角错误。</explain>
      <paraID>66D26C31</paraID>
      <start>81</start>
      <end>82</end>
      <status>unmodified</status>
      <modifiedWord/>
      <trackRevisions>false</trackRevisions>
    </reviewItem>
    <reviewItem>
      <errorID>c7c1b0e7-292e-421a-8c45-9f4d7f1c562a</errorID>
      <errorWord>(</errorWord>
      <group>L1_Format</group>
      <groupName>格式问题</groupName>
      <ability>L2_HalfPunc_CN</ability>
      <abilityName>全半角问题</abilityName>
      <candidateList>
        <item>（</item>
      </candidateList>
      <explain>文本全半角错误。</explain>
      <paraID>66D26C31</paraID>
      <start>90</start>
      <end>91</end>
      <status>unmodified</status>
      <modifiedWord/>
      <trackRevisions>false</trackRevisions>
    </reviewItem>
    <reviewItem>
      <errorID>d0d65bb2-e666-485d-adf9-e19fa8333131</errorID>
      <errorWord>)</errorWord>
      <group>L1_Format</group>
      <groupName>格式问题</groupName>
      <ability>L2_HalfPunc_CN</ability>
      <abilityName>全半角问题</abilityName>
      <candidateList>
        <item>）</item>
      </candidateList>
      <explain>文本全半角错误。</explain>
      <paraID>66D26C31</paraID>
      <start>94</start>
      <end>95</end>
      <status>unmodified</status>
      <modifiedWord/>
      <trackRevisions>false</trackRevisions>
    </reviewItem>
    <reviewItem>
      <errorID>91e80868-f82b-493a-89bb-605876a9058b</errorID>
      <errorWord>(</errorWord>
      <group>L1_Format</group>
      <groupName>格式问题</groupName>
      <ability>L2_HalfPunc_CN</ability>
      <abilityName>全半角问题</abilityName>
      <candidateList>
        <item>（</item>
      </candidateList>
      <explain>文本全半角错误。</explain>
      <paraID>66D26C31</paraID>
      <start>100</start>
      <end>101</end>
      <status>unmodified</status>
      <modifiedWord/>
      <trackRevisions>false</trackRevisions>
    </reviewItem>
    <reviewItem>
      <errorID>4abe5812-6fb0-4f98-9892-cf83b84719e7</errorID>
      <errorWord>)</errorWord>
      <group>L1_Format</group>
      <groupName>格式问题</groupName>
      <ability>L2_HalfPunc_CN</ability>
      <abilityName>全半角问题</abilityName>
      <candidateList>
        <item>）</item>
      </candidateList>
      <explain>文本全半角错误。</explain>
      <paraID>66D26C31</paraID>
      <start>103</start>
      <end>104</end>
      <status>unmodified</status>
      <modifiedWord/>
      <trackRevisions>false</trackRevisions>
    </reviewItem>
    <reviewItem>
      <errorID>4b7f429c-f6b0-482a-ae01-e3a824865c37</errorID>
      <errorWord>(</errorWord>
      <group>L1_Format</group>
      <groupName>格式问题</groupName>
      <ability>L2_HalfPunc_CN</ability>
      <abilityName>全半角问题</abilityName>
      <candidateList>
        <item>（</item>
      </candidateList>
      <explain>文本全半角错误。</explain>
      <paraID>66D26C31</paraID>
      <start>109</start>
      <end>110</end>
      <status>unmodified</status>
      <modifiedWord/>
      <trackRevisions>false</trackRevisions>
    </reviewItem>
    <reviewItem>
      <errorID>3d1c8ce9-4e72-455e-9013-368bc7240153</errorID>
      <errorWord>)</errorWord>
      <group>L1_Format</group>
      <groupName>格式问题</groupName>
      <ability>L2_HalfPunc_CN</ability>
      <abilityName>全半角问题</abilityName>
      <candidateList>
        <item>）</item>
      </candidateList>
      <explain>文本全半角错误。</explain>
      <paraID>66D26C31</paraID>
      <start>112</start>
      <end>113</end>
      <status>unmodified</status>
      <modifiedWord/>
      <trackRevisions>false</trackRevisions>
    </reviewItem>
    <reviewItem>
      <errorID>bd71e86e-f850-4bfb-b7bb-60fa79f778ee</errorID>
      <errorWord>(</errorWord>
      <group>L1_Format</group>
      <groupName>格式问题</groupName>
      <ability>L2_HalfPunc_CN</ability>
      <abilityName>全半角问题</abilityName>
      <candidateList>
        <item>（</item>
      </candidateList>
      <explain>文本全半角错误。</explain>
      <paraID>66D26C31</paraID>
      <start>121</start>
      <end>122</end>
      <status>unmodified</status>
      <modifiedWord/>
      <trackRevisions>false</trackRevisions>
    </reviewItem>
    <reviewItem>
      <errorID>0ffee72d-95a5-47b8-9479-bcf5d97ecf33</errorID>
      <errorWord>)</errorWord>
      <group>L1_Format</group>
      <groupName>格式问题</groupName>
      <ability>L2_HalfPunc_CN</ability>
      <abilityName>全半角问题</abilityName>
      <candidateList>
        <item>）</item>
      </candidateList>
      <explain>文本全半角错误。</explain>
      <paraID>66D26C31</paraID>
      <start>125</start>
      <end>126</end>
      <status>unmodified</status>
      <modifiedWord/>
      <trackRevisions>false</trackRevisions>
    </reviewItem>
    <reviewItem>
      <errorID>79e9bda7-0c1f-43fa-ad0e-e65acbaf6551</errorID>
      <errorWord>;</errorWord>
      <group>L1_Format</group>
      <groupName>格式问题</groupName>
      <ability>L2_HalfPunc_CN</ability>
      <abilityName>全半角问题</abilityName>
      <candidateList>
        <item>；</item>
      </candidateList>
      <explain>文本全半角错误。</explain>
      <paraID>66D26C31</paraID>
      <start>185</start>
      <end>186</end>
      <status>unmodified</status>
      <modifiedWord/>
      <trackRevisions>false</trackRevisions>
    </reviewItem>
    <reviewItem>
      <errorID>bc49d2ff-d57a-4618-8894-c7927cbaedfe</errorID>
      <errorWord>;</errorWord>
      <group>L1_Format</group>
      <groupName>格式问题</groupName>
      <ability>L2_HalfPunc_CN</ability>
      <abilityName>全半角问题</abilityName>
      <candidateList>
        <item>；</item>
      </candidateList>
      <explain>文本全半角错误。</explain>
      <paraID>66D26C31</paraID>
      <start>222</start>
      <end>223</end>
      <status>unmodified</status>
      <modifiedWord/>
      <trackRevisions>false</trackRevisions>
    </reviewItem>
    <reviewItem>
      <errorID>0bfef2c3-7acc-4b71-9eeb-827069ee1ad5</errorID>
      <errorWord>;</errorWord>
      <group>L1_Format</group>
      <groupName>格式问题</groupName>
      <ability>L2_HalfPunc_CN</ability>
      <abilityName>全半角问题</abilityName>
      <candidateList>
        <item>；</item>
      </candidateList>
      <explain>文本全半角错误。</explain>
      <paraID>66D26C31</paraID>
      <start>244</start>
      <end>245</end>
      <status>unmodified</status>
      <modifiedWord/>
      <trackRevisions>false</trackRevisions>
    </reviewItem>
    <reviewItem>
      <errorID>c1bfc5f6-59fa-46b9-ba1f-4694733f020b</errorID>
      <errorWord>(</errorWord>
      <group>L1_Format</group>
      <groupName>格式问题</groupName>
      <ability>L2_HalfPunc_CN</ability>
      <abilityName>全半角问题</abilityName>
      <candidateList>
        <item>（</item>
      </candidateList>
      <explain>文本全半角错误。</explain>
      <paraID>66D26C31</paraID>
      <start>338</start>
      <end>339</end>
      <status>unmodified</status>
      <modifiedWord/>
      <trackRevisions>false</trackRevisions>
    </reviewItem>
    <reviewItem>
      <errorID>4349887e-005d-4578-9c6d-8df4a234b0ab</errorID>
      <errorWord>)</errorWord>
      <group>L1_Format</group>
      <groupName>格式问题</groupName>
      <ability>L2_HalfPunc_CN</ability>
      <abilityName>全半角问题</abilityName>
      <candidateList>
        <item>）</item>
      </candidateList>
      <explain>文本全半角错误。</explain>
      <paraID>66D26C31</paraID>
      <start>345</start>
      <end>346</end>
      <status>unmodified</status>
      <modifiedWord/>
      <trackRevisions>false</trackRevisions>
    </reviewItem>
    <reviewItem>
      <errorID>68c1bce8-9a98-4db1-ab5c-92c29550539e</errorID>
      <errorWord>,</errorWord>
      <group>L1_Format</group>
      <groupName>格式问题</groupName>
      <ability>L2_HalfPunc_CN</ability>
      <abilityName>全半角问题</abilityName>
      <candidateList>
        <item>，</item>
      </candidateList>
      <explain>文本全半角错误。</explain>
      <paraID>66D26C31</paraID>
      <start>412</start>
      <end>413</end>
      <status>unmodified</status>
      <modifiedWord/>
      <trackRevisions>false</trackRevisions>
    </reviewItem>
    <reviewItem>
      <errorID>f0b84549-0c77-469d-977b-73711a1e20fc</errorID>
      <errorWord>:</errorWord>
      <group>L1_Format</group>
      <groupName>格式问题</groupName>
      <ability>L2_HalfPunc_CN</ability>
      <abilityName>全半角问题</abilityName>
      <candidateList>
        <item>：</item>
      </candidateList>
      <explain>文本全半角错误。</explain>
      <paraID>66D26C31</paraID>
      <start>440</start>
      <end>441</end>
      <status>unmodified</status>
      <modifiedWord/>
      <trackRevisions>false</trackRevisions>
    </reviewItem>
    <reviewItem>
      <errorID>44502908-9b5d-430b-9428-a6966cc9df20</errorID>
      <errorWord>(</errorWord>
      <group>L1_Format</group>
      <groupName>格式问题</groupName>
      <ability>L2_HalfPunc_CN</ability>
      <abilityName>全半角问题</abilityName>
      <candidateList>
        <item>（</item>
      </candidateList>
      <explain>文本全半角错误。</explain>
      <paraID>66D26C31</paraID>
      <start>464</start>
      <end>465</end>
      <status>unmodified</status>
      <modifiedWord/>
      <trackRevisions>false</trackRevisions>
    </reviewItem>
    <reviewItem>
      <errorID>97171c26-5b00-4c37-b3d4-8c9700894a42</errorID>
      <errorWord>)</errorWord>
      <group>L1_Format</group>
      <groupName>格式问题</groupName>
      <ability>L2_HalfPunc_CN</ability>
      <abilityName>全半角问题</abilityName>
      <candidateList>
        <item>）</item>
      </candidateList>
      <explain>文本全半角错误。</explain>
      <paraID>66D26C31</paraID>
      <start>467</start>
      <end>468</end>
      <status>unmodified</status>
      <modifiedWord/>
      <trackRevisions>false</trackRevisions>
    </reviewItem>
    <reviewItem>
      <errorID>85791a1a-56fc-49af-8fd3-c059cd0304b2</errorID>
      <errorWord>:</errorWord>
      <group>L1_Format</group>
      <groupName>格式问题</groupName>
      <ability>L2_HalfPunc_CN</ability>
      <abilityName>全半角问题</abilityName>
      <candidateList>
        <item>：</item>
      </candidateList>
      <explain>文本全半角错误。</explain>
      <paraID>66D26C31</paraID>
      <start>482</start>
      <end>483</end>
      <status>unmodified</status>
      <modifiedWord/>
      <trackRevisions>false</trackRevisions>
    </reviewItem>
    <reviewItem>
      <errorID>c67ae8a5-e429-4e70-a443-0dc4c06bfcba</errorID>
      <errorWord>.</errorWord>
      <group>L1_Format</group>
      <groupName>格式问题</groupName>
      <ability>L2_HalfPunc_CN</ability>
      <abilityName>全半角问题</abilityName>
      <candidateList>
        <item>。</item>
      </candidateList>
      <explain>文本全半角错误。</explain>
      <paraID>66D26C31</paraID>
      <start>1004</start>
      <end>1005</end>
      <status>unmodified</status>
      <modifiedWord/>
      <trackRevisions>false</trackRevisions>
    </reviewItem>
    <reviewItem>
      <errorID>5649a73b-a551-4eb4-b314-9edb21b22c56</errorID>
      <errorWord>:</errorWord>
      <group>L1_Format</group>
      <groupName>格式问题</groupName>
      <ability>L2_HalfPunc_CN</ability>
      <abilityName>全半角问题</abilityName>
      <candidateList>
        <item>：</item>
      </candidateList>
      <explain>文本全半角错误。</explain>
      <paraID>66D26C31</paraID>
      <start>1076</start>
      <end>1077</end>
      <status>unmodified</status>
      <modifiedWord/>
      <trackRevisions>false</trackRevisions>
    </reviewItem>
    <reviewItem>
      <errorID>aac49f81-c3e0-451a-9c87-36450a209c51</errorID>
      <errorWord>:</errorWord>
      <group>L1_Format</group>
      <groupName>格式问题</groupName>
      <ability>L2_HalfPunc_CN</ability>
      <abilityName>全半角问题</abilityName>
      <candidateList>
        <item>：</item>
      </candidateList>
      <explain>文本全半角错误。</explain>
      <paraID>49E0330C</paraID>
      <start>90</start>
      <end>91</end>
      <status>unmodified</status>
      <modifiedWord/>
      <trackRevisions>false</trackRevisions>
    </reviewItem>
    <reviewItem>
      <errorID>801e8861-7cb0-4cbc-925e-fb04aacc4bc2</errorID>
      <errorWord>:</errorWord>
      <group>L1_Format</group>
      <groupName>格式问题</groupName>
      <ability>L2_HalfPunc_CN</ability>
      <abilityName>全半角问题</abilityName>
      <candidateList>
        <item>：</item>
      </candidateList>
      <explain>文本全半角错误。</explain>
      <paraID> EB8FDAC</paraID>
      <start>7</start>
      <end>8</end>
      <status>unmodified</status>
      <modifiedWord/>
      <trackRevisions>false</trackRevisions>
    </reviewItem>
    <reviewItem>
      <errorID>f88ad4c8-f481-4cc3-8644-3d72c6092398</errorID>
      <errorWord>)</errorWord>
      <group>L1_Format</group>
      <groupName>格式问题</groupName>
      <ability>L2_HalfPunc_CN</ability>
      <abilityName>全半角问题</abilityName>
      <candidateList>
        <item>）</item>
      </candidateList>
      <explain>文本全半角错误。</explain>
      <paraID>69E874CA</paraID>
      <start>43</start>
      <end>44</end>
      <status>unmodified</status>
      <modifiedWord/>
      <trackRevisions>false</trackRevisions>
    </reviewItem>
    <reviewItem>
      <errorID>e469dff2-87f7-42bd-a845-fe4f67106d71</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69E874CA</paraID>
      <start>180</start>
      <end>186</end>
      <status>unmodified</status>
      <modifiedWord/>
      <trackRevisions>false</trackRevisions>
    </reviewItem>
    <reviewItem>
      <errorID>7e8ca56f-a135-4e70-a7ec-3991c30f3272</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69E874CA</paraID>
      <start>219</start>
      <end>225</end>
      <status>unmodified</status>
      <modifiedWord/>
      <trackRevisions>false</trackRevisions>
    </reviewItem>
    <reviewItem>
      <errorID>7073e1d8-242a-4e6b-a899-d9ad972ceb38</errorID>
      <errorWord>，</errorWord>
      <group>L1_Word</group>
      <groupName>字词问题</groupName>
      <ability>L2_Typo</ability>
      <abilityName>字词错误</abilityName>
      <candidateList>
        <item>，具</item>
      </candidateList>
      <explain/>
      <paraID>263B23F5</paraID>
      <start>325</start>
      <end>326</end>
      <status>unmodified</status>
      <modifiedWord/>
      <trackRevisions>false</trackRevisions>
    </reviewItem>
    <reviewItem>
      <errorID>aceed4c5-2246-430e-bc37-471d8da39c3a</errorID>
      <errorWord>的</errorWord>
      <group>L1_Word</group>
      <groupName>字词问题</groupName>
      <ability>L2_DDD</ability>
      <abilityName>的地得用法</abilityName>
      <candidateList>
        <item>地</item>
      </candidateList>
      <explain/>
      <paraID>263B23F5</paraID>
      <start>444</start>
      <end>445</end>
      <status>unmodified</status>
      <modifiedWord/>
      <trackRevisions>false</trackRevisions>
    </reviewItem>
    <reviewItem>
      <errorID>67c73855-70a2-48cf-b0c6-7419270934b0</errorID>
      <errorWord>中则</errorWord>
      <group>L1_Word</group>
      <groupName>字词问题</groupName>
      <ability>L2_Typo</ability>
      <abilityName>字词错误</abilityName>
      <candidateList>
        <item>中</item>
      </candidateList>
      <explain/>
      <paraID>74C2CFF0</paraID>
      <start>244</start>
      <end>246</end>
      <status>unmodified</status>
      <modifiedWord/>
      <trackRevisions>false</trackRevisions>
    </reviewItem>
    <reviewItem>
      <errorID>2fce2d4d-7466-4039-8d17-dc697f39c05a</errorID>
      <errorWord>干旱协迫</errorWord>
      <group>L1_Knowledge</group>
      <groupName>知识性问题</groupName>
      <ability>L2_Term</ability>
      <abilityName>专业术语</abilityName>
      <candidateList>
        <item>干旱胁迫</item>
      </candidateList>
      <explain/>
      <paraID>74C2CFF0</paraID>
      <start>277</start>
      <end>281</end>
      <status>unmodified</status>
      <modifiedWord/>
      <trackRevisions>false</trackRevisions>
    </reviewItem>
    <reviewItem>
      <errorID>a60e6ff2-692a-490d-b0df-154028f04575</errorID>
      <errorWord>(</errorWord>
      <group>L1_Format</group>
      <groupName>格式问题</groupName>
      <ability>L2_HalfPunc_CN</ability>
      <abilityName>全半角问题</abilityName>
      <candidateList>
        <item>（</item>
      </candidateList>
      <explain>文本全半角错误。</explain>
      <paraID>2E71782D</paraID>
      <start>7</start>
      <end>8</end>
      <status>unmodified</status>
      <modifiedWord/>
      <trackRevisions>false</trackRevisions>
    </reviewItem>
    <reviewItem>
      <errorID>751401e6-0b1e-4468-b6c6-8ef8e3268a0a</errorID>
      <errorWord>)</errorWord>
      <group>L1_Format</group>
      <groupName>格式问题</groupName>
      <ability>L2_HalfPunc_CN</ability>
      <abilityName>全半角问题</abilityName>
      <candidateList>
        <item>）</item>
      </candidateList>
      <explain>文本全半角错误。</explain>
      <paraID>2E71782D</paraID>
      <start>12</start>
      <end>13</end>
      <status>unmodified</status>
      <modifiedWord/>
      <trackRevisions>false</trackRevisions>
    </reviewItem>
    <reviewItem>
      <errorID>66f28233-8909-4129-9623-cd23f9e77088</errorID>
      <errorWord>(</errorWord>
      <group>L1_Format</group>
      <groupName>格式问题</groupName>
      <ability>L2_HalfPunc_CN</ability>
      <abilityName>全半角问题</abilityName>
      <candidateList>
        <item>（</item>
      </candidateList>
      <explain>文本全半角错误。</explain>
      <paraID>3EBDB6AE</paraID>
      <start>13</start>
      <end>14</end>
      <status>unmodified</status>
      <modifiedWord/>
      <trackRevisions>false</trackRevisions>
    </reviewItem>
    <reviewItem>
      <errorID>829cc533-17c7-4f57-97a2-b1c5d3488808</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 F0C9531</paraID>
      <start>14</start>
      <end>20</end>
      <status>unmodified</status>
      <modifiedWord/>
      <trackRevisions>false</trackRevisions>
    </reviewItem>
    <reviewItem>
      <errorID>ecefd791-babf-432b-b837-707071f9c679</errorID>
      <errorWord>其它</errorWord>
      <group>L1_Word</group>
      <groupName>字词问题</groupName>
      <ability>L2_Alias</ability>
      <abilityName>也作/曾用词</abilityName>
      <candidateList>
        <item>其他</item>
      </candidateList>
      <explain>词汇[其它]为不规范表述或旧称，其规范书面表述为[其他]。</explain>
      <paraID>2CC2A340</paraID>
      <start>18</start>
      <end>20</end>
      <status>unmodified</status>
      <modifiedWord/>
      <trackRevisions>false</trackRevisions>
    </reviewItem>
    <reviewItem>
      <errorID>d28131d3-a4e5-4d31-8734-ddc4f8cea899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38466D23</paraID>
      <start>24</start>
      <end>25</end>
      <status>unmodified</status>
      <modifiedWord/>
      <trackRevisions>false</trackRevisions>
    </reviewItem>
    <reviewItem>
      <errorID>bec4384f-9045-4515-a4e9-4ac157f5685e</errorID>
      <errorWord>配</errorWord>
      <group>L1_Word</group>
      <groupName>字词问题</groupName>
      <ability>L2_Typo</ability>
      <abilityName>字词错误</abilityName>
      <candidateList>
        <item>配备</item>
      </candidateList>
      <explain/>
      <paraID>54A9A24E</paraID>
      <start>14</start>
      <end>15</end>
      <status>unmodified</status>
      <modifiedWord/>
      <trackRevisions>false</trackRevisions>
    </reviewItem>
    <reviewItem>
      <errorID>b21e9c63-0dbf-4397-93e6-f126aeb9e026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1C873EE5</paraID>
      <start>11</start>
      <end>12</end>
      <status>unmodified</status>
      <modifiedWord/>
      <trackRevisions>false</trackRevisions>
    </reviewItem>
    <reviewItem>
      <errorID>f66cf673-335c-4e7b-a139-a191e7ce3cf6</errorID>
      <errorWord>挡</errorWord>
      <group>L1_Word</group>
      <groupName>字词问题</groupName>
      <ability>L2_Typo</ability>
      <abilityName>字词错误</abilityName>
      <candidateList>
        <item>档</item>
      </candidateList>
      <explain/>
      <paraID>67C4BDD5</paraID>
      <start>71</start>
      <end>72</end>
      <status>unmodified</status>
      <modifiedWord/>
      <trackRevisions>false</trackRevisions>
    </reviewItem>
    <reviewItem>
      <errorID>4b955d75-6910-4f32-a1de-91e7d595646f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67C4BDD5</paraID>
      <start>88</start>
      <end>89</end>
      <status>unmodified</status>
      <modifiedWord/>
      <trackRevisions>false</trackRevisions>
    </reviewItem>
    <reviewItem>
      <errorID>201bb220-e746-417e-813c-843b7e338506</errorID>
      <errorWord>噪音</errorWord>
      <group>L1_Word</group>
      <groupName>字词问题</groupName>
      <ability>L2_Alias</ability>
      <abilityName>也作/曾用词</abilityName>
      <candidateList>
        <item>噪声</item>
      </candidateList>
      <explain>词汇[噪音]为不规范表述或旧称，其规范书面表述为[噪声]。</explain>
      <paraID> C32C10B</paraID>
      <start>5</start>
      <end>7</end>
      <status>unmodified</status>
      <modifiedWord/>
      <trackRevisions>false</trackRevisions>
    </reviewItem>
    <reviewItem>
      <errorID>4461992f-1339-4042-8da0-3cc53262723e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1DBBB45D</paraID>
      <start>126</start>
      <end>127</end>
      <status>unmodified</status>
      <modifiedWord/>
      <trackRevisions>false</trackRevisions>
    </reviewItem>
    <reviewItem>
      <errorID>2058a2da-6f3b-43c4-a983-a73ae408b030</errorID>
      <errorWord>50～95%</errorWord>
      <group>L1_Knowledge</group>
      <groupName>知识性问题</groupName>
      <ability>L2_Knowledge</ability>
      <abilityName>其他知识</abilityName>
      <candidateList>
        <item>50%～95%</item>
      </candidateList>
      <explain>1. “50～95%”中的单位“%”仅出现在后一个数字上，容易引起歧义；根据《现代汉语标点符号数字用法规范手册》，数字表示范围两边需要使用统一的格式。2. 根据标点国标 4.13 中的规则，数字、时间或地域连接符应使用（视觉上更长的）“—”或“～”。</explain>
      <paraID>4AA55112</paraID>
      <start>8</start>
      <end>14</end>
      <status>unmodified</status>
      <modifiedWord/>
      <trackRevisions>false</trackRevisions>
    </reviewItem>
    <reviewItem>
      <errorID>9a2d5535-39be-4ff4-91a8-91de78d72f13</errorID>
      <errorWord>)</errorWord>
      <group>L1_Format</group>
      <groupName>格式问题</groupName>
      <ability>L2_HalfPunc_CN</ability>
      <abilityName>全半角问题</abilityName>
      <candidateList>
        <item>）</item>
      </candidateList>
      <explain>文本全半角错误。</explain>
      <paraID>4AA55112</paraID>
      <start>25</start>
      <end>26</end>
      <status>unmodified</status>
      <modifiedWord/>
      <trackRevisions>false</trackRevisions>
    </reviewItem>
    <reviewItem>
      <errorID>68616fc0-670c-42e3-89ad-12263a5ad997</errorID>
      <errorWord>30%~60%</errorWord>
      <group>L1_Knowledge</group>
      <groupName>知识性问题</groupName>
      <ability>L2_Knowledge</ability>
      <abilityName>其他知识</abilityName>
      <candidateList>
        <item>30%～60%</item>
      </candidateList>
      <explain>1. “30%~60%”中的单位“%”仅出现在后一个数字上，容易引起歧义；根据《现代汉语标点符号数字用法规范手册》，数字表示范围两边需要使用统一的格式。2. 根据标点国标 4.13 中的规则，数字、时间或地域连接符应使用（视觉上更长的）“—”或“～”。</explain>
      <paraID>632A3E97</paraID>
      <start>51</start>
      <end>58</end>
      <status>unmodified</status>
      <modifiedWord/>
      <trackRevisions>false</trackRevisions>
    </reviewItem>
    <reviewItem>
      <errorID>f77bffbd-2064-4892-a96f-55d89cebdd7d</errorID>
      <errorWord>减震</errorWord>
      <group>L1_Word</group>
      <groupName>字词问题</groupName>
      <ability>L2_Typo</ability>
      <abilityName>字词错误</abilityName>
      <candidateList>
        <item>减振</item>
      </candidateList>
      <explain>存在发音相同字词的误用。</explain>
      <paraID>2837B4DE</paraID>
      <start>159</start>
      <end>161</end>
      <status>unmodified</status>
      <modifiedWord/>
      <trackRevisions>false</trackRevisions>
    </reviewItem>
    <reviewItem>
      <errorID>abf9dde9-2377-474c-8d36-c777fef26ba1</errorID>
      <errorWord>,</errorWord>
      <group>L1_Format</group>
      <groupName>格式问题</groupName>
      <ability>L2_HalfPunc_CN</ability>
      <abilityName>全半角问题</abilityName>
      <candidateList>
        <item>，</item>
      </candidateList>
      <explain>文本全半角错误。</explain>
      <paraID>2837B4DE</paraID>
      <start>319</start>
      <end>320</end>
      <status>unmodified</status>
      <modifiedWord/>
      <trackRevisions>false</trackRevisions>
    </reviewItem>
    <reviewItem>
      <errorID>5d1b0721-128d-468a-80d4-a8a7b5a4e665</errorID>
      <errorWord>直接做为</errorWord>
      <group>L1_Word</group>
      <groupName>字词问题</groupName>
      <ability>L2_Typo</ability>
      <abilityName>字词错误</abilityName>
      <candidateList>
        <item>直接作为</item>
      </candidateList>
      <explain/>
      <paraID>2837B4DE</paraID>
      <start>383</start>
      <end>387</end>
      <status>unmodified</status>
      <modifiedWord/>
      <trackRevisions>false</trackRevisions>
    </reviewItem>
    <reviewItem>
      <errorID>8976092d-9afe-4978-967c-e19ae152bfd6</errorID>
      <errorWord>其实</errorWord>
      <group>L1_Word</group>
      <groupName>字词问题</groupName>
      <ability>L2_Typo</ability>
      <abilityName>字词错误</abilityName>
      <candidateList>
        <item>其他</item>
      </candidateList>
      <explain/>
      <paraID>462AA62C</paraID>
      <start>44</start>
      <end>46</end>
      <status>unmodified</status>
      <modifiedWord/>
      <trackRevisions>false</trackRevisions>
    </reviewItem>
    <reviewItem>
      <errorID>32db25dc-daa6-4ca4-90e9-b7b40dc44f57</errorID>
      <errorWord>)</errorWord>
      <group>L1_Format</group>
      <groupName>格式问题</groupName>
      <ability>L2_HalfPunc_CN</ability>
      <abilityName>全半角问题</abilityName>
      <candidateList>
        <item>）</item>
      </candidateList>
      <explain>文本全半角错误。</explain>
      <paraID>484AC6C5</paraID>
      <start>66</start>
      <end>67</end>
      <status>unmodified</status>
      <modifiedWord/>
      <trackRevisions>false</trackRevisions>
    </reviewItem>
    <reviewItem>
      <errorID>ab548ffe-4095-43b3-8abb-da31e694d641</errorID>
      <errorWord>)</errorWord>
      <group>L1_Format</group>
      <groupName>格式问题</groupName>
      <ability>L2_HalfPunc_CN</ability>
      <abilityName>全半角问题</abilityName>
      <candidateList>
        <item>）</item>
      </candidateList>
      <explain>文本全半角错误。</explain>
      <paraID>484AC6C5</paraID>
      <start>115</start>
      <end>116</end>
      <status>unmodified</status>
      <modifiedWord/>
      <trackRevisions>false</trackRevisions>
    </reviewItem>
    <reviewItem>
      <errorID>066832fe-2eba-4259-b14a-83c650eef458</errorID>
      <errorWord>：&gt;</errorWord>
      <group>L1_Punc</group>
      <groupName>标点问题</groupName>
      <ability>L2_Punc_CN</ability>
      <abilityName>标点符号问题</abilityName>
      <candidateList>
        <item>：</item>
      </candidateList>
      <explain/>
      <paraID>77B84E27</paraID>
      <start>22</start>
      <end>24</end>
      <status>unmodified</status>
      <modifiedWord/>
      <trackRevisions>false</trackRevisions>
    </reviewItem>
    <reviewItem>
      <errorID>7bd0941e-6636-43ad-96fa-073cecf84b08</errorID>
      <errorWord>(</errorWord>
      <group>L1_Format</group>
      <groupName>格式问题</groupName>
      <ability>L2_HalfPunc_CN</ability>
      <abilityName>全半角问题</abilityName>
      <candidateList>
        <item>（</item>
      </candidateList>
      <explain>文本全半角错误。</explain>
      <paraID>77B84E27</paraID>
      <start>55</start>
      <end>56</end>
      <status>unmodified</status>
      <modifiedWord/>
      <trackRevisions>false</trackRevisions>
    </reviewItem>
    <reviewItem>
      <errorID>596e9da1-d92a-47d7-af8c-4cb4cfd2522f</errorID>
      <errorWord>)</errorWord>
      <group>L1_Format</group>
      <groupName>格式问题</groupName>
      <ability>L2_HalfPunc_CN</ability>
      <abilityName>全半角问题</abilityName>
      <candidateList>
        <item>）</item>
      </candidateList>
      <explain>文本全半角错误。</explain>
      <paraID>77B84E27</paraID>
      <start>67</start>
      <end>68</end>
      <status>unmodified</status>
      <modifiedWord/>
      <trackRevisions>false</trackRevisions>
    </reviewItem>
    <reviewItem>
      <errorID>0978a7ce-5c26-4ea6-9417-36720b97f9ee</errorID>
      <errorWord>(</errorWord>
      <group>L1_Format</group>
      <groupName>格式问题</groupName>
      <ability>L2_HalfPunc_CN</ability>
      <abilityName>全半角问题</abilityName>
      <candidateList>
        <item>（</item>
      </candidateList>
      <explain>文本全半角错误。</explain>
      <paraID>749B2A9F</paraID>
      <start>18</start>
      <end>19</end>
      <status>unmodified</status>
      <modifiedWord/>
      <trackRevisions>false</trackRevisions>
    </reviewItem>
    <reviewItem>
      <errorID>3907dd48-d2e1-4707-9e35-dad9b55d708a</errorID>
      <errorWord>)</errorWord>
      <group>L1_Format</group>
      <groupName>格式问题</groupName>
      <ability>L2_HalfPunc_CN</ability>
      <abilityName>全半角问题</abilityName>
      <candidateList>
        <item>）</item>
      </candidateList>
      <explain>文本全半角错误。</explain>
      <paraID>749B2A9F</paraID>
      <start>30</start>
      <end>31</end>
      <status>unmodified</status>
      <modifiedWord/>
      <trackRevisions>false</trackRevisions>
    </reviewItem>
    <reviewItem>
      <errorID>4671a8d7-3b48-4558-b6cb-c389a1358cc1</errorID>
      <errorWord>(</errorWord>
      <group>L1_Format</group>
      <groupName>格式问题</groupName>
      <ability>L2_HalfPunc_CN</ability>
      <abilityName>全半角问题</abilityName>
      <candidateList>
        <item>（</item>
      </candidateList>
      <explain>文本全半角错误。</explain>
      <paraID>749B2A9F</paraID>
      <start>116</start>
      <end>117</end>
      <status>unmodified</status>
      <modifiedWord/>
      <trackRevisions>false</trackRevisions>
    </reviewItem>
    <reviewItem>
      <errorID>bce9feec-9e1c-479b-aca3-76bded174d4d</errorID>
      <errorWord>)</errorWord>
      <group>L1_Format</group>
      <groupName>格式问题</groupName>
      <ability>L2_HalfPunc_CN</ability>
      <abilityName>全半角问题</abilityName>
      <candidateList>
        <item>）</item>
      </candidateList>
      <explain>文本全半角错误。</explain>
      <paraID>749B2A9F</paraID>
      <start>139</start>
      <end>140</end>
      <status>unmodified</status>
      <modifiedWord/>
      <trackRevisions>false</trackRevisions>
    </reviewItem>
    <reviewItem>
      <errorID>83b23651-846b-4327-ad64-a38cb3dab8ab</errorID>
      <errorWord>(</errorWord>
      <group>L1_Format</group>
      <groupName>格式问题</groupName>
      <ability>L2_HalfPunc_CN</ability>
      <abilityName>全半角问题</abilityName>
      <candidateList>
        <item>（</item>
      </candidateList>
      <explain>文本全半角错误。</explain>
      <paraID>7FBF0AB9</paraID>
      <start>11</start>
      <end>12</end>
      <status>unmodified</status>
      <modifiedWord/>
      <trackRevisions>false</trackRevisions>
    </reviewItem>
    <reviewItem>
      <errorID>bc4433cb-4b95-4fd1-a7c1-c5c1d2791780</errorID>
      <errorWord>)</errorWord>
      <group>L1_Format</group>
      <groupName>格式问题</groupName>
      <ability>L2_HalfPunc_CN</ability>
      <abilityName>全半角问题</abilityName>
      <candidateList>
        <item>）</item>
      </candidateList>
      <explain>文本全半角错误。</explain>
      <paraID>7FBF0AB9</paraID>
      <start>16</start>
      <end>17</end>
      <status>unmodified</status>
      <modifiedWord/>
      <trackRevisions>false</trackRevisions>
    </reviewItem>
    <reviewItem>
      <errorID>1a1b1701-bb41-419d-a415-92b49a499aeb</errorID>
      <errorWord>(</errorWord>
      <group>L1_Format</group>
      <groupName>格式问题</groupName>
      <ability>L2_HalfPunc_CN</ability>
      <abilityName>全半角问题</abilityName>
      <candidateList>
        <item>（</item>
      </candidateList>
      <explain>文本全半角错误。</explain>
      <paraID>7FBF0AB9</paraID>
      <start>27</start>
      <end>28</end>
      <status>unmodified</status>
      <modifiedWord/>
      <trackRevisions>false</trackRevisions>
    </reviewItem>
    <reviewItem>
      <errorID>c8d26054-74f0-4919-b9d5-35029a3d7b9e</errorID>
      <errorWord>),</errorWord>
      <group>L1_Format</group>
      <groupName>格式问题</groupName>
      <ability>L2_HalfPunc_CN</ability>
      <abilityName>全半角问题</abilityName>
      <candidateList>
        <item>），</item>
      </candidateList>
      <explain>文本全半角错误。</explain>
      <paraID>7FBF0AB9</paraID>
      <start>32</start>
      <end>34</end>
      <status>unmodified</status>
      <modifiedWord/>
      <trackRevisions>false</trackRevisions>
    </reviewItem>
    <reviewItem>
      <errorID>ac177866-86a3-4c20-b145-a698322e12aa</errorID>
      <errorWord>(</errorWord>
      <group>L1_Format</group>
      <groupName>格式问题</groupName>
      <ability>L2_HalfPunc_CN</ability>
      <abilityName>全半角问题</abilityName>
      <candidateList>
        <item>（</item>
      </candidateList>
      <explain>文本全半角错误。</explain>
      <paraID>2F3A109F</paraID>
      <start>23</start>
      <end>24</end>
      <status>unmodified</status>
      <modifiedWord/>
      <trackRevisions>false</trackRevisions>
    </reviewItem>
    <reviewItem>
      <errorID>cb0d1233-5df4-4b51-b93b-4280dfc96f1a</errorID>
      <errorWord>)</errorWord>
      <group>L1_Format</group>
      <groupName>格式问题</groupName>
      <ability>L2_HalfPunc_CN</ability>
      <abilityName>全半角问题</abilityName>
      <candidateList>
        <item>）</item>
      </candidateList>
      <explain>文本全半角错误。</explain>
      <paraID>2F3A109F</paraID>
      <start>26</start>
      <end>27</end>
      <status>unmodified</status>
      <modifiedWord/>
      <trackRevisions>false</trackRevisions>
    </reviewItem>
    <reviewItem>
      <errorID>e7998c4e-7f08-435a-abe6-986ecf0ecba3</errorID>
      <errorWord>rpm</errorWord>
      <group>L1_Knowledge</group>
      <groupName>知识性问题</groupName>
      <ability>L2_Knowledge</ability>
      <abilityName>其他知识</abilityName>
      <candidateList/>
      <explain>非法定单位</explain>
      <paraID>2F3A109F</paraID>
      <start>48</start>
      <end>51</end>
      <status>unmodified</status>
      <modifiedWord/>
      <trackRevisions>false</trackRevisions>
    </reviewItem>
    <reviewItem>
      <errorID>315a8cd8-41e7-4836-b523-43a25f8c32cb</errorID>
      <errorWord>rpm</errorWord>
      <group>L1_Knowledge</group>
      <groupName>知识性问题</groupName>
      <ability>L2_Knowledge</ability>
      <abilityName>其他知识</abilityName>
      <candidateList/>
      <explain>非法定单位</explain>
      <paraID> F58CEC4</paraID>
      <start>30</start>
      <end>33</end>
      <status>unmodified</status>
      <modifiedWord/>
      <trackRevisions>false</trackRevisions>
    </reviewItem>
    <reviewItem>
      <errorID>b1f940aa-b409-41ba-b5a8-3684538209ba</errorID>
      <errorWord>(</errorWord>
      <group>L1_Format</group>
      <groupName>格式问题</groupName>
      <ability>L2_HalfPunc_CN</ability>
      <abilityName>全半角问题</abilityName>
      <candidateList>
        <item>（</item>
      </candidateList>
      <explain>文本全半角错误。</explain>
      <paraID> F58CEC4</paraID>
      <start>40</start>
      <end>41</end>
      <status>unmodified</status>
      <modifiedWord/>
      <trackRevisions>false</trackRevisions>
    </reviewItem>
    <reviewItem>
      <errorID>e863ef98-48a5-4339-ad64-98c7ac43c543</errorID>
      <errorWord>)</errorWord>
      <group>L1_Format</group>
      <groupName>格式问题</groupName>
      <ability>L2_HalfPunc_CN</ability>
      <abilityName>全半角问题</abilityName>
      <candidateList>
        <item>）</item>
      </candidateList>
      <explain>文本全半角错误。</explain>
      <paraID> F58CEC4</paraID>
      <start>43</start>
      <end>44</end>
      <status>unmodified</status>
      <modifiedWord/>
      <trackRevisions>false</trackRevisions>
    </reviewItem>
    <reviewItem>
      <errorID>23c3df14-89a0-4ffc-bc55-81426e0f9f72</errorID>
      <errorWord>)</errorWord>
      <group>L1_Format</group>
      <groupName>格式问题</groupName>
      <ability>L2_HalfPunc_CN</ability>
      <abilityName>全半角问题</abilityName>
      <candidateList>
        <item>）</item>
      </candidateList>
      <explain>文本全半角错误。</explain>
      <paraID>67EAA5F9</paraID>
      <start>97</start>
      <end>98</end>
      <status>unmodified</status>
      <modifiedWord/>
      <trackRevisions>false</trackRevisions>
    </reviewItem>
    <reviewItem>
      <errorID>f13d8324-996d-4396-b635-b58845f955ae</errorID>
      <errorWord>具</errorWord>
      <group>L1_Word</group>
      <groupName>字词问题</groupName>
      <ability>L2_Typo</ability>
      <abilityName>字词错误</abilityName>
      <candidateList>
        <item>具有</item>
      </candidateList>
      <explain/>
      <paraID>67EAA5F9</paraID>
      <start>237</start>
      <end>238</end>
      <status>unmodified</status>
      <modifiedWord/>
      <trackRevisions>false</trackRevisions>
    </reviewItem>
    <reviewItem>
      <errorID>8891d05c-7ef7-49a8-be20-f6942d214dfb</errorID>
      <errorWord>,</errorWord>
      <group>L1_Format</group>
      <groupName>格式问题</groupName>
      <ability>L2_HalfPunc_CN</ability>
      <abilityName>全半角问题</abilityName>
      <candidateList>
        <item>，</item>
      </candidateList>
      <explain>文本全半角错误。</explain>
      <paraID>67EAA5F9</paraID>
      <start>297</start>
      <end>298</end>
      <status>unmodified</status>
      <modifiedWord/>
      <trackRevisions>false</trackRevisions>
    </reviewItem>
    <reviewItem>
      <errorID>8a664053-2743-4fa3-824e-808e5e3a66ab</errorID>
      <errorWord>,</errorWord>
      <group>L1_Format</group>
      <groupName>格式问题</groupName>
      <ability>L2_HalfPunc_CN</ability>
      <abilityName>全半角问题</abilityName>
      <candidateList>
        <item>，</item>
      </candidateList>
      <explain>文本全半角错误。</explain>
      <paraID>67EAA5F9</paraID>
      <start>302</start>
      <end>303</end>
      <status>unmodified</status>
      <modifiedWord/>
      <trackRevisions>false</trackRevisions>
    </reviewItem>
    <reviewItem>
      <errorID>1ee678b0-0e54-486b-9cb8-19d96e56031c</errorID>
      <errorWord>集聚</errorWord>
      <group>L1_Word</group>
      <groupName>字词问题</groupName>
      <ability>L2_Typo</ability>
      <abilityName>字词错误</abilityName>
      <candidateList>
        <item>积聚</item>
      </candidateList>
      <explain/>
      <paraID>67EAA5F9</paraID>
      <start>364</start>
      <end>366</end>
      <status>unmodified</status>
      <modifiedWord/>
      <trackRevisions>false</trackRevisions>
    </reviewItem>
    <reviewItem>
      <errorID>62ceb095-ebfe-46f9-9ebb-de44ac4cfa5e</errorID>
      <errorWord>(</errorWord>
      <group>L1_Format</group>
      <groupName>格式问题</groupName>
      <ability>L2_HalfPunc_CN</ability>
      <abilityName>全半角问题</abilityName>
      <candidateList>
        <item>（</item>
      </candidateList>
      <explain>文本全半角错误。</explain>
      <paraID>67EAA5F9</paraID>
      <start>457</start>
      <end>458</end>
      <status>unmodified</status>
      <modifiedWord/>
      <trackRevisions>false</trackRevisions>
    </reviewItem>
    <reviewItem>
      <errorID>8fd885e4-80f2-44bc-89b7-7f6add62f923</errorID>
      <errorWord>)</errorWord>
      <group>L1_Format</group>
      <groupName>格式问题</groupName>
      <ability>L2_HalfPunc_CN</ability>
      <abilityName>全半角问题</abilityName>
      <candidateList>
        <item>）</item>
      </candidateList>
      <explain>文本全半角错误。</explain>
      <paraID>67EAA5F9</paraID>
      <start>463</start>
      <end>464</end>
      <status>unmodified</status>
      <modifiedWord/>
      <trackRevisions>false</trackRevisions>
    </reviewItem>
    <reviewItem>
      <errorID>a2c0bc42-21a7-4229-a9df-90411ddda05e</errorID>
      <errorWord>的</errorWord>
      <group>L1_Word</group>
      <groupName>字词问题</groupName>
      <ability>L2_DDD</ability>
      <abilityName>的地得用法</abilityName>
      <candidateList>
        <item>地</item>
      </candidateList>
      <explain/>
      <paraID> 6677876</paraID>
      <start>136</start>
      <end>137</end>
      <status>unmodified</status>
      <modifiedWord/>
      <trackRevisions>false</trackRevisions>
    </reviewItem>
    <reviewItem>
      <errorID>5b96c253-9f44-4ccd-bbbb-25eeefb856ae</errorID>
      <errorWord>rpm</errorWord>
      <group>L1_Knowledge</group>
      <groupName>知识性问题</groupName>
      <ability>L2_Knowledge</ability>
      <abilityName>其他知识</abilityName>
      <candidateList/>
      <explain>非法定单位</explain>
      <paraID>1377932A</paraID>
      <start>13</start>
      <end>16</end>
      <status>unmodified</status>
      <modifiedWord/>
      <trackRevisions>false</trackRevisions>
    </reviewItem>
    <reviewItem>
      <errorID>6a809639-8404-436f-bd82-11edae044c55</errorID>
      <errorWord>(</errorWord>
      <group>L1_Format</group>
      <groupName>格式问题</groupName>
      <ability>L2_HalfPunc_CN</ability>
      <abilityName>全半角问题</abilityName>
      <candidateList>
        <item>（</item>
      </candidateList>
      <explain>文本全半角错误。</explain>
      <paraID>1377932A</paraID>
      <start>41</start>
      <end>42</end>
      <status>unmodified</status>
      <modifiedWord/>
      <trackRevisions>false</trackRevisions>
    </reviewItem>
    <reviewItem>
      <errorID>4d2765f0-cdbd-4ba5-9147-63efcb19c11b</errorID>
      <errorWord>)</errorWord>
      <group>L1_Format</group>
      <groupName>格式问题</groupName>
      <ability>L2_HalfPunc_CN</ability>
      <abilityName>全半角问题</abilityName>
      <candidateList>
        <item>）</item>
      </candidateList>
      <explain>文本全半角错误。</explain>
      <paraID>1377932A</paraID>
      <start>44</start>
      <end>45</end>
      <status>unmodified</status>
      <modifiedWord/>
      <trackRevisions>false</trackRevisions>
    </reviewItem>
    <reviewItem>
      <errorID>aabe5f16-bfbb-40ed-aed0-4a1f51062ac8</errorID>
      <errorWord>(</errorWord>
      <group>L1_Format</group>
      <groupName>格式问题</groupName>
      <ability>L2_HalfPunc_CN</ability>
      <abilityName>全半角问题</abilityName>
      <candidateList>
        <item>（</item>
      </candidateList>
      <explain>文本全半角错误。</explain>
      <paraID>1377932A</paraID>
      <start>57</start>
      <end>58</end>
      <status>unmodified</status>
      <modifiedWord/>
      <trackRevisions>false</trackRevisions>
    </reviewItem>
    <reviewItem>
      <errorID>7b231d06-fc48-4a9b-b2ae-b77dee70ce7b</errorID>
      <errorWord>)</errorWord>
      <group>L1_Format</group>
      <groupName>格式问题</groupName>
      <ability>L2_HalfPunc_CN</ability>
      <abilityName>全半角问题</abilityName>
      <candidateList>
        <item>）</item>
      </candidateList>
      <explain>文本全半角错误。</explain>
      <paraID>1377932A</paraID>
      <start>60</start>
      <end>61</end>
      <status>unmodified</status>
      <modifiedWord/>
      <trackRevisions>false</trackRevisions>
    </reviewItem>
    <reviewItem>
      <errorID>841caced-1fbf-4289-9535-7b07815bdd9b</errorID>
      <errorWord>)</errorWord>
      <group>L1_Format</group>
      <groupName>格式问题</groupName>
      <ability>L2_HalfPunc_CN</ability>
      <abilityName>全半角问题</abilityName>
      <candidateList>
        <item>）</item>
      </candidateList>
      <explain>文本全半角错误。</explain>
      <paraID> A927F0E</paraID>
      <start>71</start>
      <end>72</end>
      <status>unmodified</status>
      <modifiedWord/>
      <trackRevisions>false</trackRevisions>
    </reviewItem>
    <reviewItem>
      <errorID>1158849f-e6e6-474f-83d6-3333fd3b868a</errorID>
      <errorWord>:</errorWord>
      <group>L1_Format</group>
      <groupName>格式问题</groupName>
      <ability>L2_HalfPunc_CN</ability>
      <abilityName>全半角问题</abilityName>
      <candidateList>
        <item>：</item>
      </candidateList>
      <explain>文本全半角错误。</explain>
      <paraID>286EA263</paraID>
      <start>8</start>
      <end>9</end>
      <status>unmodified</status>
      <modifiedWord/>
      <trackRevisions>false</trackRevisions>
    </reviewItem>
    <reviewItem>
      <errorID>2b8920a7-0fd3-4c03-bd11-09da69c09852</errorID>
      <errorWord>其它过程</errorWord>
      <group>L1_Word</group>
      <groupName>字词问题</groupName>
      <ability>L2_Alias</ability>
      <abilityName>也作/曾用词</abilityName>
      <candidateList>
        <item>其他过程</item>
      </candidateList>
      <explain>词汇[其它过程]为不规范表述或旧称，其规范书面表述为[其他过程]。</explain>
      <paraID>7D41FD74</paraID>
      <start>36</start>
      <end>40</end>
      <status>unmodified</status>
      <modifiedWord/>
      <trackRevisions>false</trackRevisions>
    </reviewItem>
    <reviewItem>
      <errorID>25e2cf00-42f3-47bc-8ada-4c5bacbeb112</errorID>
      <errorWord>,</errorWord>
      <group>L1_Format</group>
      <groupName>格式问题</groupName>
      <ability>L2_HalfPunc_CN</ability>
      <abilityName>全半角问题</abilityName>
      <candidateList>
        <item>，</item>
      </candidateList>
      <explain>文本全半角错误。</explain>
      <paraID>39F924B0</paraID>
      <start>297</start>
      <end>298</end>
      <status>unmodified</status>
      <modifiedWord/>
      <trackRevisions>false</trackRevisions>
    </reviewItem>
    <reviewItem>
      <errorID>04223897-4d07-4539-a0a5-7610ba327cc8</errorID>
      <errorWord>,</errorWord>
      <group>L1_Format</group>
      <groupName>格式问题</groupName>
      <ability>L2_HalfPunc_CN</ability>
      <abilityName>全半角问题</abilityName>
      <candidateList>
        <item>，</item>
      </candidateList>
      <explain>文本全半角错误。</explain>
      <paraID>39F924B0</paraID>
      <start>401</start>
      <end>402</end>
      <status>unmodified</status>
      <modifiedWord/>
      <trackRevisions>false</trackRevisions>
    </reviewItem>
    <reviewItem>
      <errorID>82540437-51d2-4f29-8952-0f32e362de6e</errorID>
      <errorWord>的相</errorWord>
      <group>L1_Word</group>
      <groupName>字词问题</groupName>
      <ability>L2_Typo</ability>
      <abilityName>字词错误</abilityName>
      <candidateList>
        <item>的</item>
      </candidateList>
      <explain/>
      <paraID> 255FA36</paraID>
      <start>762</start>
      <end>764</end>
      <status>unmodified</status>
      <modifiedWord/>
      <trackRevisions>false</trackRevisions>
    </reviewItem>
    <reviewItem>
      <errorID>b526242c-0b22-4bc4-a82f-abfe48ad10c3</errorID>
      <errorWord>对</errorWord>
      <group>L1_Word</group>
      <groupName>字词问题</groupName>
      <ability>L2_Typo</ability>
      <abilityName>字词错误</abilityName>
      <candidateList>
        <item>的</item>
      </candidateList>
      <explain/>
      <paraID> 255FA36</paraID>
      <start>767</start>
      <end>768</end>
      <status>unmodified</status>
      <modifiedWord/>
      <trackRevisions>false</trackRevisions>
    </reviewItem>
    <reviewItem>
      <errorID>151946b5-b6db-4efa-a48f-f7a0a14a10cf</errorID>
      <errorWord>(</errorWord>
      <group>L1_Format</group>
      <groupName>格式问题</groupName>
      <ability>L2_HalfPunc_CN</ability>
      <abilityName>全半角问题</abilityName>
      <candidateList>
        <item>（</item>
      </candidateList>
      <explain>文本全半角错误。</explain>
      <paraID>16041186</paraID>
      <start>227</start>
      <end>228</end>
      <status>unmodified</status>
      <modifiedWord/>
      <trackRevisions>false</trackRevisions>
    </reviewItem>
    <reviewItem>
      <errorID>2e1853f9-974a-402b-aefe-e0f0cf5a70c6</errorID>
      <errorWord>)</errorWord>
      <group>L1_Format</group>
      <groupName>格式问题</groupName>
      <ability>L2_HalfPunc_CN</ability>
      <abilityName>全半角问题</abilityName>
      <candidateList>
        <item>）</item>
      </candidateList>
      <explain>文本全半角错误。</explain>
      <paraID>16041186</paraID>
      <start>233</start>
      <end>234</end>
      <status>unmodified</status>
      <modifiedWord/>
      <trackRevisions>false</trackRevisions>
    </reviewItem>
    <reviewItem>
      <errorID>43181e32-e176-4f9f-8e6f-52d196116591</errorID>
      <errorWord>rpm</errorWord>
      <group>L1_Knowledge</group>
      <groupName>知识性问题</groupName>
      <ability>L2_Knowledge</ability>
      <abilityName>其他知识</abilityName>
      <candidateList/>
      <explain>非法定单位</explain>
      <paraID>3C518CEC</paraID>
      <start>25</start>
      <end>28</end>
      <status>unmodified</status>
      <modifiedWord/>
      <trackRevisions>false</trackRevisions>
    </reviewItem>
    <reviewItem>
      <errorID>0cc3090e-8a9b-478f-91eb-4d30fbb7f9cc</errorID>
      <errorWord>KW</errorWord>
      <group>L1_Word</group>
      <groupName>字词问题</groupName>
      <ability>L2_Typo</ability>
      <abilityName>字词错误</abilityName>
      <candidateList>
        <item>kW</item>
      </candidateList>
      <explain/>
      <paraID>3C518CEC</paraID>
      <start>52</start>
      <end>54</end>
      <status>unmodified</status>
      <modifiedWord/>
      <trackRevisions>false</trackRevisions>
    </reviewItem>
    <reviewItem>
      <errorID>f00ab3a6-4ce2-43e1-b832-e6d938006984</errorID>
      <errorWord>高荧光</errorWord>
      <group>L1_Knowledge</group>
      <groupName>知识性问题</groupName>
      <ability>L2_Term</ability>
      <abilityName>专业术语</abilityName>
      <candidateList>
        <item>强荧光</item>
      </candidateList>
      <explain>医学名词[高荧光]为不规范表述或旧称，其规范书面表述为[强荧光]。</explain>
      <paraID> 7A4E539</paraID>
      <start>71</start>
      <end>74</end>
      <status>unmodified</status>
      <modifiedWord/>
      <trackRevisions>false</trackRevisions>
    </reviewItem>
    <reviewItem>
      <errorID>135333d0-9f79-495b-8b3f-9a4574182995</errorID>
      <errorWord>,</errorWord>
      <group>L1_Format</group>
      <groupName>格式问题</groupName>
      <ability>L2_HalfPunc_CN</ability>
      <abilityName>全半角问题</abilityName>
      <candidateList>
        <item>，</item>
      </candidateList>
      <explain>文本全半角错误。</explain>
      <paraID> 7A4E539</paraID>
      <start>404</start>
      <end>405</end>
      <status>unmodified</status>
      <modifiedWord/>
      <trackRevisions>false</trackRevisions>
    </reviewItem>
    <reviewItem>
      <errorID>e9d3c322-3a6c-48a6-85e2-e46c47796983</errorID>
      <errorWord>(</errorWord>
      <group>L1_Format</group>
      <groupName>格式问题</groupName>
      <ability>L2_HalfPunc_CN</ability>
      <abilityName>全半角问题</abilityName>
      <candidateList>
        <item>（</item>
      </candidateList>
      <explain>文本全半角错误。</explain>
      <paraID>4E5953E3</paraID>
      <start>5</start>
      <end>6</end>
      <status>unmodified</status>
      <modifiedWord/>
      <trackRevisions>false</trackRevisions>
    </reviewItem>
    <reviewItem>
      <errorID>3fac5d71-c12b-4d9f-b44e-0d91b4e9b7ec</errorID>
      <errorWord>)</errorWord>
      <group>L1_Format</group>
      <groupName>格式问题</groupName>
      <ability>L2_HalfPunc_CN</ability>
      <abilityName>全半角问题</abilityName>
      <candidateList>
        <item>）</item>
      </candidateList>
      <explain>文本全半角错误。</explain>
      <paraID>4E5953E3</paraID>
      <start>12</start>
      <end>13</end>
      <status>unmodified</status>
      <modifiedWord/>
      <trackRevisions>false</trackRevisions>
    </reviewItem>
    <reviewItem>
      <errorID>69628ab3-44d1-43d1-a533-7bb3fcdf204c</errorID>
      <errorWord>(</errorWord>
      <group>L1_Format</group>
      <groupName>格式问题</groupName>
      <ability>L2_HalfPunc_CN</ability>
      <abilityName>全半角问题</abilityName>
      <candidateList>
        <item>（</item>
      </candidateList>
      <explain>文本全半角错误。</explain>
      <paraID>4E5953E3</paraID>
      <start>22</start>
      <end>23</end>
      <status>unmodified</status>
      <modifiedWord/>
      <trackRevisions>false</trackRevisions>
    </reviewItem>
    <reviewItem>
      <errorID>bfedcc5c-3e7a-48c5-b8dd-2c3c07eccf75</errorID>
      <errorWord>)</errorWord>
      <group>L1_Format</group>
      <groupName>格式问题</groupName>
      <ability>L2_HalfPunc_CN</ability>
      <abilityName>全半角问题</abilityName>
      <candidateList>
        <item>）</item>
      </candidateList>
      <explain>文本全半角错误。</explain>
      <paraID>4E5953E3</paraID>
      <start>25</start>
      <end>26</end>
      <status>unmodified</status>
      <modifiedWord/>
      <trackRevisions>false</trackRevisions>
    </reviewItem>
    <reviewItem>
      <errorID>f3abdc9a-4db3-4ed7-8ab1-fa3ab13b6a58</errorID>
      <errorWord>(</errorWord>
      <group>L1_Format</group>
      <groupName>格式问题</groupName>
      <ability>L2_HalfPunc_CN</ability>
      <abilityName>全半角问题</abilityName>
      <candidateList>
        <item>（</item>
      </candidateList>
      <explain>文本全半角错误。</explain>
      <paraID>4E5953E3</paraID>
      <start>45</start>
      <end>46</end>
      <status>unmodified</status>
      <modifiedWord/>
      <trackRevisions>false</trackRevisions>
    </reviewItem>
    <reviewItem>
      <errorID>7a8e4ba8-7ec0-47f6-968c-509259e6193f</errorID>
      <errorWord>)</errorWord>
      <group>L1_Format</group>
      <groupName>格式问题</groupName>
      <ability>L2_HalfPunc_CN</ability>
      <abilityName>全半角问题</abilityName>
      <candidateList>
        <item>）</item>
      </candidateList>
      <explain>文本全半角错误。</explain>
      <paraID>4E5953E3</paraID>
      <start>49</start>
      <end>50</end>
      <status>unmodified</status>
      <modifiedWord/>
      <trackRevisions>false</trackRevisions>
    </reviewItem>
    <reviewItem>
      <errorID>413ee3fb-92b7-4a5c-8825-aafd443b99f0</errorID>
      <errorWord>(</errorWord>
      <group>L1_Format</group>
      <groupName>格式问题</groupName>
      <ability>L2_HalfPunc_CN</ability>
      <abilityName>全半角问题</abilityName>
      <candidateList>
        <item>（</item>
      </candidateList>
      <explain>文本全半角错误。</explain>
      <paraID>4E5953E3</paraID>
      <start>62</start>
      <end>63</end>
      <status>unmodified</status>
      <modifiedWord/>
      <trackRevisions>false</trackRevisions>
    </reviewItem>
    <reviewItem>
      <errorID>f9198d34-2d3c-4bd3-83c8-f280c79b2ae8</errorID>
      <errorWord>)</errorWord>
      <group>L1_Format</group>
      <groupName>格式问题</groupName>
      <ability>L2_HalfPunc_CN</ability>
      <abilityName>全半角问题</abilityName>
      <candidateList>
        <item>）</item>
      </candidateList>
      <explain>文本全半角错误。</explain>
      <paraID>4E5953E3</paraID>
      <start>64</start>
      <end>65</end>
      <status>unmodified</status>
      <modifiedWord/>
      <trackRevisions>false</trackRevisions>
    </reviewItem>
    <reviewItem>
      <errorID>5375ce61-35c8-4a4a-89d3-077f673d7e16</errorID>
      <errorWord>,</errorWord>
      <group>L1_Format</group>
      <groupName>格式问题</groupName>
      <ability>L2_HalfPunc_CN</ability>
      <abilityName>全半角问题</abilityName>
      <candidateList>
        <item>，</item>
      </candidateList>
      <explain>文本全半角错误。</explain>
      <paraID> 37242F2</paraID>
      <start>51</start>
      <end>52</end>
      <status>unmodified</status>
      <modifiedWord/>
      <trackRevisions>false</trackRevisions>
    </reviewItem>
    <reviewItem>
      <errorID>361f39c7-1c5c-4744-94f1-244ab1523efb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4899E388</paraID>
      <start>0</start>
      <end>2</end>
      <status>unmodified</status>
      <modifiedWord/>
      <trackRevisions>false</trackRevisions>
    </reviewItem>
    <reviewItem>
      <errorID>87d3ec8e-99b2-408e-810f-dc8df0fe7911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708F4C54</paraID>
      <start>0</start>
      <end>2</end>
      <status>unmodified</status>
      <modifiedWord/>
      <trackRevisions>false</trackRevisions>
    </reviewItem>
    <reviewItem>
      <errorID>79c98ebb-24c3-4764-bbdd-9c57b49a793e</errorID>
      <errorWord>(</errorWord>
      <group>L1_Format</group>
      <groupName>格式问题</groupName>
      <ability>L2_HalfPunc_CN</ability>
      <abilityName>全半角问题</abilityName>
      <candidateList>
        <item>（</item>
      </candidateList>
      <explain>文本全半角错误。</explain>
      <paraID> 7C4C1E1</paraID>
      <start>5</start>
      <end>6</end>
      <status>unmodified</status>
      <modifiedWord/>
      <trackRevisions>false</trackRevisions>
    </reviewItem>
    <reviewItem>
      <errorID>07fd5dc4-d138-47d4-8afa-5deba30b110a</errorID>
      <errorWord>)</errorWord>
      <group>L1_Format</group>
      <groupName>格式问题</groupName>
      <ability>L2_HalfPunc_CN</ability>
      <abilityName>全半角问题</abilityName>
      <candidateList>
        <item>）</item>
      </candidateList>
      <explain>文本全半角错误。</explain>
      <paraID> 7C4C1E1</paraID>
      <start>9</start>
      <end>10</end>
      <status>unmodified</status>
      <modifiedWord/>
      <trackRevisions>false</trackRevisions>
    </reviewItem>
    <reviewItem>
      <errorID>72c18667-d024-4891-a8cc-26e17099bb90</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62372453</paraID>
      <start>14</start>
      <end>17</end>
      <status>unmodified</status>
      <modifiedWord/>
      <trackRevisions>false</trackRevisions>
    </reviewItem>
    <reviewItem>
      <errorID>4390da20-a3d8-46a2-91ee-cc8f143e34eb</errorID>
      <errorWord>股东大会</errorWord>
      <group>L1_Knowledge</group>
      <groupName>知识性问题</groupName>
      <ability>L2_Knowledge</ability>
      <abilityName>其他知识</abilityName>
      <candidateList>
        <item>股东会</item>
      </candidateList>
      <explain/>
      <paraID>7E3691F7</paraID>
      <start>113</start>
      <end>117</end>
      <status>unmodified</status>
      <modifiedWord/>
      <trackRevisions>false</trackRevisions>
    </reviewItem>
    <reviewItem>
      <errorID>fca9bae8-d630-4d47-aea5-80de2bb904ac</errorID>
      <errorWord>(</errorWord>
      <group>L1_Format</group>
      <groupName>格式问题</groupName>
      <ability>L2_HalfPunc_CN</ability>
      <abilityName>全半角问题</abilityName>
      <candidateList>
        <item>（</item>
      </candidateList>
      <explain>文本全半角错误。</explain>
      <paraID>79DCF058</paraID>
      <start>7</start>
      <end>8</end>
      <status>unmodified</status>
      <modifiedWord/>
      <trackRevisions>false</trackRevisions>
    </reviewItem>
    <reviewItem>
      <errorID>399d757e-2c6e-45eb-bee8-d70df055b1ed</errorID>
      <errorWord>)</errorWord>
      <group>L1_Format</group>
      <groupName>格式问题</groupName>
      <ability>L2_HalfPunc_CN</ability>
      <abilityName>全半角问题</abilityName>
      <candidateList>
        <item>）</item>
      </candidateList>
      <explain>文本全半角错误。</explain>
      <paraID>79DCF058</paraID>
      <start>12</start>
      <end>13</end>
      <status>unmodified</status>
      <modifiedWord/>
      <trackRevisions>false</trackRevisions>
    </reviewItem>
    <reviewItem>
      <errorID>7458d1b5-2e90-467f-abaa-c026910b8a06</errorID>
      <errorWord>(</errorWord>
      <group>L1_Format</group>
      <groupName>格式问题</groupName>
      <ability>L2_HalfPunc_CN</ability>
      <abilityName>全半角问题</abilityName>
      <candidateList>
        <item>（</item>
      </candidateList>
      <explain>文本全半角错误。</explain>
      <paraID> 32C9DC9</paraID>
      <start>7</start>
      <end>8</end>
      <status>unmodified</status>
      <modifiedWord/>
      <trackRevisions>false</trackRevisions>
    </reviewItem>
    <reviewItem>
      <errorID>580e9221-3223-4905-8317-06f89db645b0</errorID>
      <errorWord>)</errorWord>
      <group>L1_Format</group>
      <groupName>格式问题</groupName>
      <ability>L2_HalfPunc_CN</ability>
      <abilityName>全半角问题</abilityName>
      <candidateList>
        <item>）</item>
      </candidateList>
      <explain>文本全半角错误。</explain>
      <paraID> 32C9DC9</paraID>
      <start>12</start>
      <end>13</end>
      <status>unmodified</status>
      <modifiedWord/>
      <trackRevisions>false</trackRevisions>
    </reviewItem>
    <reviewItem>
      <errorID>b396dc2b-008c-4d57-85d8-a5c255300ce4</errorID>
      <errorWord>:</errorWord>
      <group>L1_Format</group>
      <groupName>格式问题</groupName>
      <ability>L2_HalfPunc_CN</ability>
      <abilityName>全半角问题</abilityName>
      <candidateList>
        <item>：</item>
      </candidateList>
      <explain>文本全半角错误。</explain>
      <paraID>4D377CE4</paraID>
      <start>6</start>
      <end>7</end>
      <status>unmodified</status>
      <modifiedWord/>
      <trackRevisions>false</trackRevisions>
    </reviewItem>
    <reviewItem>
      <errorID>1344d807-2928-42cc-8f7a-15be43ded1b0</errorID>
      <errorWord>:</errorWord>
      <group>L1_Format</group>
      <groupName>格式问题</groupName>
      <ability>L2_HalfPunc_CN</ability>
      <abilityName>全半角问题</abilityName>
      <candidateList>
        <item>：</item>
      </candidateList>
      <explain>文本全半角错误。</explain>
      <paraID>64BF214D</paraID>
      <start>6</start>
      <end>7</end>
      <status>unmodified</status>
      <modifiedWord/>
      <trackRevisions>false</trackRevisions>
    </reviewItem>
    <reviewItem>
      <errorID>f6ce90fb-7013-459e-a561-51aadf6e935b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224940FF</paraID>
      <start>0</start>
      <end>2</end>
      <status>unmodified</status>
      <modifiedWord/>
      <trackRevisions>false</trackRevisions>
    </reviewItem>
    <reviewItem>
      <errorID>923c45e7-e178-4a8a-b576-4f5809ac7efc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6F4F3739</paraID>
      <start>0</start>
      <end>2</end>
      <status>unmodified</status>
      <modifiedWord/>
      <trackRevisions>false</trackRevisions>
    </reviewItem>
    <reviewItem>
      <errorID>7d0e2dd7-98f0-4275-a48b-ca8e97a389e2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4D067593</paraID>
      <start>0</start>
      <end>2</end>
      <status>unmodified</status>
      <modifiedWord/>
      <trackRevisions>false</trackRevisions>
    </reviewItem>
    <reviewItem>
      <errorID>bc14e41c-2d61-4dde-a0b1-0b784f629c14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4D067593</paraID>
      <start>12</start>
      <end>15</end>
      <status>unmodified</status>
      <modifiedWord/>
      <trackRevisions>false</trackRevisions>
    </reviewItem>
    <reviewItem>
      <errorID>e0bd57d7-4d4d-4aa1-8744-5b5f9bfac1e6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4D067593</paraID>
      <start>17</start>
      <end>20</end>
      <status>unmodified</status>
      <modifiedWord/>
      <trackRevisions>false</trackRevisions>
    </reviewItem>
    <reviewItem>
      <errorID>2e518c04-5761-42fa-87ea-a8873808cf5f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4D067593</paraID>
      <start>22</start>
      <end>25</end>
      <status>unmodified</status>
      <modifiedWord/>
      <trackRevisions>false</trackRevisions>
    </reviewItem>
    <reviewItem>
      <errorID>212ec66a-cfcc-42ca-b417-ec1c26ec9b72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4D067593</paraID>
      <start>27</start>
      <end>30</end>
      <status>unmodified</status>
      <modifiedWord/>
      <trackRevisions>false</trackRevisions>
    </reviewItem>
    <reviewItem>
      <errorID>036de1c5-caa9-40b4-a6bc-e8173e3f93d1</errorID>
      <errorWord>:</errorWord>
      <group>L1_Format</group>
      <groupName>格式问题</groupName>
      <ability>L2_HalfPunc_CN</ability>
      <abilityName>全半角问题</abilityName>
      <candidateList>
        <item>：</item>
      </candidateList>
      <explain>文本全半角错误。</explain>
      <paraID>2EB46986</paraID>
      <start>18</start>
      <end>19</end>
      <status>unmodified</status>
      <modifiedWord/>
      <trackRevisions>false</trackRevisions>
    </reviewItem>
    <reviewItem>
      <errorID>210c7a47-00c8-44e2-adf7-dd10c2d212fc</errorID>
      <errorWord>:</errorWord>
      <group>L1_Format</group>
      <groupName>格式问题</groupName>
      <ability>L2_HalfPunc_CN</ability>
      <abilityName>全半角问题</abilityName>
      <candidateList>
        <item>：</item>
      </candidateList>
      <explain>文本全半角错误。</explain>
      <paraID>7D9413E9</paraID>
      <start>6</start>
      <end>7</end>
      <status>unmodified</status>
      <modifiedWord/>
      <trackRevisions>false</trackRevisions>
    </reviewItem>
    <reviewItem>
      <errorID>b19ef479-f2a1-4258-a761-7f16bad264ed</errorID>
      <errorWord>:</errorWord>
      <group>L1_Format</group>
      <groupName>格式问题</groupName>
      <ability>L2_HalfPunc_CN</ability>
      <abilityName>全半角问题</abilityName>
      <candidateList>
        <item>：</item>
      </candidateList>
      <explain>文本全半角错误。</explain>
      <paraID>34CCDE96</paraID>
      <start>6</start>
      <end>7</end>
      <status>unmodified</status>
      <modifiedWord/>
      <trackRevisions>false</trackRevisions>
    </reviewItem>
    <reviewItem>
      <errorID>7ed73930-a296-4361-9964-2963fb8239b8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1610B7EA</paraID>
      <start>95</start>
      <end>98</end>
      <status>unmodified</status>
      <modifiedWord/>
      <trackRevisions>false</trackRevisions>
    </reviewItem>
    <reviewItem>
      <errorID>ecb00566-4719-4a5d-949e-7e407803f661</errorID>
      <errorWord>:</errorWord>
      <group>L1_Format</group>
      <groupName>格式问题</groupName>
      <ability>L2_HalfPunc_CN</ability>
      <abilityName>全半角问题</abilityName>
      <candidateList>
        <item>：</item>
      </candidateList>
      <explain>文本全半角错误。</explain>
      <paraID>44E31838</paraID>
      <start>18</start>
      <end>19</end>
      <status>unmodified</status>
      <modifiedWord/>
      <trackRevisions>false</trackRevisions>
    </reviewItem>
    <reviewItem>
      <errorID>c028876c-abc5-4c81-bfed-6ba33d14ab5e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713E6F9F</paraID>
      <start>0</start>
      <end>2</end>
      <status>unmodified</status>
      <modifiedWord/>
      <trackRevisions>false</trackRevisions>
    </reviewItem>
    <reviewItem>
      <errorID>39a89371-f3fc-4107-b67e-89a0c693c94a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34D0D1E</paraID>
      <start>0</start>
      <end>2</end>
      <status>unmodified</status>
      <modifiedWord/>
      <trackRevisions>false</trackRevisions>
    </reviewItem>
    <reviewItem>
      <errorID>9d6a4539-3d20-474b-ba17-b8101041e224</errorID>
      <errorWord>[2011]300号</errorWord>
      <group>L1_Knowledge</group>
      <groupName>知识性问题</groupName>
      <ability>L2_Knowledge</ability>
      <abilityName>其他知识</abilityName>
      <candidateList>
        <item>〔2011〕300号</item>
      </candidateList>
      <explain>发文字号格式错误。</explain>
      <paraID>1AF0976C</paraID>
      <start>35</start>
      <end>45</end>
      <status>unmodified</status>
      <modifiedWord/>
      <trackRevisions>false</trackRevisions>
    </reviewItem>
    <reviewItem>
      <errorID>7ce7d87c-f26b-45a9-b1f1-af61a1d69e79</errorID>
      <errorWord>须</errorWord>
      <group>L1_Word</group>
      <groupName>字词问题</groupName>
      <ability>L2_Typo</ability>
      <abilityName>字词错误</abilityName>
      <candidateList>
        <item>需</item>
      </candidateList>
      <explain>存在发音相同字词的误用。</explain>
      <paraID>1AF0976C</paraID>
      <start>82</start>
      <end>83</end>
      <status>unmodified</status>
      <modifiedWord/>
      <trackRevisions>false</trackRevisions>
    </reviewItem>
    <reviewItem>
      <errorID>33cb44cc-b298-4c47-8f04-ae1bcd72a98a</errorID>
      <errorWord>(</errorWord>
      <group>L1_Format</group>
      <groupName>格式问题</groupName>
      <ability>L2_HalfPunc_CN</ability>
      <abilityName>全半角问题</abilityName>
      <candidateList>
        <item>（</item>
      </candidateList>
      <explain>文本全半角错误。</explain>
      <paraID>5F65DE51</paraID>
      <start>3</start>
      <end>4</end>
      <status>unmodified</status>
      <modifiedWord/>
      <trackRevisions>false</trackRevisions>
    </reviewItem>
    <reviewItem>
      <errorID>d50f1184-0f51-4a43-814f-dde130132fed</errorID>
      <errorWord>)</errorWord>
      <group>L1_Format</group>
      <groupName>格式问题</groupName>
      <ability>L2_HalfPunc_CN</ability>
      <abilityName>全半角问题</abilityName>
      <candidateList>
        <item>）</item>
      </candidateList>
      <explain>文本全半角错误。</explain>
      <paraID>5F65DE51</paraID>
      <start>6</start>
      <end>7</end>
      <status>unmodified</status>
      <modifiedWord/>
      <trackRevisions>false</trackRevisions>
    </reviewItem>
    <reviewItem>
      <errorID>3f18110a-e090-4eb3-a9f8-39c8faf9c850</errorID>
      <errorWord>(</errorWord>
      <group>L1_Format</group>
      <groupName>格式问题</groupName>
      <ability>L2_HalfPunc_CN</ability>
      <abilityName>全半角问题</abilityName>
      <candidateList>
        <item>（</item>
      </candidateList>
      <explain>文本全半角错误。</explain>
      <paraID>5F65DE51</paraID>
      <start>46</start>
      <end>47</end>
      <status>unmodified</status>
      <modifiedWord/>
      <trackRevisions>false</trackRevisions>
    </reviewItem>
    <reviewItem>
      <errorID>cf421d7f-b90e-42f6-a7c0-8582bb853b13</errorID>
      <errorWord>(2025)34号</errorWord>
      <group>L1_Knowledge</group>
      <groupName>知识性问题</groupName>
      <ability>L2_Knowledge</ability>
      <abilityName>其他知识</abilityName>
      <candidateList>
        <item>〔2025〕34号</item>
      </candidateList>
      <explain>发文字号格式错误。</explain>
      <paraID>5F65DE51</paraID>
      <start>50</start>
      <end>59</end>
      <status>unmodified</status>
      <modifiedWord/>
      <trackRevisions>false</trackRevisions>
    </reviewItem>
    <reviewItem>
      <errorID>33bce90c-09c6-4fe0-93a2-735e9d4cdbda</errorID>
      <errorWord>)</errorWord>
      <group>L1_Format</group>
      <groupName>格式问题</groupName>
      <ability>L2_HalfPunc_CN</ability>
      <abilityName>全半角问题</abilityName>
      <candidateList>
        <item>）</item>
      </candidateList>
      <explain>文本全半角错误。</explain>
      <paraID>5F65DE51</paraID>
      <start>59</start>
      <end>60</end>
      <status>unmodified</status>
      <modifiedWord/>
      <trackRevisions>false</trackRevisions>
    </reviewItem>
    <reviewItem>
      <errorID>86a80123-0ccb-45a7-8667-9dcc76b7d99c</errorID>
      <errorWord>(</errorWord>
      <group>L1_Format</group>
      <groupName>格式问题</groupName>
      <ability>L2_HalfPunc_CN</ability>
      <abilityName>全半角问题</abilityName>
      <candidateList>
        <item>（</item>
      </candidateList>
      <explain>文本全半角错误。</explain>
      <paraID>5F65DE51</paraID>
      <start>67</start>
      <end>68</end>
      <status>unmodified</status>
      <modifiedWord/>
      <trackRevisions>false</trackRevisions>
    </reviewItem>
    <reviewItem>
      <errorID>b2bf14a5-f755-4084-9b87-3807c6b660a4</errorID>
      <errorWord>)</errorWord>
      <group>L1_Format</group>
      <groupName>格式问题</groupName>
      <ability>L2_HalfPunc_CN</ability>
      <abilityName>全半角问题</abilityName>
      <candidateList>
        <item>）</item>
      </candidateList>
      <explain>文本全半角错误。</explain>
      <paraID>5F65DE51</paraID>
      <start>70</start>
      <end>71</end>
      <status>unmodified</status>
      <modifiedWord/>
      <trackRevisions>false</trackRevisions>
    </reviewItem>
    <reviewItem>
      <errorID>8c34ac85-027d-40da-b64d-f8a278c55e79</errorID>
      <errorWord>(</errorWord>
      <group>L1_Format</group>
      <groupName>格式问题</groupName>
      <ability>L2_HalfPunc_CN</ability>
      <abilityName>全半角问题</abilityName>
      <candidateList>
        <item>（</item>
      </candidateList>
      <explain>文本全半角错误。</explain>
      <paraID>620EA044</paraID>
      <start>3</start>
      <end>4</end>
      <status>unmodified</status>
      <modifiedWord/>
      <trackRevisions>false</trackRevisions>
    </reviewItem>
    <reviewItem>
      <errorID>16b80712-0846-4be6-b528-2aee16e4e2e3</errorID>
      <errorWord>)</errorWord>
      <group>L1_Format</group>
      <groupName>格式问题</groupName>
      <ability>L2_HalfPunc_CN</ability>
      <abilityName>全半角问题</abilityName>
      <candidateList>
        <item>）</item>
      </candidateList>
      <explain>文本全半角错误。</explain>
      <paraID>620EA044</paraID>
      <start>6</start>
      <end>7</end>
      <status>unmodified</status>
      <modifiedWord/>
      <trackRevisions>false</trackRevisions>
    </reviewItem>
    <reviewItem>
      <errorID>b29a1045-555a-4c0a-af69-e1bcbbc23c28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627128C4</paraID>
      <start>19</start>
      <end>22</end>
      <status>unmodified</status>
      <modifiedWord/>
      <trackRevisions>false</trackRevisions>
    </reviewItem>
    <reviewItem>
      <errorID>829d8c68-2a68-4fd0-839e-4c430d5e7b3f</errorID>
      <errorWord>法律、法规</errorWord>
      <group>L1_Word</group>
      <groupName>字词问题</groupName>
      <ability>L2_Typo</ability>
      <abilityName>字词错误</abilityName>
      <candidateList>
        <item>法律法规</item>
      </candidateList>
      <explain/>
      <paraID>627128C4</paraID>
      <start>34</start>
      <end>39</end>
      <status>unmodified</status>
      <modifiedWord/>
      <trackRevisions>false</trackRevisions>
    </reviewItem>
    <reviewItem>
      <errorID>d8a8e50b-1b75-453d-91fc-38deac0e7e13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16F36931</paraID>
      <start>4</start>
      <end>6</end>
      <status>unmodified</status>
      <modifiedWord/>
      <trackRevisions>false</trackRevisions>
    </reviewItem>
    <reviewItem>
      <errorID>eb8adda8-1f0b-41c7-9179-e7eb5766dc07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7A98917D</paraID>
      <start>4</start>
      <end>6</end>
      <status>unmodified</status>
      <modifiedWord/>
      <trackRevisions>false</trackRevisions>
    </reviewItem>
    <reviewItem>
      <errorID>ae911f80-8a35-4e8c-91a7-ce387829cc59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4A1267CA</paraID>
      <start>4</start>
      <end>6</end>
      <status>unmodified</status>
      <modifiedWord/>
      <trackRevisions>false</trackRevisions>
    </reviewItem>
    <reviewItem>
      <errorID>9c1bc44a-db05-42c8-9887-91fe1fe9481a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58DB1755</paraID>
      <start>4</start>
      <end>6</end>
      <status>unmodified</status>
      <modifiedWord/>
      <trackRevisions>false</trackRevisions>
    </reviewItem>
    <reviewItem>
      <errorID>5289beb6-be98-4001-8596-d51f91c1dfd7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681AFEE7</paraID>
      <start>4</start>
      <end>6</end>
      <status>unmodified</status>
      <modifiedWord/>
      <trackRevisions>false</trackRevisions>
    </reviewItem>
    <reviewItem>
      <errorID>42e7db52-ebca-4700-969e-a8833cf4abe6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6EB1DAC0</paraID>
      <start>4</start>
      <end>6</end>
      <status>unmodified</status>
      <modifiedWord/>
      <trackRevisions>false</trackRevisions>
    </reviewItem>
    <reviewItem>
      <errorID>f8b0707f-0e68-4bdf-aa77-5425b97c3793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AAAD7F6</paraID>
      <start>4</start>
      <end>6</end>
      <status>unmodified</status>
      <modifiedWord/>
      <trackRevisions>false</trackRevisions>
    </reviewItem>
    <reviewItem>
      <errorID>c865256f-5282-4ed4-a5c2-9059bc1f0918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572B9EBB</paraID>
      <start>4</start>
      <end>6</end>
      <status>unmodified</status>
      <modifiedWord/>
      <trackRevisions>false</trackRevisions>
    </reviewItem>
    <reviewItem>
      <errorID>2f05aba0-fdd4-42ee-9b45-8e2b2e476734</errorID>
      <errorWord>接受</errorWord>
      <group>L1_Word</group>
      <groupName>字词问题</groupName>
      <ability>L2_Typo</ability>
      <abilityName>字词错误</abilityName>
      <candidateList>
        <item>接收</item>
      </candidateList>
      <explain>存在发音相同字词的误用。</explain>
      <paraID>572B9EBB</paraID>
      <start>38</start>
      <end>40</end>
      <status>unmodified</status>
      <modifiedWord/>
      <trackRevisions>false</trackRevisions>
    </reviewItem>
    <reviewItem>
      <errorID>e5fc06a1-02d4-4401-96c9-a378d8e208dd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3F7545C6</paraID>
      <start>4</start>
      <end>6</end>
      <status>unmodified</status>
      <modifiedWord/>
      <trackRevisions>false</trackRevisions>
    </reviewItem>
    <reviewItem>
      <errorID>76b9905f-5acc-4847-9f0f-5b20771d57fa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11028E9B</paraID>
      <start>4</start>
      <end>6</end>
      <status>unmodified</status>
      <modifiedWord/>
      <trackRevisions>false</trackRevisions>
    </reviewItem>
    <reviewItem>
      <errorID>7a49b06e-870a-4240-9def-fc890d99e081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2A258356</paraID>
      <start>4</start>
      <end>6</end>
      <status>unmodified</status>
      <modifiedWord/>
      <trackRevisions>false</trackRevisions>
    </reviewItem>
    <reviewItem>
      <errorID>83e564f2-01b5-46ae-b6be-6590ec49a03d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7C2C4877</paraID>
      <start>4</start>
      <end>6</end>
      <status>unmodified</status>
      <modifiedWord/>
      <trackRevisions>false</trackRevisions>
    </reviewItem>
    <reviewItem>
      <errorID>f7bbcddd-ee53-45e7-aba3-85a1dd219e77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6EBEF562</paraID>
      <start>4</start>
      <end>6</end>
      <status>unmodified</status>
      <modifiedWord/>
      <trackRevisions>false</trackRevisions>
    </reviewItem>
    <reviewItem>
      <errorID>5c84a24c-dedf-432d-91ad-2c23ce790c45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2ED89874</paraID>
      <start>4</start>
      <end>6</end>
      <status>unmodified</status>
      <modifiedWord/>
      <trackRevisions>false</trackRevisions>
    </reviewItem>
    <reviewItem>
      <errorID>64707776-404f-4e6f-89e7-d136965b6272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8D2C5E5</paraID>
      <start>4</start>
      <end>6</end>
      <status>unmodified</status>
      <modifiedWord/>
      <trackRevisions>false</trackRevisions>
    </reviewItem>
    <reviewItem>
      <errorID>7d212a52-dedb-4241-865e-1106d2add1cf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18FEA182</paraID>
      <start>4</start>
      <end>6</end>
      <status>unmodified</status>
      <modifiedWord/>
      <trackRevisions>false</trackRevisions>
    </reviewItem>
    <reviewItem>
      <errorID>1940cb31-6f6b-41f2-8bf8-91887d39750b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211E400E</paraID>
      <start>4</start>
      <end>6</end>
      <status>unmodified</status>
      <modifiedWord/>
      <trackRevisions>false</trackRevisions>
    </reviewItem>
    <reviewItem>
      <errorID>e1863663-9536-46da-804f-b260c51284b3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208C188D</paraID>
      <start>4</start>
      <end>6</end>
      <status>unmodified</status>
      <modifiedWord/>
      <trackRevisions>false</trackRevisions>
    </reviewItem>
    <reviewItem>
      <errorID>9fa2e02c-a587-41b8-a0d8-d780c77798c0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3996AD4B</paraID>
      <start>4</start>
      <end>6</end>
      <status>unmodified</status>
      <modifiedWord/>
      <trackRevisions>false</trackRevisions>
    </reviewItem>
    <reviewItem>
      <errorID>6e8e520e-5a71-4eb6-b438-cab1afb2f434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7F19B8E9</paraID>
      <start>4</start>
      <end>6</end>
      <status>unmodified</status>
      <modifiedWord/>
      <trackRevisions>false</trackRevisions>
    </reviewItem>
    <reviewItem>
      <errorID>3d3ae33f-c988-4c15-819b-38e45f571601</errorID>
      <errorWord>计</errorWord>
      <group>L1_Word</group>
      <groupName>字词问题</groupName>
      <ability>L2_Typo</ability>
      <abilityName>字词错误</abilityName>
      <candidateList>
        <item>计算</item>
      </candidateList>
      <explain/>
      <paraID>7F19B8E9</paraID>
      <start>75</start>
      <end>76</end>
      <status>unmodified</status>
      <modifiedWord/>
      <trackRevisions>false</trackRevisions>
    </reviewItem>
    <reviewItem>
      <errorID>a403532c-4e7d-42a1-9ffa-92b47eac6285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B9BA2C2</paraID>
      <start>39</start>
      <end>40</end>
      <status>unmodified</status>
      <modifiedWord/>
      <trackRevisions>false</trackRevisions>
    </reviewItem>
    <reviewItem>
      <errorID>5eb79329-8a30-4013-a976-d39b282de4f0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6CBF90D0</paraID>
      <start>11</start>
      <end>12</end>
      <status>unmodified</status>
      <modifiedWord/>
      <trackRevisions>false</trackRevisions>
    </reviewItem>
    <reviewItem>
      <errorID>79a2d2db-a58e-4e86-9f5a-2afbc2796476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C237F71</paraID>
      <start>4</start>
      <end>6</end>
      <status>unmodified</status>
      <modifiedWord/>
      <trackRevisions>false</trackRevisions>
    </reviewItem>
    <reviewItem>
      <errorID>dc7585fc-8ac2-4a0f-bfc3-7a8fba664089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48DCB98A</paraID>
      <start>4</start>
      <end>6</end>
      <status>unmodified</status>
      <modifiedWord/>
      <trackRevisions>false</trackRevisions>
    </reviewItem>
    <reviewItem>
      <errorID>91a1d7ce-9a4a-4070-bf25-03d6f618e73a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56C6B268</paraID>
      <start>0</start>
      <end>2</end>
      <status>unmodified</status>
      <modifiedWord/>
      <trackRevisions>false</trackRevisions>
    </reviewItem>
    <reviewItem>
      <errorID>651f95b8-f661-4732-aa4e-457b010ec6cd</errorID>
      <errorWord>终生维修，维修时只收</errorWord>
      <group>L1_Word</group>
      <groupName>字词问题</groupName>
      <ability>L2_Typo</ability>
      <abilityName>字词错误</abilityName>
      <candidateList>
        <item>终身维修，维修时只收</item>
      </candidateList>
      <explain/>
      <paraID>56C6B268</paraID>
      <start>43</start>
      <end>53</end>
      <status>unmodified</status>
      <modifiedWord/>
      <trackRevisions>false</trackRevisions>
    </reviewItem>
    <reviewItem>
      <errorID>e489a2ba-5cdb-4b91-a97f-e95a61451462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560DCD66</paraID>
      <start>0</start>
      <end>2</end>
      <status>unmodified</status>
      <modifiedWord/>
      <trackRevisions>false</trackRevisions>
    </reviewItem>
    <reviewItem>
      <errorID>2c2e9df2-ae09-4498-a9f5-fa19bc59fec9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6F4DE3D3</paraID>
      <start>0</start>
      <end>2</end>
      <status>unmodified</status>
      <modifiedWord/>
      <trackRevisions>false</trackRevisions>
    </reviewItem>
    <reviewItem>
      <errorID>8508bbd7-1418-435a-bc42-a462be342709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16FB5A1F</paraID>
      <start>0</start>
      <end>2</end>
      <status>unmodified</status>
      <modifiedWord/>
      <trackRevisions>false</trackRevisions>
    </reviewItem>
    <reviewItem>
      <errorID>a6dc9905-cc1e-497e-a316-4899853e4370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4F616ECB</paraID>
      <start>0</start>
      <end>2</end>
      <status>unmodified</status>
      <modifiedWord/>
      <trackRevisions>false</trackRevisions>
    </reviewItem>
    <reviewItem>
      <errorID>722fdf01-16df-4f6a-b22d-6b8574675bd6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67E447DF</paraID>
      <start>4</start>
      <end>6</end>
      <status>unmodified</status>
      <modifiedWord/>
      <trackRevisions>false</trackRevisions>
    </reviewItem>
    <reviewItem>
      <errorID>0ed2034d-00a5-4d87-aacb-2eb4b3a3523d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3BA625F5</paraID>
      <start>4</start>
      <end>6</end>
      <status>unmodified</status>
      <modifiedWord/>
      <trackRevisions>false</trackRevisions>
    </reviewItem>
    <reviewItem>
      <errorID>b742adb5-a712-4546-8134-1ae7b176edeb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700AE9B7</paraID>
      <start>4</start>
      <end>6</end>
      <status>unmodified</status>
      <modifiedWord/>
      <trackRevisions>false</trackRevisions>
    </reviewItem>
    <reviewItem>
      <errorID>961ea5d3-8773-4351-8507-3c8137a8d955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6DB4F6C8</paraID>
      <start>4</start>
      <end>6</end>
      <status>unmodified</status>
      <modifiedWord/>
      <trackRevisions>false</trackRevisions>
    </reviewItem>
    <reviewItem>
      <errorID>a929f400-c12f-4a4c-958a-a46e7bf82a70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17C2B319</paraID>
      <start>4</start>
      <end>6</end>
      <status>unmodified</status>
      <modifiedWord/>
      <trackRevisions>false</trackRevisions>
    </reviewItem>
    <reviewItem>
      <errorID>b1873c89-3050-4fd0-85c1-7a97c9ddec09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235D8BFE</paraID>
      <start>4</start>
      <end>6</end>
      <status>unmodified</status>
      <modifiedWord/>
      <trackRevisions>false</trackRevisions>
    </reviewItem>
    <reviewItem>
      <errorID>a854f313-90e3-437f-9406-2eb700d8156f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56D054CE</paraID>
      <start>4</start>
      <end>6</end>
      <status>unmodified</status>
      <modifiedWord/>
      <trackRevisions>false</trackRevisions>
    </reviewItem>
    <reviewItem>
      <errorID>47d64eae-35f1-4175-82d6-8b3c68f9bc3e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11525242</paraID>
      <start>4</start>
      <end>6</end>
      <status>unmodified</status>
      <modifiedWord/>
      <trackRevisions>false</trackRevisions>
    </reviewItem>
    <reviewItem>
      <errorID>c8ff9011-9444-4153-9572-fc54c8db1838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1E2A6547</paraID>
      <start>4</start>
      <end>6</end>
      <status>unmodified</status>
      <modifiedWord/>
      <trackRevisions>false</trackRevisions>
    </reviewItem>
    <reviewItem>
      <errorID>65e679e5-ee95-44bf-96f3-003eeb931026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40A0CD60</paraID>
      <start>4</start>
      <end>6</end>
      <status>unmodified</status>
      <modifiedWord/>
      <trackRevisions>false</trackRevisions>
    </reviewItem>
    <reviewItem>
      <errorID>54cbc6f2-0da3-443f-b19c-8380c50a0bd7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73F3BD34</paraID>
      <start>4</start>
      <end>6</end>
      <status>unmodified</status>
      <modifiedWord/>
      <trackRevisions>false</trackRevisions>
    </reviewItem>
    <reviewItem>
      <errorID>57f3201e-3067-4a30-a8f3-a9d2018b4866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68AE7238</paraID>
      <start>4</start>
      <end>6</end>
      <status>unmodified</status>
      <modifiedWord/>
      <trackRevisions>false</trackRevisions>
    </reviewItem>
    <reviewItem>
      <errorID>b73cf85b-4044-4fad-812d-5e07ae08ca66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760B1C7</paraID>
      <start>4</start>
      <end>6</end>
      <status>unmodified</status>
      <modifiedWord/>
      <trackRevisions>false</trackRevisions>
    </reviewItem>
    <reviewItem>
      <errorID>4b8af207-f7bf-43a7-ab67-6343fc3a7515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2390D432</paraID>
      <start>4</start>
      <end>6</end>
      <status>unmodified</status>
      <modifiedWord/>
      <trackRevisions>false</trackRevisions>
    </reviewItem>
    <reviewItem>
      <errorID>3764a201-550c-4731-ba2d-70733e64fb54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6293EC9</paraID>
      <start>4</start>
      <end>6</end>
      <status>unmodified</status>
      <modifiedWord/>
      <trackRevisions>false</trackRevisions>
    </reviewItem>
    <reviewItem>
      <errorID>6a997088-eebc-4556-91e5-2894e246c943</errorID>
      <errorWord>其它</errorWord>
      <group>L1_Word</group>
      <groupName>字词问题</groupName>
      <ability>L2_Alias</ability>
      <abilityName>也作/曾用词</abilityName>
      <candidateList>
        <item>其他</item>
      </candidateList>
      <explain>词汇[其它]为不规范表述或旧称，其规范书面表述为[其他]。</explain>
      <paraID> 6293EC9</paraID>
      <start>34</start>
      <end>36</end>
      <status>unmodified</status>
      <modifiedWord/>
      <trackRevisions>false</trackRevisions>
    </reviewItem>
    <reviewItem>
      <errorID>25a6115d-9188-479e-af04-cbc308c7bfcb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5FB4354C</paraID>
      <start>0</start>
      <end>2</end>
      <status>unmodified</status>
      <modifiedWord/>
      <trackRevisions>false</trackRevisions>
    </reviewItem>
    <reviewItem>
      <errorID>6df5e562-a82e-4e11-bc90-482fb034b8aa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4BB7987A</paraID>
      <start>4</start>
      <end>6</end>
      <status>unmodified</status>
      <modifiedWord/>
      <trackRevisions>false</trackRevisions>
    </reviewItem>
    <reviewItem>
      <errorID>d0e3db79-f9c4-466b-a051-3c91486f2380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5D615A4F</paraID>
      <start>4</start>
      <end>6</end>
      <status>unmodified</status>
      <modifiedWord/>
      <trackRevisions>false</trackRevisions>
    </reviewItem>
    <reviewItem>
      <errorID>e7d26ccf-7e3d-4628-877e-88e5d2f34345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7AD2684E</paraID>
      <start>4</start>
      <end>6</end>
      <status>unmodified</status>
      <modifiedWord/>
      <trackRevisions>false</trackRevisions>
    </reviewItem>
    <reviewItem>
      <errorID>5dc850e0-e83c-4bb1-82ec-0397d5099220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79E7A6E1</paraID>
      <start>4</start>
      <end>6</end>
      <status>unmodified</status>
      <modifiedWord/>
      <trackRevisions>false</trackRevisions>
    </reviewItem>
    <reviewItem>
      <errorID>17ad5b9c-38e0-41f5-9573-3f0dc00fdb6c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46F9F7DB</paraID>
      <start>4</start>
      <end>6</end>
      <status>unmodified</status>
      <modifiedWord/>
      <trackRevisions>false</trackRevisions>
    </reviewItem>
    <reviewItem>
      <errorID>b03a000b-3b6b-403e-90cf-35bfc5fc351b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7EA6589B</paraID>
      <start>4</start>
      <end>6</end>
      <status>unmodified</status>
      <modifiedWord/>
      <trackRevisions>false</trackRevisions>
    </reviewItem>
    <reviewItem>
      <errorID>86e60d08-fddb-42a9-b80a-2bb45e58bd5f</errorID>
      <errorWord>生效及其它</errorWord>
      <group>L1_Word</group>
      <groupName>字词问题</groupName>
      <ability>L2_Alias</ability>
      <abilityName>也作/曾用词</abilityName>
      <candidateList>
        <item>生效及其他</item>
      </candidateList>
      <explain>词汇[生效及其它]为不规范表述或旧称，其规范书面表述为[生效及其他]。</explain>
      <paraID>4EA24086</paraID>
      <start>12</start>
      <end>17</end>
      <status>unmodified</status>
      <modifiedWord/>
      <trackRevisions>false</trackRevisions>
    </reviewItem>
    <reviewItem>
      <errorID>4c169f95-887b-48d5-aa48-18ecb892fa9d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4192253A</paraID>
      <start>4</start>
      <end>6</end>
      <status>unmodified</status>
      <modifiedWord/>
      <trackRevisions>false</trackRevisions>
    </reviewItem>
    <reviewItem>
      <errorID>4672c038-5086-47a4-a752-098a7fdc4775</errorID>
      <errorWord>(</errorWord>
      <group>L1_Format</group>
      <groupName>格式问题</groupName>
      <ability>L2_HalfPunc_CN</ability>
      <abilityName>全半角问题</abilityName>
      <candidateList>
        <item>（</item>
      </candidateList>
      <explain>文本全半角错误。</explain>
      <paraID>4192253A</paraID>
      <start>16</start>
      <end>17</end>
      <status>unmodified</status>
      <modifiedWord/>
      <trackRevisions>false</trackRevisions>
    </reviewItem>
    <reviewItem>
      <errorID>60667abe-9df6-4555-b3a8-4aa7be58fabd</errorID>
      <errorWord>)</errorWord>
      <group>L1_Format</group>
      <groupName>格式问题</groupName>
      <ability>L2_HalfPunc_CN</ability>
      <abilityName>全半角问题</abilityName>
      <candidateList>
        <item>）</item>
      </candidateList>
      <explain>文本全半角错误。</explain>
      <paraID>4192253A</paraID>
      <start>20</start>
      <end>21</end>
      <status>unmodified</status>
      <modifiedWord/>
      <trackRevisions>false</trackRevisions>
    </reviewItem>
    <reviewItem>
      <errorID>362afb61-0854-460d-9ac3-4a05eaf7adc9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1EAB0607</paraID>
      <start>4</start>
      <end>6</end>
      <status>unmodified</status>
      <modifiedWord/>
      <trackRevisions>false</trackRevisions>
    </reviewItem>
    <reviewItem>
      <errorID>40f30fa7-da8b-4637-a557-f54495e6261e</errorID>
      <errorWord>签</errorWord>
      <group>L1_Word</group>
      <groupName>字词问题</groupName>
      <ability>L2_Typo</ability>
      <abilityName>字词错误</abilityName>
      <candidateList>
        <item>签订</item>
      </candidateList>
      <explain/>
      <paraID>1EAB0607</paraID>
      <start>30</start>
      <end>31</end>
      <status>unmodified</status>
      <modifiedWord/>
      <trackRevisions>false</trackRevisions>
    </reviewItem>
    <reviewItem>
      <errorID>49f6d7c7-4038-458c-b294-7718017a82d5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2212F9DC</paraID>
      <start>4</start>
      <end>6</end>
      <status>unmodified</status>
      <modifiedWord/>
      <trackRevisions>false</trackRevisions>
    </reviewItem>
    <reviewItem>
      <errorID>cea4a05a-20b9-4711-bb9a-085b51611ff1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4E9B7A86</paraID>
      <start>0</start>
      <end>2</end>
      <status>unmodified</status>
      <modifiedWord/>
      <trackRevisions>false</trackRevisions>
    </reviewItem>
    <reviewItem>
      <errorID>e0a1e5e7-1bdd-4b9d-bab8-1d2f38933801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3DB849BC</paraID>
      <start>0</start>
      <end>2</end>
      <status>unmodified</status>
      <modifiedWord/>
      <trackRevisions>false</trackRevisions>
    </reviewItem>
    <reviewItem>
      <errorID>aeb280ba-9aa6-42dd-9992-0832b848d084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B3146DB</paraID>
      <start>0</start>
      <end>2</end>
      <status>unmodified</status>
      <modifiedWord/>
      <trackRevisions>false</trackRevisions>
    </reviewItem>
    <reviewItem>
      <errorID>f24f60da-8e0f-4176-a547-55a871ec0534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7C77EF22</paraID>
      <start>0</start>
      <end>2</end>
      <status>unmodified</status>
      <modifiedWord/>
      <trackRevisions>false</trackRevisions>
    </reviewItem>
    <reviewItem>
      <errorID>d51ca87b-48fa-4393-915e-a5ae60eb4ed6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201DF8AB</paraID>
      <start>0</start>
      <end>2</end>
      <status>unmodified</status>
      <modifiedWord/>
      <trackRevisions>false</trackRevisions>
    </reviewItem>
    <reviewItem>
      <errorID>4a18a507-afc2-4809-a0b2-87cde3cbc758</errorID>
      <errorWord>(</errorWord>
      <group>L1_Format</group>
      <groupName>格式问题</groupName>
      <ability>L2_HalfPunc_CN</ability>
      <abilityName>全半角问题</abilityName>
      <candidateList>
        <item>（</item>
      </candidateList>
      <explain>文本全半角错误。</explain>
      <paraID>7053D39F</paraID>
      <start>5</start>
      <end>6</end>
      <status>unmodified</status>
      <modifiedWord/>
      <trackRevisions>false</trackRevisions>
    </reviewItem>
    <reviewItem>
      <errorID>fee9ff9f-a286-4b0d-8a36-9b606603170f</errorID>
      <errorWord>)</errorWord>
      <group>L1_Format</group>
      <groupName>格式问题</groupName>
      <ability>L2_HalfPunc_CN</ability>
      <abilityName>全半角问题</abilityName>
      <candidateList>
        <item>）</item>
      </candidateList>
      <explain>文本全半角错误。</explain>
      <paraID>7053D39F</paraID>
      <start>9</start>
      <end>10</end>
      <status>unmodified</status>
      <modifiedWord/>
      <trackRevisions>false</trackRevisions>
    </reviewItem>
    <reviewItem>
      <errorID>33f3ab18-3e35-4eb3-96d6-b05c038ec999</errorID>
      <errorWord>(</errorWord>
      <group>L1_Format</group>
      <groupName>格式问题</groupName>
      <ability>L2_HalfPunc_CN</ability>
      <abilityName>全半角问题</abilityName>
      <candidateList>
        <item>（</item>
      </candidateList>
      <explain>文本全半角错误。</explain>
      <paraID>5AEA7724</paraID>
      <start>5</start>
      <end>6</end>
      <status>unmodified</status>
      <modifiedWord/>
      <trackRevisions>false</trackRevisions>
    </reviewItem>
    <reviewItem>
      <errorID>c0cbd22b-5279-4cd5-afd4-371a0467b83e</errorID>
      <errorWord>)</errorWord>
      <group>L1_Format</group>
      <groupName>格式问题</groupName>
      <ability>L2_HalfPunc_CN</ability>
      <abilityName>全半角问题</abilityName>
      <candidateList>
        <item>）</item>
      </candidateList>
      <explain>文本全半角错误。</explain>
      <paraID>5AEA7724</paraID>
      <start>9</start>
      <end>10</end>
      <status>unmodified</status>
      <modifiedWord/>
      <trackRevisions>false</trackRevisions>
    </reviewItem>
    <reviewItem>
      <errorID>159e94bd-3fe3-4470-b73a-d227a129b981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65B12991</paraID>
      <start>0</start>
      <end>2</end>
      <status>unmodified</status>
      <modifiedWord/>
      <trackRevisions>false</trackRevisions>
    </reviewItem>
    <reviewItem>
      <errorID>13fe2435-9e09-4223-8dc0-978700cfc824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54F4F861</paraID>
      <start>0</start>
      <end>2</end>
      <status>unmodified</status>
      <modifiedWord/>
      <trackRevisions>false</trackRevisions>
    </reviewItem>
    <reviewItem>
      <errorID>8e5c86e7-5dd6-448e-95d1-7ea0af7df91e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1F149E0E</paraID>
      <start>0</start>
      <end>2</end>
      <status>unmodified</status>
      <modifiedWord/>
      <trackRevisions>false</trackRevisions>
    </reviewItem>
    <reviewItem>
      <errorID>8aecbafb-1e50-42e0-a201-36f39aaaf8e3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287A581E</paraID>
      <start>0</start>
      <end>2</end>
      <status>unmodified</status>
      <modifiedWord/>
      <trackRevisions>false</trackRevisions>
    </reviewItem>
    <reviewItem>
      <errorID>f737e605-3a6c-46f2-b635-3aa29e3f3299</errorID>
      <errorWord>(</errorWord>
      <group>L1_Format</group>
      <groupName>格式问题</groupName>
      <ability>L2_HalfPunc_CN</ability>
      <abilityName>全半角问题</abilityName>
      <candidateList>
        <item>（</item>
      </candidateList>
      <explain>文本全半角错误。</explain>
      <paraID>1AE01069</paraID>
      <start>25</start>
      <end>26</end>
      <status>unmodified</status>
      <modifiedWord/>
      <trackRevisions>false</trackRevisions>
    </reviewItem>
    <reviewItem>
      <errorID>ab881115-0e18-4bdf-959d-caac84bbacdc</errorID>
      <errorWord>)</errorWord>
      <group>L1_Format</group>
      <groupName>格式问题</groupName>
      <ability>L2_HalfPunc_CN</ability>
      <abilityName>全半角问题</abilityName>
      <candidateList>
        <item>）</item>
      </candidateList>
      <explain>文本全半角错误。</explain>
      <paraID>1AE01069</paraID>
      <start>37</start>
      <end>38</end>
      <status>unmodified</status>
      <modifiedWord/>
      <trackRevisions>false</trackRevisions>
    </reviewItem>
    <reviewItem>
      <errorID>8073979d-203e-483a-85b9-711d59742011</errorID>
      <errorWord>(</errorWord>
      <group>L1_Format</group>
      <groupName>格式问题</groupName>
      <ability>L2_HalfPunc_CN</ability>
      <abilityName>全半角问题</abilityName>
      <candidateList>
        <item>（</item>
      </candidateList>
      <explain>文本全半角错误。</explain>
      <paraID>1AE01069</paraID>
      <start>104</start>
      <end>105</end>
      <status>unmodified</status>
      <modifiedWord/>
      <trackRevisions>false</trackRevisions>
    </reviewItem>
    <reviewItem>
      <errorID>960e57ac-6c2b-48bf-9f9d-1ae9a4eece64</errorID>
      <errorWord>)</errorWord>
      <group>L1_Format</group>
      <groupName>格式问题</groupName>
      <ability>L2_HalfPunc_CN</ability>
      <abilityName>全半角问题</abilityName>
      <candidateList>
        <item>）</item>
      </candidateList>
      <explain>文本全半角错误。</explain>
      <paraID>1AE01069</paraID>
      <start>114</start>
      <end>115</end>
      <status>unmodified</status>
      <modifiedWord/>
      <trackRevisions>false</trackRevisions>
    </reviewItem>
    <reviewItem>
      <errorID>eeda5a0b-b16b-4efb-9059-8552e64b6074</errorID>
      <errorWord>(</errorWord>
      <group>L1_Format</group>
      <groupName>格式问题</groupName>
      <ability>L2_HalfPunc_CN</ability>
      <abilityName>全半角问题</abilityName>
      <candidateList>
        <item>（</item>
      </candidateList>
      <explain>文本全半角错误。</explain>
      <paraID>20E23E6C</paraID>
      <start>22</start>
      <end>23</end>
      <status>unmodified</status>
      <modifiedWord/>
      <trackRevisions>false</trackRevisions>
    </reviewItem>
    <reviewItem>
      <errorID>b7d775ba-241d-4cb7-b5f6-d62a39072cb1</errorID>
      <errorWord>)</errorWord>
      <group>L1_Format</group>
      <groupName>格式问题</groupName>
      <ability>L2_HalfPunc_CN</ability>
      <abilityName>全半角问题</abilityName>
      <candidateList>
        <item>）</item>
      </candidateList>
      <explain>文本全半角错误。</explain>
      <paraID>20E23E6C</paraID>
      <start>35</start>
      <end>36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FCB9BF8-9C4A-488C-8A80-27BE5E72988C}">
  <ds:schemaRefs/>
</ds:datastoreItem>
</file>

<file path=customXml/itemProps3.xml><?xml version="1.0" encoding="utf-8"?>
<ds:datastoreItem xmlns:ds="http://schemas.openxmlformats.org/officeDocument/2006/customXml" ds:itemID="{E2D20FAF-65A9-4337-ACE8-9C24CBA6B2B6}">
  <ds:schemaRefs/>
</ds:datastoreItem>
</file>

<file path=customXml/itemProps4.xml><?xml version="1.0" encoding="utf-8"?>
<ds:datastoreItem xmlns:ds="http://schemas.openxmlformats.org/officeDocument/2006/customXml" ds:itemID="{e00602f6-245d-4ef2-aa4f-60eed0fe26ea}">
  <ds:schemaRefs/>
</ds:datastoreItem>
</file>

<file path=docProps/app.xml><?xml version="1.0" encoding="utf-8"?>
<Properties xmlns="http://schemas.openxmlformats.org/officeDocument/2006/extended-properties" xmlns:vt="http://schemas.openxmlformats.org/officeDocument/2006/docPropsVTypes">
  <Template>Normal.dotm</Template>
  <Pages>93</Pages>
  <Words>11810</Words>
  <Characters>12571</Characters>
  <Lines>518</Lines>
  <Paragraphs>145</Paragraphs>
  <TotalTime>57</TotalTime>
  <ScaleCrop>false</ScaleCrop>
  <LinksUpToDate>false</LinksUpToDate>
  <CharactersWithSpaces>12670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2026-07-29T20:19:00Z</dcterms:created>
  <dc:creator>聂泉源</dc:creator>
  <cp:lastModifiedBy>众联：农琳</cp:lastModifiedBy>
  <cp:lastPrinted>2018-09-20T17:31:00Z</cp:lastPrinted>
  <dcterms:modified xsi:type="dcterms:W3CDTF">2026-09-24T07:22:35Z</dcterms:modified>
  <dc:title>3</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eyJoZGlkIjoiNzEwM2MyNTQ3MzE2YzkyMmI0Yjg3YzU0NjdlOWJiNzUiLCJ1c2VySWQiOiI0MTgzMDQ3OTIifQ==</vt:lpwstr>
  </property>
  <property fmtid="{D5CDD505-2E9C-101B-9397-08002B2CF9AE}" pid="4" name="ICV">
    <vt:lpwstr>1E9F69DC1CBD465789FBE196C0D394C5_13</vt:lpwstr>
  </property>
</Properties>
</file>