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9A33FD">
      <w:pPr>
        <w:spacing w:line="360" w:lineRule="auto"/>
        <w:jc w:val="center"/>
        <w:rPr>
          <w:rFonts w:ascii="方正小标宋简体" w:hAnsi="宋体" w:eastAsia="方正小标宋简体"/>
          <w:sz w:val="52"/>
          <w:szCs w:val="52"/>
        </w:rPr>
      </w:pPr>
    </w:p>
    <w:p w14:paraId="2BCA0C8D">
      <w:pPr>
        <w:pStyle w:val="24"/>
        <w:snapToGrid w:val="0"/>
        <w:spacing w:before="50" w:after="120" w:line="360" w:lineRule="auto"/>
        <w:jc w:val="center"/>
        <w:rPr>
          <w:rFonts w:hAnsi="宋体" w:cs="宋体"/>
          <w:b/>
          <w:bCs/>
          <w:color w:val="000000"/>
          <w:w w:val="95"/>
          <w:sz w:val="72"/>
          <w:szCs w:val="72"/>
        </w:rPr>
      </w:pPr>
      <w:r>
        <w:rPr>
          <w:rFonts w:hint="eastAsia" w:hAnsi="宋体" w:cs="宋体"/>
          <w:b/>
          <w:bCs/>
          <w:color w:val="000000"/>
          <w:w w:val="95"/>
          <w:sz w:val="72"/>
          <w:szCs w:val="72"/>
        </w:rPr>
        <w:t>同致诚工程咨询有限公司</w:t>
      </w:r>
    </w:p>
    <w:p w14:paraId="12D9A8E0">
      <w:pPr>
        <w:snapToGrid w:val="0"/>
        <w:spacing w:beforeLines="50" w:line="360" w:lineRule="auto"/>
        <w:rPr>
          <w:rFonts w:ascii="华文新魏" w:hAnsi="宋体" w:eastAsia="华文新魏"/>
          <w:sz w:val="72"/>
          <w:szCs w:val="72"/>
        </w:rPr>
      </w:pPr>
    </w:p>
    <w:p w14:paraId="2B6C6CB3">
      <w:pPr>
        <w:snapToGrid w:val="0"/>
        <w:spacing w:beforeLines="50" w:line="360" w:lineRule="auto"/>
        <w:jc w:val="center"/>
        <w:rPr>
          <w:rFonts w:ascii="宋体" w:hAnsi="宋体" w:cs="宋体"/>
          <w:color w:val="000000"/>
          <w:sz w:val="72"/>
          <w:szCs w:val="72"/>
        </w:rPr>
      </w:pPr>
      <w:r>
        <w:rPr>
          <w:rFonts w:hint="eastAsia" w:ascii="宋体" w:hAnsi="宋体" w:cs="宋体"/>
          <w:sz w:val="72"/>
          <w:szCs w:val="72"/>
        </w:rPr>
        <w:t>竞</w:t>
      </w:r>
      <w:r>
        <w:rPr>
          <w:rFonts w:hint="eastAsia" w:ascii="宋体" w:hAnsi="宋体" w:cs="宋体"/>
          <w:color w:val="000000"/>
          <w:sz w:val="72"/>
          <w:szCs w:val="72"/>
        </w:rPr>
        <w:t>争性磋商文件</w:t>
      </w:r>
    </w:p>
    <w:p w14:paraId="3F263E08">
      <w:pPr>
        <w:spacing w:line="360" w:lineRule="auto"/>
        <w:jc w:val="center"/>
        <w:rPr>
          <w:rFonts w:ascii="宋体" w:hAnsi="宋体" w:cs="宋体"/>
          <w:b/>
          <w:color w:val="000000"/>
          <w:sz w:val="32"/>
          <w:szCs w:val="32"/>
        </w:rPr>
      </w:pPr>
      <w:r>
        <w:rPr>
          <w:rFonts w:hint="eastAsia" w:ascii="宋体" w:hAnsi="宋体" w:cs="宋体"/>
          <w:b/>
          <w:sz w:val="32"/>
          <w:szCs w:val="32"/>
        </w:rPr>
        <w:t>（全流程电子化采购）</w:t>
      </w:r>
    </w:p>
    <w:p w14:paraId="4CC43C99">
      <w:pPr>
        <w:spacing w:line="360" w:lineRule="auto"/>
        <w:rPr>
          <w:rFonts w:ascii="宋体" w:hAnsi="宋体"/>
          <w:b/>
          <w:color w:val="000000"/>
          <w:sz w:val="32"/>
          <w:szCs w:val="32"/>
        </w:rPr>
      </w:pPr>
    </w:p>
    <w:p w14:paraId="17F60DE0">
      <w:pPr>
        <w:spacing w:line="360" w:lineRule="auto"/>
        <w:jc w:val="center"/>
        <w:rPr>
          <w:rFonts w:ascii="宋体" w:hAnsi="宋体"/>
          <w:b/>
          <w:color w:val="000000"/>
          <w:sz w:val="32"/>
          <w:szCs w:val="32"/>
        </w:rPr>
      </w:pPr>
    </w:p>
    <w:p w14:paraId="64C556DE">
      <w:pPr>
        <w:pStyle w:val="24"/>
        <w:snapToGrid w:val="0"/>
        <w:spacing w:before="50" w:after="120" w:line="360" w:lineRule="auto"/>
        <w:ind w:firstLine="1193" w:firstLineChars="396"/>
        <w:rPr>
          <w:rFonts w:hint="eastAsia" w:hAnsi="宋体" w:eastAsia="宋体" w:cs="宋体"/>
          <w:b/>
          <w:bCs/>
          <w:color w:val="000000"/>
          <w:sz w:val="30"/>
          <w:szCs w:val="30"/>
          <w:lang w:eastAsia="zh-CN"/>
        </w:rPr>
      </w:pPr>
      <w:r>
        <w:rPr>
          <w:rFonts w:hint="eastAsia" w:hAnsi="宋体" w:cs="宋体"/>
          <w:b/>
          <w:bCs/>
          <w:color w:val="000000"/>
          <w:sz w:val="30"/>
          <w:szCs w:val="30"/>
        </w:rPr>
        <w:t>项目</w:t>
      </w:r>
      <w:r>
        <w:rPr>
          <w:rFonts w:hint="eastAsia" w:hAnsi="宋体" w:cs="宋体"/>
          <w:b/>
          <w:bCs/>
          <w:color w:val="000000"/>
          <w:w w:val="95"/>
          <w:sz w:val="30"/>
          <w:szCs w:val="30"/>
        </w:rPr>
        <w:t>名称</w:t>
      </w:r>
      <w:r>
        <w:rPr>
          <w:rFonts w:hint="eastAsia" w:hAnsi="宋体" w:cs="宋体"/>
          <w:b/>
          <w:bCs/>
          <w:color w:val="000000"/>
          <w:sz w:val="30"/>
          <w:szCs w:val="30"/>
        </w:rPr>
        <w:t>：食材配送服务采购</w:t>
      </w:r>
      <w:r>
        <w:rPr>
          <w:rFonts w:hint="eastAsia" w:hAnsi="宋体" w:cs="宋体"/>
          <w:b/>
          <w:bCs/>
          <w:color w:val="000000"/>
          <w:sz w:val="30"/>
          <w:szCs w:val="30"/>
          <w:lang w:eastAsia="zh-CN"/>
        </w:rPr>
        <w:t>（重）</w:t>
      </w:r>
    </w:p>
    <w:p w14:paraId="73024586">
      <w:pPr>
        <w:snapToGrid w:val="0"/>
        <w:spacing w:beforeLines="50" w:line="360" w:lineRule="auto"/>
        <w:ind w:firstLine="1145" w:firstLineChars="400"/>
        <w:rPr>
          <w:rFonts w:hint="eastAsia" w:ascii="宋体" w:hAnsi="宋体" w:cs="宋体"/>
          <w:b/>
          <w:bCs/>
          <w:color w:val="auto"/>
          <w:w w:val="95"/>
          <w:sz w:val="30"/>
          <w:szCs w:val="30"/>
          <w:highlight w:val="yellow"/>
          <w:lang w:val="en-US" w:eastAsia="zh-CN"/>
        </w:rPr>
      </w:pPr>
      <w:r>
        <w:rPr>
          <w:rFonts w:hint="eastAsia" w:ascii="宋体" w:hAnsi="宋体" w:cs="宋体"/>
          <w:b/>
          <w:bCs/>
          <w:color w:val="000000"/>
          <w:w w:val="95"/>
          <w:sz w:val="30"/>
          <w:szCs w:val="30"/>
        </w:rPr>
        <w:t>项目</w:t>
      </w:r>
      <w:r>
        <w:rPr>
          <w:rFonts w:hint="eastAsia" w:ascii="宋体" w:hAnsi="宋体" w:cs="宋体"/>
          <w:b/>
          <w:bCs/>
          <w:color w:val="auto"/>
          <w:sz w:val="30"/>
          <w:szCs w:val="30"/>
        </w:rPr>
        <w:t>编号</w:t>
      </w:r>
      <w:r>
        <w:rPr>
          <w:rFonts w:hint="eastAsia" w:ascii="宋体" w:hAnsi="宋体" w:cs="宋体"/>
          <w:b/>
          <w:bCs/>
          <w:color w:val="auto"/>
          <w:w w:val="95"/>
          <w:sz w:val="30"/>
          <w:szCs w:val="30"/>
        </w:rPr>
        <w:t>：</w:t>
      </w:r>
      <w:r>
        <w:rPr>
          <w:rFonts w:hint="eastAsia" w:ascii="宋体" w:hAnsi="宋体" w:cs="宋体"/>
          <w:b/>
          <w:bCs/>
          <w:color w:val="auto"/>
          <w:w w:val="95"/>
          <w:sz w:val="30"/>
          <w:szCs w:val="30"/>
          <w:lang w:val="en-US" w:eastAsia="zh-CN"/>
        </w:rPr>
        <w:t>WZZC2026-C3-990232-TZCG</w:t>
      </w:r>
    </w:p>
    <w:p w14:paraId="51908C96">
      <w:pPr>
        <w:pStyle w:val="24"/>
        <w:snapToGrid w:val="0"/>
        <w:spacing w:before="50" w:after="120" w:line="360" w:lineRule="auto"/>
        <w:ind w:firstLine="1125" w:firstLineChars="393"/>
        <w:rPr>
          <w:rFonts w:hAnsi="宋体" w:cs="宋体"/>
          <w:b/>
          <w:bCs/>
          <w:color w:val="000000"/>
          <w:w w:val="95"/>
          <w:sz w:val="30"/>
          <w:szCs w:val="30"/>
        </w:rPr>
      </w:pPr>
      <w:r>
        <w:rPr>
          <w:rFonts w:hint="eastAsia" w:hAnsi="宋体" w:cs="宋体"/>
          <w:b/>
          <w:bCs/>
          <w:color w:val="000000"/>
          <w:w w:val="95"/>
          <w:sz w:val="30"/>
          <w:szCs w:val="30"/>
        </w:rPr>
        <w:t xml:space="preserve">采 购 人： </w:t>
      </w:r>
      <w:bookmarkStart w:id="0" w:name="PO_3000001866_PM026"/>
      <w:r>
        <w:rPr>
          <w:rFonts w:hint="eastAsia" w:hAnsi="宋体" w:cs="宋体"/>
          <w:b/>
          <w:bCs/>
          <w:color w:val="000000"/>
          <w:w w:val="95"/>
          <w:sz w:val="30"/>
          <w:szCs w:val="30"/>
        </w:rPr>
        <w:t>广西梧州体育训练基地</w:t>
      </w:r>
      <w:bookmarkEnd w:id="0"/>
    </w:p>
    <w:p w14:paraId="564CB14B">
      <w:pPr>
        <w:pStyle w:val="24"/>
        <w:snapToGrid w:val="0"/>
        <w:spacing w:before="50" w:after="120" w:line="360" w:lineRule="auto"/>
        <w:ind w:firstLine="1125" w:firstLineChars="393"/>
        <w:rPr>
          <w:rFonts w:hAnsi="宋体" w:cs="宋体"/>
          <w:b/>
          <w:bCs/>
          <w:color w:val="000000"/>
          <w:w w:val="95"/>
          <w:sz w:val="30"/>
          <w:szCs w:val="30"/>
        </w:rPr>
      </w:pPr>
      <w:r>
        <w:rPr>
          <w:rFonts w:hint="eastAsia" w:hAnsi="宋体" w:cs="宋体"/>
          <w:b/>
          <w:bCs/>
          <w:color w:val="000000"/>
          <w:w w:val="95"/>
          <w:sz w:val="30"/>
          <w:szCs w:val="30"/>
        </w:rPr>
        <w:t>采购代理机构：</w:t>
      </w:r>
      <w:bookmarkStart w:id="1" w:name="PO_3000001866_PM031"/>
      <w:r>
        <w:rPr>
          <w:rFonts w:hint="eastAsia" w:hAnsi="宋体" w:cs="宋体"/>
          <w:b/>
          <w:bCs/>
          <w:color w:val="000000"/>
          <w:w w:val="95"/>
          <w:sz w:val="30"/>
          <w:szCs w:val="30"/>
        </w:rPr>
        <w:t>同致诚工程咨询有限公司</w:t>
      </w:r>
      <w:bookmarkEnd w:id="1"/>
    </w:p>
    <w:p w14:paraId="162DA9AF">
      <w:pPr>
        <w:pStyle w:val="24"/>
        <w:snapToGrid w:val="0"/>
        <w:spacing w:before="50" w:after="120" w:line="360" w:lineRule="auto"/>
        <w:ind w:firstLine="841" w:firstLineChars="294"/>
        <w:rPr>
          <w:rFonts w:hAnsi="宋体" w:cs="宋体"/>
          <w:b/>
          <w:bCs/>
          <w:color w:val="000000"/>
          <w:w w:val="95"/>
          <w:sz w:val="30"/>
          <w:szCs w:val="30"/>
        </w:rPr>
      </w:pPr>
      <w:r>
        <w:rPr>
          <w:rFonts w:hint="eastAsia" w:hAnsi="宋体" w:cs="宋体"/>
          <w:b/>
          <w:bCs/>
          <w:color w:val="000000"/>
          <w:w w:val="95"/>
          <w:sz w:val="30"/>
          <w:szCs w:val="30"/>
        </w:rPr>
        <w:t xml:space="preserve">                 </w:t>
      </w:r>
    </w:p>
    <w:p w14:paraId="01EE41F8">
      <w:pPr>
        <w:pStyle w:val="24"/>
        <w:snapToGrid w:val="0"/>
        <w:spacing w:before="50" w:after="120" w:line="360" w:lineRule="auto"/>
        <w:ind w:firstLine="3148" w:firstLineChars="1100"/>
        <w:rPr>
          <w:rFonts w:ascii="仿宋_GB2312" w:hAnsi="宋体" w:eastAsia="仿宋_GB2312"/>
          <w:b/>
          <w:bCs/>
          <w:color w:val="000000"/>
          <w:w w:val="95"/>
          <w:sz w:val="30"/>
          <w:szCs w:val="30"/>
        </w:rPr>
        <w:sectPr>
          <w:pgSz w:w="11906" w:h="16838"/>
          <w:pgMar w:top="1134" w:right="1134" w:bottom="1134" w:left="1134" w:header="720" w:footer="720" w:gutter="0"/>
          <w:pgNumType w:start="1"/>
          <w:cols w:space="720" w:num="1"/>
          <w:docGrid w:type="lines" w:linePitch="331" w:charSpace="0"/>
        </w:sectPr>
      </w:pPr>
      <w:r>
        <w:rPr>
          <w:rFonts w:hint="eastAsia" w:hAnsi="宋体" w:cs="宋体"/>
          <w:b/>
          <w:bCs/>
          <w:color w:val="000000"/>
          <w:w w:val="95"/>
          <w:sz w:val="30"/>
          <w:szCs w:val="30"/>
        </w:rPr>
        <w:t xml:space="preserve"> 2026年</w:t>
      </w:r>
      <w:r>
        <w:rPr>
          <w:rFonts w:hint="eastAsia" w:hAnsi="宋体" w:cs="宋体"/>
          <w:b/>
          <w:bCs/>
          <w:color w:val="000000"/>
          <w:w w:val="95"/>
          <w:sz w:val="30"/>
          <w:szCs w:val="30"/>
          <w:lang w:val="en-US" w:eastAsia="zh-CN"/>
        </w:rPr>
        <w:t>9</w:t>
      </w:r>
      <w:r>
        <w:rPr>
          <w:rFonts w:hint="eastAsia" w:hAnsi="宋体" w:cs="宋体"/>
          <w:b/>
          <w:bCs/>
          <w:color w:val="000000"/>
          <w:w w:val="95"/>
          <w:sz w:val="30"/>
          <w:szCs w:val="30"/>
        </w:rPr>
        <w:t>月</w:t>
      </w:r>
    </w:p>
    <w:p w14:paraId="44EE5DA5">
      <w:pPr>
        <w:rPr>
          <w:rFonts w:ascii="宋体" w:hAnsi="宋体"/>
          <w:b/>
          <w:sz w:val="44"/>
          <w:szCs w:val="44"/>
        </w:rPr>
      </w:pPr>
    </w:p>
    <w:p w14:paraId="2411D62A">
      <w:pPr>
        <w:spacing w:line="360" w:lineRule="auto"/>
        <w:jc w:val="center"/>
        <w:rPr>
          <w:rFonts w:ascii="宋体" w:hAnsi="宋体"/>
          <w:b/>
          <w:sz w:val="44"/>
          <w:szCs w:val="44"/>
        </w:rPr>
      </w:pPr>
      <w:r>
        <w:rPr>
          <w:rFonts w:hint="eastAsia" w:ascii="宋体" w:hAnsi="宋体"/>
          <w:b/>
          <w:sz w:val="44"/>
          <w:szCs w:val="44"/>
        </w:rPr>
        <w:t>目  录</w:t>
      </w:r>
    </w:p>
    <w:p w14:paraId="24D94674">
      <w:pPr>
        <w:spacing w:line="400" w:lineRule="exact"/>
        <w:jc w:val="center"/>
        <w:rPr>
          <w:rFonts w:ascii="宋体" w:hAnsi="宋体"/>
          <w:b/>
          <w:sz w:val="44"/>
          <w:szCs w:val="44"/>
        </w:rPr>
      </w:pPr>
    </w:p>
    <w:p w14:paraId="4B74C421">
      <w:pPr>
        <w:pStyle w:val="31"/>
        <w:tabs>
          <w:tab w:val="right" w:leader="dot" w:pos="8869"/>
        </w:tabs>
        <w:spacing w:line="500" w:lineRule="atLeast"/>
        <w:rPr>
          <w:rFonts w:ascii="宋体" w:hAnsi="宋体"/>
          <w:b/>
          <w:sz w:val="24"/>
        </w:rPr>
      </w:pPr>
      <w:r>
        <w:rPr>
          <w:rFonts w:ascii="宋体" w:hAnsi="宋体"/>
          <w:b/>
          <w:sz w:val="24"/>
        </w:rPr>
        <w:fldChar w:fldCharType="begin"/>
      </w:r>
      <w:r>
        <w:rPr>
          <w:rFonts w:hint="eastAsia" w:ascii="宋体" w:hAnsi="宋体"/>
          <w:b/>
          <w:sz w:val="24"/>
        </w:rPr>
        <w:instrText xml:space="preserve">TOC \o "1-3" \h \z \u</w:instrText>
      </w:r>
      <w:r>
        <w:rPr>
          <w:rFonts w:ascii="宋体" w:hAnsi="宋体"/>
          <w:b/>
          <w:sz w:val="24"/>
        </w:rPr>
        <w:fldChar w:fldCharType="separate"/>
      </w:r>
      <w:r>
        <w:fldChar w:fldCharType="begin"/>
      </w:r>
      <w:r>
        <w:instrText xml:space="preserve"> HYPERLINK \l "_Toc74323456" </w:instrText>
      </w:r>
      <w:r>
        <w:fldChar w:fldCharType="separate"/>
      </w:r>
      <w:r>
        <w:rPr>
          <w:rStyle w:val="51"/>
          <w:rFonts w:hint="eastAsia" w:ascii="宋体" w:hAnsi="宋体"/>
          <w:b/>
          <w:color w:val="auto"/>
          <w:sz w:val="24"/>
        </w:rPr>
        <w:t>第一章竞争性磋商公告</w:t>
      </w:r>
      <w:r>
        <w:rPr>
          <w:rFonts w:ascii="宋体" w:hAnsi="宋体"/>
          <w:b/>
          <w:sz w:val="24"/>
        </w:rPr>
        <w:tab/>
      </w:r>
      <w:r>
        <w:rPr>
          <w:rFonts w:ascii="宋体" w:hAnsi="宋体"/>
          <w:b/>
          <w:sz w:val="24"/>
        </w:rPr>
        <w:fldChar w:fldCharType="begin"/>
      </w:r>
      <w:r>
        <w:rPr>
          <w:rFonts w:ascii="宋体" w:hAnsi="宋体"/>
          <w:b/>
          <w:sz w:val="24"/>
        </w:rPr>
        <w:instrText xml:space="preserve"> PAGEREF _Toc74323456 \h </w:instrText>
      </w:r>
      <w:r>
        <w:rPr>
          <w:rFonts w:ascii="宋体" w:hAnsi="宋体"/>
          <w:b/>
          <w:sz w:val="24"/>
        </w:rPr>
        <w:fldChar w:fldCharType="separate"/>
      </w:r>
      <w:r>
        <w:rPr>
          <w:rFonts w:ascii="宋体" w:hAnsi="宋体"/>
          <w:b/>
          <w:sz w:val="24"/>
        </w:rPr>
        <w:t>1</w:t>
      </w:r>
      <w:r>
        <w:rPr>
          <w:rFonts w:ascii="宋体" w:hAnsi="宋体"/>
          <w:b/>
          <w:sz w:val="24"/>
        </w:rPr>
        <w:fldChar w:fldCharType="end"/>
      </w:r>
      <w:r>
        <w:rPr>
          <w:rFonts w:ascii="宋体" w:hAnsi="宋体"/>
          <w:b/>
          <w:sz w:val="24"/>
        </w:rPr>
        <w:fldChar w:fldCharType="end"/>
      </w:r>
    </w:p>
    <w:p w14:paraId="18270258">
      <w:pPr>
        <w:pStyle w:val="31"/>
        <w:tabs>
          <w:tab w:val="right" w:leader="dot" w:pos="8869"/>
        </w:tabs>
        <w:spacing w:line="500" w:lineRule="atLeast"/>
        <w:rPr>
          <w:rFonts w:ascii="宋体" w:hAnsi="宋体"/>
          <w:b/>
          <w:sz w:val="24"/>
        </w:rPr>
      </w:pPr>
      <w:r>
        <w:fldChar w:fldCharType="begin"/>
      </w:r>
      <w:r>
        <w:instrText xml:space="preserve"> HYPERLINK \l "_Toc74323457" </w:instrText>
      </w:r>
      <w:r>
        <w:fldChar w:fldCharType="separate"/>
      </w:r>
      <w:r>
        <w:rPr>
          <w:rStyle w:val="51"/>
          <w:rFonts w:hint="eastAsia" w:ascii="宋体" w:hAnsi="宋体"/>
          <w:b/>
          <w:color w:val="auto"/>
          <w:sz w:val="24"/>
        </w:rPr>
        <w:t>第二章供应</w:t>
      </w:r>
      <w:bookmarkStart w:id="2" w:name="_Hlt82161237"/>
      <w:r>
        <w:rPr>
          <w:rStyle w:val="51"/>
          <w:rFonts w:hint="eastAsia" w:ascii="宋体" w:hAnsi="宋体"/>
          <w:b/>
          <w:color w:val="auto"/>
          <w:sz w:val="24"/>
        </w:rPr>
        <w:t>商</w:t>
      </w:r>
      <w:bookmarkEnd w:id="2"/>
      <w:r>
        <w:rPr>
          <w:rStyle w:val="51"/>
          <w:rFonts w:hint="eastAsia" w:ascii="宋体" w:hAnsi="宋体"/>
          <w:b/>
          <w:color w:val="auto"/>
          <w:sz w:val="24"/>
        </w:rPr>
        <w:t>须知</w:t>
      </w:r>
      <w:r>
        <w:rPr>
          <w:rFonts w:ascii="宋体" w:hAnsi="宋体"/>
          <w:b/>
          <w:sz w:val="24"/>
        </w:rPr>
        <w:tab/>
      </w:r>
      <w:r>
        <w:rPr>
          <w:rFonts w:ascii="宋体" w:hAnsi="宋体"/>
          <w:b/>
          <w:sz w:val="24"/>
        </w:rPr>
        <w:fldChar w:fldCharType="begin"/>
      </w:r>
      <w:r>
        <w:rPr>
          <w:rFonts w:ascii="宋体" w:hAnsi="宋体"/>
          <w:b/>
          <w:sz w:val="24"/>
        </w:rPr>
        <w:instrText xml:space="preserve"> PAGEREF _Toc74323457 \h </w:instrText>
      </w:r>
      <w:r>
        <w:rPr>
          <w:rFonts w:ascii="宋体" w:hAnsi="宋体"/>
          <w:b/>
          <w:sz w:val="24"/>
        </w:rPr>
        <w:fldChar w:fldCharType="separate"/>
      </w:r>
      <w:r>
        <w:rPr>
          <w:rFonts w:ascii="宋体" w:hAnsi="宋体"/>
          <w:b/>
          <w:sz w:val="24"/>
        </w:rPr>
        <w:t>1</w:t>
      </w:r>
      <w:r>
        <w:rPr>
          <w:rFonts w:ascii="宋体" w:hAnsi="宋体"/>
          <w:b/>
          <w:sz w:val="24"/>
        </w:rPr>
        <w:fldChar w:fldCharType="end"/>
      </w:r>
      <w:r>
        <w:rPr>
          <w:rFonts w:ascii="宋体" w:hAnsi="宋体"/>
          <w:b/>
          <w:sz w:val="24"/>
        </w:rPr>
        <w:fldChar w:fldCharType="end"/>
      </w:r>
    </w:p>
    <w:p w14:paraId="48CEC36A">
      <w:pPr>
        <w:pStyle w:val="31"/>
        <w:tabs>
          <w:tab w:val="right" w:leader="dot" w:pos="8869"/>
        </w:tabs>
        <w:spacing w:line="500" w:lineRule="atLeast"/>
        <w:rPr>
          <w:rFonts w:ascii="宋体" w:hAnsi="宋体"/>
          <w:b/>
          <w:sz w:val="24"/>
        </w:rPr>
      </w:pPr>
      <w:r>
        <w:fldChar w:fldCharType="begin"/>
      </w:r>
      <w:r>
        <w:instrText xml:space="preserve"> HYPERLINK \l "_Toc74323458" </w:instrText>
      </w:r>
      <w:r>
        <w:fldChar w:fldCharType="separate"/>
      </w:r>
      <w:r>
        <w:rPr>
          <w:rStyle w:val="51"/>
          <w:rFonts w:hint="eastAsia" w:ascii="宋体" w:hAnsi="宋体"/>
          <w:b/>
          <w:color w:val="auto"/>
          <w:sz w:val="24"/>
        </w:rPr>
        <w:t>第三章采购需</w:t>
      </w:r>
      <w:bookmarkStart w:id="3" w:name="_Hlt82166940"/>
      <w:r>
        <w:rPr>
          <w:rStyle w:val="51"/>
          <w:rFonts w:hint="eastAsia" w:ascii="宋体" w:hAnsi="宋体"/>
          <w:b/>
          <w:color w:val="auto"/>
          <w:sz w:val="24"/>
        </w:rPr>
        <w:t>求</w:t>
      </w:r>
      <w:bookmarkEnd w:id="3"/>
      <w:r>
        <w:rPr>
          <w:rFonts w:ascii="宋体" w:hAnsi="宋体"/>
          <w:b/>
          <w:sz w:val="24"/>
        </w:rPr>
        <w:tab/>
      </w:r>
      <w:r>
        <w:rPr>
          <w:rFonts w:ascii="宋体" w:hAnsi="宋体"/>
          <w:b/>
          <w:sz w:val="24"/>
        </w:rPr>
        <w:fldChar w:fldCharType="begin"/>
      </w:r>
      <w:r>
        <w:rPr>
          <w:rFonts w:ascii="宋体" w:hAnsi="宋体"/>
          <w:b/>
          <w:sz w:val="24"/>
        </w:rPr>
        <w:instrText xml:space="preserve"> PAGEREF _Toc74323458 \h </w:instrText>
      </w:r>
      <w:r>
        <w:rPr>
          <w:rFonts w:ascii="宋体" w:hAnsi="宋体"/>
          <w:b/>
          <w:sz w:val="24"/>
        </w:rPr>
        <w:fldChar w:fldCharType="separate"/>
      </w:r>
      <w:r>
        <w:rPr>
          <w:rFonts w:ascii="宋体" w:hAnsi="宋体"/>
          <w:b/>
          <w:sz w:val="24"/>
        </w:rPr>
        <w:t>20</w:t>
      </w:r>
      <w:r>
        <w:rPr>
          <w:rFonts w:ascii="宋体" w:hAnsi="宋体"/>
          <w:b/>
          <w:sz w:val="24"/>
        </w:rPr>
        <w:fldChar w:fldCharType="end"/>
      </w:r>
      <w:r>
        <w:rPr>
          <w:rFonts w:ascii="宋体" w:hAnsi="宋体"/>
          <w:b/>
          <w:sz w:val="24"/>
        </w:rPr>
        <w:fldChar w:fldCharType="end"/>
      </w:r>
    </w:p>
    <w:p w14:paraId="50D3FE96">
      <w:pPr>
        <w:pStyle w:val="31"/>
        <w:tabs>
          <w:tab w:val="right" w:leader="dot" w:pos="8869"/>
        </w:tabs>
        <w:spacing w:line="500" w:lineRule="atLeast"/>
        <w:rPr>
          <w:rFonts w:ascii="宋体" w:hAnsi="宋体"/>
          <w:b/>
          <w:sz w:val="24"/>
        </w:rPr>
      </w:pPr>
      <w:r>
        <w:fldChar w:fldCharType="begin"/>
      </w:r>
      <w:r>
        <w:instrText xml:space="preserve"> HYPERLINK \l "_Toc74323459" </w:instrText>
      </w:r>
      <w:r>
        <w:fldChar w:fldCharType="separate"/>
      </w:r>
      <w:r>
        <w:rPr>
          <w:rStyle w:val="51"/>
          <w:rFonts w:hint="eastAsia" w:ascii="宋体" w:hAnsi="宋体"/>
          <w:b/>
          <w:color w:val="auto"/>
          <w:sz w:val="24"/>
        </w:rPr>
        <w:t>第四章评审程序、</w:t>
      </w:r>
      <w:bookmarkStart w:id="4" w:name="_Hlt82166000"/>
      <w:r>
        <w:rPr>
          <w:rStyle w:val="51"/>
          <w:rFonts w:hint="eastAsia" w:ascii="宋体" w:hAnsi="宋体"/>
          <w:b/>
          <w:color w:val="auto"/>
          <w:sz w:val="24"/>
        </w:rPr>
        <w:t>评</w:t>
      </w:r>
      <w:bookmarkEnd w:id="4"/>
      <w:r>
        <w:rPr>
          <w:rStyle w:val="51"/>
          <w:rFonts w:hint="eastAsia" w:ascii="宋体" w:hAnsi="宋体"/>
          <w:b/>
          <w:color w:val="auto"/>
          <w:sz w:val="24"/>
        </w:rPr>
        <w:t>审方法和评审标准</w:t>
      </w:r>
      <w:r>
        <w:rPr>
          <w:rFonts w:ascii="宋体" w:hAnsi="宋体"/>
          <w:b/>
          <w:sz w:val="24"/>
        </w:rPr>
        <w:tab/>
      </w:r>
      <w:r>
        <w:rPr>
          <w:rFonts w:ascii="宋体" w:hAnsi="宋体"/>
          <w:b/>
          <w:sz w:val="24"/>
        </w:rPr>
        <w:fldChar w:fldCharType="begin"/>
      </w:r>
      <w:r>
        <w:rPr>
          <w:rFonts w:ascii="宋体" w:hAnsi="宋体"/>
          <w:b/>
          <w:sz w:val="24"/>
        </w:rPr>
        <w:instrText xml:space="preserve"> PAGEREF _Toc74323459 \h </w:instrText>
      </w:r>
      <w:r>
        <w:rPr>
          <w:rFonts w:ascii="宋体" w:hAnsi="宋体"/>
          <w:b/>
          <w:sz w:val="24"/>
        </w:rPr>
        <w:fldChar w:fldCharType="separate"/>
      </w:r>
      <w:r>
        <w:rPr>
          <w:rFonts w:ascii="宋体" w:hAnsi="宋体"/>
          <w:b/>
          <w:sz w:val="24"/>
        </w:rPr>
        <w:t>29</w:t>
      </w:r>
      <w:r>
        <w:rPr>
          <w:rFonts w:ascii="宋体" w:hAnsi="宋体"/>
          <w:b/>
          <w:sz w:val="24"/>
        </w:rPr>
        <w:fldChar w:fldCharType="end"/>
      </w:r>
      <w:r>
        <w:rPr>
          <w:rFonts w:ascii="宋体" w:hAnsi="宋体"/>
          <w:b/>
          <w:sz w:val="24"/>
        </w:rPr>
        <w:fldChar w:fldCharType="end"/>
      </w:r>
    </w:p>
    <w:p w14:paraId="58C5F4E9">
      <w:pPr>
        <w:pStyle w:val="31"/>
        <w:tabs>
          <w:tab w:val="right" w:leader="dot" w:pos="8869"/>
        </w:tabs>
        <w:spacing w:line="500" w:lineRule="atLeast"/>
        <w:rPr>
          <w:rFonts w:ascii="宋体" w:hAnsi="宋体"/>
          <w:b/>
          <w:sz w:val="24"/>
        </w:rPr>
      </w:pPr>
      <w:r>
        <w:fldChar w:fldCharType="begin"/>
      </w:r>
      <w:r>
        <w:instrText xml:space="preserve"> HYPERLINK \l "_Toc74323460" </w:instrText>
      </w:r>
      <w:r>
        <w:fldChar w:fldCharType="separate"/>
      </w:r>
      <w:r>
        <w:rPr>
          <w:rStyle w:val="51"/>
          <w:rFonts w:hint="eastAsia" w:ascii="宋体" w:hAnsi="宋体"/>
          <w:b/>
          <w:color w:val="auto"/>
          <w:sz w:val="24"/>
        </w:rPr>
        <w:t>第五章响应文件格式</w:t>
      </w:r>
      <w:r>
        <w:rPr>
          <w:rFonts w:ascii="宋体" w:hAnsi="宋体"/>
          <w:b/>
          <w:sz w:val="24"/>
        </w:rPr>
        <w:tab/>
      </w:r>
      <w:r>
        <w:rPr>
          <w:rFonts w:ascii="宋体" w:hAnsi="宋体"/>
          <w:b/>
          <w:sz w:val="24"/>
        </w:rPr>
        <w:fldChar w:fldCharType="begin"/>
      </w:r>
      <w:r>
        <w:rPr>
          <w:rFonts w:ascii="宋体" w:hAnsi="宋体"/>
          <w:b/>
          <w:sz w:val="24"/>
        </w:rPr>
        <w:instrText xml:space="preserve"> PAGEREF _Toc74323460 \h </w:instrText>
      </w:r>
      <w:r>
        <w:rPr>
          <w:rFonts w:ascii="宋体" w:hAnsi="宋体"/>
          <w:b/>
          <w:sz w:val="24"/>
        </w:rPr>
        <w:fldChar w:fldCharType="separate"/>
      </w:r>
      <w:r>
        <w:rPr>
          <w:rFonts w:ascii="宋体" w:hAnsi="宋体"/>
          <w:b/>
          <w:sz w:val="24"/>
        </w:rPr>
        <w:t>38</w:t>
      </w:r>
      <w:r>
        <w:rPr>
          <w:rFonts w:ascii="宋体" w:hAnsi="宋体"/>
          <w:b/>
          <w:sz w:val="24"/>
        </w:rPr>
        <w:fldChar w:fldCharType="end"/>
      </w:r>
      <w:r>
        <w:rPr>
          <w:rFonts w:ascii="宋体" w:hAnsi="宋体"/>
          <w:b/>
          <w:sz w:val="24"/>
        </w:rPr>
        <w:fldChar w:fldCharType="end"/>
      </w:r>
    </w:p>
    <w:p w14:paraId="1AAFCB8E">
      <w:pPr>
        <w:pStyle w:val="31"/>
        <w:tabs>
          <w:tab w:val="right" w:leader="dot" w:pos="8869"/>
        </w:tabs>
        <w:spacing w:line="500" w:lineRule="atLeast"/>
        <w:rPr>
          <w:rFonts w:ascii="宋体" w:hAnsi="宋体"/>
          <w:sz w:val="24"/>
        </w:rPr>
      </w:pPr>
      <w:r>
        <w:fldChar w:fldCharType="begin"/>
      </w:r>
      <w:r>
        <w:instrText xml:space="preserve"> HYPERLINK \l "_Toc74323461" </w:instrText>
      </w:r>
      <w:r>
        <w:fldChar w:fldCharType="separate"/>
      </w:r>
      <w:r>
        <w:rPr>
          <w:rStyle w:val="51"/>
          <w:rFonts w:hint="eastAsia" w:ascii="宋体" w:hAnsi="宋体"/>
          <w:b/>
          <w:color w:val="auto"/>
          <w:sz w:val="24"/>
        </w:rPr>
        <w:t>第六章合同文本</w:t>
      </w:r>
      <w:r>
        <w:rPr>
          <w:rFonts w:ascii="宋体" w:hAnsi="宋体"/>
          <w:b/>
          <w:sz w:val="24"/>
        </w:rPr>
        <w:tab/>
      </w:r>
      <w:r>
        <w:rPr>
          <w:rFonts w:ascii="宋体" w:hAnsi="宋体"/>
          <w:b/>
          <w:sz w:val="24"/>
        </w:rPr>
        <w:fldChar w:fldCharType="begin"/>
      </w:r>
      <w:r>
        <w:rPr>
          <w:rFonts w:ascii="宋体" w:hAnsi="宋体"/>
          <w:b/>
          <w:sz w:val="24"/>
        </w:rPr>
        <w:instrText xml:space="preserve"> PAGEREF _Toc74323461 \h </w:instrText>
      </w:r>
      <w:r>
        <w:rPr>
          <w:rFonts w:ascii="宋体" w:hAnsi="宋体"/>
          <w:b/>
          <w:sz w:val="24"/>
        </w:rPr>
        <w:fldChar w:fldCharType="separate"/>
      </w:r>
      <w:r>
        <w:rPr>
          <w:rFonts w:ascii="宋体" w:hAnsi="宋体"/>
          <w:b/>
          <w:sz w:val="24"/>
        </w:rPr>
        <w:t>60</w:t>
      </w:r>
      <w:r>
        <w:rPr>
          <w:rFonts w:ascii="宋体" w:hAnsi="宋体"/>
          <w:b/>
          <w:sz w:val="24"/>
        </w:rPr>
        <w:fldChar w:fldCharType="end"/>
      </w:r>
      <w:r>
        <w:rPr>
          <w:rFonts w:ascii="宋体" w:hAnsi="宋体"/>
          <w:b/>
          <w:sz w:val="24"/>
        </w:rPr>
        <w:fldChar w:fldCharType="end"/>
      </w:r>
    </w:p>
    <w:p w14:paraId="5C7E96BF">
      <w:pPr>
        <w:pStyle w:val="38"/>
        <w:tabs>
          <w:tab w:val="right" w:leader="dot" w:pos="8931"/>
          <w:tab w:val="clear" w:pos="8296"/>
        </w:tabs>
        <w:spacing w:line="500" w:lineRule="atLeast"/>
        <w:ind w:left="0"/>
        <w:rPr>
          <w:rFonts w:ascii="宋体" w:hAnsi="宋体"/>
          <w:b/>
          <w:sz w:val="24"/>
        </w:rPr>
      </w:pPr>
      <w:r>
        <w:rPr>
          <w:rFonts w:ascii="宋体" w:hAnsi="宋体"/>
          <w:b/>
          <w:sz w:val="24"/>
        </w:rPr>
        <w:fldChar w:fldCharType="end"/>
      </w:r>
    </w:p>
    <w:p w14:paraId="11555098">
      <w:pPr>
        <w:spacing w:line="400" w:lineRule="exact"/>
        <w:jc w:val="left"/>
        <w:rPr>
          <w:rFonts w:ascii="宋体" w:hAnsi="宋体"/>
          <w:b/>
          <w:sz w:val="32"/>
          <w:szCs w:val="32"/>
        </w:rPr>
      </w:pPr>
    </w:p>
    <w:p w14:paraId="4BF1B3CE">
      <w:pPr>
        <w:spacing w:line="400" w:lineRule="exact"/>
        <w:jc w:val="center"/>
        <w:rPr>
          <w:rFonts w:ascii="宋体" w:hAnsi="宋体"/>
          <w:b/>
          <w:sz w:val="32"/>
          <w:szCs w:val="32"/>
        </w:rPr>
      </w:pPr>
    </w:p>
    <w:p w14:paraId="0AFFE6F8">
      <w:pPr>
        <w:spacing w:line="400" w:lineRule="exact"/>
        <w:jc w:val="center"/>
        <w:rPr>
          <w:rFonts w:ascii="宋体" w:hAnsi="宋体"/>
          <w:b/>
          <w:sz w:val="32"/>
          <w:szCs w:val="32"/>
        </w:rPr>
      </w:pPr>
    </w:p>
    <w:p w14:paraId="7EFBB1C1">
      <w:pPr>
        <w:spacing w:line="400" w:lineRule="exact"/>
        <w:jc w:val="center"/>
        <w:rPr>
          <w:rFonts w:ascii="宋体" w:hAnsi="宋体"/>
          <w:b/>
          <w:sz w:val="32"/>
          <w:szCs w:val="32"/>
        </w:rPr>
      </w:pPr>
    </w:p>
    <w:p w14:paraId="58C1544C">
      <w:pPr>
        <w:spacing w:line="400" w:lineRule="exact"/>
        <w:jc w:val="center"/>
        <w:rPr>
          <w:rFonts w:ascii="宋体" w:hAnsi="宋体"/>
          <w:b/>
          <w:sz w:val="32"/>
          <w:szCs w:val="32"/>
        </w:rPr>
      </w:pPr>
    </w:p>
    <w:p w14:paraId="7851729F">
      <w:pPr>
        <w:spacing w:line="400" w:lineRule="exact"/>
        <w:rPr>
          <w:rFonts w:ascii="宋体" w:hAnsi="宋体"/>
          <w:b/>
          <w:sz w:val="32"/>
          <w:szCs w:val="32"/>
        </w:rPr>
        <w:sectPr>
          <w:headerReference r:id="rId4" w:type="first"/>
          <w:footerReference r:id="rId6" w:type="first"/>
          <w:headerReference r:id="rId3" w:type="default"/>
          <w:footerReference r:id="rId5" w:type="default"/>
          <w:pgSz w:w="11906" w:h="16838"/>
          <w:pgMar w:top="1327" w:right="1253" w:bottom="1327" w:left="1253" w:header="851" w:footer="992" w:gutter="0"/>
          <w:pgNumType w:start="0"/>
          <w:cols w:space="720" w:num="1"/>
          <w:titlePg/>
        </w:sectPr>
      </w:pPr>
    </w:p>
    <w:p w14:paraId="3197657D">
      <w:pPr>
        <w:pStyle w:val="3"/>
        <w:spacing w:line="480" w:lineRule="auto"/>
        <w:jc w:val="center"/>
      </w:pPr>
      <w:bookmarkStart w:id="5" w:name="_Toc74323456"/>
      <w:r>
        <w:rPr>
          <w:rFonts w:ascii="宋体" w:hAnsi="宋体" w:cs="宋体"/>
          <w:color w:val="000000"/>
        </w:rPr>
        <w:pict>
          <v:shape id="_x0000_s1026" o:spid="_x0000_s1026" o:spt="202" type="#_x0000_t202" style="position:absolute;left:0pt;margin-left:7.25pt;margin-top:71.25pt;height:99.2pt;width:469.4pt;z-index:251659264;mso-width-relative:page;mso-height-relative:page;" stroked="f" coordsize="21600,21600" o:gfxdata="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ChurQHXAAAACgEAAA8AAAAAAAAAAQAgAAAAIgAAAGRycy9kb3ducmV2&#10;LnhtbFBLAQIUABQAAAAIAIdO4kBlPMZwxAEAAHgDAAAOAAAAAAAAAAEAIAAAACYBAABkcnMvZTJv&#10;RG9jLnhtbFBLBQYAAAAABgAGAFkBAABcBQAAAAA=&#10;">
            <v:path/>
            <v:fill focussize="0,0"/>
            <v:stroke on="f" joinstyle="miter"/>
            <v:imagedata o:title=""/>
            <o:lock v:ext="edit"/>
            <v:textbox>
              <w:txbxContent>
                <w:p w14:paraId="16D2D6B5">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项目概况</w:t>
                  </w:r>
                </w:p>
                <w:p w14:paraId="0CB34477">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食材配送服务采购</w:t>
                  </w:r>
                  <w:r>
                    <w:rPr>
                      <w:rFonts w:hint="eastAsia" w:ascii="宋体" w:hAnsi="宋体" w:cs="宋体"/>
                      <w:color w:val="auto"/>
                      <w:szCs w:val="21"/>
                      <w:highlight w:val="none"/>
                      <w:u w:val="single"/>
                      <w:lang w:eastAsia="zh-CN"/>
                    </w:rPr>
                    <w:t>（重）</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采购项目的潜在供应商应在</w:t>
                  </w:r>
                  <w:r>
                    <w:rPr>
                      <w:rFonts w:hint="eastAsia" w:ascii="宋体" w:hAnsi="宋体" w:eastAsia="宋体" w:cs="宋体"/>
                      <w:color w:val="auto"/>
                      <w:sz w:val="24"/>
                      <w:highlight w:val="none"/>
                    </w:rPr>
                    <w:t>政采云平台（</w:t>
                  </w:r>
                  <w:r>
                    <w:rPr>
                      <w:rFonts w:hint="eastAsia" w:ascii="宋体" w:hAnsi="宋体" w:eastAsia="宋体" w:cs="宋体"/>
                      <w:snapToGrid w:val="0"/>
                      <w:color w:val="auto"/>
                      <w:highlight w:val="none"/>
                    </w:rPr>
                    <w:t>https://www.zcygov.cn/）获取（下载）</w:t>
                  </w:r>
                  <w:r>
                    <w:rPr>
                      <w:rFonts w:hint="eastAsia" w:ascii="宋体" w:hAnsi="宋体" w:eastAsia="宋体" w:cs="宋体"/>
                      <w:color w:val="auto"/>
                      <w:szCs w:val="21"/>
                      <w:highlight w:val="none"/>
                    </w:rPr>
                    <w:t>获取竞争性磋商文件，并于</w:t>
                  </w:r>
                  <w:bookmarkStart w:id="157" w:name="PO_3000001868_PM015_2"/>
                  <w:r>
                    <w:rPr>
                      <w:rFonts w:hint="eastAsia" w:ascii="宋体" w:hAnsi="宋体" w:eastAsia="宋体" w:cs="宋体"/>
                      <w:color w:val="auto"/>
                      <w:szCs w:val="21"/>
                      <w:highlight w:val="none"/>
                      <w:u w:val="single"/>
                    </w:rPr>
                    <w:t>2026-0</w:t>
                  </w:r>
                  <w:r>
                    <w:rPr>
                      <w:rFonts w:hint="eastAsia" w:ascii="宋体" w:hAnsi="宋体" w:eastAsia="宋体" w:cs="宋体"/>
                      <w:color w:val="auto"/>
                      <w:szCs w:val="21"/>
                      <w:highlight w:val="none"/>
                      <w:u w:val="single"/>
                      <w:lang w:val="en-US" w:eastAsia="zh-CN"/>
                    </w:rPr>
                    <w:t>9</w:t>
                  </w:r>
                  <w:r>
                    <w:rPr>
                      <w:rFonts w:hint="eastAsia" w:ascii="宋体" w:hAnsi="宋体" w:eastAsia="宋体" w:cs="宋体"/>
                      <w:color w:val="auto"/>
                      <w:szCs w:val="21"/>
                      <w:highlight w:val="none"/>
                      <w:u w:val="single"/>
                    </w:rPr>
                    <w:t>-</w:t>
                  </w:r>
                  <w:r>
                    <w:rPr>
                      <w:rFonts w:hint="eastAsia" w:ascii="宋体" w:hAnsi="宋体" w:cs="宋体"/>
                      <w:color w:val="auto"/>
                      <w:szCs w:val="21"/>
                      <w:highlight w:val="none"/>
                      <w:u w:val="single"/>
                      <w:lang w:val="en-US" w:eastAsia="zh-CN"/>
                    </w:rPr>
                    <w:t>21</w:t>
                  </w:r>
                  <w:r>
                    <w:rPr>
                      <w:rFonts w:hint="eastAsia" w:ascii="宋体" w:hAnsi="宋体" w:eastAsia="宋体" w:cs="宋体"/>
                      <w:color w:val="auto"/>
                      <w:szCs w:val="21"/>
                      <w:highlight w:val="none"/>
                      <w:u w:val="single"/>
                    </w:rPr>
                    <w:t xml:space="preserve">  9:</w:t>
                  </w:r>
                  <w:r>
                    <w:rPr>
                      <w:rFonts w:hint="eastAsia" w:ascii="宋体" w:hAnsi="宋体" w:cs="宋体"/>
                      <w:color w:val="auto"/>
                      <w:szCs w:val="21"/>
                      <w:highlight w:val="none"/>
                      <w:u w:val="single"/>
                      <w:lang w:val="en-US" w:eastAsia="zh-CN"/>
                    </w:rPr>
                    <w:t>3</w:t>
                  </w:r>
                  <w:r>
                    <w:rPr>
                      <w:rFonts w:hint="eastAsia" w:ascii="宋体" w:hAnsi="宋体" w:eastAsia="宋体" w:cs="宋体"/>
                      <w:color w:val="auto"/>
                      <w:szCs w:val="21"/>
                      <w:highlight w:val="none"/>
                      <w:u w:val="single"/>
                    </w:rPr>
                    <w:t>0:00</w:t>
                  </w:r>
                  <w:bookmarkEnd w:id="157"/>
                  <w:r>
                    <w:rPr>
                      <w:rFonts w:hint="eastAsia" w:ascii="宋体" w:hAnsi="宋体" w:eastAsia="宋体" w:cs="宋体"/>
                      <w:bCs/>
                      <w:color w:val="auto"/>
                      <w:szCs w:val="21"/>
                      <w:highlight w:val="none"/>
                    </w:rPr>
                    <w:t>（北京时间）前提交响应文件</w:t>
                  </w:r>
                  <w:r>
                    <w:rPr>
                      <w:rFonts w:hint="eastAsia" w:ascii="宋体" w:hAnsi="宋体" w:eastAsia="宋体" w:cs="宋体"/>
                      <w:color w:val="auto"/>
                      <w:szCs w:val="21"/>
                      <w:highlight w:val="none"/>
                    </w:rPr>
                    <w:t>。</w:t>
                  </w:r>
                </w:p>
                <w:p w14:paraId="4464F2FC">
                  <w:pPr>
                    <w:rPr>
                      <w:highlight w:val="none"/>
                    </w:rPr>
                  </w:pPr>
                </w:p>
              </w:txbxContent>
            </v:textbox>
          </v:shape>
        </w:pict>
      </w:r>
      <w:r>
        <w:rPr>
          <w:rFonts w:hint="eastAsia"/>
        </w:rPr>
        <w:t>第一章 竞争性磋商公告</w:t>
      </w:r>
      <w:bookmarkEnd w:id="5"/>
    </w:p>
    <w:p w14:paraId="08134F82">
      <w:pPr>
        <w:pStyle w:val="3"/>
        <w:spacing w:line="400" w:lineRule="exact"/>
        <w:rPr>
          <w:rFonts w:ascii="宋体" w:hAnsi="宋体" w:cs="宋体"/>
          <w:bCs w:val="0"/>
          <w:color w:val="000000"/>
          <w:sz w:val="24"/>
          <w:szCs w:val="24"/>
        </w:rPr>
      </w:pPr>
      <w:bookmarkStart w:id="6" w:name="_Toc74323457"/>
    </w:p>
    <w:p w14:paraId="26331846">
      <w:pPr>
        <w:pStyle w:val="3"/>
        <w:spacing w:line="400" w:lineRule="exact"/>
        <w:rPr>
          <w:rFonts w:ascii="宋体" w:hAnsi="宋体" w:cs="宋体"/>
          <w:bCs w:val="0"/>
          <w:color w:val="000000"/>
          <w:sz w:val="24"/>
          <w:szCs w:val="24"/>
        </w:rPr>
      </w:pPr>
    </w:p>
    <w:p w14:paraId="7F75897C">
      <w:pPr>
        <w:spacing w:line="360" w:lineRule="auto"/>
        <w:ind w:firstLine="480" w:firstLineChars="200"/>
        <w:rPr>
          <w:rFonts w:ascii="宋体" w:hAnsi="宋体" w:cs="宋体"/>
          <w:bCs/>
          <w:color w:val="000000"/>
          <w:sz w:val="24"/>
        </w:rPr>
      </w:pPr>
    </w:p>
    <w:p w14:paraId="5C1B7826">
      <w:pPr>
        <w:spacing w:line="360" w:lineRule="auto"/>
        <w:ind w:firstLine="482" w:firstLineChars="200"/>
        <w:rPr>
          <w:rFonts w:ascii="宋体" w:hAnsi="宋体" w:cs="宋体"/>
          <w:b/>
          <w:color w:val="000000"/>
        </w:rPr>
      </w:pPr>
      <w:r>
        <w:rPr>
          <w:rFonts w:hint="eastAsia" w:ascii="宋体" w:hAnsi="宋体" w:cs="宋体"/>
          <w:b/>
          <w:color w:val="000000"/>
          <w:sz w:val="24"/>
        </w:rPr>
        <w:t>一、项目基本情况</w:t>
      </w:r>
    </w:p>
    <w:p w14:paraId="44BA8180">
      <w:pPr>
        <w:spacing w:line="360" w:lineRule="auto"/>
        <w:ind w:firstLine="420" w:firstLineChars="200"/>
        <w:rPr>
          <w:rFonts w:hint="eastAsia" w:ascii="宋体" w:hAnsi="宋体" w:cs="宋体"/>
          <w:color w:val="000000"/>
          <w:szCs w:val="21"/>
          <w:highlight w:val="none"/>
          <w:lang w:val="en-US" w:eastAsia="zh-CN"/>
        </w:rPr>
      </w:pPr>
      <w:r>
        <w:rPr>
          <w:rFonts w:hint="eastAsia" w:ascii="宋体" w:hAnsi="宋体" w:cs="宋体"/>
          <w:color w:val="000000"/>
          <w:szCs w:val="21"/>
          <w:highlight w:val="none"/>
        </w:rPr>
        <w:t>1.项目编号：</w:t>
      </w:r>
      <w:r>
        <w:rPr>
          <w:rFonts w:hint="eastAsia" w:ascii="宋体" w:hAnsi="宋体" w:cs="宋体"/>
          <w:color w:val="000000"/>
          <w:szCs w:val="21"/>
          <w:highlight w:val="none"/>
          <w:lang w:val="en-US" w:eastAsia="zh-CN"/>
        </w:rPr>
        <w:t>WZZC2026-C3-990232-TZCG</w:t>
      </w:r>
    </w:p>
    <w:p w14:paraId="1937BFB5">
      <w:pPr>
        <w:spacing w:line="360" w:lineRule="auto"/>
        <w:ind w:firstLine="420" w:firstLineChars="200"/>
        <w:rPr>
          <w:rFonts w:hint="eastAsia" w:ascii="宋体" w:hAnsi="宋体" w:eastAsia="宋体" w:cs="宋体"/>
          <w:color w:val="000000"/>
          <w:szCs w:val="21"/>
          <w:highlight w:val="none"/>
          <w:lang w:eastAsia="zh-CN"/>
        </w:rPr>
      </w:pPr>
      <w:bookmarkStart w:id="158" w:name="_GoBack"/>
      <w:bookmarkEnd w:id="158"/>
      <w:r>
        <w:rPr>
          <w:rFonts w:hint="eastAsia" w:ascii="宋体" w:hAnsi="宋体" w:cs="宋体"/>
          <w:color w:val="000000"/>
          <w:szCs w:val="21"/>
          <w:highlight w:val="none"/>
        </w:rPr>
        <w:t>2.项目名称：食材配送服务采购</w:t>
      </w:r>
      <w:r>
        <w:rPr>
          <w:rFonts w:hint="eastAsia" w:ascii="宋体" w:hAnsi="宋体" w:cs="宋体"/>
          <w:color w:val="000000"/>
          <w:szCs w:val="21"/>
          <w:highlight w:val="none"/>
          <w:lang w:eastAsia="zh-CN"/>
        </w:rPr>
        <w:t>（重）</w:t>
      </w:r>
    </w:p>
    <w:p w14:paraId="622241AB">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3.采购方式：竞争性磋商</w:t>
      </w:r>
    </w:p>
    <w:p w14:paraId="0E181A59">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4.预算总金额（元）：</w:t>
      </w:r>
      <w:bookmarkStart w:id="7" w:name="PO_3000001868_PM001392"/>
      <w:r>
        <w:rPr>
          <w:rFonts w:hint="eastAsia" w:ascii="宋体" w:hAnsi="宋体" w:cs="宋体"/>
          <w:color w:val="000000"/>
          <w:szCs w:val="21"/>
          <w:highlight w:val="none"/>
        </w:rPr>
        <w:t>1500000</w:t>
      </w:r>
      <w:bookmarkEnd w:id="7"/>
    </w:p>
    <w:p w14:paraId="449288B1">
      <w:pPr>
        <w:spacing w:line="360" w:lineRule="auto"/>
        <w:ind w:firstLine="420" w:firstLineChars="200"/>
        <w:jc w:val="left"/>
        <w:rPr>
          <w:rFonts w:hint="eastAsia" w:ascii="宋体" w:hAnsi="宋体" w:eastAsia="宋体" w:cs="宋体"/>
          <w:b/>
          <w:szCs w:val="21"/>
          <w:highlight w:val="none"/>
          <w:lang w:val="en-US" w:eastAsia="zh-CN"/>
        </w:rPr>
      </w:pPr>
      <w:r>
        <w:rPr>
          <w:rFonts w:hint="eastAsia" w:ascii="宋体" w:hAnsi="宋体" w:cs="宋体"/>
          <w:color w:val="000000"/>
          <w:szCs w:val="21"/>
          <w:highlight w:val="none"/>
        </w:rPr>
        <w:t>5.最高限价</w:t>
      </w:r>
      <w:bookmarkStart w:id="8" w:name="_Hlk66782034"/>
      <w:r>
        <w:rPr>
          <w:rFonts w:hint="eastAsia" w:ascii="宋体" w:hAnsi="宋体" w:cs="宋体"/>
          <w:color w:val="000000"/>
          <w:szCs w:val="21"/>
          <w:highlight w:val="none"/>
        </w:rPr>
        <w:t>（如有）</w:t>
      </w:r>
      <w:bookmarkEnd w:id="8"/>
      <w:r>
        <w:rPr>
          <w:rFonts w:hint="eastAsia" w:ascii="宋体" w:hAnsi="宋体" w:cs="宋体"/>
          <w:color w:val="000000"/>
          <w:szCs w:val="21"/>
          <w:highlight w:val="none"/>
        </w:rPr>
        <w:t>：</w:t>
      </w:r>
      <w:r>
        <w:rPr>
          <w:rFonts w:hint="eastAsia" w:ascii="宋体" w:hAnsi="宋体"/>
          <w:b/>
          <w:szCs w:val="21"/>
          <w:highlight w:val="none"/>
          <w:lang w:val="en-US" w:eastAsia="zh-CN"/>
        </w:rPr>
        <w:t>/</w:t>
      </w:r>
    </w:p>
    <w:p w14:paraId="58202D08">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 xml:space="preserve">6.采购需求： </w:t>
      </w:r>
      <w:bookmarkStart w:id="9" w:name="PO_3000001868_PM004"/>
    </w:p>
    <w:p w14:paraId="596C684A">
      <w:pPr>
        <w:spacing w:line="360" w:lineRule="auto"/>
        <w:ind w:firstLine="420" w:firstLineChars="200"/>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标项名称:食材配送服务采购</w:t>
      </w:r>
      <w:r>
        <w:rPr>
          <w:rFonts w:hint="eastAsia" w:ascii="宋体" w:hAnsi="宋体" w:cs="宋体"/>
          <w:color w:val="000000"/>
          <w:szCs w:val="21"/>
          <w:highlight w:val="none"/>
          <w:lang w:eastAsia="zh-CN"/>
        </w:rPr>
        <w:t>（重）</w:t>
      </w:r>
    </w:p>
    <w:p w14:paraId="4D4B75B0">
      <w:pPr>
        <w:spacing w:line="360" w:lineRule="auto"/>
        <w:ind w:left="420" w:leftChars="200"/>
        <w:rPr>
          <w:rFonts w:ascii="宋体" w:hAnsi="宋体" w:cs="宋体"/>
          <w:color w:val="000000"/>
          <w:szCs w:val="21"/>
          <w:highlight w:val="none"/>
        </w:rPr>
      </w:pPr>
      <w:r>
        <w:rPr>
          <w:rFonts w:hint="eastAsia" w:ascii="宋体" w:hAnsi="宋体" w:cs="宋体"/>
          <w:color w:val="000000"/>
          <w:szCs w:val="21"/>
          <w:highlight w:val="none"/>
        </w:rPr>
        <w:t>数量:1项</w:t>
      </w:r>
    </w:p>
    <w:p w14:paraId="0574B7B2">
      <w:pPr>
        <w:spacing w:line="360" w:lineRule="auto"/>
        <w:ind w:left="420" w:leftChars="200" w:firstLine="420" w:firstLineChars="200"/>
        <w:rPr>
          <w:rFonts w:ascii="宋体" w:hAnsi="宋体" w:cs="宋体"/>
          <w:color w:val="000000"/>
          <w:szCs w:val="21"/>
          <w:highlight w:val="none"/>
        </w:rPr>
      </w:pPr>
      <w:r>
        <w:rPr>
          <w:rFonts w:hint="eastAsia" w:ascii="宋体" w:hAnsi="宋体" w:cs="宋体"/>
          <w:color w:val="000000"/>
          <w:szCs w:val="21"/>
          <w:highlight w:val="none"/>
        </w:rPr>
        <w:t>项目基本概况介绍：食材配送服务采购原材料主要为粮油类（大米、食用油、调味品） 、干货调料、蛋类 、冻品类（鸡、鸭、鱼、猪、牛、羊肉、丸类及其它海产品类） 、新鲜肉类（鲜猪肉、牛肉、羊肉、鸡、鸭、羊肉、内脏类及其它海产品类） 、新鲜蔬菜类（叶菜类、根茎类、鲜菌类、茄果瓜类、葱姜蒜椒、半加工菜类） 、新鲜水果类（热销水果、时令水果、热带水果） 、粉、面、豆制品 、杂物类（烘焙、烧烤食材；洗洁精、保鲜膜、清洁用纯碱等），具体详见竞争性磋商文件。 </w:t>
      </w:r>
    </w:p>
    <w:bookmarkEnd w:id="9"/>
    <w:p w14:paraId="61486CE0">
      <w:pPr>
        <w:spacing w:line="360" w:lineRule="auto"/>
        <w:ind w:firstLine="420" w:firstLineChars="200"/>
        <w:rPr>
          <w:rFonts w:ascii="宋体" w:hAnsi="宋体" w:cs="宋体"/>
          <w:color w:val="000000"/>
          <w:szCs w:val="21"/>
          <w:highlight w:val="none"/>
          <w:u w:val="single"/>
        </w:rPr>
      </w:pPr>
      <w:r>
        <w:rPr>
          <w:rFonts w:hint="eastAsia" w:ascii="宋体" w:hAnsi="宋体" w:cs="宋体"/>
          <w:color w:val="000000"/>
          <w:szCs w:val="21"/>
          <w:highlight w:val="none"/>
        </w:rPr>
        <w:t>7.服务期限：签订合同之日起1年</w:t>
      </w:r>
    </w:p>
    <w:p w14:paraId="116D1CEB">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8.本标项（否）接受联合体投标</w:t>
      </w:r>
    </w:p>
    <w:p w14:paraId="77B2E8E6">
      <w:pPr>
        <w:spacing w:line="360" w:lineRule="auto"/>
        <w:ind w:firstLine="310"/>
        <w:jc w:val="left"/>
        <w:rPr>
          <w:rFonts w:ascii="宋体" w:hAnsi="宋体" w:cs="宋体"/>
          <w:b/>
          <w:szCs w:val="21"/>
          <w:highlight w:val="none"/>
        </w:rPr>
      </w:pPr>
      <w:r>
        <w:rPr>
          <w:rFonts w:hint="eastAsia" w:ascii="宋体" w:hAnsi="宋体" w:cs="宋体"/>
          <w:color w:val="000000"/>
          <w:szCs w:val="21"/>
          <w:highlight w:val="none"/>
          <w:lang w:eastAsia="zh-CN"/>
        </w:rPr>
        <w:t>备注：</w:t>
      </w:r>
      <w:r>
        <w:rPr>
          <w:rFonts w:hint="eastAsia" w:ascii="宋体" w:hAnsi="宋体" w:cs="宋体"/>
          <w:color w:val="000000"/>
          <w:szCs w:val="21"/>
          <w:highlight w:val="none"/>
        </w:rPr>
        <w:t>最高限价（如有）：</w:t>
      </w:r>
      <w:r>
        <w:rPr>
          <w:rFonts w:hint="eastAsia" w:ascii="宋体" w:hAnsi="宋体"/>
          <w:b/>
          <w:szCs w:val="21"/>
          <w:highlight w:val="none"/>
        </w:rPr>
        <w:t>折扣≤95%</w:t>
      </w:r>
    </w:p>
    <w:p w14:paraId="0076EAF8">
      <w:pPr>
        <w:pStyle w:val="2"/>
      </w:pPr>
    </w:p>
    <w:p w14:paraId="2B658790">
      <w:pPr>
        <w:spacing w:line="360" w:lineRule="auto"/>
        <w:ind w:firstLine="482" w:firstLineChars="200"/>
        <w:rPr>
          <w:rFonts w:ascii="宋体" w:hAnsi="宋体" w:cs="宋体"/>
          <w:b/>
          <w:color w:val="000000"/>
          <w:kern w:val="44"/>
          <w:sz w:val="24"/>
          <w:highlight w:val="none"/>
        </w:rPr>
      </w:pPr>
      <w:bookmarkStart w:id="10" w:name="_Toc28359013"/>
      <w:bookmarkStart w:id="11" w:name="_Toc35393630"/>
      <w:bookmarkStart w:id="12" w:name="_Toc35393799"/>
      <w:bookmarkStart w:id="13" w:name="_Toc28359090"/>
      <w:bookmarkStart w:id="14" w:name="_Toc44229879"/>
      <w:r>
        <w:rPr>
          <w:rFonts w:hint="eastAsia" w:ascii="宋体" w:hAnsi="宋体" w:cs="宋体"/>
          <w:b/>
          <w:color w:val="000000"/>
          <w:kern w:val="44"/>
          <w:sz w:val="24"/>
          <w:highlight w:val="none"/>
        </w:rPr>
        <w:t>二、</w:t>
      </w:r>
      <w:bookmarkEnd w:id="10"/>
      <w:bookmarkEnd w:id="11"/>
      <w:bookmarkEnd w:id="12"/>
      <w:bookmarkEnd w:id="13"/>
      <w:bookmarkEnd w:id="14"/>
      <w:r>
        <w:rPr>
          <w:rFonts w:hint="eastAsia" w:ascii="宋体" w:hAnsi="宋体" w:cs="宋体"/>
          <w:b/>
          <w:color w:val="000000"/>
          <w:kern w:val="44"/>
          <w:sz w:val="24"/>
          <w:highlight w:val="none"/>
        </w:rPr>
        <w:t>申请人的资格要求：</w:t>
      </w:r>
    </w:p>
    <w:p w14:paraId="02F8B4C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w:t>
      </w:r>
    </w:p>
    <w:p w14:paraId="27A15C99">
      <w:pPr>
        <w:spacing w:line="360" w:lineRule="auto"/>
        <w:ind w:firstLine="420" w:firstLineChars="200"/>
        <w:rPr>
          <w:rFonts w:ascii="宋体" w:hAnsi="宋体" w:cs="宋体"/>
          <w:color w:val="000000"/>
          <w:szCs w:val="21"/>
          <w:highlight w:val="none"/>
        </w:rPr>
      </w:pPr>
      <w:r>
        <w:rPr>
          <w:rFonts w:hint="eastAsia" w:ascii="宋体" w:hAnsi="宋体" w:cs="宋体"/>
          <w:color w:val="auto"/>
          <w:szCs w:val="21"/>
          <w:highlight w:val="none"/>
        </w:rPr>
        <w:t>2.落实政府采购政策需满足的资格要求：本项目属于专门面向中小企业采购的项目，服务的承接单位为符合政策要求的</w:t>
      </w:r>
      <w:r>
        <w:rPr>
          <w:rFonts w:hint="eastAsia" w:ascii="宋体" w:hAnsi="宋体"/>
          <w:color w:val="auto"/>
          <w:szCs w:val="21"/>
          <w:highlight w:val="none"/>
        </w:rPr>
        <w:t>中小企业</w:t>
      </w:r>
      <w:r>
        <w:rPr>
          <w:rFonts w:hint="eastAsia" w:ascii="宋体" w:hAnsi="宋体" w:cs="宋体"/>
          <w:color w:val="auto"/>
          <w:szCs w:val="21"/>
          <w:highlight w:val="none"/>
        </w:rPr>
        <w:t>（包括监狱企业及残疾人福利单位），须提供中小企业声明函【如属于残疾人福利性单位的提供残疾人福利</w:t>
      </w:r>
      <w:r>
        <w:rPr>
          <w:rFonts w:hint="eastAsia" w:ascii="宋体" w:hAnsi="宋体" w:cs="宋体"/>
          <w:color w:val="000000"/>
          <w:szCs w:val="21"/>
          <w:highlight w:val="none"/>
        </w:rPr>
        <w:t>性单位声明函，属于监狱企业的提供由省级以上监狱管理局、戒毒管理局（含新疆生产建设兵团）出具的属于监狱企业的证明文件】。 </w:t>
      </w:r>
    </w:p>
    <w:p w14:paraId="1FD27A96">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3.本项目的特定资格要求：供应商有效的《食品经营许可证》复印件，许可证主体业态需为“食品销售经营者”。如供应商的食品经营许可证与营业执照合并办理的，须提供扫描营业执照二维码后的有效备案信息截图；（必须提供，否则响应文件按无效响应处理）</w:t>
      </w:r>
    </w:p>
    <w:p w14:paraId="058D6520">
      <w:pPr>
        <w:pStyle w:val="4"/>
        <w:spacing w:before="0" w:after="0" w:line="360" w:lineRule="auto"/>
        <w:ind w:firstLine="482" w:firstLineChars="200"/>
        <w:rPr>
          <w:rFonts w:ascii="宋体" w:hAnsi="宋体" w:cs="宋体"/>
          <w:bCs w:val="0"/>
          <w:sz w:val="24"/>
          <w:szCs w:val="24"/>
          <w:highlight w:val="none"/>
        </w:rPr>
      </w:pPr>
      <w:r>
        <w:rPr>
          <w:rFonts w:hint="eastAsia" w:ascii="宋体" w:hAnsi="宋体" w:cs="宋体"/>
          <w:bCs w:val="0"/>
          <w:sz w:val="24"/>
          <w:szCs w:val="24"/>
          <w:highlight w:val="none"/>
        </w:rPr>
        <w:t>三、获取采购文件</w:t>
      </w:r>
    </w:p>
    <w:p w14:paraId="7B886EA0">
      <w:pPr>
        <w:spacing w:line="360" w:lineRule="auto"/>
        <w:ind w:firstLine="420" w:firstLineChars="200"/>
        <w:rPr>
          <w:rFonts w:hint="eastAsia" w:ascii="宋体" w:hAnsi="宋体" w:eastAsia="宋体" w:cs="宋体"/>
          <w:color w:val="000000"/>
          <w:kern w:val="2"/>
          <w:szCs w:val="21"/>
          <w:highlight w:val="none"/>
          <w:lang w:eastAsia="zh-CN"/>
        </w:rPr>
      </w:pPr>
      <w:bookmarkStart w:id="15" w:name="_Toc28359015"/>
      <w:bookmarkStart w:id="16" w:name="_Toc35393632"/>
      <w:bookmarkStart w:id="17" w:name="_Toc44229881"/>
      <w:bookmarkStart w:id="18" w:name="_Toc35393801"/>
      <w:bookmarkStart w:id="19" w:name="_Toc28359092"/>
      <w:r>
        <w:rPr>
          <w:rFonts w:hint="eastAsia" w:ascii="宋体" w:hAnsi="宋体" w:cs="宋体"/>
          <w:color w:val="000000"/>
          <w:kern w:val="2"/>
          <w:szCs w:val="21"/>
          <w:highlight w:val="none"/>
        </w:rPr>
        <w:t>时间：2026年0</w:t>
      </w:r>
      <w:r>
        <w:rPr>
          <w:rFonts w:hint="eastAsia" w:ascii="宋体" w:hAnsi="宋体" w:cs="宋体"/>
          <w:color w:val="000000"/>
          <w:kern w:val="2"/>
          <w:szCs w:val="21"/>
          <w:highlight w:val="none"/>
          <w:lang w:val="en-US" w:eastAsia="zh-CN"/>
        </w:rPr>
        <w:t>9</w:t>
      </w:r>
      <w:r>
        <w:rPr>
          <w:rFonts w:hint="eastAsia" w:ascii="宋体" w:hAnsi="宋体" w:cs="宋体"/>
          <w:color w:val="000000"/>
          <w:kern w:val="2"/>
          <w:szCs w:val="21"/>
          <w:highlight w:val="none"/>
        </w:rPr>
        <w:t>月</w:t>
      </w:r>
      <w:r>
        <w:rPr>
          <w:rFonts w:hint="eastAsia" w:ascii="宋体" w:hAnsi="宋体" w:cs="宋体"/>
          <w:color w:val="000000"/>
          <w:kern w:val="2"/>
          <w:szCs w:val="21"/>
          <w:highlight w:val="none"/>
          <w:lang w:val="en-US" w:eastAsia="zh-CN"/>
        </w:rPr>
        <w:t>08</w:t>
      </w:r>
      <w:r>
        <w:rPr>
          <w:rFonts w:hint="eastAsia" w:ascii="宋体" w:hAnsi="宋体" w:cs="宋体"/>
          <w:color w:val="000000"/>
          <w:kern w:val="2"/>
          <w:szCs w:val="21"/>
          <w:highlight w:val="none"/>
        </w:rPr>
        <w:t>日至2026年0</w:t>
      </w:r>
      <w:r>
        <w:rPr>
          <w:rFonts w:hint="eastAsia" w:ascii="宋体" w:hAnsi="宋体" w:cs="宋体"/>
          <w:color w:val="000000"/>
          <w:kern w:val="2"/>
          <w:szCs w:val="21"/>
          <w:highlight w:val="none"/>
          <w:lang w:val="en-US" w:eastAsia="zh-CN"/>
        </w:rPr>
        <w:t>9</w:t>
      </w:r>
      <w:r>
        <w:rPr>
          <w:rFonts w:hint="eastAsia" w:ascii="宋体" w:hAnsi="宋体" w:cs="宋体"/>
          <w:color w:val="000000"/>
          <w:kern w:val="2"/>
          <w:szCs w:val="21"/>
          <w:highlight w:val="none"/>
        </w:rPr>
        <w:t>月</w:t>
      </w:r>
      <w:r>
        <w:rPr>
          <w:rFonts w:hint="eastAsia" w:ascii="宋体" w:hAnsi="宋体" w:cs="宋体"/>
          <w:color w:val="000000"/>
          <w:kern w:val="2"/>
          <w:szCs w:val="21"/>
          <w:highlight w:val="none"/>
          <w:lang w:val="en-US" w:eastAsia="zh-CN"/>
        </w:rPr>
        <w:t>15</w:t>
      </w:r>
      <w:r>
        <w:rPr>
          <w:rFonts w:hint="eastAsia" w:ascii="宋体" w:hAnsi="宋体" w:cs="宋体"/>
          <w:color w:val="000000"/>
          <w:kern w:val="2"/>
          <w:szCs w:val="21"/>
          <w:highlight w:val="none"/>
        </w:rPr>
        <w:t>日，每天上午0</w:t>
      </w:r>
      <w:r>
        <w:rPr>
          <w:rFonts w:hint="eastAsia" w:ascii="宋体" w:hAnsi="宋体" w:cs="宋体"/>
          <w:color w:val="000000"/>
          <w:kern w:val="2"/>
          <w:szCs w:val="21"/>
          <w:highlight w:val="none"/>
          <w:lang w:val="en-US" w:eastAsia="zh-CN"/>
        </w:rPr>
        <w:t>0</w:t>
      </w:r>
      <w:r>
        <w:rPr>
          <w:rFonts w:hint="eastAsia" w:ascii="宋体" w:hAnsi="宋体" w:cs="宋体"/>
          <w:color w:val="000000"/>
          <w:kern w:val="2"/>
          <w:szCs w:val="21"/>
          <w:highlight w:val="none"/>
        </w:rPr>
        <w:t>:00:00至12:00:00，下午1</w:t>
      </w:r>
      <w:r>
        <w:rPr>
          <w:rFonts w:hint="eastAsia" w:ascii="宋体" w:hAnsi="宋体" w:cs="宋体"/>
          <w:color w:val="000000"/>
          <w:kern w:val="2"/>
          <w:szCs w:val="21"/>
          <w:highlight w:val="none"/>
          <w:lang w:val="en-US" w:eastAsia="zh-CN"/>
        </w:rPr>
        <w:t>2</w:t>
      </w:r>
      <w:r>
        <w:rPr>
          <w:rFonts w:hint="eastAsia" w:ascii="宋体" w:hAnsi="宋体" w:cs="宋体"/>
          <w:color w:val="000000"/>
          <w:kern w:val="2"/>
          <w:szCs w:val="21"/>
          <w:highlight w:val="none"/>
        </w:rPr>
        <w:t>:00:00至</w:t>
      </w:r>
      <w:r>
        <w:rPr>
          <w:rFonts w:hint="eastAsia" w:ascii="宋体" w:hAnsi="宋体" w:cs="宋体"/>
          <w:color w:val="000000"/>
          <w:kern w:val="2"/>
          <w:szCs w:val="21"/>
          <w:highlight w:val="none"/>
          <w:lang w:val="en-US" w:eastAsia="zh-CN"/>
        </w:rPr>
        <w:t>23</w:t>
      </w:r>
      <w:r>
        <w:rPr>
          <w:rFonts w:hint="eastAsia" w:ascii="宋体" w:hAnsi="宋体" w:cs="宋体"/>
          <w:color w:val="000000"/>
          <w:kern w:val="2"/>
          <w:szCs w:val="21"/>
          <w:highlight w:val="none"/>
        </w:rPr>
        <w:t>:</w:t>
      </w:r>
      <w:r>
        <w:rPr>
          <w:rFonts w:hint="eastAsia" w:ascii="宋体" w:hAnsi="宋体" w:cs="宋体"/>
          <w:color w:val="000000"/>
          <w:kern w:val="2"/>
          <w:szCs w:val="21"/>
          <w:highlight w:val="none"/>
          <w:lang w:val="en-US" w:eastAsia="zh-CN"/>
        </w:rPr>
        <w:t>59</w:t>
      </w:r>
      <w:r>
        <w:rPr>
          <w:rFonts w:hint="eastAsia" w:ascii="宋体" w:hAnsi="宋体" w:cs="宋体"/>
          <w:color w:val="000000"/>
          <w:kern w:val="2"/>
          <w:szCs w:val="21"/>
          <w:highlight w:val="none"/>
        </w:rPr>
        <w:t>:</w:t>
      </w:r>
      <w:r>
        <w:rPr>
          <w:rFonts w:hint="eastAsia" w:ascii="宋体" w:hAnsi="宋体" w:cs="宋体"/>
          <w:color w:val="000000"/>
          <w:kern w:val="2"/>
          <w:szCs w:val="21"/>
          <w:highlight w:val="none"/>
          <w:lang w:val="en-US" w:eastAsia="zh-CN"/>
        </w:rPr>
        <w:t>59</w:t>
      </w:r>
      <w:r>
        <w:rPr>
          <w:rFonts w:hint="eastAsia" w:ascii="宋体" w:hAnsi="宋体" w:cs="宋体"/>
          <w:color w:val="000000"/>
          <w:kern w:val="2"/>
          <w:szCs w:val="21"/>
          <w:highlight w:val="none"/>
        </w:rPr>
        <w:t>（北京时间，法定节假日除外）</w:t>
      </w:r>
    </w:p>
    <w:p w14:paraId="5188FA8F">
      <w:pPr>
        <w:pStyle w:val="40"/>
        <w:widowControl/>
        <w:spacing w:before="180" w:line="22" w:lineRule="atLeast"/>
        <w:ind w:firstLine="420" w:firstLineChars="200"/>
        <w:rPr>
          <w:rFonts w:ascii="宋体" w:hAnsi="宋体" w:cs="宋体"/>
          <w:color w:val="000000"/>
          <w:kern w:val="2"/>
          <w:sz w:val="21"/>
          <w:szCs w:val="21"/>
        </w:rPr>
      </w:pPr>
      <w:r>
        <w:rPr>
          <w:rFonts w:hint="eastAsia" w:ascii="宋体" w:hAnsi="宋体" w:cs="宋体"/>
          <w:color w:val="000000"/>
          <w:kern w:val="2"/>
          <w:sz w:val="21"/>
          <w:szCs w:val="21"/>
        </w:rPr>
        <w:t>地点（网址）：广西政府采购云平台（https://www.gcy.zfcg.gxzf.gov.cn/） </w:t>
      </w:r>
    </w:p>
    <w:p w14:paraId="662CE212">
      <w:pPr>
        <w:pStyle w:val="40"/>
        <w:widowControl/>
        <w:spacing w:before="180" w:line="360" w:lineRule="auto"/>
        <w:ind w:firstLine="420" w:firstLineChars="200"/>
        <w:rPr>
          <w:rFonts w:ascii="宋体" w:hAnsi="宋体" w:cs="宋体"/>
          <w:color w:val="000000"/>
          <w:kern w:val="2"/>
          <w:sz w:val="21"/>
          <w:szCs w:val="21"/>
        </w:rPr>
      </w:pPr>
      <w:r>
        <w:rPr>
          <w:rFonts w:hint="eastAsia" w:ascii="宋体" w:hAnsi="宋体" w:cs="宋体"/>
          <w:color w:val="000000"/>
          <w:kern w:val="2"/>
          <w:sz w:val="21"/>
          <w:szCs w:val="21"/>
        </w:rPr>
        <w:t>方式：网上下载。本项目不提供纸质文件，潜在供应商需使用账号登录或者使用CA登录广西政府采购云平台（https://www.gcy.zfcg.gxzf.gov.cn/）－进入“项目采购”应用，在获取采购文件菜单中选择项目，获取竞争性磋商文件。电子响应文件制作需要基于广西政府采购云平台获取的磋商文件编制，通过其他方式获取磋商文件的，将有可能导致供应商无法在广西政府采购云平台编制及上传响应文件</w:t>
      </w:r>
      <w:r>
        <w:rPr>
          <w:rFonts w:hint="eastAsia" w:ascii="宋体" w:hAnsi="宋体" w:cs="宋体"/>
          <w:color w:val="000000"/>
          <w:kern w:val="2"/>
          <w:sz w:val="21"/>
          <w:szCs w:val="21"/>
          <w:lang w:eastAsia="zh-CN"/>
        </w:rPr>
        <w:t>。</w:t>
      </w:r>
      <w:r>
        <w:rPr>
          <w:rFonts w:hint="eastAsia" w:ascii="宋体" w:hAnsi="宋体" w:cs="宋体"/>
          <w:color w:val="000000"/>
          <w:kern w:val="2"/>
          <w:sz w:val="21"/>
          <w:szCs w:val="21"/>
        </w:rPr>
        <w:t> </w:t>
      </w:r>
    </w:p>
    <w:p w14:paraId="7FAF28C2">
      <w:pPr>
        <w:pStyle w:val="40"/>
        <w:widowControl/>
        <w:spacing w:before="180" w:line="360" w:lineRule="auto"/>
        <w:ind w:left="420" w:leftChars="200" w:firstLine="420"/>
        <w:rPr>
          <w:rFonts w:ascii="宋体" w:hAnsi="宋体" w:cs="宋体"/>
        </w:rPr>
      </w:pPr>
      <w:r>
        <w:rPr>
          <w:rFonts w:hint="eastAsia" w:ascii="宋体" w:hAnsi="宋体" w:cs="宋体"/>
          <w:color w:val="000000"/>
          <w:kern w:val="2"/>
          <w:sz w:val="21"/>
          <w:szCs w:val="21"/>
        </w:rPr>
        <w:t>售价（元）：0 </w:t>
      </w:r>
    </w:p>
    <w:p w14:paraId="34479E47">
      <w:pPr>
        <w:pStyle w:val="4"/>
        <w:spacing w:before="0" w:after="0" w:line="360" w:lineRule="auto"/>
        <w:ind w:firstLine="482" w:firstLineChars="200"/>
        <w:rPr>
          <w:rFonts w:ascii="宋体" w:hAnsi="宋体" w:cs="宋体"/>
          <w:bCs w:val="0"/>
          <w:sz w:val="24"/>
          <w:szCs w:val="24"/>
        </w:rPr>
      </w:pPr>
      <w:r>
        <w:rPr>
          <w:rFonts w:hint="eastAsia" w:ascii="宋体" w:hAnsi="宋体" w:cs="宋体"/>
          <w:bCs w:val="0"/>
          <w:sz w:val="24"/>
          <w:szCs w:val="24"/>
        </w:rPr>
        <w:t>四、响应文件提交</w:t>
      </w:r>
      <w:bookmarkEnd w:id="15"/>
      <w:bookmarkEnd w:id="16"/>
      <w:bookmarkEnd w:id="17"/>
      <w:bookmarkEnd w:id="18"/>
      <w:bookmarkEnd w:id="19"/>
    </w:p>
    <w:p w14:paraId="50C68AD6">
      <w:pPr>
        <w:spacing w:line="360" w:lineRule="auto"/>
        <w:ind w:firstLine="420" w:firstLineChars="200"/>
        <w:rPr>
          <w:rFonts w:ascii="宋体" w:hAnsi="宋体" w:cs="宋体"/>
          <w:bCs/>
          <w:szCs w:val="21"/>
          <w:highlight w:val="none"/>
          <w:u w:val="single"/>
        </w:rPr>
      </w:pPr>
      <w:bookmarkStart w:id="20" w:name="_Toc35393633"/>
      <w:bookmarkStart w:id="21" w:name="_Toc28359093"/>
      <w:bookmarkStart w:id="22" w:name="_Toc44229882"/>
      <w:bookmarkStart w:id="23" w:name="_Toc28359016"/>
      <w:bookmarkStart w:id="24" w:name="_Toc35393802"/>
      <w:r>
        <w:rPr>
          <w:rFonts w:hint="eastAsia" w:ascii="宋体" w:hAnsi="宋体" w:cs="宋体"/>
          <w:szCs w:val="21"/>
          <w:highlight w:val="none"/>
        </w:rPr>
        <w:t>提交截止时间：2026</w:t>
      </w:r>
      <w:r>
        <w:rPr>
          <w:rFonts w:hint="eastAsia" w:ascii="宋体" w:hAnsi="宋体" w:cs="宋体"/>
          <w:bCs/>
          <w:szCs w:val="21"/>
          <w:highlight w:val="none"/>
        </w:rPr>
        <w:t>年0</w:t>
      </w:r>
      <w:r>
        <w:rPr>
          <w:rFonts w:hint="eastAsia" w:ascii="宋体" w:hAnsi="宋体" w:cs="宋体"/>
          <w:bCs/>
          <w:szCs w:val="21"/>
          <w:highlight w:val="none"/>
          <w:lang w:val="en-US" w:eastAsia="zh-CN"/>
        </w:rPr>
        <w:t>9</w:t>
      </w:r>
      <w:r>
        <w:rPr>
          <w:rFonts w:hint="eastAsia" w:ascii="宋体" w:hAnsi="宋体" w:cs="宋体"/>
          <w:bCs/>
          <w:szCs w:val="21"/>
          <w:highlight w:val="none"/>
        </w:rPr>
        <w:t xml:space="preserve">月 </w:t>
      </w:r>
      <w:r>
        <w:rPr>
          <w:rFonts w:hint="eastAsia" w:ascii="宋体" w:hAnsi="宋体" w:cs="宋体"/>
          <w:bCs/>
          <w:szCs w:val="21"/>
          <w:highlight w:val="none"/>
          <w:lang w:val="en-US" w:eastAsia="zh-CN"/>
        </w:rPr>
        <w:t>21</w:t>
      </w:r>
      <w:r>
        <w:rPr>
          <w:rFonts w:hint="eastAsia" w:ascii="宋体" w:hAnsi="宋体" w:cs="宋体"/>
          <w:bCs/>
          <w:szCs w:val="21"/>
          <w:highlight w:val="none"/>
        </w:rPr>
        <w:t xml:space="preserve"> 日09时</w:t>
      </w:r>
      <w:r>
        <w:rPr>
          <w:rFonts w:hint="eastAsia" w:ascii="宋体" w:hAnsi="宋体" w:cs="宋体"/>
          <w:bCs/>
          <w:szCs w:val="21"/>
          <w:highlight w:val="none"/>
          <w:lang w:val="en-US" w:eastAsia="zh-CN"/>
        </w:rPr>
        <w:t>3</w:t>
      </w:r>
      <w:r>
        <w:rPr>
          <w:rFonts w:hint="eastAsia" w:ascii="宋体" w:hAnsi="宋体" w:cs="宋体"/>
          <w:bCs/>
          <w:szCs w:val="21"/>
          <w:highlight w:val="none"/>
        </w:rPr>
        <w:t>0分（北京时间）</w:t>
      </w:r>
    </w:p>
    <w:p w14:paraId="78949075">
      <w:pPr>
        <w:pStyle w:val="4"/>
        <w:spacing w:before="0" w:after="0" w:line="360" w:lineRule="auto"/>
        <w:ind w:firstLine="420" w:firstLineChars="200"/>
        <w:rPr>
          <w:rFonts w:ascii="宋体" w:hAnsi="宋体" w:cs="宋体"/>
          <w:b w:val="0"/>
          <w:bCs w:val="0"/>
          <w:sz w:val="21"/>
          <w:szCs w:val="21"/>
          <w:highlight w:val="none"/>
        </w:rPr>
      </w:pPr>
      <w:r>
        <w:rPr>
          <w:rFonts w:hint="eastAsia" w:ascii="宋体" w:hAnsi="宋体" w:cs="宋体"/>
          <w:b w:val="0"/>
          <w:bCs w:val="0"/>
          <w:sz w:val="21"/>
          <w:szCs w:val="21"/>
          <w:highlight w:val="none"/>
        </w:rPr>
        <w:t>地点（网址）：在“广西政府采购云平台”（https://www.gcy.zfcg.gxzf.gov.cn/）线上解密开启投标文件。</w:t>
      </w:r>
    </w:p>
    <w:p w14:paraId="4BD225ED">
      <w:pPr>
        <w:pStyle w:val="4"/>
        <w:spacing w:before="0" w:after="0" w:line="360" w:lineRule="auto"/>
        <w:ind w:firstLine="482" w:firstLineChars="200"/>
        <w:rPr>
          <w:rFonts w:ascii="宋体" w:hAnsi="宋体" w:cs="宋体"/>
          <w:bCs w:val="0"/>
          <w:sz w:val="24"/>
          <w:szCs w:val="24"/>
          <w:highlight w:val="none"/>
        </w:rPr>
      </w:pPr>
      <w:r>
        <w:rPr>
          <w:rFonts w:hint="eastAsia" w:ascii="宋体" w:hAnsi="宋体" w:cs="宋体"/>
          <w:bCs w:val="0"/>
          <w:sz w:val="24"/>
          <w:szCs w:val="24"/>
          <w:highlight w:val="none"/>
        </w:rPr>
        <w:t>五、响应文件开启</w:t>
      </w:r>
      <w:bookmarkEnd w:id="20"/>
      <w:bookmarkEnd w:id="21"/>
      <w:bookmarkEnd w:id="22"/>
      <w:bookmarkEnd w:id="23"/>
      <w:bookmarkEnd w:id="24"/>
    </w:p>
    <w:p w14:paraId="511F8092">
      <w:pPr>
        <w:spacing w:line="360" w:lineRule="auto"/>
        <w:ind w:firstLine="420" w:firstLineChars="200"/>
        <w:rPr>
          <w:rFonts w:ascii="宋体" w:hAnsi="宋体" w:cs="宋体"/>
          <w:bCs/>
          <w:szCs w:val="21"/>
          <w:highlight w:val="none"/>
          <w:u w:val="single"/>
        </w:rPr>
      </w:pPr>
      <w:r>
        <w:rPr>
          <w:rFonts w:hint="eastAsia" w:ascii="宋体" w:hAnsi="宋体" w:cs="宋体"/>
          <w:szCs w:val="21"/>
          <w:highlight w:val="none"/>
        </w:rPr>
        <w:t>开启时间：2026</w:t>
      </w:r>
      <w:r>
        <w:rPr>
          <w:rFonts w:hint="eastAsia" w:ascii="宋体" w:hAnsi="宋体" w:cs="宋体"/>
          <w:bCs/>
          <w:szCs w:val="21"/>
          <w:highlight w:val="none"/>
        </w:rPr>
        <w:t>年0</w:t>
      </w:r>
      <w:r>
        <w:rPr>
          <w:rFonts w:hint="eastAsia" w:ascii="宋体" w:hAnsi="宋体" w:cs="宋体"/>
          <w:bCs/>
          <w:szCs w:val="21"/>
          <w:highlight w:val="none"/>
          <w:lang w:val="en-US" w:eastAsia="zh-CN"/>
        </w:rPr>
        <w:t>9</w:t>
      </w:r>
      <w:r>
        <w:rPr>
          <w:rFonts w:hint="eastAsia" w:ascii="宋体" w:hAnsi="宋体" w:cs="宋体"/>
          <w:bCs/>
          <w:szCs w:val="21"/>
          <w:highlight w:val="none"/>
        </w:rPr>
        <w:t xml:space="preserve">月 </w:t>
      </w:r>
      <w:r>
        <w:rPr>
          <w:rFonts w:hint="eastAsia" w:ascii="宋体" w:hAnsi="宋体" w:cs="宋体"/>
          <w:bCs/>
          <w:szCs w:val="21"/>
          <w:highlight w:val="none"/>
          <w:lang w:val="en-US" w:eastAsia="zh-CN"/>
        </w:rPr>
        <w:t>21</w:t>
      </w:r>
      <w:r>
        <w:rPr>
          <w:rFonts w:hint="eastAsia" w:ascii="宋体" w:hAnsi="宋体" w:cs="宋体"/>
          <w:bCs/>
          <w:szCs w:val="21"/>
          <w:highlight w:val="none"/>
        </w:rPr>
        <w:t>日09时</w:t>
      </w:r>
      <w:r>
        <w:rPr>
          <w:rFonts w:hint="eastAsia" w:ascii="宋体" w:hAnsi="宋体" w:cs="宋体"/>
          <w:bCs/>
          <w:szCs w:val="21"/>
          <w:highlight w:val="none"/>
          <w:lang w:val="en-US" w:eastAsia="zh-CN"/>
        </w:rPr>
        <w:t>3</w:t>
      </w:r>
      <w:r>
        <w:rPr>
          <w:rFonts w:hint="eastAsia" w:ascii="宋体" w:hAnsi="宋体" w:cs="宋体"/>
          <w:bCs/>
          <w:szCs w:val="21"/>
          <w:highlight w:val="none"/>
        </w:rPr>
        <w:t>0分（北京时间）</w:t>
      </w:r>
    </w:p>
    <w:p w14:paraId="7AB8160B">
      <w:pPr>
        <w:pStyle w:val="4"/>
        <w:spacing w:before="0" w:after="0" w:line="360" w:lineRule="auto"/>
        <w:ind w:firstLine="420" w:firstLineChars="200"/>
        <w:rPr>
          <w:rFonts w:ascii="宋体" w:hAnsi="宋体" w:cs="宋体"/>
          <w:bCs w:val="0"/>
          <w:szCs w:val="21"/>
          <w:u w:val="single"/>
        </w:rPr>
      </w:pPr>
      <w:r>
        <w:rPr>
          <w:rFonts w:hint="eastAsia" w:ascii="宋体" w:hAnsi="宋体" w:cs="宋体"/>
          <w:b w:val="0"/>
          <w:bCs w:val="0"/>
          <w:sz w:val="21"/>
          <w:szCs w:val="21"/>
          <w:highlight w:val="none"/>
        </w:rPr>
        <w:t>地点（网址）：在“广西政府采购云平台”（https:/</w:t>
      </w:r>
      <w:r>
        <w:rPr>
          <w:rFonts w:hint="eastAsia" w:ascii="宋体" w:hAnsi="宋体" w:cs="宋体"/>
          <w:b w:val="0"/>
          <w:bCs w:val="0"/>
          <w:sz w:val="21"/>
          <w:szCs w:val="21"/>
        </w:rPr>
        <w:t>/www.gcy.zfcg.gxzf.gov.cn/）线上解密开启投标文件。</w:t>
      </w:r>
    </w:p>
    <w:p w14:paraId="1DEE59D5">
      <w:pPr>
        <w:pStyle w:val="4"/>
        <w:spacing w:before="0" w:after="0" w:line="360" w:lineRule="auto"/>
        <w:ind w:firstLine="482" w:firstLineChars="200"/>
        <w:rPr>
          <w:rFonts w:ascii="宋体" w:hAnsi="宋体" w:cs="宋体"/>
          <w:bCs w:val="0"/>
          <w:sz w:val="24"/>
          <w:szCs w:val="24"/>
        </w:rPr>
      </w:pPr>
      <w:bookmarkStart w:id="25" w:name="_Toc35393803"/>
      <w:bookmarkStart w:id="26" w:name="_Toc28359094"/>
      <w:bookmarkStart w:id="27" w:name="_Toc28359017"/>
      <w:bookmarkStart w:id="28" w:name="_Toc44229883"/>
      <w:bookmarkStart w:id="29" w:name="_Toc35393634"/>
      <w:r>
        <w:rPr>
          <w:rFonts w:hint="eastAsia" w:ascii="宋体" w:hAnsi="宋体" w:cs="宋体"/>
          <w:bCs w:val="0"/>
          <w:sz w:val="24"/>
          <w:szCs w:val="24"/>
        </w:rPr>
        <w:t>六、公告期限</w:t>
      </w:r>
      <w:bookmarkEnd w:id="25"/>
      <w:bookmarkEnd w:id="26"/>
      <w:bookmarkEnd w:id="27"/>
      <w:bookmarkEnd w:id="28"/>
      <w:bookmarkEnd w:id="29"/>
    </w:p>
    <w:p w14:paraId="31105557">
      <w:pPr>
        <w:spacing w:line="360" w:lineRule="auto"/>
        <w:ind w:firstLine="420" w:firstLineChars="200"/>
        <w:rPr>
          <w:rFonts w:ascii="宋体" w:hAnsi="宋体" w:cs="宋体"/>
          <w:szCs w:val="21"/>
        </w:rPr>
      </w:pPr>
      <w:r>
        <w:rPr>
          <w:rFonts w:hint="eastAsia" w:ascii="宋体" w:hAnsi="宋体" w:cs="宋体"/>
          <w:szCs w:val="21"/>
        </w:rPr>
        <w:t>自本公告发布之日起5个工作日。</w:t>
      </w:r>
    </w:p>
    <w:p w14:paraId="257120E9">
      <w:pPr>
        <w:spacing w:line="360" w:lineRule="auto"/>
        <w:ind w:firstLine="482" w:firstLineChars="200"/>
        <w:rPr>
          <w:rFonts w:ascii="宋体" w:hAnsi="宋体" w:cs="宋体"/>
          <w:b/>
          <w:sz w:val="24"/>
        </w:rPr>
      </w:pPr>
      <w:r>
        <w:rPr>
          <w:rFonts w:hint="eastAsia" w:ascii="宋体" w:hAnsi="宋体" w:cs="宋体"/>
          <w:b/>
          <w:sz w:val="24"/>
        </w:rPr>
        <w:t>七、其他补充事宜 </w:t>
      </w:r>
    </w:p>
    <w:p w14:paraId="1F6ED72B">
      <w:pPr>
        <w:spacing w:line="360" w:lineRule="auto"/>
        <w:ind w:firstLine="420" w:firstLineChars="200"/>
        <w:rPr>
          <w:rFonts w:ascii="宋体" w:hAnsi="宋体" w:cs="宋体"/>
          <w:bCs/>
          <w:szCs w:val="21"/>
        </w:rPr>
      </w:pPr>
      <w:r>
        <w:rPr>
          <w:rFonts w:hint="eastAsia" w:ascii="宋体" w:hAnsi="宋体" w:cs="宋体"/>
          <w:bCs/>
          <w:szCs w:val="21"/>
        </w:rPr>
        <w:t>1.网上查询地址</w:t>
      </w:r>
    </w:p>
    <w:p w14:paraId="264CE35E">
      <w:pPr>
        <w:spacing w:line="360" w:lineRule="auto"/>
        <w:ind w:firstLine="420" w:firstLineChars="200"/>
        <w:rPr>
          <w:rFonts w:ascii="宋体" w:hAnsi="宋体" w:cs="宋体"/>
          <w:bCs/>
          <w:szCs w:val="21"/>
        </w:rPr>
      </w:pPr>
      <w:r>
        <w:rPr>
          <w:rFonts w:hint="eastAsia" w:ascii="宋体" w:hAnsi="宋体" w:cs="宋体"/>
          <w:bCs/>
          <w:szCs w:val="21"/>
        </w:rPr>
        <w:t>（1）中国政府采购网（2）广西壮族自治区政府采购网（3）梧州市政府采购网</w:t>
      </w:r>
    </w:p>
    <w:p w14:paraId="66625B95">
      <w:pPr>
        <w:spacing w:line="360" w:lineRule="auto"/>
        <w:ind w:firstLine="420" w:firstLineChars="200"/>
        <w:rPr>
          <w:rFonts w:ascii="宋体" w:hAnsi="宋体" w:cs="宋体"/>
          <w:bCs/>
          <w:szCs w:val="21"/>
        </w:rPr>
      </w:pPr>
      <w:r>
        <w:rPr>
          <w:rFonts w:hint="eastAsia" w:ascii="宋体" w:hAnsi="宋体" w:cs="宋体"/>
          <w:bCs/>
          <w:szCs w:val="21"/>
        </w:rPr>
        <w:t>2.本项目需要落实的政府采购政策</w:t>
      </w:r>
    </w:p>
    <w:p w14:paraId="33D10EE2">
      <w:pPr>
        <w:spacing w:line="360" w:lineRule="auto"/>
        <w:ind w:firstLine="420" w:firstLineChars="200"/>
        <w:rPr>
          <w:rFonts w:ascii="宋体" w:hAnsi="宋体" w:cs="宋体"/>
          <w:bCs/>
          <w:szCs w:val="21"/>
        </w:rPr>
      </w:pPr>
      <w:r>
        <w:rPr>
          <w:rFonts w:hint="eastAsia" w:ascii="宋体" w:hAnsi="宋体" w:cs="宋体"/>
          <w:bCs/>
          <w:szCs w:val="21"/>
        </w:rPr>
        <w:t>（1）政府采购促进中小企业发展。</w:t>
      </w:r>
    </w:p>
    <w:p w14:paraId="0A11B6F4">
      <w:pPr>
        <w:spacing w:line="360" w:lineRule="auto"/>
        <w:ind w:firstLine="420" w:firstLineChars="200"/>
        <w:rPr>
          <w:rFonts w:ascii="宋体" w:hAnsi="宋体" w:cs="宋体"/>
          <w:bCs/>
          <w:szCs w:val="21"/>
        </w:rPr>
      </w:pPr>
      <w:r>
        <w:rPr>
          <w:rFonts w:hint="eastAsia" w:ascii="宋体" w:hAnsi="宋体" w:cs="宋体"/>
          <w:bCs/>
          <w:szCs w:val="21"/>
        </w:rPr>
        <w:t>（2）政府采购支持采用本国产品的政策。</w:t>
      </w:r>
    </w:p>
    <w:p w14:paraId="5606BFD7">
      <w:pPr>
        <w:spacing w:line="360" w:lineRule="auto"/>
        <w:ind w:firstLine="420" w:firstLineChars="200"/>
        <w:rPr>
          <w:rFonts w:ascii="宋体" w:hAnsi="宋体" w:cs="宋体"/>
          <w:bCs/>
          <w:szCs w:val="21"/>
        </w:rPr>
      </w:pPr>
      <w:r>
        <w:rPr>
          <w:rFonts w:hint="eastAsia" w:ascii="宋体" w:hAnsi="宋体" w:cs="宋体"/>
          <w:bCs/>
          <w:szCs w:val="21"/>
        </w:rPr>
        <w:t>（3）政府采购促进残疾人就业政策。</w:t>
      </w:r>
    </w:p>
    <w:p w14:paraId="47336F0A">
      <w:pPr>
        <w:spacing w:line="360" w:lineRule="auto"/>
        <w:ind w:firstLine="420" w:firstLineChars="200"/>
        <w:rPr>
          <w:rFonts w:ascii="宋体" w:hAnsi="宋体" w:cs="宋体"/>
          <w:bCs/>
          <w:szCs w:val="21"/>
        </w:rPr>
      </w:pPr>
      <w:r>
        <w:rPr>
          <w:rFonts w:hint="eastAsia" w:ascii="宋体" w:hAnsi="宋体" w:cs="宋体"/>
          <w:bCs/>
          <w:szCs w:val="21"/>
        </w:rPr>
        <w:t>（4）政府采购支持监狱企业发展。</w:t>
      </w:r>
    </w:p>
    <w:p w14:paraId="0638F687">
      <w:pPr>
        <w:spacing w:line="360" w:lineRule="auto"/>
        <w:ind w:firstLine="420" w:firstLineChars="200"/>
        <w:rPr>
          <w:rFonts w:ascii="宋体" w:hAnsi="宋体" w:cs="宋体"/>
          <w:bCs/>
          <w:szCs w:val="21"/>
        </w:rPr>
      </w:pPr>
      <w:r>
        <w:rPr>
          <w:rFonts w:hint="eastAsia" w:ascii="宋体" w:hAnsi="宋体" w:cs="宋体"/>
          <w:bCs/>
          <w:szCs w:val="21"/>
        </w:rPr>
        <w:t>3.在线电子投标响应（电子投标）说明</w:t>
      </w:r>
    </w:p>
    <w:p w14:paraId="72A39642">
      <w:pPr>
        <w:pStyle w:val="40"/>
        <w:widowControl/>
        <w:spacing w:before="105" w:after="75" w:line="360" w:lineRule="auto"/>
        <w:rPr>
          <w:rFonts w:ascii="宋体" w:hAnsi="宋体" w:cs="宋体"/>
          <w:bCs/>
          <w:sz w:val="21"/>
          <w:szCs w:val="21"/>
        </w:rPr>
      </w:pPr>
      <w:r>
        <w:rPr>
          <w:rFonts w:hint="eastAsia" w:ascii="宋体" w:hAnsi="宋体" w:cs="宋体"/>
          <w:bCs/>
          <w:sz w:val="21"/>
          <w:szCs w:val="21"/>
        </w:rPr>
        <w:t>（1）本项目为全流程电子化采购项目，通过“广西政府采购云平台”（https://www.gcy.zfcg.gxzf.gov.cn/）实行在线电子投标，供应商应先安装“政采云电子投标客户端”（请自行前往“广西政府采购云平台”平台进行下载），并按照本项目招标文件和“政采云”平台的要求编制、加密后在投标截止时间前通过网络上传至 “政采云”平台（加密的电子投标文件是指后缀名为“jmbs”的文件），供应商在“政采云”平台提交电子响应文件时，请填写参加远程开标活动经办人联系方式。 </w:t>
      </w:r>
    </w:p>
    <w:p w14:paraId="3114CA61">
      <w:pPr>
        <w:pStyle w:val="40"/>
        <w:widowControl/>
        <w:spacing w:before="105" w:after="75" w:line="360" w:lineRule="auto"/>
        <w:rPr>
          <w:rFonts w:ascii="宋体" w:hAnsi="宋体" w:cs="宋体"/>
          <w:bCs/>
          <w:sz w:val="21"/>
          <w:szCs w:val="21"/>
        </w:rPr>
      </w:pPr>
      <w:r>
        <w:rPr>
          <w:rFonts w:hint="eastAsia" w:ascii="宋体" w:hAnsi="宋体" w:cs="宋体"/>
          <w:bCs/>
          <w:sz w:val="21"/>
          <w:szCs w:val="21"/>
        </w:rPr>
        <w:t>供应商登录“政采云”平台，依次进入“服务中心-项目采购-操作流程-电子招投标-政府采购项目电子交易管理操作指南-供应商”查看电子投标具体操作流程。 </w:t>
      </w:r>
    </w:p>
    <w:p w14:paraId="2BE7A671">
      <w:pPr>
        <w:pStyle w:val="40"/>
        <w:widowControl/>
        <w:spacing w:before="105" w:after="75" w:line="360" w:lineRule="auto"/>
        <w:rPr>
          <w:rFonts w:ascii="宋体" w:hAnsi="宋体" w:cs="宋体"/>
          <w:bCs/>
          <w:sz w:val="21"/>
          <w:szCs w:val="21"/>
        </w:rPr>
      </w:pPr>
      <w:r>
        <w:rPr>
          <w:rFonts w:hint="eastAsia" w:ascii="宋体" w:hAnsi="宋体" w:cs="宋体"/>
          <w:bCs/>
          <w:sz w:val="21"/>
          <w:szCs w:val="21"/>
        </w:rPr>
        <w:t>（2）未进行网上注册并办理数字证书（CA认证）的投标人将无法参与本项目政府采购活动，供应商应当在响应截止时间前，完成电子交易平台上的 CA 数字证书办理及响应文件。的提交（供应商可登录“广西政府采购网”，依次进入“办事服务-下载专区”或者登陆“政采云”平台，依次进入“服务中心-入驻与配置”中查看CA数字证书办理操作流程。如在操作过程中遇到问题或者需要技术支持，请致电政采云客服热线：95763）。 </w:t>
      </w:r>
    </w:p>
    <w:p w14:paraId="16E5A426">
      <w:pPr>
        <w:pStyle w:val="40"/>
        <w:widowControl/>
        <w:spacing w:before="105" w:after="75" w:line="360" w:lineRule="auto"/>
        <w:rPr>
          <w:rFonts w:ascii="宋体" w:hAnsi="宋体" w:cs="宋体"/>
          <w:bCs/>
          <w:sz w:val="21"/>
          <w:szCs w:val="21"/>
        </w:rPr>
      </w:pPr>
      <w:r>
        <w:rPr>
          <w:rFonts w:hint="eastAsia" w:ascii="宋体" w:hAnsi="宋体" w:cs="宋体"/>
          <w:bCs/>
          <w:sz w:val="21"/>
          <w:szCs w:val="21"/>
        </w:rPr>
        <w:t>（3）CA证书在线解密：供应商竞标时，需凭制作响应文件时用来加密的有效数字证书（CA认证）登录“政采云”平台电子开标大厅现场按规定时间对加密的响应文件进行解密，否则后果自负。 </w:t>
      </w:r>
    </w:p>
    <w:p w14:paraId="49AABC5A">
      <w:pPr>
        <w:spacing w:line="360" w:lineRule="auto"/>
        <w:ind w:firstLine="420" w:firstLineChars="200"/>
        <w:rPr>
          <w:rFonts w:ascii="宋体" w:hAnsi="宋体" w:cs="宋体"/>
          <w:bCs/>
          <w:szCs w:val="21"/>
        </w:rPr>
      </w:pPr>
      <w:r>
        <w:rPr>
          <w:rFonts w:hint="eastAsia" w:ascii="宋体" w:hAnsi="宋体" w:cs="宋体"/>
          <w:bCs/>
          <w:szCs w:val="21"/>
        </w:rPr>
        <w:t>注：1）为确保网上操作合法、有效和安全，请投标人确保在电子投标过程中能够对相关数据电文进行加密和使用电子签章，妥善保管 CA 数字证书并使用有效的 CA 数字证书参与整个招标活动。2）供应商应当在响应截止时间前完成电子响应文件的上传、提交，响应截止时间前可以补充、修改或者撤回响应文件。补充或者修改响应文件的，应当先行撤回原响应文件，补充、修改后重新上传、提交，投标截止时间前未完成上传、提交的，视为撤回响应文件。响应截止时间以后上传递交的响应文件，“政采云”平台将予以拒收。</w:t>
      </w:r>
    </w:p>
    <w:p w14:paraId="6ED34957">
      <w:pPr>
        <w:spacing w:line="360" w:lineRule="auto"/>
        <w:ind w:firstLine="482" w:firstLineChars="200"/>
        <w:rPr>
          <w:rFonts w:ascii="宋体" w:hAnsi="宋体" w:cs="宋体"/>
          <w:bCs/>
          <w:color w:val="000000"/>
          <w:sz w:val="24"/>
        </w:rPr>
      </w:pPr>
      <w:r>
        <w:rPr>
          <w:rFonts w:hint="eastAsia" w:ascii="宋体" w:hAnsi="宋体" w:cs="宋体"/>
          <w:b/>
          <w:color w:val="000000"/>
          <w:kern w:val="44"/>
          <w:sz w:val="24"/>
        </w:rPr>
        <w:t>八、凡对本次采购提出询问，请按以下方式联系</w:t>
      </w:r>
    </w:p>
    <w:p w14:paraId="433DA133">
      <w:pPr>
        <w:spacing w:line="360" w:lineRule="auto"/>
        <w:ind w:firstLine="735" w:firstLineChars="350"/>
        <w:jc w:val="left"/>
        <w:rPr>
          <w:rFonts w:ascii="宋体" w:hAnsi="宋体" w:cs="宋体"/>
          <w:color w:val="000000"/>
          <w:szCs w:val="21"/>
        </w:rPr>
      </w:pPr>
      <w:r>
        <w:rPr>
          <w:rFonts w:hint="eastAsia" w:ascii="宋体" w:hAnsi="宋体" w:cs="宋体"/>
          <w:color w:val="000000"/>
          <w:szCs w:val="21"/>
        </w:rPr>
        <w:t>1.采购人信息</w:t>
      </w:r>
    </w:p>
    <w:p w14:paraId="1EC39535">
      <w:pPr>
        <w:spacing w:line="360" w:lineRule="auto"/>
        <w:ind w:left="1041" w:leftChars="371" w:hanging="262" w:hangingChars="125"/>
        <w:jc w:val="left"/>
        <w:rPr>
          <w:rFonts w:ascii="宋体" w:hAnsi="宋体" w:cs="宋体"/>
          <w:color w:val="000000"/>
          <w:szCs w:val="21"/>
          <w:u w:val="single"/>
        </w:rPr>
      </w:pPr>
      <w:r>
        <w:rPr>
          <w:rFonts w:hint="eastAsia" w:ascii="宋体" w:hAnsi="宋体" w:cs="宋体"/>
          <w:color w:val="000000"/>
          <w:szCs w:val="21"/>
          <w:u w:val="single"/>
        </w:rPr>
        <w:t>名 称：</w:t>
      </w:r>
      <w:bookmarkStart w:id="30" w:name="PO_3000001868_PM026_1"/>
      <w:r>
        <w:rPr>
          <w:rFonts w:hint="eastAsia" w:ascii="宋体" w:hAnsi="宋体" w:cs="宋体"/>
          <w:color w:val="000000"/>
          <w:szCs w:val="21"/>
          <w:u w:val="single"/>
        </w:rPr>
        <w:t>广西梧州体育训练基地</w:t>
      </w:r>
      <w:bookmarkEnd w:id="30"/>
    </w:p>
    <w:p w14:paraId="716A24D5">
      <w:pPr>
        <w:spacing w:line="360" w:lineRule="auto"/>
        <w:ind w:left="1041" w:leftChars="371" w:hanging="262" w:hangingChars="125"/>
        <w:jc w:val="left"/>
        <w:rPr>
          <w:rFonts w:ascii="宋体" w:hAnsi="宋体" w:cs="宋体"/>
          <w:color w:val="000000"/>
          <w:szCs w:val="21"/>
          <w:u w:val="single"/>
        </w:rPr>
      </w:pPr>
      <w:r>
        <w:rPr>
          <w:rFonts w:hint="eastAsia" w:ascii="宋体" w:hAnsi="宋体" w:cs="宋体"/>
          <w:color w:val="000000"/>
          <w:szCs w:val="21"/>
          <w:u w:val="single"/>
        </w:rPr>
        <w:t>地址：</w:t>
      </w:r>
      <w:bookmarkStart w:id="31" w:name="PO_3000001868_PM030"/>
      <w:r>
        <w:rPr>
          <w:rFonts w:hint="eastAsia" w:ascii="宋体" w:hAnsi="宋体" w:cs="宋体"/>
          <w:color w:val="000000"/>
          <w:szCs w:val="21"/>
          <w:u w:val="single"/>
        </w:rPr>
        <w:t>广西梧州市高旺路3号</w:t>
      </w:r>
      <w:bookmarkEnd w:id="31"/>
    </w:p>
    <w:p w14:paraId="0A94645D">
      <w:pPr>
        <w:spacing w:line="360" w:lineRule="auto"/>
        <w:ind w:left="1041" w:leftChars="371" w:hanging="262" w:hangingChars="125"/>
        <w:jc w:val="left"/>
        <w:rPr>
          <w:rFonts w:ascii="宋体" w:hAnsi="宋体" w:cs="宋体"/>
          <w:color w:val="000000"/>
          <w:szCs w:val="21"/>
          <w:u w:val="single"/>
        </w:rPr>
      </w:pPr>
      <w:r>
        <w:rPr>
          <w:rFonts w:hint="eastAsia" w:ascii="宋体" w:hAnsi="宋体" w:cs="宋体"/>
          <w:color w:val="000000"/>
          <w:szCs w:val="21"/>
          <w:u w:val="single"/>
        </w:rPr>
        <w:t>联系电话：0774-3100515</w:t>
      </w:r>
    </w:p>
    <w:p w14:paraId="375B2E0D">
      <w:pPr>
        <w:spacing w:line="360" w:lineRule="auto"/>
        <w:ind w:left="1041" w:leftChars="371" w:hanging="262" w:hangingChars="125"/>
        <w:jc w:val="left"/>
        <w:rPr>
          <w:rFonts w:ascii="宋体" w:hAnsi="宋体" w:cs="宋体"/>
          <w:color w:val="000000"/>
          <w:szCs w:val="21"/>
        </w:rPr>
      </w:pPr>
      <w:r>
        <w:rPr>
          <w:rFonts w:hint="eastAsia" w:ascii="宋体" w:hAnsi="宋体" w:cs="宋体"/>
          <w:color w:val="000000"/>
          <w:szCs w:val="21"/>
        </w:rPr>
        <w:t>2.采购代理机构信息</w:t>
      </w:r>
    </w:p>
    <w:p w14:paraId="34247221">
      <w:pPr>
        <w:spacing w:line="360" w:lineRule="auto"/>
        <w:ind w:firstLine="735" w:firstLineChars="350"/>
        <w:rPr>
          <w:rFonts w:ascii="宋体" w:hAnsi="宋体" w:cs="宋体"/>
          <w:color w:val="000000"/>
          <w:szCs w:val="21"/>
          <w:u w:val="single"/>
        </w:rPr>
      </w:pPr>
      <w:r>
        <w:rPr>
          <w:rFonts w:hint="eastAsia" w:ascii="宋体" w:hAnsi="宋体" w:cs="宋体"/>
          <w:color w:val="000000"/>
          <w:szCs w:val="21"/>
        </w:rPr>
        <w:t>名 称：</w:t>
      </w:r>
      <w:bookmarkStart w:id="32" w:name="PO_3000001868_PM031_1"/>
      <w:r>
        <w:rPr>
          <w:rFonts w:hint="eastAsia" w:ascii="宋体" w:hAnsi="宋体" w:cs="宋体"/>
          <w:color w:val="000000"/>
          <w:szCs w:val="21"/>
          <w:u w:val="single"/>
        </w:rPr>
        <w:t>同致诚工程咨询有限公司</w:t>
      </w:r>
      <w:bookmarkEnd w:id="32"/>
    </w:p>
    <w:p w14:paraId="108A783D">
      <w:pPr>
        <w:spacing w:line="360" w:lineRule="auto"/>
        <w:ind w:firstLine="735" w:firstLineChars="350"/>
        <w:rPr>
          <w:rFonts w:ascii="宋体" w:hAnsi="宋体" w:cs="宋体"/>
          <w:color w:val="000000"/>
          <w:szCs w:val="21"/>
        </w:rPr>
      </w:pPr>
      <w:r>
        <w:rPr>
          <w:rFonts w:hint="eastAsia" w:ascii="宋体" w:hAnsi="宋体" w:cs="宋体"/>
          <w:color w:val="000000"/>
          <w:szCs w:val="21"/>
        </w:rPr>
        <w:t>地　址：</w:t>
      </w:r>
      <w:bookmarkStart w:id="33" w:name="PO_3000001868_PM035"/>
      <w:r>
        <w:rPr>
          <w:rFonts w:hint="eastAsia" w:ascii="宋体" w:hAnsi="宋体" w:cs="宋体"/>
          <w:color w:val="000000"/>
          <w:szCs w:val="21"/>
          <w:u w:val="single"/>
        </w:rPr>
        <w:t>梧州市</w:t>
      </w:r>
      <w:bookmarkEnd w:id="33"/>
      <w:r>
        <w:rPr>
          <w:rFonts w:hint="eastAsia" w:ascii="宋体" w:hAnsi="宋体" w:cs="宋体"/>
          <w:color w:val="000000"/>
          <w:szCs w:val="21"/>
          <w:u w:val="single"/>
        </w:rPr>
        <w:t>长洲区新兴二路3号（恒祥豪苑小区）B2栋2205号房</w:t>
      </w:r>
    </w:p>
    <w:p w14:paraId="288417ED">
      <w:pPr>
        <w:spacing w:line="360" w:lineRule="auto"/>
        <w:ind w:firstLine="735" w:firstLineChars="350"/>
        <w:rPr>
          <w:rFonts w:ascii="宋体" w:hAnsi="宋体" w:cs="宋体"/>
          <w:color w:val="000000"/>
          <w:szCs w:val="21"/>
        </w:rPr>
      </w:pPr>
      <w:r>
        <w:rPr>
          <w:rFonts w:hint="eastAsia" w:ascii="宋体" w:hAnsi="宋体" w:cs="宋体"/>
          <w:color w:val="000000"/>
          <w:szCs w:val="21"/>
        </w:rPr>
        <w:t>项目联系人：</w:t>
      </w:r>
      <w:r>
        <w:rPr>
          <w:rFonts w:hint="eastAsia" w:ascii="宋体" w:hAnsi="宋体" w:cs="宋体"/>
          <w:color w:val="000000"/>
          <w:szCs w:val="21"/>
          <w:u w:val="single"/>
        </w:rPr>
        <w:t xml:space="preserve">　陈小姐 </w:t>
      </w:r>
    </w:p>
    <w:p w14:paraId="38740AA9">
      <w:pPr>
        <w:spacing w:line="360" w:lineRule="auto"/>
        <w:ind w:firstLine="735" w:firstLineChars="350"/>
        <w:rPr>
          <w:rFonts w:ascii="宋体" w:hAnsi="宋体" w:cs="宋体"/>
          <w:color w:val="000000"/>
          <w:szCs w:val="21"/>
        </w:rPr>
      </w:pPr>
      <w:r>
        <w:rPr>
          <w:rFonts w:hint="eastAsia" w:ascii="宋体" w:hAnsi="宋体" w:cs="宋体"/>
          <w:color w:val="000000"/>
          <w:szCs w:val="21"/>
        </w:rPr>
        <w:t>电    话：</w:t>
      </w:r>
      <w:r>
        <w:rPr>
          <w:rFonts w:hint="eastAsia" w:ascii="宋体" w:hAnsi="宋体" w:cs="宋体"/>
          <w:color w:val="000000"/>
          <w:szCs w:val="21"/>
          <w:u w:val="single"/>
        </w:rPr>
        <w:t xml:space="preserve">   0774-3932979  </w:t>
      </w:r>
    </w:p>
    <w:p w14:paraId="517E47F7">
      <w:pPr>
        <w:pStyle w:val="2"/>
        <w:rPr>
          <w:rFonts w:ascii="宋体" w:hAnsi="宋体" w:cs="宋体"/>
          <w:color w:val="000000"/>
          <w:szCs w:val="21"/>
        </w:rPr>
      </w:pPr>
    </w:p>
    <w:p w14:paraId="23C9F8E2">
      <w:pPr>
        <w:pStyle w:val="16"/>
        <w:spacing w:line="360" w:lineRule="auto"/>
        <w:ind w:firstLine="420" w:firstLineChars="200"/>
        <w:jc w:val="center"/>
        <w:rPr>
          <w:rFonts w:ascii="宋体" w:hAnsi="宋体" w:cs="宋体"/>
          <w:color w:val="000000"/>
          <w:szCs w:val="21"/>
        </w:rPr>
      </w:pPr>
      <w:bookmarkStart w:id="34" w:name="PO_3000001868_PM031_2"/>
      <w:r>
        <w:rPr>
          <w:rFonts w:hint="eastAsia" w:ascii="宋体" w:hAnsi="宋体" w:cs="宋体"/>
          <w:color w:val="000000"/>
          <w:szCs w:val="21"/>
        </w:rPr>
        <w:t xml:space="preserve">                          </w:t>
      </w:r>
      <w:r>
        <w:rPr>
          <w:rFonts w:hint="eastAsia" w:ascii="宋体" w:hAnsi="宋体" w:cs="宋体"/>
          <w:color w:val="000000"/>
          <w:szCs w:val="21"/>
          <w:u w:val="single"/>
        </w:rPr>
        <w:t>同致诚工程咨询有限公司</w:t>
      </w:r>
      <w:bookmarkEnd w:id="34"/>
      <w:r>
        <w:rPr>
          <w:rFonts w:hint="eastAsia" w:ascii="宋体" w:hAnsi="宋体" w:cs="宋体"/>
          <w:color w:val="000000"/>
          <w:szCs w:val="21"/>
          <w:u w:val="single"/>
        </w:rPr>
        <w:t xml:space="preserve"> </w:t>
      </w:r>
      <w:r>
        <w:rPr>
          <w:rFonts w:hint="eastAsia" w:ascii="宋体" w:hAnsi="宋体" w:cs="宋体"/>
          <w:color w:val="000000"/>
          <w:szCs w:val="21"/>
        </w:rPr>
        <w:t xml:space="preserve">            </w:t>
      </w:r>
    </w:p>
    <w:p w14:paraId="169A00EC">
      <w:pPr>
        <w:jc w:val="center"/>
      </w:pPr>
      <w:r>
        <w:rPr>
          <w:rFonts w:hint="eastAsia" w:ascii="宋体" w:hAnsi="宋体" w:cs="宋体"/>
          <w:color w:val="000000"/>
          <w:szCs w:val="21"/>
        </w:rPr>
        <w:t xml:space="preserve">                          </w:t>
      </w:r>
      <w:r>
        <w:rPr>
          <w:rFonts w:hint="eastAsia" w:ascii="宋体" w:hAnsi="宋体" w:cs="宋体"/>
          <w:color w:val="000000"/>
          <w:szCs w:val="21"/>
          <w:u w:val="single"/>
        </w:rPr>
        <w:t xml:space="preserve"> 2026</w:t>
      </w:r>
      <w:r>
        <w:rPr>
          <w:rFonts w:hint="eastAsia" w:ascii="宋体" w:hAnsi="宋体" w:cs="宋体"/>
          <w:color w:val="000000"/>
          <w:szCs w:val="21"/>
        </w:rPr>
        <w:t>年</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9</w:t>
      </w:r>
      <w:r>
        <w:rPr>
          <w:rFonts w:hint="eastAsia" w:ascii="宋体" w:hAnsi="宋体" w:cs="宋体"/>
          <w:color w:val="000000"/>
          <w:szCs w:val="21"/>
        </w:rPr>
        <w:t>月</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8</w:t>
      </w:r>
      <w:r>
        <w:rPr>
          <w:rFonts w:hint="eastAsia" w:ascii="宋体" w:hAnsi="宋体" w:cs="宋体"/>
          <w:color w:val="000000"/>
          <w:szCs w:val="21"/>
          <w:u w:val="single"/>
        </w:rPr>
        <w:t xml:space="preserve">  </w:t>
      </w:r>
      <w:r>
        <w:rPr>
          <w:rFonts w:hint="eastAsia" w:ascii="宋体" w:hAnsi="宋体" w:cs="宋体"/>
          <w:color w:val="000000"/>
          <w:szCs w:val="21"/>
        </w:rPr>
        <w:t>日</w:t>
      </w:r>
      <w:r>
        <w:rPr>
          <w:rFonts w:hint="eastAsia" w:ascii="宋体" w:hAnsi="宋体" w:cs="宋体"/>
          <w:color w:val="000000"/>
          <w:sz w:val="32"/>
          <w:szCs w:val="32"/>
        </w:rPr>
        <w:br w:type="page"/>
      </w:r>
      <w:r>
        <w:rPr>
          <w:rFonts w:hint="eastAsia"/>
          <w:b/>
          <w:bCs/>
          <w:sz w:val="44"/>
          <w:szCs w:val="44"/>
        </w:rPr>
        <w:t>第二章 供应商须知</w:t>
      </w:r>
      <w:bookmarkEnd w:id="6"/>
    </w:p>
    <w:p w14:paraId="58D6AF43">
      <w:pPr>
        <w:spacing w:line="400" w:lineRule="exact"/>
        <w:jc w:val="center"/>
        <w:rPr>
          <w:rFonts w:ascii="宋体" w:hAnsi="宋体"/>
          <w:b/>
          <w:sz w:val="32"/>
          <w:szCs w:val="32"/>
        </w:rPr>
      </w:pPr>
      <w:r>
        <w:rPr>
          <w:rFonts w:hint="eastAsia" w:ascii="宋体" w:hAnsi="宋体"/>
          <w:b/>
          <w:sz w:val="32"/>
          <w:szCs w:val="32"/>
        </w:rPr>
        <w:t>供应商须知前附表</w:t>
      </w:r>
    </w:p>
    <w:p w14:paraId="67AF0C0B">
      <w:pPr>
        <w:spacing w:line="400" w:lineRule="exact"/>
        <w:jc w:val="center"/>
        <w:rPr>
          <w:rFonts w:ascii="宋体" w:hAnsi="宋体"/>
          <w:b/>
          <w:sz w:val="32"/>
          <w:szCs w:val="32"/>
        </w:rPr>
      </w:pPr>
    </w:p>
    <w:tbl>
      <w:tblPr>
        <w:tblStyle w:val="44"/>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1B9EE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tcPr>
          <w:p w14:paraId="64B58048">
            <w:pPr>
              <w:spacing w:line="360" w:lineRule="auto"/>
              <w:jc w:val="center"/>
              <w:rPr>
                <w:rFonts w:ascii="宋体" w:hAnsi="宋体" w:cs="宋体"/>
                <w:b/>
                <w:szCs w:val="21"/>
              </w:rPr>
            </w:pPr>
            <w:r>
              <w:rPr>
                <w:rFonts w:hint="eastAsia" w:ascii="宋体" w:hAnsi="宋体" w:cs="宋体"/>
                <w:b/>
                <w:szCs w:val="21"/>
              </w:rPr>
              <w:t>条款号</w:t>
            </w:r>
          </w:p>
        </w:tc>
        <w:tc>
          <w:tcPr>
            <w:tcW w:w="7912" w:type="dxa"/>
            <w:noWrap/>
          </w:tcPr>
          <w:p w14:paraId="1ACF7175">
            <w:pPr>
              <w:spacing w:line="360" w:lineRule="auto"/>
              <w:jc w:val="center"/>
              <w:rPr>
                <w:rFonts w:ascii="宋体" w:hAnsi="宋体" w:cs="宋体"/>
                <w:b/>
                <w:szCs w:val="21"/>
              </w:rPr>
            </w:pPr>
            <w:r>
              <w:rPr>
                <w:rFonts w:hint="eastAsia" w:ascii="宋体" w:hAnsi="宋体" w:cs="宋体"/>
                <w:b/>
                <w:szCs w:val="21"/>
              </w:rPr>
              <w:t>内    容</w:t>
            </w:r>
          </w:p>
        </w:tc>
      </w:tr>
      <w:tr w14:paraId="68FFE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3F3ECA8B">
            <w:pPr>
              <w:spacing w:line="360" w:lineRule="auto"/>
              <w:jc w:val="center"/>
              <w:rPr>
                <w:rFonts w:ascii="宋体" w:hAnsi="宋体" w:cs="宋体"/>
                <w:szCs w:val="21"/>
              </w:rPr>
            </w:pPr>
            <w:r>
              <w:rPr>
                <w:rFonts w:hint="eastAsia" w:ascii="宋体" w:hAnsi="宋体" w:cs="宋体"/>
                <w:szCs w:val="21"/>
              </w:rPr>
              <w:t>3</w:t>
            </w:r>
          </w:p>
        </w:tc>
        <w:tc>
          <w:tcPr>
            <w:tcW w:w="7912" w:type="dxa"/>
            <w:noWrap/>
            <w:vAlign w:val="center"/>
          </w:tcPr>
          <w:p w14:paraId="648CF51A">
            <w:pPr>
              <w:spacing w:line="360" w:lineRule="auto"/>
              <w:rPr>
                <w:rFonts w:ascii="宋体" w:hAnsi="宋体"/>
                <w:szCs w:val="21"/>
              </w:rPr>
            </w:pPr>
            <w:r>
              <w:rPr>
                <w:rFonts w:hint="eastAsia" w:ascii="宋体" w:hAnsi="宋体" w:cs="宋体"/>
                <w:bCs/>
                <w:szCs w:val="21"/>
              </w:rPr>
              <w:t>1.供应商的资格条件</w:t>
            </w:r>
            <w:r>
              <w:rPr>
                <w:rFonts w:hint="eastAsia" w:ascii="宋体" w:hAnsi="宋体" w:cs="宋体"/>
                <w:szCs w:val="21"/>
              </w:rPr>
              <w:t>：详见竞争性磋商公告</w:t>
            </w:r>
          </w:p>
          <w:p w14:paraId="3ACFBBCF">
            <w:pPr>
              <w:spacing w:line="360" w:lineRule="auto"/>
              <w:rPr>
                <w:rFonts w:ascii="宋体" w:hAnsi="宋体" w:cs="宋体"/>
                <w:szCs w:val="21"/>
              </w:rPr>
            </w:pPr>
            <w:r>
              <w:rPr>
                <w:rFonts w:hint="eastAsia" w:ascii="宋体" w:hAnsi="宋体" w:cs="宋体"/>
                <w:szCs w:val="21"/>
              </w:rPr>
              <w:t>2.</w:t>
            </w:r>
            <w:r>
              <w:rPr>
                <w:rFonts w:hint="eastAsia" w:ascii="宋体" w:hAnsi="宋体" w:cs="宋体"/>
                <w:bCs/>
                <w:szCs w:val="21"/>
              </w:rPr>
              <w:t>供应商</w:t>
            </w:r>
            <w:r>
              <w:rPr>
                <w:rFonts w:hint="eastAsia" w:ascii="宋体" w:hAnsi="宋体" w:cs="宋体"/>
                <w:szCs w:val="21"/>
              </w:rPr>
              <w:t>出现下列情形之一的，不得参加政府采购活动：</w:t>
            </w:r>
          </w:p>
          <w:p w14:paraId="551FE572">
            <w:pPr>
              <w:spacing w:line="360" w:lineRule="auto"/>
              <w:rPr>
                <w:rFonts w:ascii="宋体" w:hAnsi="宋体" w:cs="宋体"/>
                <w:szCs w:val="21"/>
              </w:rPr>
            </w:pPr>
            <w:r>
              <w:rPr>
                <w:rFonts w:hint="eastAsia" w:ascii="宋体" w:hAnsi="宋体" w:cs="宋体"/>
                <w:szCs w:val="21"/>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2E15CA5">
            <w:pPr>
              <w:spacing w:line="360" w:lineRule="auto"/>
              <w:rPr>
                <w:rFonts w:ascii="宋体" w:hAnsi="宋体" w:cs="宋体"/>
                <w:szCs w:val="21"/>
              </w:rPr>
            </w:pPr>
            <w:r>
              <w:rPr>
                <w:rFonts w:hint="eastAsia" w:ascii="宋体" w:hAnsi="宋体" w:cs="宋体"/>
                <w:szCs w:val="21"/>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1F1DE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063782AF">
            <w:pPr>
              <w:spacing w:line="360" w:lineRule="auto"/>
              <w:jc w:val="center"/>
              <w:rPr>
                <w:rFonts w:ascii="宋体" w:hAnsi="宋体" w:cs="宋体"/>
                <w:szCs w:val="21"/>
              </w:rPr>
            </w:pPr>
            <w:r>
              <w:rPr>
                <w:rFonts w:hint="eastAsia" w:ascii="宋体" w:hAnsi="宋体" w:cs="宋体"/>
                <w:szCs w:val="21"/>
              </w:rPr>
              <w:t>5.1</w:t>
            </w:r>
          </w:p>
        </w:tc>
        <w:tc>
          <w:tcPr>
            <w:tcW w:w="7912" w:type="dxa"/>
            <w:noWrap/>
            <w:vAlign w:val="center"/>
          </w:tcPr>
          <w:p w14:paraId="668518C9">
            <w:pPr>
              <w:spacing w:line="360" w:lineRule="auto"/>
              <w:rPr>
                <w:rFonts w:ascii="宋体" w:hAnsi="宋体" w:cs="宋体"/>
                <w:szCs w:val="21"/>
              </w:rPr>
            </w:pPr>
            <w:r>
              <w:rPr>
                <w:rFonts w:hint="eastAsia" w:ascii="宋体" w:hAnsi="宋体" w:cs="宋体"/>
                <w:szCs w:val="21"/>
              </w:rPr>
              <w:t>是否接受联合体竞标：详见竞争性磋商公告</w:t>
            </w:r>
          </w:p>
        </w:tc>
      </w:tr>
      <w:tr w14:paraId="0EEBE3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4C37733B">
            <w:pPr>
              <w:spacing w:line="360" w:lineRule="auto"/>
              <w:jc w:val="center"/>
              <w:rPr>
                <w:rFonts w:ascii="宋体" w:hAnsi="宋体" w:cs="宋体"/>
                <w:szCs w:val="21"/>
              </w:rPr>
            </w:pPr>
            <w:r>
              <w:rPr>
                <w:rFonts w:hint="eastAsia" w:ascii="宋体" w:hAnsi="宋体" w:cs="宋体"/>
                <w:szCs w:val="21"/>
              </w:rPr>
              <w:t>5</w:t>
            </w:r>
            <w:r>
              <w:rPr>
                <w:rFonts w:ascii="宋体" w:hAnsi="宋体" w:cs="宋体"/>
                <w:szCs w:val="21"/>
              </w:rPr>
              <w:t>.2</w:t>
            </w:r>
          </w:p>
        </w:tc>
        <w:tc>
          <w:tcPr>
            <w:tcW w:w="7912" w:type="dxa"/>
            <w:noWrap/>
            <w:vAlign w:val="center"/>
          </w:tcPr>
          <w:p w14:paraId="3ACD6714">
            <w:pPr>
              <w:spacing w:line="360" w:lineRule="auto"/>
              <w:rPr>
                <w:rFonts w:ascii="宋体" w:hAnsi="宋体" w:cs="宋体"/>
                <w:szCs w:val="21"/>
              </w:rPr>
            </w:pPr>
            <w:r>
              <w:rPr>
                <w:rFonts w:hint="eastAsia" w:ascii="宋体" w:hAnsi="宋体"/>
                <w:szCs w:val="21"/>
              </w:rPr>
              <w:t>如接受联合体竞标，联合体竞标要求如下：</w:t>
            </w:r>
            <w:r>
              <w:rPr>
                <w:rFonts w:hint="eastAsia" w:ascii="宋体" w:hAnsi="宋体" w:cs="宋体"/>
                <w:szCs w:val="21"/>
              </w:rPr>
              <w:t>/</w:t>
            </w:r>
          </w:p>
        </w:tc>
      </w:tr>
      <w:tr w14:paraId="48D575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0BBC60F3">
            <w:pPr>
              <w:spacing w:line="360" w:lineRule="auto"/>
              <w:jc w:val="center"/>
              <w:rPr>
                <w:rFonts w:ascii="宋体" w:hAnsi="宋体" w:cs="宋体"/>
                <w:szCs w:val="21"/>
              </w:rPr>
            </w:pPr>
            <w:r>
              <w:rPr>
                <w:rFonts w:hint="eastAsia" w:ascii="宋体" w:hAnsi="宋体" w:cs="宋体"/>
                <w:szCs w:val="21"/>
              </w:rPr>
              <w:t>6.2</w:t>
            </w:r>
          </w:p>
        </w:tc>
        <w:tc>
          <w:tcPr>
            <w:tcW w:w="7912" w:type="dxa"/>
            <w:noWrap/>
            <w:vAlign w:val="center"/>
          </w:tcPr>
          <w:p w14:paraId="0B557F60">
            <w:pPr>
              <w:pStyle w:val="16"/>
              <w:spacing w:line="360" w:lineRule="auto"/>
              <w:rPr>
                <w:rFonts w:ascii="宋体" w:hAnsi="宋体"/>
                <w:szCs w:val="21"/>
              </w:rPr>
            </w:pPr>
            <w:r>
              <w:rPr>
                <w:rFonts w:hint="eastAsia" w:ascii="宋体" w:hAnsi="宋体"/>
                <w:szCs w:val="21"/>
              </w:rPr>
              <w:t>☑不允许分包</w:t>
            </w:r>
          </w:p>
          <w:p w14:paraId="1ED475D5">
            <w:pPr>
              <w:pStyle w:val="16"/>
              <w:spacing w:line="360" w:lineRule="auto"/>
              <w:rPr>
                <w:rFonts w:ascii="宋体" w:hAnsi="宋体"/>
                <w:szCs w:val="21"/>
              </w:rPr>
            </w:pPr>
            <w:r>
              <w:rPr>
                <w:rFonts w:hint="eastAsia" w:ascii="宋体" w:hAnsi="宋体"/>
                <w:szCs w:val="21"/>
              </w:rPr>
              <w:t>□允许分包</w:t>
            </w:r>
          </w:p>
          <w:p w14:paraId="4FCDCF96">
            <w:pPr>
              <w:pStyle w:val="16"/>
              <w:spacing w:line="360" w:lineRule="auto"/>
              <w:rPr>
                <w:rFonts w:ascii="宋体" w:hAnsi="宋体"/>
                <w:szCs w:val="21"/>
                <w:u w:val="single"/>
              </w:rPr>
            </w:pPr>
            <w:r>
              <w:rPr>
                <w:rFonts w:hint="eastAsia" w:ascii="宋体" w:hAnsi="宋体"/>
                <w:szCs w:val="21"/>
              </w:rPr>
              <w:t>分包内容：</w:t>
            </w:r>
            <w:r>
              <w:rPr>
                <w:rFonts w:hint="eastAsia" w:ascii="宋体" w:hAnsi="宋体"/>
                <w:szCs w:val="21"/>
                <w:u w:val="single"/>
              </w:rPr>
              <w:t xml:space="preserve"> / 。</w:t>
            </w:r>
          </w:p>
          <w:p w14:paraId="27AB7D78">
            <w:pPr>
              <w:pStyle w:val="16"/>
              <w:spacing w:line="360" w:lineRule="auto"/>
              <w:rPr>
                <w:rFonts w:ascii="宋体" w:hAnsi="宋体" w:cs="宋体"/>
                <w:szCs w:val="21"/>
              </w:rPr>
            </w:pPr>
            <w:r>
              <w:rPr>
                <w:rFonts w:hint="eastAsia" w:ascii="宋体" w:hAnsi="宋体"/>
                <w:szCs w:val="21"/>
              </w:rPr>
              <w:t>分包金额或者比例：</w:t>
            </w:r>
            <w:r>
              <w:rPr>
                <w:rFonts w:hint="eastAsia" w:ascii="宋体" w:hAnsi="宋体"/>
                <w:szCs w:val="21"/>
                <w:u w:val="single"/>
              </w:rPr>
              <w:t xml:space="preserve"> /  。</w:t>
            </w:r>
          </w:p>
        </w:tc>
      </w:tr>
      <w:tr w14:paraId="380F52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27613C65">
            <w:pPr>
              <w:spacing w:line="460" w:lineRule="exact"/>
              <w:jc w:val="center"/>
              <w:rPr>
                <w:rFonts w:ascii="宋体" w:hAnsi="宋体" w:cs="宋体"/>
                <w:szCs w:val="21"/>
              </w:rPr>
            </w:pPr>
            <w:r>
              <w:rPr>
                <w:rFonts w:hint="eastAsia" w:ascii="宋体" w:hAnsi="宋体"/>
              </w:rPr>
              <w:t>7.7</w:t>
            </w:r>
          </w:p>
        </w:tc>
        <w:tc>
          <w:tcPr>
            <w:tcW w:w="7912" w:type="dxa"/>
            <w:noWrap/>
            <w:vAlign w:val="center"/>
          </w:tcPr>
          <w:p w14:paraId="097D4E5C">
            <w:pPr>
              <w:spacing w:line="460" w:lineRule="exact"/>
              <w:ind w:right="105"/>
            </w:pPr>
            <w:r>
              <w:rPr>
                <w:rFonts w:hint="eastAsia"/>
              </w:rPr>
              <w:t>是否组织现场踏勘：</w:t>
            </w:r>
          </w:p>
          <w:p w14:paraId="2185E319">
            <w:pPr>
              <w:spacing w:line="460" w:lineRule="exact"/>
              <w:ind w:right="105"/>
              <w:rPr>
                <w:rFonts w:ascii="宋体" w:hAnsi="宋体"/>
              </w:rPr>
            </w:pPr>
            <w:r>
              <w:rPr>
                <w:rFonts w:hint="eastAsia"/>
              </w:rPr>
              <w:t>☑不</w:t>
            </w:r>
            <w:r>
              <w:rPr>
                <w:rFonts w:hint="eastAsia" w:ascii="宋体" w:hAnsi="宋体"/>
              </w:rPr>
              <w:t>组织</w:t>
            </w:r>
          </w:p>
          <w:p w14:paraId="5F8FC17A">
            <w:pPr>
              <w:spacing w:line="460" w:lineRule="exact"/>
              <w:ind w:right="105"/>
              <w:rPr>
                <w:rFonts w:ascii="宋体" w:hAnsi="宋体"/>
                <w:szCs w:val="21"/>
              </w:rPr>
            </w:pPr>
            <w:r>
              <w:rPr>
                <w:rFonts w:hint="eastAsia"/>
              </w:rPr>
              <w:t>□</w:t>
            </w:r>
            <w:r>
              <w:rPr>
                <w:rFonts w:hint="eastAsia" w:ascii="宋体" w:hAnsi="宋体"/>
              </w:rPr>
              <w:t>组织</w:t>
            </w:r>
          </w:p>
        </w:tc>
      </w:tr>
      <w:tr w14:paraId="275EA1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7109339B">
            <w:pPr>
              <w:spacing w:line="360" w:lineRule="auto"/>
              <w:jc w:val="center"/>
              <w:rPr>
                <w:rFonts w:ascii="宋体" w:hAnsi="宋体" w:cs="宋体"/>
                <w:szCs w:val="21"/>
              </w:rPr>
            </w:pPr>
            <w:r>
              <w:rPr>
                <w:rFonts w:hint="eastAsia" w:ascii="宋体" w:hAnsi="宋体" w:cs="宋体"/>
                <w:szCs w:val="21"/>
              </w:rPr>
              <w:t>12.1.</w:t>
            </w:r>
            <w:r>
              <w:rPr>
                <w:rFonts w:ascii="宋体" w:hAnsi="宋体" w:cs="宋体"/>
                <w:szCs w:val="21"/>
              </w:rPr>
              <w:t>1</w:t>
            </w:r>
          </w:p>
        </w:tc>
        <w:tc>
          <w:tcPr>
            <w:tcW w:w="7912" w:type="dxa"/>
            <w:noWrap/>
            <w:vAlign w:val="center"/>
          </w:tcPr>
          <w:p w14:paraId="0DCA7FAC">
            <w:pPr>
              <w:spacing w:line="360" w:lineRule="auto"/>
              <w:jc w:val="left"/>
              <w:rPr>
                <w:rFonts w:ascii="宋体" w:hAnsi="宋体" w:cs="宋体"/>
                <w:b/>
                <w:szCs w:val="21"/>
              </w:rPr>
            </w:pPr>
            <w:r>
              <w:rPr>
                <w:rFonts w:hint="eastAsia" w:ascii="宋体" w:hAnsi="宋体" w:cs="宋体"/>
                <w:b/>
                <w:szCs w:val="21"/>
              </w:rPr>
              <w:t>资格证明文件</w:t>
            </w:r>
          </w:p>
          <w:p w14:paraId="40778696">
            <w:pPr>
              <w:pStyle w:val="16"/>
              <w:spacing w:line="360" w:lineRule="auto"/>
              <w:rPr>
                <w:rFonts w:ascii="宋体" w:hAnsi="宋体"/>
                <w:szCs w:val="21"/>
              </w:rPr>
            </w:pPr>
            <w:r>
              <w:rPr>
                <w:rFonts w:hint="eastAsia" w:ascii="宋体" w:hAnsi="宋体" w:cs="宋体"/>
                <w:szCs w:val="21"/>
              </w:rPr>
              <w:t>1.供应商为法人或者其他组织的，提供营业执照等证明文件（如营业执照或者事业单位法人证书或者执业许可证或者登记证书等），供应商为自然人的提供其身份证复印件；（</w:t>
            </w:r>
            <w:r>
              <w:rPr>
                <w:rFonts w:hint="eastAsia" w:ascii="宋体" w:hAnsi="宋体" w:cs="宋体"/>
                <w:b/>
                <w:szCs w:val="21"/>
              </w:rPr>
              <w:t>必须提供，否则响应文件按无效响应处理</w:t>
            </w:r>
            <w:r>
              <w:rPr>
                <w:rFonts w:hint="eastAsia" w:ascii="宋体" w:hAnsi="宋体" w:cs="宋体"/>
                <w:szCs w:val="21"/>
              </w:rPr>
              <w:t>）</w:t>
            </w:r>
          </w:p>
          <w:p w14:paraId="6B1CBF49">
            <w:pPr>
              <w:spacing w:line="360" w:lineRule="auto"/>
              <w:contextualSpacing/>
              <w:jc w:val="left"/>
              <w:rPr>
                <w:rFonts w:ascii="宋体" w:hAnsi="宋体" w:cs="宋体"/>
                <w:szCs w:val="21"/>
              </w:rPr>
            </w:pPr>
            <w:r>
              <w:rPr>
                <w:rFonts w:hint="eastAsia" w:ascii="宋体" w:hAnsi="宋体" w:cs="宋体"/>
                <w:szCs w:val="21"/>
              </w:rPr>
              <w:t>2.供应商依法缴纳税收的相关材料（</w:t>
            </w:r>
            <w:r>
              <w:rPr>
                <w:rFonts w:hint="eastAsia" w:ascii="宋体" w:hAnsi="宋体" w:cs="宋体"/>
                <w:szCs w:val="21"/>
                <w:u w:val="single"/>
              </w:rPr>
              <w:t>2026</w:t>
            </w:r>
            <w:r>
              <w:rPr>
                <w:rFonts w:hint="eastAsia" w:ascii="宋体" w:hAnsi="宋体" w:cs="宋体"/>
                <w:szCs w:val="21"/>
              </w:rPr>
              <w:t>年</w:t>
            </w:r>
            <w:r>
              <w:rPr>
                <w:rFonts w:hint="eastAsia" w:ascii="宋体" w:hAnsi="宋体" w:cs="宋体"/>
                <w:szCs w:val="21"/>
                <w:u w:val="single"/>
              </w:rPr>
              <w:t>2</w:t>
            </w:r>
            <w:r>
              <w:rPr>
                <w:rFonts w:hint="eastAsia" w:ascii="宋体" w:hAnsi="宋体" w:cs="宋体"/>
                <w:szCs w:val="21"/>
              </w:rPr>
              <w:t>月至提交响应文件截止之日前任意1个月的依法缴纳税收的凭据复印件；</w:t>
            </w:r>
            <w:r>
              <w:rPr>
                <w:rFonts w:hint="eastAsia"/>
              </w:rPr>
              <w:t>依法免税的，必须提供相应文件证明其依法免税。</w:t>
            </w:r>
            <w:r>
              <w:rPr>
                <w:rFonts w:hint="eastAsia" w:ascii="宋体" w:hAnsi="宋体" w:cs="宋体"/>
                <w:szCs w:val="21"/>
              </w:rPr>
              <w:t>从</w:t>
            </w:r>
            <w:r>
              <w:rPr>
                <w:szCs w:val="21"/>
              </w:rPr>
              <w:t>成立</w:t>
            </w:r>
            <w:r>
              <w:rPr>
                <w:rFonts w:hint="eastAsia"/>
                <w:szCs w:val="21"/>
              </w:rPr>
              <w:t>之日起</w:t>
            </w:r>
            <w:r>
              <w:rPr>
                <w:rFonts w:hint="eastAsia" w:ascii="宋体" w:hAnsi="宋体" w:cs="宋体"/>
                <w:szCs w:val="21"/>
              </w:rPr>
              <w:t>到响应文件提交截止时间止不足要求月数的，则不需要提供）；（</w:t>
            </w:r>
            <w:r>
              <w:rPr>
                <w:rFonts w:hint="eastAsia" w:ascii="宋体" w:hAnsi="宋体" w:cs="宋体"/>
                <w:b/>
                <w:szCs w:val="21"/>
              </w:rPr>
              <w:t>必须提供，否则响应文件按无效响应处理</w:t>
            </w:r>
            <w:r>
              <w:rPr>
                <w:rFonts w:hint="eastAsia" w:ascii="宋体" w:hAnsi="宋体" w:cs="宋体"/>
                <w:szCs w:val="21"/>
              </w:rPr>
              <w:t>）</w:t>
            </w:r>
          </w:p>
          <w:p w14:paraId="771FFCA4">
            <w:pPr>
              <w:spacing w:line="360" w:lineRule="auto"/>
              <w:contextualSpacing/>
              <w:jc w:val="left"/>
              <w:rPr>
                <w:rFonts w:ascii="宋体" w:hAnsi="宋体" w:cs="宋体"/>
                <w:szCs w:val="21"/>
              </w:rPr>
            </w:pPr>
            <w:r>
              <w:rPr>
                <w:rFonts w:hint="eastAsia" w:ascii="宋体" w:hAnsi="宋体" w:cs="宋体"/>
                <w:szCs w:val="21"/>
              </w:rPr>
              <w:t>3.供应商依法缴纳社会保障资金的相关材料[</w:t>
            </w:r>
            <w:r>
              <w:rPr>
                <w:rFonts w:hint="eastAsia" w:ascii="宋体" w:hAnsi="宋体" w:cs="宋体"/>
                <w:szCs w:val="21"/>
                <w:u w:val="single"/>
              </w:rPr>
              <w:t>2026</w:t>
            </w:r>
            <w:r>
              <w:rPr>
                <w:rFonts w:hint="eastAsia" w:ascii="宋体" w:hAnsi="宋体" w:cs="宋体"/>
                <w:szCs w:val="21"/>
              </w:rPr>
              <w:t>年</w:t>
            </w:r>
            <w:r>
              <w:rPr>
                <w:rFonts w:hint="eastAsia" w:ascii="宋体" w:hAnsi="宋体" w:cs="宋体"/>
                <w:szCs w:val="21"/>
                <w:u w:val="single"/>
              </w:rPr>
              <w:t>2</w:t>
            </w:r>
            <w:r>
              <w:rPr>
                <w:rFonts w:hint="eastAsia" w:ascii="宋体" w:hAnsi="宋体" w:cs="宋体"/>
                <w:szCs w:val="21"/>
              </w:rPr>
              <w:t>月至提交响应文件截止之日前任意1个月的依法缴纳社会保障资金的缴</w:t>
            </w:r>
            <w:r>
              <w:rPr>
                <w:rFonts w:hint="eastAsia" w:ascii="宋体" w:hAnsi="宋体" w:cs="宋体"/>
                <w:szCs w:val="21"/>
                <w:highlight w:val="none"/>
              </w:rPr>
              <w:t>费凭证（</w:t>
            </w:r>
            <w:r>
              <w:rPr>
                <w:rFonts w:hint="eastAsia"/>
                <w:highlight w:val="none"/>
              </w:rPr>
              <w:t>如：</w:t>
            </w:r>
            <w:r>
              <w:rPr>
                <w:rFonts w:hint="eastAsia" w:ascii="宋体" w:hAnsi="宋体" w:cs="宋体"/>
                <w:szCs w:val="21"/>
                <w:highlight w:val="none"/>
              </w:rPr>
              <w:t>专用收据或社会保险缴纳清单或</w:t>
            </w:r>
            <w:r>
              <w:rPr>
                <w:rFonts w:hint="eastAsia"/>
                <w:highlight w:val="none"/>
              </w:rPr>
              <w:t>医保部门</w:t>
            </w:r>
            <w:r>
              <w:rPr>
                <w:rFonts w:hint="eastAsia" w:ascii="宋体" w:hAnsi="宋体" w:cs="宋体"/>
                <w:szCs w:val="21"/>
                <w:highlight w:val="none"/>
              </w:rPr>
              <w:t>的证明等）复印件；</w:t>
            </w:r>
            <w:r>
              <w:rPr>
                <w:rFonts w:hint="eastAsia"/>
                <w:highlight w:val="none"/>
              </w:rPr>
              <w:t>依法不需要</w:t>
            </w:r>
            <w:r>
              <w:rPr>
                <w:rFonts w:hint="eastAsia"/>
              </w:rPr>
              <w:t>缴纳社会保障资金的，必须提供相应文件证明不需要缴纳社会保障资金。</w:t>
            </w:r>
            <w:r>
              <w:rPr>
                <w:rFonts w:hint="eastAsia" w:ascii="宋体" w:hAnsi="宋体" w:cs="宋体"/>
                <w:szCs w:val="21"/>
              </w:rPr>
              <w:t>从</w:t>
            </w:r>
            <w:r>
              <w:rPr>
                <w:szCs w:val="21"/>
              </w:rPr>
              <w:t>成立</w:t>
            </w:r>
            <w:r>
              <w:rPr>
                <w:rFonts w:hint="eastAsia"/>
                <w:szCs w:val="21"/>
              </w:rPr>
              <w:t>之日起</w:t>
            </w:r>
            <w:r>
              <w:rPr>
                <w:rFonts w:hint="eastAsia" w:ascii="宋体" w:hAnsi="宋体" w:cs="宋体"/>
                <w:szCs w:val="21"/>
              </w:rPr>
              <w:t>到响应文件提交截止时间止不足要求月数的，则不需要提供]；（</w:t>
            </w:r>
            <w:r>
              <w:rPr>
                <w:rFonts w:hint="eastAsia" w:ascii="宋体" w:hAnsi="宋体" w:cs="宋体"/>
                <w:b/>
                <w:szCs w:val="21"/>
              </w:rPr>
              <w:t>必须提供，否则响应文件按无效响应处理</w:t>
            </w:r>
            <w:r>
              <w:rPr>
                <w:rFonts w:hint="eastAsia" w:ascii="宋体" w:hAnsi="宋体" w:cs="宋体"/>
                <w:szCs w:val="21"/>
              </w:rPr>
              <w:t>）</w:t>
            </w:r>
          </w:p>
          <w:p w14:paraId="6CE490D7">
            <w:pPr>
              <w:spacing w:line="360" w:lineRule="auto"/>
              <w:contextualSpacing/>
              <w:jc w:val="left"/>
              <w:rPr>
                <w:rFonts w:ascii="宋体" w:hAnsi="宋体" w:cs="宋体"/>
                <w:b/>
                <w:szCs w:val="21"/>
              </w:rPr>
            </w:pPr>
            <w:r>
              <w:rPr>
                <w:rFonts w:hint="eastAsia" w:ascii="宋体" w:hAnsi="宋体" w:cs="宋体"/>
                <w:szCs w:val="21"/>
              </w:rPr>
              <w:t>4.供应商</w:t>
            </w:r>
            <w:r>
              <w:rPr>
                <w:rFonts w:hint="eastAsia"/>
                <w:szCs w:val="21"/>
              </w:rPr>
              <w:t>财务状况报告</w:t>
            </w:r>
            <w:r>
              <w:rPr>
                <w:rFonts w:hint="eastAsia" w:ascii="宋体" w:hAnsi="宋体" w:cs="宋体"/>
                <w:szCs w:val="21"/>
              </w:rPr>
              <w:t>[</w:t>
            </w:r>
            <w:r>
              <w:rPr>
                <w:rFonts w:hint="eastAsia"/>
                <w:szCs w:val="21"/>
                <w:u w:val="single"/>
              </w:rPr>
              <w:t>2025</w:t>
            </w:r>
            <w:r>
              <w:rPr>
                <w:rFonts w:hint="eastAsia"/>
                <w:szCs w:val="21"/>
              </w:rPr>
              <w:t>年度财务报表复印件（至少包含</w:t>
            </w:r>
            <w:r>
              <w:rPr>
                <w:rFonts w:hint="eastAsia" w:ascii="宋体" w:hAnsi="宋体" w:cs="宋体"/>
                <w:szCs w:val="21"/>
              </w:rPr>
              <w:t>资产负债表、利润表、现金流量表）</w:t>
            </w:r>
            <w:r>
              <w:rPr>
                <w:rFonts w:hint="eastAsia"/>
                <w:szCs w:val="21"/>
              </w:rPr>
              <w:t>，或者银行出具的资信证明，或者中国人民银行征信中心出具的信用报告（企业竞标的提供企业信用报告，自然人竞标的提供个人信用报告，供应商属于</w:t>
            </w:r>
            <w:r>
              <w:rPr>
                <w:rFonts w:hint="eastAsia"/>
              </w:rPr>
              <w:t>成立时间在规定年度之后的</w:t>
            </w:r>
            <w:r>
              <w:rPr>
                <w:rFonts w:hint="eastAsia"/>
                <w:szCs w:val="21"/>
              </w:rPr>
              <w:t>法人或其他组织</w:t>
            </w:r>
            <w:r>
              <w:rPr>
                <w:rFonts w:hint="eastAsia"/>
              </w:rPr>
              <w:t>，需提供成立之日起至响应文件提交截止时间前的月报表</w:t>
            </w:r>
            <w:r>
              <w:rPr>
                <w:rFonts w:hint="eastAsia"/>
                <w:szCs w:val="21"/>
              </w:rPr>
              <w:t>或银行出具的资信证明或者中国人民银行征信中心出具的企业信用报告；资信证明应在有效期内，未注明有效期的，银行出具时间至响应文件提交截止时间不超过一年）</w:t>
            </w:r>
            <w:r>
              <w:rPr>
                <w:rFonts w:hint="eastAsia" w:ascii="宋体" w:hAnsi="宋体" w:cs="宋体"/>
                <w:szCs w:val="21"/>
              </w:rPr>
              <w:t>]；</w:t>
            </w:r>
            <w:r>
              <w:rPr>
                <w:rFonts w:hint="eastAsia" w:ascii="宋体" w:hAnsi="宋体" w:cs="宋体"/>
                <w:bCs/>
                <w:szCs w:val="21"/>
              </w:rPr>
              <w:t>（</w:t>
            </w:r>
            <w:r>
              <w:rPr>
                <w:rFonts w:hint="eastAsia" w:ascii="宋体" w:hAnsi="宋体"/>
                <w:b/>
                <w:szCs w:val="21"/>
              </w:rPr>
              <w:t>必须提供</w:t>
            </w:r>
            <w:r>
              <w:rPr>
                <w:rFonts w:hint="eastAsia" w:ascii="宋体" w:hAnsi="宋体" w:cs="宋体"/>
                <w:b/>
                <w:szCs w:val="21"/>
              </w:rPr>
              <w:t>，否则响应文件按无效响应处理</w:t>
            </w:r>
            <w:r>
              <w:rPr>
                <w:rFonts w:hint="eastAsia" w:ascii="宋体" w:hAnsi="宋体" w:cs="宋体"/>
                <w:bCs/>
                <w:szCs w:val="21"/>
              </w:rPr>
              <w:t>）</w:t>
            </w:r>
          </w:p>
          <w:p w14:paraId="4394A32C">
            <w:pPr>
              <w:spacing w:line="360" w:lineRule="auto"/>
              <w:jc w:val="left"/>
              <w:rPr>
                <w:rFonts w:ascii="宋体" w:hAnsi="宋体" w:cs="宋体"/>
                <w:szCs w:val="21"/>
              </w:rPr>
            </w:pPr>
            <w:r>
              <w:rPr>
                <w:rFonts w:hint="eastAsia" w:ascii="宋体" w:hAnsi="宋体" w:cs="宋体"/>
                <w:szCs w:val="21"/>
              </w:rPr>
              <w:t>5.供应商直接控股股东信息表（格式后附）；（</w:t>
            </w:r>
            <w:r>
              <w:rPr>
                <w:rFonts w:hint="eastAsia" w:ascii="宋体" w:hAnsi="宋体" w:cs="宋体"/>
                <w:b/>
                <w:szCs w:val="21"/>
              </w:rPr>
              <w:t>必须提供，否则响应文件按无效响应处理</w:t>
            </w:r>
            <w:r>
              <w:rPr>
                <w:rFonts w:hint="eastAsia" w:ascii="宋体" w:hAnsi="宋体" w:cs="宋体"/>
                <w:szCs w:val="21"/>
              </w:rPr>
              <w:t>）</w:t>
            </w:r>
          </w:p>
          <w:p w14:paraId="722F4859">
            <w:pPr>
              <w:spacing w:line="360" w:lineRule="auto"/>
              <w:jc w:val="left"/>
              <w:rPr>
                <w:rFonts w:ascii="宋体" w:hAnsi="宋体" w:cs="宋体"/>
                <w:szCs w:val="21"/>
              </w:rPr>
            </w:pPr>
            <w:r>
              <w:rPr>
                <w:rFonts w:hint="eastAsia" w:ascii="宋体" w:hAnsi="宋体" w:cs="宋体"/>
                <w:szCs w:val="21"/>
              </w:rPr>
              <w:t>6.供应商直接管理关系信息表（格式后附）；（</w:t>
            </w:r>
            <w:r>
              <w:rPr>
                <w:rFonts w:hint="eastAsia" w:ascii="宋体" w:hAnsi="宋体" w:cs="宋体"/>
                <w:b/>
                <w:szCs w:val="21"/>
              </w:rPr>
              <w:t>必须提供，否则响应文件按无效响应处理</w:t>
            </w:r>
            <w:r>
              <w:rPr>
                <w:rFonts w:hint="eastAsia" w:ascii="宋体" w:hAnsi="宋体" w:cs="宋体"/>
                <w:szCs w:val="21"/>
              </w:rPr>
              <w:t>）</w:t>
            </w:r>
          </w:p>
          <w:p w14:paraId="6513FA1C">
            <w:pPr>
              <w:spacing w:line="360" w:lineRule="auto"/>
              <w:jc w:val="left"/>
              <w:rPr>
                <w:rFonts w:ascii="宋体" w:hAnsi="宋体" w:cs="宋体"/>
                <w:szCs w:val="21"/>
              </w:rPr>
            </w:pPr>
            <w:r>
              <w:rPr>
                <w:rFonts w:hint="eastAsia" w:ascii="宋体" w:hAnsi="宋体" w:cs="宋体"/>
                <w:szCs w:val="21"/>
              </w:rPr>
              <w:t>7.竞标声明（格式后附）；（</w:t>
            </w:r>
            <w:r>
              <w:rPr>
                <w:rFonts w:hint="eastAsia" w:ascii="宋体" w:hAnsi="宋体" w:cs="宋体"/>
                <w:b/>
                <w:szCs w:val="21"/>
              </w:rPr>
              <w:t>必须提供，否则响应文件按无效响应处理</w:t>
            </w:r>
            <w:r>
              <w:rPr>
                <w:rFonts w:hint="eastAsia" w:ascii="宋体" w:hAnsi="宋体" w:cs="宋体"/>
                <w:szCs w:val="21"/>
              </w:rPr>
              <w:t>）</w:t>
            </w:r>
          </w:p>
          <w:p w14:paraId="4BBA9E5D">
            <w:pPr>
              <w:spacing w:line="360" w:lineRule="auto"/>
              <w:jc w:val="left"/>
              <w:rPr>
                <w:rFonts w:ascii="宋体" w:hAnsi="宋体"/>
                <w:szCs w:val="21"/>
              </w:rPr>
            </w:pPr>
            <w:r>
              <w:rPr>
                <w:rFonts w:hint="eastAsia" w:ascii="宋体" w:hAnsi="宋体"/>
                <w:szCs w:val="21"/>
              </w:rPr>
              <w:t>8.供应商有效的《食品经营许可证》复印件，许可证主体业态需为“食品销售经营者”。如供应商的食品经营许可证与营业执照合并办理的，须提供扫描营业执照二维码后的有效备案信息截图；</w:t>
            </w:r>
            <w:r>
              <w:rPr>
                <w:rFonts w:hint="eastAsia" w:ascii="宋体" w:hAnsi="宋体" w:cs="宋体"/>
                <w:szCs w:val="21"/>
              </w:rPr>
              <w:t>（</w:t>
            </w:r>
            <w:r>
              <w:rPr>
                <w:rFonts w:hint="eastAsia" w:ascii="宋体" w:hAnsi="宋体" w:cs="宋体"/>
                <w:b/>
                <w:szCs w:val="21"/>
              </w:rPr>
              <w:t>必须提供，否则响应文件按无效响应处理</w:t>
            </w:r>
            <w:r>
              <w:rPr>
                <w:rFonts w:hint="eastAsia" w:ascii="宋体" w:hAnsi="宋体" w:cs="宋体"/>
                <w:szCs w:val="21"/>
              </w:rPr>
              <w:t>）</w:t>
            </w:r>
          </w:p>
          <w:p w14:paraId="542F9A16">
            <w:pPr>
              <w:spacing w:line="360" w:lineRule="auto"/>
              <w:jc w:val="left"/>
              <w:rPr>
                <w:rFonts w:ascii="宋体" w:hAnsi="宋体"/>
                <w:szCs w:val="21"/>
              </w:rPr>
            </w:pPr>
            <w:r>
              <w:rPr>
                <w:rFonts w:hint="eastAsia" w:ascii="宋体" w:hAnsi="宋体"/>
                <w:szCs w:val="21"/>
              </w:rPr>
              <w:t>9.《中小企业声明函》（格式后附）；</w:t>
            </w:r>
            <w:r>
              <w:rPr>
                <w:rFonts w:hint="eastAsia"/>
              </w:rPr>
              <w:t>【如属于残疾人福利性单位的提供残疾人福利性单位声明函，属于监狱企业的提供由省级以上监狱管理局、戒毒管理局（含新疆生产建设兵团）出具的属于监狱企业的证明文件】</w:t>
            </w:r>
            <w:r>
              <w:rPr>
                <w:rFonts w:hint="eastAsia" w:ascii="宋体" w:hAnsi="宋体" w:cs="宋体"/>
                <w:szCs w:val="21"/>
              </w:rPr>
              <w:t>（</w:t>
            </w:r>
            <w:r>
              <w:rPr>
                <w:rFonts w:hint="eastAsia" w:ascii="宋体" w:hAnsi="宋体" w:cs="宋体"/>
                <w:b/>
                <w:szCs w:val="21"/>
              </w:rPr>
              <w:t>必须提供，否则响应文件按无效响应处理</w:t>
            </w:r>
            <w:r>
              <w:rPr>
                <w:rFonts w:hint="eastAsia" w:ascii="宋体" w:hAnsi="宋体" w:cs="宋体"/>
                <w:szCs w:val="21"/>
              </w:rPr>
              <w:t>）</w:t>
            </w:r>
          </w:p>
          <w:p w14:paraId="2F9A334B">
            <w:pPr>
              <w:spacing w:line="360" w:lineRule="auto"/>
              <w:jc w:val="left"/>
              <w:rPr>
                <w:rFonts w:ascii="宋体" w:hAnsi="宋体" w:cs="宋体"/>
                <w:szCs w:val="21"/>
              </w:rPr>
            </w:pPr>
            <w:r>
              <w:rPr>
                <w:rFonts w:hint="eastAsia" w:ascii="宋体" w:hAnsi="宋体" w:cs="宋体"/>
                <w:szCs w:val="21"/>
              </w:rPr>
              <w:t>10.除磋商文件规定必须提供以外，供应商认为需要提供的其他证明材料；</w:t>
            </w:r>
          </w:p>
          <w:p w14:paraId="1F2051F8">
            <w:pPr>
              <w:spacing w:line="360" w:lineRule="auto"/>
              <w:jc w:val="left"/>
              <w:rPr>
                <w:rFonts w:ascii="宋体" w:hAnsi="宋体" w:cs="宋体"/>
                <w:b/>
                <w:szCs w:val="21"/>
              </w:rPr>
            </w:pPr>
            <w:r>
              <w:rPr>
                <w:rFonts w:hint="eastAsia" w:ascii="宋体" w:hAnsi="宋体" w:cs="宋体"/>
                <w:b/>
                <w:szCs w:val="21"/>
              </w:rPr>
              <w:t>注：</w:t>
            </w:r>
          </w:p>
          <w:p w14:paraId="489EEE08">
            <w:pPr>
              <w:spacing w:line="360" w:lineRule="auto"/>
              <w:ind w:firstLine="413"/>
              <w:jc w:val="left"/>
              <w:rPr>
                <w:rFonts w:ascii="宋体" w:hAnsi="宋体" w:cs="宋体"/>
                <w:b/>
                <w:szCs w:val="21"/>
              </w:rPr>
            </w:pPr>
            <w:r>
              <w:rPr>
                <w:rFonts w:hint="eastAsia" w:ascii="宋体" w:hAnsi="宋体" w:cs="宋体"/>
                <w:b/>
                <w:szCs w:val="21"/>
              </w:rPr>
              <w:t>1.以上标明“必须提供”的材料属于复印件的，必须加盖供应商</w:t>
            </w:r>
            <w:r>
              <w:rPr>
                <w:rFonts w:hint="eastAsia"/>
                <w:b/>
              </w:rPr>
              <w:t>电子签章</w:t>
            </w:r>
            <w:r>
              <w:rPr>
                <w:rFonts w:hint="eastAsia" w:ascii="宋体" w:hAnsi="宋体" w:cs="宋体"/>
                <w:b/>
                <w:szCs w:val="21"/>
              </w:rPr>
              <w:t>，否则响应文件按无效处理。</w:t>
            </w:r>
          </w:p>
        </w:tc>
      </w:tr>
      <w:tr w14:paraId="7E6B2D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4E496607">
            <w:pPr>
              <w:spacing w:line="360" w:lineRule="auto"/>
              <w:jc w:val="center"/>
              <w:rPr>
                <w:rFonts w:ascii="宋体" w:hAnsi="宋体" w:cs="宋体"/>
                <w:szCs w:val="21"/>
              </w:rPr>
            </w:pPr>
            <w:r>
              <w:rPr>
                <w:rFonts w:hint="eastAsia" w:ascii="宋体" w:hAnsi="宋体" w:cs="宋体"/>
                <w:szCs w:val="21"/>
              </w:rPr>
              <w:t>12.1.2</w:t>
            </w:r>
          </w:p>
        </w:tc>
        <w:tc>
          <w:tcPr>
            <w:tcW w:w="7912" w:type="dxa"/>
            <w:noWrap/>
            <w:vAlign w:val="center"/>
          </w:tcPr>
          <w:p w14:paraId="047FC4F7">
            <w:pPr>
              <w:spacing w:line="360" w:lineRule="auto"/>
              <w:rPr>
                <w:rFonts w:ascii="宋体" w:hAnsi="宋体" w:cs="宋体"/>
                <w:szCs w:val="21"/>
              </w:rPr>
            </w:pPr>
            <w:r>
              <w:rPr>
                <w:rFonts w:hint="eastAsia" w:ascii="宋体" w:hAnsi="宋体" w:cs="宋体"/>
                <w:szCs w:val="21"/>
              </w:rPr>
              <w:t>报价文件</w:t>
            </w:r>
          </w:p>
          <w:p w14:paraId="1826494C">
            <w:pPr>
              <w:spacing w:line="360" w:lineRule="auto"/>
              <w:rPr>
                <w:rFonts w:ascii="宋体" w:hAnsi="宋体" w:cs="宋体"/>
                <w:szCs w:val="21"/>
              </w:rPr>
            </w:pPr>
            <w:r>
              <w:rPr>
                <w:rFonts w:hint="eastAsia" w:ascii="宋体" w:hAnsi="宋体" w:cs="宋体"/>
                <w:szCs w:val="21"/>
              </w:rPr>
              <w:t>1.竞标报价表（格式后附）；（</w:t>
            </w:r>
            <w:r>
              <w:rPr>
                <w:rFonts w:hint="eastAsia" w:ascii="宋体" w:hAnsi="宋体" w:cs="宋体"/>
                <w:b/>
                <w:szCs w:val="21"/>
              </w:rPr>
              <w:t>必须提供，否则响应文件按无效响应处理</w:t>
            </w:r>
            <w:r>
              <w:rPr>
                <w:rFonts w:hint="eastAsia" w:ascii="宋体" w:hAnsi="宋体" w:cs="宋体"/>
                <w:szCs w:val="21"/>
              </w:rPr>
              <w:t>）</w:t>
            </w:r>
          </w:p>
          <w:p w14:paraId="4ADF47AD">
            <w:pPr>
              <w:spacing w:line="360" w:lineRule="auto"/>
              <w:rPr>
                <w:rFonts w:ascii="宋体" w:hAnsi="宋体" w:cs="宋体"/>
                <w:szCs w:val="21"/>
              </w:rPr>
            </w:pPr>
            <w:r>
              <w:rPr>
                <w:rFonts w:hint="eastAsia" w:ascii="宋体" w:hAnsi="宋体"/>
                <w:szCs w:val="21"/>
              </w:rPr>
              <w:t>2.供应商认为需要提供的其他有关资料。</w:t>
            </w:r>
          </w:p>
        </w:tc>
      </w:tr>
      <w:tr w14:paraId="64201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78F67254">
            <w:pPr>
              <w:spacing w:line="360" w:lineRule="auto"/>
              <w:jc w:val="center"/>
              <w:rPr>
                <w:rFonts w:ascii="宋体" w:hAnsi="宋体" w:cs="宋体"/>
                <w:szCs w:val="21"/>
              </w:rPr>
            </w:pPr>
            <w:r>
              <w:rPr>
                <w:rFonts w:hint="eastAsia" w:ascii="宋体" w:hAnsi="宋体" w:cs="宋体"/>
                <w:szCs w:val="21"/>
              </w:rPr>
              <w:t>12.</w:t>
            </w:r>
            <w:r>
              <w:rPr>
                <w:rFonts w:ascii="宋体" w:hAnsi="宋体" w:cs="宋体"/>
                <w:szCs w:val="21"/>
              </w:rPr>
              <w:t>1</w:t>
            </w:r>
            <w:r>
              <w:rPr>
                <w:rFonts w:hint="eastAsia" w:ascii="宋体" w:hAnsi="宋体" w:cs="宋体"/>
                <w:szCs w:val="21"/>
              </w:rPr>
              <w:t>.3</w:t>
            </w:r>
          </w:p>
        </w:tc>
        <w:tc>
          <w:tcPr>
            <w:tcW w:w="7912" w:type="dxa"/>
            <w:noWrap/>
            <w:vAlign w:val="center"/>
          </w:tcPr>
          <w:p w14:paraId="5DB55870">
            <w:pPr>
              <w:spacing w:line="360" w:lineRule="auto"/>
              <w:rPr>
                <w:rFonts w:ascii="宋体" w:hAnsi="宋体" w:cs="宋体"/>
                <w:b/>
                <w:bCs/>
                <w:szCs w:val="21"/>
              </w:rPr>
            </w:pPr>
            <w:r>
              <w:rPr>
                <w:rFonts w:hint="eastAsia" w:ascii="宋体" w:hAnsi="宋体" w:cs="宋体"/>
                <w:b/>
                <w:bCs/>
                <w:szCs w:val="21"/>
              </w:rPr>
              <w:t>商务技术文件</w:t>
            </w:r>
          </w:p>
          <w:p w14:paraId="7C6432CC">
            <w:pPr>
              <w:spacing w:line="360" w:lineRule="auto"/>
              <w:rPr>
                <w:rFonts w:ascii="宋体" w:hAnsi="宋体" w:cs="宋体"/>
                <w:szCs w:val="21"/>
              </w:rPr>
            </w:pPr>
            <w:r>
              <w:rPr>
                <w:rFonts w:hint="eastAsia" w:ascii="宋体" w:hAnsi="宋体" w:cs="宋体"/>
                <w:szCs w:val="21"/>
              </w:rPr>
              <w:t>1.无串通竞标行为的承诺函（格式后附）；（</w:t>
            </w:r>
            <w:r>
              <w:rPr>
                <w:rFonts w:hint="eastAsia" w:ascii="宋体" w:hAnsi="宋体" w:cs="宋体"/>
                <w:b/>
                <w:szCs w:val="21"/>
              </w:rPr>
              <w:t>必须提供，否则响应文件按无效响应处理</w:t>
            </w:r>
            <w:r>
              <w:rPr>
                <w:rFonts w:hint="eastAsia" w:ascii="宋体" w:hAnsi="宋体" w:cs="宋体"/>
                <w:szCs w:val="21"/>
              </w:rPr>
              <w:t>）</w:t>
            </w:r>
          </w:p>
          <w:p w14:paraId="0043311B">
            <w:pPr>
              <w:spacing w:line="360" w:lineRule="auto"/>
              <w:jc w:val="left"/>
              <w:rPr>
                <w:rFonts w:ascii="宋体" w:hAnsi="宋体" w:cs="宋体"/>
                <w:szCs w:val="21"/>
              </w:rPr>
            </w:pPr>
            <w:r>
              <w:rPr>
                <w:rFonts w:hint="eastAsia" w:ascii="宋体" w:hAnsi="宋体" w:cs="宋体"/>
                <w:szCs w:val="21"/>
              </w:rPr>
              <w:t>2.法定代表人身份证明书及法定代表人有效身份证正反面复印件（格式后附）；（</w:t>
            </w:r>
            <w:r>
              <w:rPr>
                <w:rFonts w:hint="eastAsia" w:ascii="宋体" w:hAnsi="宋体" w:cs="宋体"/>
                <w:b/>
                <w:bCs/>
                <w:szCs w:val="21"/>
              </w:rPr>
              <w:t>除自然人竞标外</w:t>
            </w:r>
            <w:r>
              <w:rPr>
                <w:rFonts w:hint="eastAsia" w:ascii="宋体" w:hAnsi="宋体" w:cs="宋体"/>
                <w:b/>
                <w:szCs w:val="21"/>
              </w:rPr>
              <w:t>必须提供，否则响应文件按无效响应处理</w:t>
            </w:r>
            <w:r>
              <w:rPr>
                <w:rFonts w:hint="eastAsia" w:ascii="宋体" w:hAnsi="宋体" w:cs="宋体"/>
                <w:szCs w:val="21"/>
              </w:rPr>
              <w:t>）</w:t>
            </w:r>
          </w:p>
          <w:p w14:paraId="55EB2092">
            <w:pPr>
              <w:spacing w:line="360" w:lineRule="auto"/>
              <w:rPr>
                <w:rFonts w:ascii="宋体" w:hAnsi="宋体" w:cs="宋体"/>
                <w:b/>
                <w:szCs w:val="21"/>
              </w:rPr>
            </w:pPr>
            <w:r>
              <w:rPr>
                <w:rFonts w:hint="eastAsia" w:ascii="宋体" w:hAnsi="宋体" w:cs="宋体"/>
                <w:szCs w:val="21"/>
              </w:rPr>
              <w:t>3.授权委托书及委托代理人有效身份证正反面复印件（格式后附）；（</w:t>
            </w:r>
            <w:r>
              <w:rPr>
                <w:rFonts w:hint="eastAsia" w:ascii="宋体" w:hAnsi="宋体" w:cs="宋体"/>
                <w:b/>
                <w:szCs w:val="21"/>
              </w:rPr>
              <w:t>委托时必须提供，否则响应文件按无效响应处理</w:t>
            </w:r>
            <w:r>
              <w:rPr>
                <w:rFonts w:hint="eastAsia" w:ascii="宋体" w:hAnsi="宋体" w:cs="宋体"/>
                <w:szCs w:val="21"/>
              </w:rPr>
              <w:t>）</w:t>
            </w:r>
          </w:p>
          <w:p w14:paraId="3E0D5266">
            <w:pPr>
              <w:spacing w:line="360" w:lineRule="auto"/>
              <w:rPr>
                <w:rFonts w:ascii="宋体" w:hAnsi="宋体" w:cs="宋体"/>
                <w:szCs w:val="21"/>
              </w:rPr>
            </w:pPr>
            <w:r>
              <w:rPr>
                <w:rFonts w:hint="eastAsia" w:ascii="宋体" w:hAnsi="宋体" w:cs="宋体"/>
                <w:szCs w:val="21"/>
              </w:rPr>
              <w:t>4.磋商保证金提交凭证；（</w:t>
            </w:r>
            <w:r>
              <w:rPr>
                <w:rFonts w:hint="eastAsia"/>
                <w:b/>
                <w:bCs/>
              </w:rPr>
              <w:t>必须提供</w:t>
            </w:r>
            <w:r>
              <w:rPr>
                <w:rFonts w:hint="eastAsia" w:ascii="宋体" w:hAnsi="宋体" w:cs="宋体"/>
                <w:b/>
                <w:szCs w:val="21"/>
              </w:rPr>
              <w:t>，否则响应文件按无效响应处理</w:t>
            </w:r>
            <w:r>
              <w:rPr>
                <w:rFonts w:hint="eastAsia" w:ascii="宋体" w:hAnsi="宋体" w:cs="宋体"/>
                <w:szCs w:val="21"/>
              </w:rPr>
              <w:t>）</w:t>
            </w:r>
          </w:p>
          <w:p w14:paraId="6D356CB5">
            <w:pPr>
              <w:spacing w:line="360" w:lineRule="auto"/>
              <w:rPr>
                <w:rFonts w:ascii="宋体" w:hAnsi="宋体" w:cs="宋体"/>
                <w:szCs w:val="21"/>
              </w:rPr>
            </w:pPr>
            <w:r>
              <w:rPr>
                <w:rFonts w:hint="eastAsia" w:ascii="宋体" w:hAnsi="宋体" w:cs="宋体"/>
                <w:szCs w:val="21"/>
              </w:rPr>
              <w:t>5.商务要求偏离表（格式后附）；（</w:t>
            </w:r>
            <w:r>
              <w:rPr>
                <w:rFonts w:hint="eastAsia" w:ascii="宋体" w:hAnsi="宋体" w:cs="宋体"/>
                <w:b/>
                <w:szCs w:val="21"/>
              </w:rPr>
              <w:t>必须提供，否则响应文件按无效响应处理</w:t>
            </w:r>
            <w:r>
              <w:rPr>
                <w:rFonts w:hint="eastAsia" w:ascii="宋体" w:hAnsi="宋体" w:cs="宋体"/>
                <w:szCs w:val="21"/>
              </w:rPr>
              <w:t>）</w:t>
            </w:r>
          </w:p>
          <w:p w14:paraId="43C0ECD7">
            <w:pPr>
              <w:spacing w:line="360" w:lineRule="auto"/>
              <w:rPr>
                <w:rFonts w:ascii="宋体" w:hAnsi="宋体" w:cs="宋体"/>
                <w:szCs w:val="21"/>
              </w:rPr>
            </w:pPr>
            <w:r>
              <w:rPr>
                <w:rFonts w:hint="eastAsia" w:ascii="宋体" w:hAnsi="宋体" w:cs="宋体"/>
                <w:szCs w:val="21"/>
              </w:rPr>
              <w:t>6.技术要求偏离表（格式后附）；（</w:t>
            </w:r>
            <w:r>
              <w:rPr>
                <w:rFonts w:hint="eastAsia" w:ascii="宋体" w:hAnsi="宋体" w:cs="宋体"/>
                <w:b/>
                <w:szCs w:val="21"/>
              </w:rPr>
              <w:t>必须提供，否则响应文件按无效响应处理</w:t>
            </w:r>
            <w:r>
              <w:rPr>
                <w:rFonts w:hint="eastAsia" w:ascii="宋体" w:hAnsi="宋体" w:cs="宋体"/>
                <w:szCs w:val="21"/>
              </w:rPr>
              <w:t>）</w:t>
            </w:r>
          </w:p>
          <w:p w14:paraId="62015B8D">
            <w:pPr>
              <w:spacing w:line="360" w:lineRule="auto"/>
              <w:rPr>
                <w:rFonts w:ascii="宋体" w:hAnsi="宋体" w:cs="宋体"/>
                <w:szCs w:val="21"/>
              </w:rPr>
            </w:pPr>
            <w:r>
              <w:rPr>
                <w:rFonts w:hint="eastAsia" w:ascii="宋体" w:hAnsi="宋体" w:cs="宋体"/>
                <w:szCs w:val="21"/>
              </w:rPr>
              <w:t>7.实施方案及服务承诺（格式自拟）；</w:t>
            </w:r>
          </w:p>
          <w:p w14:paraId="1A68B630">
            <w:pPr>
              <w:spacing w:line="360" w:lineRule="auto"/>
              <w:rPr>
                <w:rFonts w:ascii="宋体" w:hAnsi="宋体" w:cs="宋体"/>
                <w:szCs w:val="21"/>
              </w:rPr>
            </w:pPr>
            <w:r>
              <w:rPr>
                <w:rFonts w:hint="eastAsia" w:ascii="宋体" w:hAnsi="宋体" w:cs="宋体"/>
                <w:szCs w:val="21"/>
              </w:rPr>
              <w:t>8.项目实施人员一览表（格式后附）；</w:t>
            </w:r>
          </w:p>
          <w:p w14:paraId="34FA1F93">
            <w:pPr>
              <w:spacing w:line="360" w:lineRule="auto"/>
              <w:rPr>
                <w:rFonts w:ascii="宋体" w:hAnsi="宋体" w:cs="宋体"/>
                <w:szCs w:val="21"/>
              </w:rPr>
            </w:pPr>
            <w:r>
              <w:rPr>
                <w:rFonts w:hint="eastAsia" w:ascii="宋体" w:hAnsi="宋体" w:cs="宋体"/>
                <w:szCs w:val="21"/>
              </w:rPr>
              <w:t>9.供应商认为需要提供的其他有关资料。</w:t>
            </w:r>
          </w:p>
          <w:p w14:paraId="56036055">
            <w:pPr>
              <w:spacing w:line="360" w:lineRule="auto"/>
              <w:jc w:val="left"/>
              <w:rPr>
                <w:rFonts w:ascii="宋体" w:hAnsi="宋体" w:cs="宋体"/>
                <w:b/>
                <w:szCs w:val="21"/>
              </w:rPr>
            </w:pPr>
            <w:r>
              <w:rPr>
                <w:rFonts w:hint="eastAsia" w:ascii="宋体" w:hAnsi="宋体" w:cs="宋体"/>
                <w:b/>
                <w:szCs w:val="21"/>
              </w:rPr>
              <w:t>注：以上标明“必须提供”的材料属于复印件的，必须加盖供应商</w:t>
            </w:r>
            <w:r>
              <w:rPr>
                <w:rFonts w:hint="eastAsia" w:ascii="宋体" w:hAnsi="宋体"/>
                <w:b/>
                <w:bCs/>
                <w:szCs w:val="21"/>
              </w:rPr>
              <w:t>电子签章</w:t>
            </w:r>
            <w:r>
              <w:rPr>
                <w:rFonts w:hint="eastAsia" w:ascii="宋体" w:hAnsi="宋体" w:cs="宋体"/>
                <w:b/>
                <w:szCs w:val="21"/>
              </w:rPr>
              <w:t>，否则响应文件按无效响应处理。</w:t>
            </w:r>
          </w:p>
        </w:tc>
      </w:tr>
      <w:tr w14:paraId="0D6B15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5BBCC256">
            <w:pPr>
              <w:spacing w:line="360" w:lineRule="auto"/>
              <w:jc w:val="center"/>
              <w:rPr>
                <w:rFonts w:ascii="宋体" w:hAnsi="宋体" w:cs="宋体"/>
                <w:szCs w:val="21"/>
              </w:rPr>
            </w:pPr>
            <w:r>
              <w:rPr>
                <w:rFonts w:hint="eastAsia" w:ascii="宋体" w:hAnsi="宋体" w:cs="宋体"/>
                <w:szCs w:val="21"/>
              </w:rPr>
              <w:t>15.2</w:t>
            </w:r>
          </w:p>
        </w:tc>
        <w:tc>
          <w:tcPr>
            <w:tcW w:w="7912" w:type="dxa"/>
            <w:shd w:val="clear" w:color="auto" w:fill="auto"/>
            <w:noWrap/>
          </w:tcPr>
          <w:p w14:paraId="7CBD7B5B">
            <w:pPr>
              <w:tabs>
                <w:tab w:val="left" w:pos="180"/>
                <w:tab w:val="left" w:pos="1620"/>
              </w:tabs>
              <w:spacing w:line="360" w:lineRule="auto"/>
              <w:rPr>
                <w:rFonts w:ascii="宋体" w:hAnsi="宋体" w:cs="宋体"/>
                <w:szCs w:val="21"/>
                <w:highlight w:val="none"/>
              </w:rPr>
            </w:pPr>
            <w:r>
              <w:rPr>
                <w:rFonts w:hint="eastAsia" w:ascii="宋体" w:hAnsi="宋体" w:cs="宋体"/>
                <w:szCs w:val="21"/>
                <w:highlight w:val="none"/>
              </w:rPr>
              <w:t>竞标报价原料费、运输费、人工费、交货验收费、税费等一切相关费用。</w:t>
            </w:r>
          </w:p>
        </w:tc>
      </w:tr>
      <w:tr w14:paraId="51D509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48B7C3DA">
            <w:pPr>
              <w:spacing w:line="360" w:lineRule="auto"/>
              <w:jc w:val="center"/>
              <w:rPr>
                <w:rFonts w:ascii="宋体" w:hAnsi="宋体" w:cs="宋体"/>
                <w:szCs w:val="21"/>
              </w:rPr>
            </w:pPr>
            <w:r>
              <w:rPr>
                <w:rFonts w:hint="eastAsia" w:ascii="宋体" w:hAnsi="宋体" w:cs="宋体"/>
                <w:szCs w:val="21"/>
              </w:rPr>
              <w:t>16.</w:t>
            </w:r>
            <w:r>
              <w:rPr>
                <w:rFonts w:ascii="宋体" w:hAnsi="宋体" w:cs="宋体"/>
                <w:szCs w:val="21"/>
              </w:rPr>
              <w:t>2</w:t>
            </w:r>
          </w:p>
        </w:tc>
        <w:tc>
          <w:tcPr>
            <w:tcW w:w="7912" w:type="dxa"/>
            <w:noWrap/>
            <w:vAlign w:val="center"/>
          </w:tcPr>
          <w:p w14:paraId="3C5BC57E">
            <w:pPr>
              <w:pStyle w:val="14"/>
              <w:widowControl w:val="0"/>
              <w:tabs>
                <w:tab w:val="clear" w:pos="454"/>
              </w:tabs>
              <w:spacing w:line="360" w:lineRule="auto"/>
              <w:ind w:left="283" w:hanging="283"/>
              <w:rPr>
                <w:rFonts w:ascii="宋体" w:hAnsi="宋体" w:cs="宋体"/>
                <w:sz w:val="21"/>
                <w:szCs w:val="21"/>
              </w:rPr>
            </w:pPr>
            <w:r>
              <w:rPr>
                <w:rFonts w:hint="eastAsia" w:ascii="宋体" w:hAnsi="宋体" w:cs="宋体"/>
                <w:sz w:val="21"/>
                <w:szCs w:val="21"/>
              </w:rPr>
              <w:t>竞标有效期：自首次响应文件提交截止之日起</w:t>
            </w:r>
            <w:r>
              <w:rPr>
                <w:rFonts w:hint="eastAsia" w:ascii="宋体" w:hAnsi="宋体" w:cs="宋体"/>
                <w:sz w:val="21"/>
                <w:szCs w:val="21"/>
                <w:u w:val="single"/>
              </w:rPr>
              <w:t>90</w:t>
            </w:r>
            <w:r>
              <w:rPr>
                <w:rFonts w:hint="eastAsia" w:ascii="宋体" w:hAnsi="宋体" w:cs="宋体"/>
                <w:sz w:val="21"/>
                <w:szCs w:val="21"/>
              </w:rPr>
              <w:t>日。</w:t>
            </w:r>
          </w:p>
        </w:tc>
      </w:tr>
      <w:tr w14:paraId="4ABFA4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7F1C7002">
            <w:pPr>
              <w:spacing w:line="360" w:lineRule="auto"/>
              <w:jc w:val="center"/>
              <w:rPr>
                <w:rFonts w:ascii="宋体" w:hAnsi="宋体" w:cs="宋体"/>
                <w:szCs w:val="21"/>
              </w:rPr>
            </w:pPr>
            <w:r>
              <w:rPr>
                <w:rFonts w:hint="eastAsia" w:ascii="宋体" w:hAnsi="宋体" w:cs="宋体"/>
                <w:szCs w:val="21"/>
              </w:rPr>
              <w:t>17.1</w:t>
            </w:r>
          </w:p>
        </w:tc>
        <w:tc>
          <w:tcPr>
            <w:tcW w:w="7912" w:type="dxa"/>
            <w:noWrap/>
            <w:vAlign w:val="center"/>
          </w:tcPr>
          <w:p w14:paraId="39CA934E">
            <w:pPr>
              <w:spacing w:line="360" w:lineRule="auto"/>
              <w:rPr>
                <w:rFonts w:ascii="宋体" w:hAnsi="宋体"/>
                <w:szCs w:val="21"/>
                <w:highlight w:val="none"/>
              </w:rPr>
            </w:pPr>
            <w:r>
              <w:rPr>
                <w:rFonts w:hint="eastAsia" w:ascii="宋体" w:hAnsi="宋体" w:cs="宋体"/>
                <w:szCs w:val="21"/>
                <w:highlight w:val="none"/>
              </w:rPr>
              <w:t>□</w:t>
            </w:r>
            <w:r>
              <w:rPr>
                <w:rFonts w:hint="eastAsia" w:ascii="宋体" w:hAnsi="宋体"/>
                <w:szCs w:val="21"/>
                <w:highlight w:val="none"/>
              </w:rPr>
              <w:t>本项目不收取磋商保证金。</w:t>
            </w:r>
          </w:p>
          <w:p w14:paraId="2138C1DA">
            <w:pPr>
              <w:spacing w:line="360" w:lineRule="auto"/>
              <w:rPr>
                <w:rFonts w:ascii="宋体" w:hAnsi="宋体"/>
                <w:szCs w:val="21"/>
                <w:highlight w:val="none"/>
              </w:rPr>
            </w:pPr>
            <w:r>
              <w:rPr>
                <w:rFonts w:ascii="宋体" w:hAnsi="宋体"/>
                <w:szCs w:val="21"/>
                <w:highlight w:val="none"/>
              </w:rPr>
              <w:t>☑本项目</w:t>
            </w:r>
            <w:r>
              <w:rPr>
                <w:rFonts w:hint="eastAsia" w:ascii="宋体" w:hAnsi="宋体"/>
                <w:szCs w:val="21"/>
                <w:highlight w:val="none"/>
              </w:rPr>
              <w:t>收取磋商保证金，具体规定如下：</w:t>
            </w:r>
          </w:p>
          <w:p w14:paraId="0EAB1EC3">
            <w:pPr>
              <w:spacing w:line="360" w:lineRule="auto"/>
              <w:rPr>
                <w:rFonts w:ascii="宋体" w:hAnsi="宋体" w:cs="宋体"/>
                <w:szCs w:val="21"/>
                <w:highlight w:val="none"/>
              </w:rPr>
            </w:pPr>
            <w:r>
              <w:rPr>
                <w:rFonts w:hint="eastAsia" w:ascii="宋体" w:hAnsi="宋体" w:cs="宋体"/>
                <w:szCs w:val="21"/>
                <w:highlight w:val="none"/>
              </w:rPr>
              <w:t>磋商保证金人民币</w:t>
            </w:r>
            <w:r>
              <w:rPr>
                <w:rFonts w:hint="eastAsia" w:ascii="宋体" w:hAnsi="宋体" w:cs="宋体"/>
                <w:szCs w:val="21"/>
                <w:highlight w:val="none"/>
                <w:u w:val="single"/>
              </w:rPr>
              <w:t>15000</w:t>
            </w:r>
            <w:r>
              <w:rPr>
                <w:rFonts w:hint="eastAsia" w:ascii="宋体" w:hAnsi="宋体" w:cs="宋体"/>
                <w:szCs w:val="21"/>
                <w:highlight w:val="none"/>
              </w:rPr>
              <w:t>元。</w:t>
            </w:r>
          </w:p>
          <w:p w14:paraId="57BE138B">
            <w:pPr>
              <w:pStyle w:val="24"/>
              <w:spacing w:line="360" w:lineRule="auto"/>
              <w:rPr>
                <w:rFonts w:hAnsi="宋体" w:cs="宋体"/>
                <w:color w:val="000000"/>
                <w:sz w:val="21"/>
                <w:highlight w:val="none"/>
              </w:rPr>
            </w:pPr>
            <w:r>
              <w:rPr>
                <w:rFonts w:hint="eastAsia" w:hAnsi="宋体" w:cs="宋体"/>
                <w:highlight w:val="none"/>
              </w:rPr>
              <w:t>磋商保证金的交纳方式：银行转账、支票、汇票、本票或者银行、保险机构出具的保函</w:t>
            </w:r>
            <w:r>
              <w:rPr>
                <w:rFonts w:hint="eastAsia"/>
                <w:highlight w:val="none"/>
              </w:rPr>
              <w:t>（包含电子保函）</w:t>
            </w:r>
            <w:r>
              <w:rPr>
                <w:rFonts w:hint="eastAsia" w:hAnsi="宋体" w:cs="宋体"/>
                <w:highlight w:val="none"/>
              </w:rPr>
              <w:t>，禁止采用现钞方式。采用银行转账方式的，在响应文件提交截止时间前交至指定账户并且到账（</w:t>
            </w:r>
            <w:r>
              <w:rPr>
                <w:rFonts w:hint="eastAsia" w:hAnsi="宋体" w:cs="宋体"/>
                <w:color w:val="000000"/>
                <w:sz w:val="21"/>
                <w:highlight w:val="none"/>
              </w:rPr>
              <w:t>开户名称： 同致诚工程咨询有限公司梧州分公司</w:t>
            </w:r>
          </w:p>
          <w:p w14:paraId="0FB482A2">
            <w:pPr>
              <w:pStyle w:val="24"/>
              <w:snapToGrid w:val="0"/>
              <w:spacing w:line="360" w:lineRule="auto"/>
              <w:rPr>
                <w:rFonts w:hAnsi="宋体" w:cs="宋体"/>
                <w:highlight w:val="none"/>
              </w:rPr>
            </w:pPr>
            <w:r>
              <w:rPr>
                <w:rFonts w:hint="eastAsia" w:hAnsi="宋体" w:cs="宋体"/>
                <w:color w:val="000000"/>
                <w:sz w:val="21"/>
                <w:highlight w:val="none"/>
              </w:rPr>
              <w:t>开户银行： 中国银行股份有限公司梧州市支行，银行账号：623688539965</w:t>
            </w:r>
            <w:r>
              <w:rPr>
                <w:rFonts w:hint="eastAsia" w:hAnsi="宋体" w:cs="宋体"/>
                <w:highlight w:val="none"/>
              </w:rPr>
              <w:t>）；</w:t>
            </w:r>
          </w:p>
          <w:p w14:paraId="06686CFA">
            <w:pPr>
              <w:spacing w:line="360" w:lineRule="auto"/>
              <w:rPr>
                <w:rFonts w:ascii="宋体" w:hAnsi="宋体" w:cs="宋体"/>
                <w:szCs w:val="21"/>
                <w:highlight w:val="none"/>
              </w:rPr>
            </w:pPr>
            <w:r>
              <w:rPr>
                <w:rFonts w:hint="eastAsia" w:ascii="宋体" w:hAnsi="宋体" w:cs="宋体"/>
                <w:szCs w:val="21"/>
                <w:highlight w:val="none"/>
              </w:rPr>
              <w:t>相关要求：</w:t>
            </w:r>
          </w:p>
          <w:p w14:paraId="3E1E2C5A">
            <w:pPr>
              <w:spacing w:line="360" w:lineRule="auto"/>
              <w:rPr>
                <w:rFonts w:ascii="宋体" w:hAnsi="宋体" w:cs="宋体"/>
                <w:szCs w:val="21"/>
                <w:highlight w:val="none"/>
              </w:rPr>
            </w:pPr>
            <w:r>
              <w:rPr>
                <w:rFonts w:hint="eastAsia" w:ascii="宋体" w:hAnsi="宋体" w:cs="宋体"/>
                <w:szCs w:val="21"/>
                <w:highlight w:val="none"/>
              </w:rPr>
              <w:t>1.磋商保证金采用银行转账交纳方式的，在响应文件提交截止时间前交至指定账户并且到账，供应商应将银行转账底单的复印件作为磋商保证金提交凭证，放置于商务技术文件中，</w:t>
            </w:r>
            <w:r>
              <w:rPr>
                <w:rFonts w:hint="eastAsia" w:ascii="宋体" w:hAnsi="宋体" w:cs="宋体"/>
                <w:b/>
                <w:szCs w:val="21"/>
                <w:highlight w:val="none"/>
              </w:rPr>
              <w:t>否则响应文件按无效响应处理</w:t>
            </w:r>
            <w:r>
              <w:rPr>
                <w:rFonts w:hint="eastAsia" w:ascii="宋体" w:hAnsi="宋体" w:cs="宋体"/>
                <w:szCs w:val="21"/>
                <w:highlight w:val="none"/>
              </w:rPr>
              <w:t>。</w:t>
            </w:r>
          </w:p>
          <w:p w14:paraId="5806A894">
            <w:pPr>
              <w:spacing w:line="360" w:lineRule="auto"/>
              <w:rPr>
                <w:rFonts w:ascii="宋体" w:hAnsi="宋体"/>
                <w:szCs w:val="21"/>
                <w:highlight w:val="none"/>
              </w:rPr>
            </w:pPr>
            <w:r>
              <w:rPr>
                <w:rFonts w:hint="eastAsia" w:ascii="宋体" w:hAnsi="宋体"/>
                <w:szCs w:val="21"/>
                <w:highlight w:val="none"/>
              </w:rPr>
              <w:t>2.磋商保证金采用支票、汇票、本票或者银行、保险机构出具的保函</w:t>
            </w:r>
            <w:r>
              <w:rPr>
                <w:rFonts w:hint="eastAsia"/>
                <w:highlight w:val="none"/>
              </w:rPr>
              <w:t>（包含电子保函）</w:t>
            </w:r>
            <w:r>
              <w:rPr>
                <w:rFonts w:hint="eastAsia" w:ascii="宋体" w:hAnsi="宋体"/>
                <w:szCs w:val="21"/>
                <w:highlight w:val="none"/>
              </w:rPr>
              <w:t>交纳方式的，供应商应将支票、汇票、本票或者银行、保险机构出具的保函</w:t>
            </w:r>
            <w:r>
              <w:rPr>
                <w:rFonts w:hint="eastAsia"/>
                <w:highlight w:val="none"/>
              </w:rPr>
              <w:t>（包含电子保函）</w:t>
            </w:r>
            <w:r>
              <w:rPr>
                <w:rFonts w:hint="eastAsia" w:ascii="宋体" w:hAnsi="宋体"/>
                <w:szCs w:val="21"/>
                <w:highlight w:val="none"/>
              </w:rPr>
              <w:t>的复印件作为磋商保证金提交凭证，放置于</w:t>
            </w:r>
            <w:r>
              <w:rPr>
                <w:rFonts w:hint="eastAsia" w:ascii="宋体" w:hAnsi="宋体" w:cs="宋体"/>
                <w:szCs w:val="21"/>
                <w:highlight w:val="none"/>
              </w:rPr>
              <w:t>商务技术文件</w:t>
            </w:r>
            <w:r>
              <w:rPr>
                <w:rFonts w:hint="eastAsia" w:ascii="宋体" w:hAnsi="宋体"/>
                <w:szCs w:val="21"/>
                <w:highlight w:val="none"/>
              </w:rPr>
              <w:t>中，</w:t>
            </w:r>
            <w:r>
              <w:rPr>
                <w:rFonts w:hint="eastAsia" w:ascii="宋体" w:hAnsi="宋体" w:cs="宋体"/>
                <w:b/>
                <w:szCs w:val="21"/>
                <w:highlight w:val="none"/>
              </w:rPr>
              <w:t>否则响应文件按无效处理</w:t>
            </w:r>
            <w:r>
              <w:rPr>
                <w:rFonts w:hint="eastAsia" w:ascii="宋体" w:hAnsi="宋体"/>
                <w:szCs w:val="21"/>
                <w:highlight w:val="none"/>
              </w:rPr>
              <w:t>。</w:t>
            </w:r>
          </w:p>
          <w:p w14:paraId="7D3F5EF5">
            <w:pPr>
              <w:spacing w:line="360" w:lineRule="auto"/>
              <w:rPr>
                <w:rFonts w:ascii="宋体" w:hAnsi="宋体" w:cs="宋体"/>
                <w:b/>
                <w:szCs w:val="21"/>
                <w:highlight w:val="none"/>
              </w:rPr>
            </w:pPr>
            <w:r>
              <w:rPr>
                <w:rFonts w:hint="eastAsia" w:ascii="宋体" w:hAnsi="宋体" w:cs="宋体"/>
                <w:szCs w:val="21"/>
                <w:highlight w:val="none"/>
              </w:rPr>
              <w:t>3.供应商为联合体的，可以由联合体中的一方或者多方共同交纳磋商保证金，其交纳的保证金对联合体各方均具有约束力。</w:t>
            </w:r>
          </w:p>
          <w:p w14:paraId="104F778D">
            <w:pPr>
              <w:spacing w:line="360" w:lineRule="auto"/>
              <w:rPr>
                <w:rFonts w:ascii="宋体" w:hAnsi="宋体" w:cs="宋体"/>
                <w:b/>
                <w:szCs w:val="21"/>
                <w:highlight w:val="none"/>
              </w:rPr>
            </w:pPr>
            <w:r>
              <w:rPr>
                <w:rFonts w:hint="eastAsia" w:ascii="宋体" w:hAnsi="宋体" w:cs="宋体"/>
                <w:b/>
                <w:szCs w:val="21"/>
                <w:highlight w:val="none"/>
              </w:rPr>
              <w:t xml:space="preserve">备注： </w:t>
            </w:r>
          </w:p>
          <w:p w14:paraId="279799F2">
            <w:pPr>
              <w:spacing w:line="360" w:lineRule="auto"/>
              <w:rPr>
                <w:rFonts w:ascii="宋体" w:hAnsi="宋体" w:cs="宋体"/>
                <w:b/>
                <w:szCs w:val="21"/>
                <w:highlight w:val="none"/>
              </w:rPr>
            </w:pPr>
            <w:r>
              <w:rPr>
                <w:rFonts w:hint="eastAsia" w:ascii="宋体" w:hAnsi="宋体" w:cs="宋体"/>
                <w:b/>
                <w:szCs w:val="21"/>
                <w:highlight w:val="none"/>
              </w:rPr>
              <w:t>1.磋商保证金在响应文件提交截止时间后提交的，或者不按规定交纳方式交纳的，或者未足额交纳的（包含保函额度不足的），视为无效磋商保证金。</w:t>
            </w:r>
          </w:p>
          <w:p w14:paraId="287E6634">
            <w:pPr>
              <w:spacing w:line="360" w:lineRule="auto"/>
              <w:rPr>
                <w:rFonts w:ascii="宋体" w:hAnsi="宋体" w:cs="宋体"/>
                <w:b/>
                <w:szCs w:val="21"/>
                <w:highlight w:val="none"/>
              </w:rPr>
            </w:pPr>
            <w:r>
              <w:rPr>
                <w:rFonts w:hint="eastAsia" w:ascii="宋体" w:hAnsi="宋体" w:cs="宋体"/>
                <w:b/>
                <w:szCs w:val="21"/>
                <w:highlight w:val="none"/>
              </w:rPr>
              <w:t>2.供应商采用现钞方式或者从个人账户（自然人竞标除外）转出的磋商保证金，视为无效磋商保证金。</w:t>
            </w:r>
          </w:p>
          <w:p w14:paraId="41DDC7CE">
            <w:pPr>
              <w:spacing w:line="360" w:lineRule="auto"/>
              <w:rPr>
                <w:rFonts w:ascii="宋体" w:hAnsi="宋体" w:cs="宋体"/>
                <w:b/>
                <w:szCs w:val="21"/>
                <w:highlight w:val="none"/>
              </w:rPr>
            </w:pPr>
            <w:r>
              <w:rPr>
                <w:rFonts w:hint="eastAsia" w:ascii="宋体" w:hAnsi="宋体" w:cs="宋体"/>
                <w:b/>
                <w:szCs w:val="21"/>
                <w:highlight w:val="none"/>
              </w:rPr>
              <w:t>3.支票、汇票或者本票出现无效或者背书情形的，视为无效磋商保证金。</w:t>
            </w:r>
          </w:p>
          <w:p w14:paraId="2EF7FBE6">
            <w:pPr>
              <w:spacing w:line="360" w:lineRule="auto"/>
              <w:rPr>
                <w:rFonts w:ascii="宋体" w:hAnsi="宋体" w:cs="宋体"/>
                <w:b/>
                <w:szCs w:val="21"/>
                <w:highlight w:val="none"/>
              </w:rPr>
            </w:pPr>
            <w:r>
              <w:rPr>
                <w:rFonts w:hint="eastAsia" w:ascii="宋体" w:hAnsi="宋体" w:cs="宋体"/>
                <w:b/>
                <w:szCs w:val="21"/>
                <w:highlight w:val="none"/>
              </w:rPr>
              <w:t>4.保函有效期低于竞标有效期的，视为无效磋商保证金。</w:t>
            </w:r>
          </w:p>
          <w:p w14:paraId="78DC2198">
            <w:pPr>
              <w:spacing w:line="360" w:lineRule="auto"/>
              <w:rPr>
                <w:rFonts w:ascii="宋体" w:hAnsi="宋体" w:cs="宋体"/>
                <w:szCs w:val="21"/>
                <w:highlight w:val="none"/>
              </w:rPr>
            </w:pPr>
            <w:r>
              <w:rPr>
                <w:rFonts w:hint="eastAsia" w:ascii="宋体" w:hAnsi="宋体" w:cs="宋体"/>
                <w:b/>
                <w:szCs w:val="21"/>
                <w:highlight w:val="none"/>
              </w:rPr>
              <w:t>5.采用银行、保险机构出具保函（包含电子保函）的，必须为无条件保函，否则视为无效磋商保证金。</w:t>
            </w:r>
          </w:p>
        </w:tc>
      </w:tr>
      <w:tr w14:paraId="5E8420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687CB4E5">
            <w:pPr>
              <w:spacing w:line="360" w:lineRule="auto"/>
              <w:jc w:val="center"/>
              <w:rPr>
                <w:rFonts w:ascii="宋体" w:hAnsi="宋体" w:cs="宋体"/>
                <w:szCs w:val="21"/>
              </w:rPr>
            </w:pPr>
            <w:r>
              <w:rPr>
                <w:rFonts w:ascii="宋体" w:hAnsi="宋体" w:cs="宋体"/>
                <w:szCs w:val="21"/>
              </w:rPr>
              <w:t>19</w:t>
            </w:r>
          </w:p>
        </w:tc>
        <w:tc>
          <w:tcPr>
            <w:tcW w:w="7912" w:type="dxa"/>
            <w:noWrap/>
            <w:vAlign w:val="center"/>
          </w:tcPr>
          <w:p w14:paraId="12A3D119">
            <w:pPr>
              <w:spacing w:line="360" w:lineRule="auto"/>
              <w:rPr>
                <w:rFonts w:ascii="宋体" w:hAnsi="宋体" w:cs="宋体"/>
                <w:szCs w:val="21"/>
              </w:rPr>
            </w:pPr>
            <w:r>
              <w:rPr>
                <w:rFonts w:hint="eastAsia" w:ascii="宋体" w:hAnsi="宋体"/>
                <w:szCs w:val="21"/>
              </w:rPr>
              <w:t>☑本项目不接受</w:t>
            </w:r>
            <w:r>
              <w:rPr>
                <w:rFonts w:hint="eastAsia"/>
              </w:rPr>
              <w:t>电子</w:t>
            </w:r>
            <w:r>
              <w:rPr>
                <w:rFonts w:hint="eastAsia" w:ascii="宋体" w:hAnsi="宋体"/>
                <w:szCs w:val="21"/>
              </w:rPr>
              <w:t>备份响应文件；</w:t>
            </w:r>
          </w:p>
        </w:tc>
      </w:tr>
      <w:tr w14:paraId="12482F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711E7156">
            <w:pPr>
              <w:spacing w:line="360" w:lineRule="auto"/>
              <w:jc w:val="center"/>
              <w:rPr>
                <w:rFonts w:ascii="宋体" w:hAnsi="宋体" w:cs="宋体"/>
                <w:szCs w:val="21"/>
              </w:rPr>
            </w:pPr>
            <w:r>
              <w:rPr>
                <w:rFonts w:hint="eastAsia" w:ascii="宋体" w:hAnsi="宋体" w:cs="宋体"/>
                <w:szCs w:val="21"/>
              </w:rPr>
              <w:t>20.1</w:t>
            </w:r>
          </w:p>
        </w:tc>
        <w:tc>
          <w:tcPr>
            <w:tcW w:w="7912" w:type="dxa"/>
            <w:noWrap/>
            <w:vAlign w:val="center"/>
          </w:tcPr>
          <w:p w14:paraId="32C69302">
            <w:pPr>
              <w:spacing w:line="360" w:lineRule="auto"/>
              <w:contextualSpacing/>
              <w:jc w:val="left"/>
              <w:rPr>
                <w:rFonts w:ascii="宋体" w:hAnsi="宋体" w:cs="宋体"/>
                <w:szCs w:val="21"/>
                <w:u w:val="single"/>
              </w:rPr>
            </w:pPr>
            <w:r>
              <w:rPr>
                <w:rFonts w:hint="eastAsia" w:ascii="宋体" w:hAnsi="宋体" w:cs="宋体"/>
                <w:szCs w:val="21"/>
              </w:rPr>
              <w:t>响应文件提交截止时间：详见竞争性磋商公告。</w:t>
            </w:r>
          </w:p>
          <w:p w14:paraId="10FF16E1">
            <w:pPr>
              <w:spacing w:line="360" w:lineRule="auto"/>
              <w:contextualSpacing/>
              <w:jc w:val="left"/>
              <w:rPr>
                <w:rFonts w:ascii="宋体" w:hAnsi="宋体" w:cs="宋体"/>
                <w:szCs w:val="21"/>
              </w:rPr>
            </w:pPr>
            <w:r>
              <w:rPr>
                <w:rFonts w:hint="eastAsia" w:ascii="宋体" w:hAnsi="宋体" w:cs="宋体"/>
                <w:szCs w:val="21"/>
              </w:rPr>
              <w:t>响应文件提交地点：详见竞争性磋商公告。</w:t>
            </w:r>
          </w:p>
        </w:tc>
      </w:tr>
      <w:tr w14:paraId="127BF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3B0A466D">
            <w:pPr>
              <w:spacing w:line="360" w:lineRule="auto"/>
              <w:jc w:val="center"/>
              <w:rPr>
                <w:rFonts w:ascii="宋体" w:hAnsi="宋体" w:cs="宋体"/>
                <w:szCs w:val="21"/>
              </w:rPr>
            </w:pPr>
            <w:r>
              <w:rPr>
                <w:rFonts w:hint="eastAsia" w:ascii="宋体" w:hAnsi="宋体" w:cs="宋体"/>
                <w:szCs w:val="21"/>
              </w:rPr>
              <w:t>24.1</w:t>
            </w:r>
          </w:p>
        </w:tc>
        <w:tc>
          <w:tcPr>
            <w:tcW w:w="7912" w:type="dxa"/>
            <w:noWrap/>
            <w:vAlign w:val="center"/>
          </w:tcPr>
          <w:p w14:paraId="608CD77F">
            <w:pPr>
              <w:spacing w:line="360" w:lineRule="auto"/>
              <w:jc w:val="left"/>
              <w:rPr>
                <w:rFonts w:ascii="宋体" w:hAnsi="宋体" w:cs="宋体"/>
                <w:szCs w:val="21"/>
                <w:u w:val="single"/>
              </w:rPr>
            </w:pPr>
            <w:r>
              <w:rPr>
                <w:rFonts w:hint="eastAsia" w:ascii="宋体" w:hAnsi="宋体" w:cs="宋体"/>
                <w:szCs w:val="21"/>
              </w:rPr>
              <w:t>磋商小组的人数：</w:t>
            </w:r>
            <w:r>
              <w:rPr>
                <w:rFonts w:hint="eastAsia" w:ascii="宋体" w:hAnsi="宋体" w:cs="宋体"/>
                <w:szCs w:val="21"/>
                <w:u w:val="single"/>
              </w:rPr>
              <w:t>3</w:t>
            </w:r>
            <w:r>
              <w:rPr>
                <w:rFonts w:hint="eastAsia" w:ascii="宋体" w:hAnsi="宋体" w:cs="宋体"/>
                <w:szCs w:val="21"/>
              </w:rPr>
              <w:t>人。</w:t>
            </w:r>
          </w:p>
        </w:tc>
      </w:tr>
      <w:tr w14:paraId="54682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68CBA26E">
            <w:pPr>
              <w:spacing w:line="360" w:lineRule="auto"/>
              <w:jc w:val="center"/>
              <w:rPr>
                <w:rFonts w:ascii="宋体" w:hAnsi="宋体" w:cs="宋体"/>
                <w:szCs w:val="21"/>
              </w:rPr>
            </w:pPr>
            <w:r>
              <w:rPr>
                <w:rFonts w:hint="eastAsia" w:ascii="宋体" w:hAnsi="宋体" w:cs="宋体"/>
                <w:szCs w:val="21"/>
              </w:rPr>
              <w:t>2</w:t>
            </w:r>
            <w:r>
              <w:rPr>
                <w:rFonts w:ascii="宋体" w:hAnsi="宋体" w:cs="宋体"/>
                <w:szCs w:val="21"/>
              </w:rPr>
              <w:t>5</w:t>
            </w:r>
          </w:p>
        </w:tc>
        <w:tc>
          <w:tcPr>
            <w:tcW w:w="7912" w:type="dxa"/>
            <w:noWrap/>
            <w:vAlign w:val="center"/>
          </w:tcPr>
          <w:p w14:paraId="410809A4">
            <w:pPr>
              <w:spacing w:line="360" w:lineRule="auto"/>
              <w:jc w:val="left"/>
              <w:rPr>
                <w:rFonts w:ascii="宋体" w:hAnsi="宋体" w:cs="宋体"/>
                <w:szCs w:val="21"/>
              </w:rPr>
            </w:pPr>
            <w:r>
              <w:rPr>
                <w:rFonts w:hint="eastAsia" w:ascii="宋体" w:hAnsi="宋体" w:cs="宋体"/>
                <w:szCs w:val="21"/>
              </w:rPr>
              <w:t>首次响应文件开启时间详见竞争性磋商公告</w:t>
            </w:r>
          </w:p>
          <w:p w14:paraId="67C44A1C">
            <w:pPr>
              <w:spacing w:line="360" w:lineRule="auto"/>
              <w:jc w:val="left"/>
              <w:rPr>
                <w:rFonts w:ascii="宋体" w:hAnsi="宋体" w:cs="宋体"/>
                <w:szCs w:val="21"/>
              </w:rPr>
            </w:pPr>
            <w:r>
              <w:rPr>
                <w:rFonts w:hint="eastAsia" w:ascii="宋体" w:hAnsi="宋体" w:cs="宋体"/>
                <w:szCs w:val="21"/>
              </w:rPr>
              <w:t>首次响应文件解密时间：</w:t>
            </w:r>
            <w:r>
              <w:rPr>
                <w:rFonts w:hint="eastAsia" w:hAnsi="宋体"/>
                <w:u w:val="single"/>
              </w:rPr>
              <w:t>30</w:t>
            </w:r>
            <w:r>
              <w:rPr>
                <w:rFonts w:hint="eastAsia" w:hAnsi="宋体"/>
              </w:rPr>
              <w:t>分钟</w:t>
            </w:r>
          </w:p>
        </w:tc>
      </w:tr>
      <w:tr w14:paraId="12E2E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noWrap/>
            <w:vAlign w:val="center"/>
          </w:tcPr>
          <w:p w14:paraId="44B21701">
            <w:pPr>
              <w:spacing w:line="360" w:lineRule="auto"/>
              <w:jc w:val="center"/>
              <w:rPr>
                <w:rFonts w:ascii="宋体" w:hAnsi="宋体" w:cs="宋体"/>
                <w:szCs w:val="21"/>
              </w:rPr>
            </w:pPr>
            <w:r>
              <w:rPr>
                <w:rFonts w:hint="eastAsia" w:ascii="宋体" w:hAnsi="宋体" w:cs="宋体"/>
                <w:szCs w:val="21"/>
              </w:rPr>
              <w:t>2</w:t>
            </w:r>
            <w:r>
              <w:rPr>
                <w:rFonts w:ascii="宋体" w:hAnsi="宋体" w:cs="宋体"/>
                <w:szCs w:val="21"/>
              </w:rPr>
              <w:t>6.3</w:t>
            </w:r>
          </w:p>
        </w:tc>
        <w:tc>
          <w:tcPr>
            <w:tcW w:w="7912" w:type="dxa"/>
            <w:noWrap/>
            <w:vAlign w:val="center"/>
          </w:tcPr>
          <w:p w14:paraId="2B650D68">
            <w:pPr>
              <w:spacing w:line="360" w:lineRule="auto"/>
              <w:rPr>
                <w:rFonts w:ascii="宋体" w:hAnsi="宋体" w:cs="宋体"/>
                <w:szCs w:val="21"/>
              </w:rPr>
            </w:pPr>
            <w:r>
              <w:rPr>
                <w:rFonts w:hint="eastAsia" w:ascii="宋体" w:hAnsi="宋体" w:cs="宋体"/>
                <w:szCs w:val="21"/>
              </w:rPr>
              <w:t>商务要求评审中允许负偏离的条款数为</w:t>
            </w:r>
            <w:r>
              <w:rPr>
                <w:rFonts w:hint="eastAsia" w:ascii="宋体" w:hAnsi="宋体" w:cs="宋体"/>
                <w:szCs w:val="21"/>
                <w:u w:val="single"/>
              </w:rPr>
              <w:t>0</w:t>
            </w:r>
            <w:r>
              <w:rPr>
                <w:rFonts w:hint="eastAsia" w:ascii="宋体" w:hAnsi="宋体" w:cs="宋体"/>
                <w:szCs w:val="21"/>
              </w:rPr>
              <w:t>项。</w:t>
            </w:r>
          </w:p>
          <w:p w14:paraId="5FEEB7CB">
            <w:pPr>
              <w:spacing w:line="360" w:lineRule="auto"/>
              <w:rPr>
                <w:rFonts w:ascii="宋体" w:hAnsi="宋体" w:cs="宋体"/>
                <w:szCs w:val="21"/>
              </w:rPr>
            </w:pPr>
            <w:r>
              <w:rPr>
                <w:rFonts w:hint="eastAsia" w:ascii="宋体" w:hAnsi="宋体" w:cs="宋体"/>
                <w:szCs w:val="21"/>
              </w:rPr>
              <w:t>技术要求评审中允许负偏离的条款数为</w:t>
            </w:r>
            <w:r>
              <w:rPr>
                <w:rFonts w:hint="eastAsia" w:ascii="宋体" w:hAnsi="宋体" w:cs="宋体"/>
                <w:szCs w:val="21"/>
                <w:u w:val="single"/>
              </w:rPr>
              <w:t>0</w:t>
            </w:r>
            <w:r>
              <w:rPr>
                <w:rFonts w:hint="eastAsia" w:ascii="宋体" w:hAnsi="宋体" w:cs="宋体"/>
                <w:szCs w:val="21"/>
              </w:rPr>
              <w:t>项。</w:t>
            </w:r>
          </w:p>
        </w:tc>
      </w:tr>
      <w:tr w14:paraId="1C9E5F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45498DF2">
            <w:pPr>
              <w:spacing w:line="360" w:lineRule="auto"/>
              <w:jc w:val="center"/>
              <w:rPr>
                <w:rFonts w:ascii="宋体" w:hAnsi="宋体" w:cs="宋体"/>
                <w:szCs w:val="21"/>
              </w:rPr>
            </w:pPr>
            <w:r>
              <w:rPr>
                <w:rFonts w:ascii="宋体" w:hAnsi="宋体" w:cs="宋体"/>
                <w:szCs w:val="21"/>
              </w:rPr>
              <w:t>28.1</w:t>
            </w:r>
          </w:p>
        </w:tc>
        <w:tc>
          <w:tcPr>
            <w:tcW w:w="7912" w:type="dxa"/>
            <w:noWrap/>
            <w:vAlign w:val="center"/>
          </w:tcPr>
          <w:p w14:paraId="3DD80184">
            <w:pPr>
              <w:spacing w:line="360" w:lineRule="auto"/>
              <w:rPr>
                <w:rFonts w:ascii="宋体" w:hAnsi="宋体"/>
                <w:szCs w:val="21"/>
              </w:rPr>
            </w:pPr>
            <w:r>
              <w:rPr>
                <w:rFonts w:hint="eastAsia" w:ascii="宋体" w:hAnsi="宋体"/>
                <w:szCs w:val="21"/>
              </w:rPr>
              <w:t>□本项目收取履约保证金</w:t>
            </w:r>
          </w:p>
          <w:p w14:paraId="0CBC2353">
            <w:pPr>
              <w:spacing w:line="360" w:lineRule="auto"/>
              <w:rPr>
                <w:rFonts w:ascii="宋体" w:hAnsi="宋体"/>
                <w:szCs w:val="21"/>
              </w:rPr>
            </w:pPr>
            <w:r>
              <w:rPr>
                <w:rFonts w:hint="eastAsia" w:ascii="宋体" w:hAnsi="宋体"/>
                <w:szCs w:val="21"/>
              </w:rPr>
              <w:t>☑本项目不收取履约保证金。</w:t>
            </w:r>
          </w:p>
        </w:tc>
      </w:tr>
      <w:tr w14:paraId="1EB3F1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0F7EDF83">
            <w:pPr>
              <w:spacing w:line="360" w:lineRule="auto"/>
              <w:jc w:val="center"/>
              <w:rPr>
                <w:rFonts w:ascii="宋体" w:hAnsi="宋体" w:cs="宋体"/>
                <w:szCs w:val="21"/>
              </w:rPr>
            </w:pPr>
            <w:r>
              <w:rPr>
                <w:rFonts w:ascii="宋体" w:hAnsi="宋体" w:cs="宋体"/>
                <w:szCs w:val="21"/>
              </w:rPr>
              <w:t>29.1</w:t>
            </w:r>
          </w:p>
        </w:tc>
        <w:tc>
          <w:tcPr>
            <w:tcW w:w="7912" w:type="dxa"/>
            <w:noWrap/>
            <w:vAlign w:val="center"/>
          </w:tcPr>
          <w:p w14:paraId="28326D7B">
            <w:pPr>
              <w:spacing w:line="360" w:lineRule="auto"/>
              <w:rPr>
                <w:rFonts w:ascii="宋体" w:hAnsi="宋体"/>
                <w:szCs w:val="21"/>
              </w:rPr>
            </w:pPr>
            <w:r>
              <w:rPr>
                <w:rFonts w:hint="eastAsia" w:ascii="宋体" w:hAnsi="宋体"/>
                <w:szCs w:val="21"/>
              </w:rPr>
              <w:t xml:space="preserve">签订合同携带的证明材料： </w:t>
            </w:r>
          </w:p>
          <w:p w14:paraId="534D5EA6">
            <w:pPr>
              <w:spacing w:line="360" w:lineRule="auto"/>
              <w:rPr>
                <w:rFonts w:ascii="宋体" w:hAnsi="宋体" w:cs="宋体"/>
                <w:szCs w:val="21"/>
              </w:rPr>
            </w:pPr>
            <w:r>
              <w:rPr>
                <w:rFonts w:hint="eastAsia" w:ascii="宋体" w:hAnsi="宋体"/>
                <w:color w:val="000000"/>
                <w:szCs w:val="21"/>
              </w:rPr>
              <w:t>使用的有效CA证书加盖单位电子公章</w:t>
            </w:r>
          </w:p>
        </w:tc>
      </w:tr>
      <w:tr w14:paraId="403E73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6D4A5BC9">
            <w:pPr>
              <w:spacing w:line="360" w:lineRule="auto"/>
              <w:jc w:val="center"/>
              <w:rPr>
                <w:rFonts w:ascii="宋体" w:hAnsi="宋体" w:cs="宋体"/>
                <w:szCs w:val="21"/>
              </w:rPr>
            </w:pPr>
            <w:r>
              <w:rPr>
                <w:rFonts w:hint="eastAsia" w:ascii="宋体" w:hAnsi="宋体" w:cs="宋体"/>
                <w:szCs w:val="21"/>
              </w:rPr>
              <w:t>3</w:t>
            </w:r>
            <w:r>
              <w:rPr>
                <w:rFonts w:ascii="宋体" w:hAnsi="宋体" w:cs="宋体"/>
                <w:szCs w:val="21"/>
              </w:rPr>
              <w:t>1.2</w:t>
            </w:r>
          </w:p>
        </w:tc>
        <w:tc>
          <w:tcPr>
            <w:tcW w:w="7912" w:type="dxa"/>
            <w:noWrap/>
            <w:vAlign w:val="center"/>
          </w:tcPr>
          <w:p w14:paraId="7125FFC7">
            <w:pPr>
              <w:spacing w:line="360" w:lineRule="auto"/>
              <w:rPr>
                <w:rFonts w:ascii="宋体" w:hAnsi="宋体" w:cs="宋体"/>
                <w:szCs w:val="21"/>
              </w:rPr>
            </w:pPr>
            <w:r>
              <w:rPr>
                <w:rFonts w:hint="eastAsia" w:ascii="宋体" w:hAnsi="宋体" w:cs="宋体"/>
                <w:szCs w:val="21"/>
              </w:rPr>
              <w:t>接收质疑函方式：以书面形式。</w:t>
            </w:r>
          </w:p>
          <w:p w14:paraId="51BA2938">
            <w:pPr>
              <w:pStyle w:val="24"/>
              <w:snapToGrid w:val="0"/>
              <w:spacing w:line="360" w:lineRule="auto"/>
              <w:rPr>
                <w:rFonts w:hAnsi="宋体" w:cs="宋体"/>
                <w:sz w:val="21"/>
              </w:rPr>
            </w:pPr>
            <w:r>
              <w:rPr>
                <w:rFonts w:hint="eastAsia" w:hAnsi="宋体" w:cs="宋体"/>
                <w:sz w:val="21"/>
              </w:rPr>
              <w:t>质疑联系部门及联系方式：</w:t>
            </w:r>
            <w:r>
              <w:rPr>
                <w:rFonts w:hint="eastAsia" w:hAnsi="宋体" w:cs="宋体"/>
                <w:kern w:val="2"/>
                <w:sz w:val="21"/>
                <w:u w:val="single"/>
              </w:rPr>
              <w:t>同致诚工程咨询有限责任公司</w:t>
            </w:r>
            <w:r>
              <w:rPr>
                <w:rFonts w:hint="eastAsia" w:hAnsi="宋体" w:cs="宋体"/>
                <w:kern w:val="2"/>
                <w:sz w:val="21"/>
              </w:rPr>
              <w:t>，联系电话：</w:t>
            </w:r>
            <w:r>
              <w:rPr>
                <w:rFonts w:hint="eastAsia" w:hAnsi="宋体" w:cs="宋体"/>
                <w:color w:val="000000"/>
                <w:u w:val="single"/>
              </w:rPr>
              <w:t xml:space="preserve">0774-3932979 </w:t>
            </w:r>
            <w:r>
              <w:rPr>
                <w:rFonts w:hint="eastAsia" w:hAnsi="宋体" w:cs="宋体"/>
                <w:kern w:val="2"/>
                <w:sz w:val="21"/>
              </w:rPr>
              <w:t>，通讯地址：</w:t>
            </w:r>
            <w:r>
              <w:rPr>
                <w:rFonts w:hint="eastAsia" w:hAnsi="宋体" w:cs="宋体"/>
                <w:color w:val="000000"/>
                <w:u w:val="single"/>
              </w:rPr>
              <w:t>梧州市长洲区新兴二路3号（恒祥豪苑小区）B2栋2205号房。</w:t>
            </w:r>
          </w:p>
          <w:p w14:paraId="2DDF0F9E">
            <w:pPr>
              <w:pStyle w:val="24"/>
              <w:spacing w:line="360" w:lineRule="auto"/>
              <w:rPr>
                <w:rFonts w:hAnsi="宋体"/>
              </w:rPr>
            </w:pPr>
            <w:r>
              <w:rPr>
                <w:rFonts w:hint="eastAsia" w:hAnsi="宋体" w:cs="宋体"/>
                <w:sz w:val="21"/>
              </w:rPr>
              <w:t>业务时间：工作日每天上午</w:t>
            </w:r>
            <w:r>
              <w:rPr>
                <w:rFonts w:hAnsi="宋体" w:cs="宋体"/>
                <w:sz w:val="21"/>
              </w:rPr>
              <w:t>8</w:t>
            </w:r>
            <w:r>
              <w:rPr>
                <w:rFonts w:hint="eastAsia" w:hAnsi="宋体" w:cs="宋体"/>
                <w:sz w:val="21"/>
              </w:rPr>
              <w:t>时</w:t>
            </w:r>
            <w:r>
              <w:rPr>
                <w:rFonts w:hAnsi="宋体" w:cs="宋体"/>
                <w:sz w:val="21"/>
              </w:rPr>
              <w:t>00</w:t>
            </w:r>
            <w:r>
              <w:rPr>
                <w:rFonts w:hint="eastAsia" w:hAnsi="宋体" w:cs="宋体"/>
                <w:sz w:val="21"/>
              </w:rPr>
              <w:t>分到</w:t>
            </w:r>
            <w:r>
              <w:rPr>
                <w:rFonts w:hAnsi="宋体" w:cs="宋体"/>
                <w:sz w:val="21"/>
              </w:rPr>
              <w:t>12</w:t>
            </w:r>
            <w:r>
              <w:rPr>
                <w:rFonts w:hint="eastAsia" w:hAnsi="宋体" w:cs="宋体"/>
                <w:sz w:val="21"/>
              </w:rPr>
              <w:t>时</w:t>
            </w:r>
            <w:r>
              <w:rPr>
                <w:rFonts w:hAnsi="宋体" w:cs="宋体"/>
                <w:sz w:val="21"/>
              </w:rPr>
              <w:t>00</w:t>
            </w:r>
            <w:r>
              <w:rPr>
                <w:rFonts w:hint="eastAsia" w:hAnsi="宋体" w:cs="宋体"/>
                <w:sz w:val="21"/>
              </w:rPr>
              <w:t>分，下午</w:t>
            </w:r>
            <w:r>
              <w:rPr>
                <w:rFonts w:hAnsi="宋体" w:cs="宋体"/>
                <w:sz w:val="21"/>
              </w:rPr>
              <w:t>3</w:t>
            </w:r>
            <w:r>
              <w:rPr>
                <w:rFonts w:hint="eastAsia" w:hAnsi="宋体" w:cs="宋体"/>
                <w:sz w:val="21"/>
              </w:rPr>
              <w:t>时</w:t>
            </w:r>
            <w:r>
              <w:rPr>
                <w:rFonts w:hAnsi="宋体" w:cs="宋体"/>
                <w:sz w:val="21"/>
              </w:rPr>
              <w:t>00</w:t>
            </w:r>
            <w:r>
              <w:rPr>
                <w:rFonts w:hint="eastAsia" w:hAnsi="宋体" w:cs="宋体"/>
                <w:sz w:val="21"/>
              </w:rPr>
              <w:t>分到</w:t>
            </w:r>
            <w:r>
              <w:rPr>
                <w:rFonts w:hAnsi="宋体" w:cs="宋体"/>
                <w:sz w:val="21"/>
              </w:rPr>
              <w:t>6</w:t>
            </w:r>
            <w:r>
              <w:rPr>
                <w:rFonts w:hint="eastAsia" w:hAnsi="宋体" w:cs="宋体"/>
                <w:sz w:val="21"/>
              </w:rPr>
              <w:t>时</w:t>
            </w:r>
            <w:r>
              <w:rPr>
                <w:rFonts w:hAnsi="宋体" w:cs="宋体"/>
                <w:sz w:val="21"/>
              </w:rPr>
              <w:t>00</w:t>
            </w:r>
            <w:r>
              <w:rPr>
                <w:rFonts w:hint="eastAsia" w:hAnsi="宋体" w:cs="宋体"/>
                <w:sz w:val="21"/>
              </w:rPr>
              <w:t>分。</w:t>
            </w:r>
          </w:p>
        </w:tc>
      </w:tr>
      <w:tr w14:paraId="09FB42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6ADB7FAF">
            <w:pPr>
              <w:spacing w:line="360" w:lineRule="auto"/>
              <w:jc w:val="center"/>
              <w:rPr>
                <w:rFonts w:ascii="宋体" w:hAnsi="宋体" w:cs="宋体"/>
                <w:szCs w:val="21"/>
              </w:rPr>
            </w:pPr>
            <w:r>
              <w:rPr>
                <w:rFonts w:ascii="宋体" w:hAnsi="宋体" w:cs="宋体"/>
                <w:szCs w:val="21"/>
              </w:rPr>
              <w:t>32.1</w:t>
            </w:r>
          </w:p>
        </w:tc>
        <w:tc>
          <w:tcPr>
            <w:tcW w:w="7912" w:type="dxa"/>
            <w:noWrap/>
            <w:vAlign w:val="center"/>
          </w:tcPr>
          <w:p w14:paraId="4355E08C">
            <w:pPr>
              <w:pStyle w:val="24"/>
              <w:snapToGrid w:val="0"/>
              <w:spacing w:line="360" w:lineRule="auto"/>
              <w:rPr>
                <w:rFonts w:hAnsi="宋体" w:cs="宋体"/>
                <w:color w:val="000000"/>
                <w:sz w:val="21"/>
              </w:rPr>
            </w:pPr>
            <w:r>
              <w:rPr>
                <w:rFonts w:hint="eastAsia" w:hAnsi="宋体" w:cs="宋体"/>
                <w:sz w:val="21"/>
              </w:rPr>
              <w:t>1</w:t>
            </w:r>
            <w:r>
              <w:rPr>
                <w:rFonts w:hint="eastAsia" w:hAnsi="宋体" w:cs="宋体"/>
                <w:color w:val="000000"/>
                <w:sz w:val="21"/>
              </w:rPr>
              <w:t>本项目代理服务费由</w:t>
            </w:r>
            <w:r>
              <w:rPr>
                <w:rFonts w:hint="eastAsia" w:hAnsi="宋体" w:cs="宋体"/>
                <w:color w:val="000000"/>
                <w:sz w:val="21"/>
                <w:u w:val="single"/>
              </w:rPr>
              <w:t>成交供应商</w:t>
            </w:r>
            <w:r>
              <w:rPr>
                <w:rFonts w:hint="eastAsia" w:hAnsi="宋体" w:cs="宋体"/>
                <w:color w:val="000000"/>
                <w:sz w:val="21"/>
              </w:rPr>
              <w:t>领取成交通知书前，一次性向采购代理机构支付。</w:t>
            </w:r>
          </w:p>
          <w:p w14:paraId="6DDC2497">
            <w:pPr>
              <w:pStyle w:val="24"/>
              <w:snapToGrid w:val="0"/>
              <w:spacing w:line="360" w:lineRule="auto"/>
              <w:rPr>
                <w:rFonts w:hAnsi="宋体" w:cs="宋体"/>
                <w:color w:val="000000"/>
                <w:sz w:val="21"/>
              </w:rPr>
            </w:pPr>
            <w:r>
              <w:rPr>
                <w:rFonts w:hint="eastAsia" w:hAnsi="宋体" w:cs="宋体"/>
                <w:color w:val="000000"/>
                <w:sz w:val="21"/>
              </w:rPr>
              <w:t>2.采购代理费收取标准：</w:t>
            </w:r>
          </w:p>
          <w:p w14:paraId="4B2A5C95">
            <w:pPr>
              <w:pStyle w:val="24"/>
              <w:snapToGrid w:val="0"/>
              <w:spacing w:line="360" w:lineRule="auto"/>
              <w:rPr>
                <w:rFonts w:hAnsi="宋体" w:cs="宋体"/>
                <w:color w:val="000000"/>
                <w:sz w:val="21"/>
              </w:rPr>
            </w:pPr>
            <w:bookmarkStart w:id="35" w:name="PO_3000001868_PM025"/>
            <w:r>
              <w:rPr>
                <w:rFonts w:hint="eastAsia" w:hAnsi="宋体" w:cs="宋体"/>
                <w:color w:val="000000"/>
                <w:sz w:val="21"/>
              </w:rPr>
              <w:t xml:space="preserve"> </w:t>
            </w:r>
            <w:bookmarkEnd w:id="35"/>
            <w:r>
              <w:rPr>
                <w:rFonts w:hint="eastAsia" w:hAnsi="宋体" w:cs="宋体"/>
                <w:color w:val="000000"/>
                <w:sz w:val="21"/>
              </w:rPr>
              <w:t xml:space="preserve"> 按计价格[2002]1980号《招标代理服务收费管理暂行办法》服务类收费标准计取。</w:t>
            </w:r>
          </w:p>
          <w:p w14:paraId="721490A0">
            <w:pPr>
              <w:pStyle w:val="24"/>
              <w:snapToGrid w:val="0"/>
              <w:spacing w:line="360" w:lineRule="auto"/>
              <w:rPr>
                <w:rFonts w:hAnsi="宋体" w:cs="宋体"/>
                <w:color w:val="000000"/>
                <w:sz w:val="21"/>
              </w:rPr>
            </w:pPr>
            <w:r>
              <w:rPr>
                <w:rFonts w:hint="eastAsia" w:hAnsi="宋体" w:cs="宋体"/>
                <w:color w:val="000000"/>
                <w:sz w:val="21"/>
              </w:rPr>
              <w:t>3. 采购代理费收取银行账户</w:t>
            </w:r>
          </w:p>
          <w:p w14:paraId="4453E277">
            <w:pPr>
              <w:pStyle w:val="24"/>
              <w:spacing w:line="360" w:lineRule="exact"/>
              <w:rPr>
                <w:rFonts w:hAnsi="宋体" w:cs="宋体"/>
                <w:color w:val="000000"/>
                <w:sz w:val="21"/>
              </w:rPr>
            </w:pPr>
            <w:r>
              <w:rPr>
                <w:rFonts w:hint="eastAsia" w:hAnsi="宋体" w:cs="宋体"/>
                <w:color w:val="000000"/>
                <w:sz w:val="21"/>
              </w:rPr>
              <w:t>开户名称： 同致诚工程咨询有限公司梧州分公司</w:t>
            </w:r>
          </w:p>
          <w:p w14:paraId="57393DE6">
            <w:pPr>
              <w:pStyle w:val="24"/>
              <w:snapToGrid w:val="0"/>
              <w:spacing w:line="360" w:lineRule="auto"/>
              <w:rPr>
                <w:rFonts w:hAnsi="宋体" w:cs="宋体"/>
                <w:color w:val="000000"/>
                <w:sz w:val="21"/>
              </w:rPr>
            </w:pPr>
            <w:r>
              <w:rPr>
                <w:rFonts w:hint="eastAsia" w:hAnsi="宋体" w:cs="宋体"/>
                <w:color w:val="000000"/>
                <w:sz w:val="21"/>
              </w:rPr>
              <w:t>开户银行： 中国银行股份有限公司梧州市支行</w:t>
            </w:r>
          </w:p>
          <w:p w14:paraId="13AF9CD9">
            <w:pPr>
              <w:pStyle w:val="24"/>
              <w:spacing w:line="360" w:lineRule="auto"/>
              <w:rPr>
                <w:rFonts w:hAnsi="宋体" w:cs="宋体"/>
                <w:sz w:val="21"/>
              </w:rPr>
            </w:pPr>
            <w:r>
              <w:rPr>
                <w:rFonts w:hint="eastAsia" w:hAnsi="宋体" w:cs="宋体"/>
                <w:color w:val="000000"/>
                <w:sz w:val="21"/>
              </w:rPr>
              <w:t>银行账号：623688539965</w:t>
            </w:r>
          </w:p>
        </w:tc>
      </w:tr>
      <w:tr w14:paraId="395CE6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26C3EBFA">
            <w:pPr>
              <w:spacing w:line="360" w:lineRule="auto"/>
              <w:jc w:val="center"/>
              <w:rPr>
                <w:rFonts w:ascii="宋体" w:hAnsi="宋体" w:cs="宋体"/>
                <w:szCs w:val="21"/>
              </w:rPr>
            </w:pPr>
            <w:r>
              <w:rPr>
                <w:rFonts w:hint="eastAsia" w:ascii="宋体" w:hAnsi="宋体" w:cs="宋体"/>
                <w:szCs w:val="21"/>
              </w:rPr>
              <w:t>3</w:t>
            </w:r>
            <w:r>
              <w:rPr>
                <w:rFonts w:ascii="宋体" w:hAnsi="宋体" w:cs="宋体"/>
                <w:szCs w:val="21"/>
              </w:rPr>
              <w:t>3.1</w:t>
            </w:r>
          </w:p>
        </w:tc>
        <w:tc>
          <w:tcPr>
            <w:tcW w:w="7912" w:type="dxa"/>
            <w:noWrap/>
            <w:vAlign w:val="center"/>
          </w:tcPr>
          <w:p w14:paraId="7BBD7615">
            <w:pPr>
              <w:pStyle w:val="24"/>
              <w:spacing w:line="360" w:lineRule="auto"/>
              <w:rPr>
                <w:rFonts w:hAnsi="宋体" w:cs="宋体"/>
                <w:sz w:val="21"/>
              </w:rPr>
            </w:pPr>
            <w:r>
              <w:rPr>
                <w:rFonts w:hint="eastAsia" w:hAnsi="宋体"/>
                <w:sz w:val="21"/>
              </w:rPr>
              <w:t>解释：</w:t>
            </w:r>
            <w:r>
              <w:rPr>
                <w:rFonts w:hAnsi="宋体"/>
                <w:sz w:val="21"/>
              </w:rPr>
              <w:t>构成本</w:t>
            </w:r>
            <w:r>
              <w:rPr>
                <w:rFonts w:hint="eastAsia" w:hAnsi="宋体"/>
                <w:sz w:val="21"/>
              </w:rPr>
              <w:t>磋商文件</w:t>
            </w:r>
            <w:r>
              <w:rPr>
                <w:rFonts w:hAnsi="宋体"/>
                <w:sz w:val="21"/>
              </w:rPr>
              <w:t>的各个组成文件应互为解释，互为说明；除</w:t>
            </w:r>
            <w:r>
              <w:rPr>
                <w:rFonts w:hint="eastAsia" w:hAnsi="宋体"/>
                <w:sz w:val="21"/>
              </w:rPr>
              <w:t>磋商文件</w:t>
            </w:r>
            <w:r>
              <w:rPr>
                <w:rFonts w:hAnsi="宋体"/>
                <w:sz w:val="21"/>
              </w:rPr>
              <w:t>中有特别规定外，仅适用于</w:t>
            </w:r>
            <w:r>
              <w:rPr>
                <w:rFonts w:hint="eastAsia" w:hAnsi="宋体"/>
                <w:sz w:val="21"/>
              </w:rPr>
              <w:t>竞标</w:t>
            </w:r>
            <w:r>
              <w:rPr>
                <w:rFonts w:hAnsi="宋体"/>
                <w:sz w:val="21"/>
              </w:rPr>
              <w:t>阶段的规定，按</w:t>
            </w:r>
            <w:r>
              <w:rPr>
                <w:rFonts w:hint="eastAsia" w:hAnsi="宋体"/>
                <w:sz w:val="21"/>
              </w:rPr>
              <w:t>更正公告（澄清公告）</w:t>
            </w:r>
            <w:r>
              <w:rPr>
                <w:rFonts w:hAnsi="宋体"/>
                <w:sz w:val="21"/>
              </w:rPr>
              <w:t>、</w:t>
            </w:r>
            <w:r>
              <w:rPr>
                <w:rFonts w:hint="eastAsia" w:hAnsi="宋体"/>
                <w:sz w:val="21"/>
              </w:rPr>
              <w:t>竞争性磋商</w:t>
            </w:r>
            <w:r>
              <w:rPr>
                <w:rFonts w:hAnsi="宋体"/>
                <w:sz w:val="21"/>
              </w:rPr>
              <w:t>公告、</w:t>
            </w:r>
            <w:r>
              <w:rPr>
                <w:rFonts w:hint="eastAsia" w:hAnsi="宋体"/>
                <w:sz w:val="21"/>
              </w:rPr>
              <w:t>供应商</w:t>
            </w:r>
            <w:r>
              <w:rPr>
                <w:rFonts w:hAnsi="宋体"/>
                <w:sz w:val="21"/>
              </w:rPr>
              <w:t>须知</w:t>
            </w:r>
            <w:r>
              <w:rPr>
                <w:rFonts w:hint="eastAsia" w:hAnsi="宋体"/>
                <w:sz w:val="21"/>
              </w:rPr>
              <w:t>、采购需求</w:t>
            </w:r>
            <w:r>
              <w:rPr>
                <w:rFonts w:hAnsi="宋体"/>
                <w:sz w:val="21"/>
              </w:rPr>
              <w:t>、</w:t>
            </w:r>
            <w:r>
              <w:rPr>
                <w:rFonts w:hint="eastAsia"/>
                <w:sz w:val="21"/>
              </w:rPr>
              <w:t>评审程序、评审方法和评审标准</w:t>
            </w:r>
            <w:r>
              <w:rPr>
                <w:rFonts w:hAnsi="宋体"/>
                <w:sz w:val="21"/>
              </w:rPr>
              <w:t>、</w:t>
            </w:r>
            <w:r>
              <w:rPr>
                <w:rFonts w:hint="eastAsia" w:hAnsi="宋体"/>
                <w:sz w:val="21"/>
              </w:rPr>
              <w:t>响应</w:t>
            </w:r>
            <w:r>
              <w:rPr>
                <w:rFonts w:hAnsi="宋体"/>
                <w:sz w:val="21"/>
              </w:rPr>
              <w:t>文件格式</w:t>
            </w:r>
            <w:r>
              <w:rPr>
                <w:rFonts w:hint="eastAsia" w:hAnsi="宋体"/>
                <w:sz w:val="21"/>
              </w:rPr>
              <w:t>、合同文本</w:t>
            </w:r>
            <w:r>
              <w:rPr>
                <w:rFonts w:hAnsi="宋体"/>
                <w:sz w:val="21"/>
              </w:rPr>
              <w:t>的先后顺序解释；同一组成文件中就同一事项的规定或者约定不一致的，以编排顺序在后者为准；同一组成文件不同版本之间有不一致的，以形成时间在后者为准；</w:t>
            </w:r>
            <w:r>
              <w:rPr>
                <w:rFonts w:hint="eastAsia" w:hAnsi="宋体"/>
                <w:sz w:val="21"/>
              </w:rPr>
              <w:t>更正公告（澄清公告）</w:t>
            </w:r>
            <w:r>
              <w:rPr>
                <w:rFonts w:hAnsi="宋体"/>
                <w:sz w:val="21"/>
              </w:rPr>
              <w:t>与同步更新的</w:t>
            </w:r>
            <w:r>
              <w:rPr>
                <w:rFonts w:hint="eastAsia" w:hAnsi="宋体"/>
                <w:sz w:val="21"/>
              </w:rPr>
              <w:t>磋商文件</w:t>
            </w:r>
            <w:r>
              <w:rPr>
                <w:rFonts w:hAnsi="宋体"/>
                <w:sz w:val="21"/>
              </w:rPr>
              <w:t>不一致时以</w:t>
            </w:r>
            <w:r>
              <w:rPr>
                <w:rFonts w:hint="eastAsia" w:hAnsi="宋体"/>
                <w:sz w:val="21"/>
              </w:rPr>
              <w:t>更正公告（澄清公告）</w:t>
            </w:r>
            <w:r>
              <w:rPr>
                <w:rFonts w:hAnsi="宋体"/>
                <w:sz w:val="21"/>
              </w:rPr>
              <w:t>为准。按本款前述规定仍不能形成结论的，由</w:t>
            </w:r>
            <w:r>
              <w:rPr>
                <w:rFonts w:hint="eastAsia" w:hAnsi="宋体"/>
                <w:sz w:val="21"/>
              </w:rPr>
              <w:t>采购</w:t>
            </w:r>
            <w:r>
              <w:rPr>
                <w:rFonts w:hAnsi="宋体"/>
                <w:sz w:val="21"/>
              </w:rPr>
              <w:t>人</w:t>
            </w:r>
            <w:r>
              <w:rPr>
                <w:rFonts w:hint="eastAsia" w:hAnsi="宋体"/>
                <w:sz w:val="21"/>
              </w:rPr>
              <w:t>或者采购代理机构</w:t>
            </w:r>
            <w:r>
              <w:rPr>
                <w:rFonts w:hAnsi="宋体"/>
                <w:sz w:val="21"/>
              </w:rPr>
              <w:t>负责解释。</w:t>
            </w:r>
          </w:p>
        </w:tc>
      </w:tr>
      <w:tr w14:paraId="3207E0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7AE67754">
            <w:pPr>
              <w:spacing w:line="360" w:lineRule="auto"/>
              <w:jc w:val="center"/>
              <w:rPr>
                <w:rFonts w:ascii="宋体" w:hAnsi="宋体" w:cs="宋体"/>
                <w:szCs w:val="21"/>
              </w:rPr>
            </w:pPr>
            <w:r>
              <w:rPr>
                <w:rFonts w:hint="eastAsia" w:ascii="宋体" w:hAnsi="宋体" w:cs="宋体"/>
                <w:szCs w:val="21"/>
              </w:rPr>
              <w:t>3</w:t>
            </w:r>
            <w:r>
              <w:rPr>
                <w:rFonts w:ascii="宋体" w:hAnsi="宋体" w:cs="宋体"/>
                <w:szCs w:val="21"/>
              </w:rPr>
              <w:t>3.2</w:t>
            </w:r>
          </w:p>
        </w:tc>
        <w:tc>
          <w:tcPr>
            <w:tcW w:w="7912" w:type="dxa"/>
            <w:noWrap/>
            <w:vAlign w:val="center"/>
          </w:tcPr>
          <w:p w14:paraId="49B6FF9F">
            <w:pPr>
              <w:pStyle w:val="24"/>
              <w:spacing w:line="360" w:lineRule="auto"/>
              <w:rPr>
                <w:rFonts w:hAnsi="宋体" w:cs="宋体"/>
                <w:sz w:val="21"/>
              </w:rPr>
            </w:pPr>
            <w:r>
              <w:rPr>
                <w:rFonts w:hint="eastAsia" w:hAnsi="宋体" w:cs="宋体"/>
                <w:sz w:val="21"/>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706358A8">
            <w:pPr>
              <w:pStyle w:val="24"/>
              <w:spacing w:line="360" w:lineRule="auto"/>
              <w:rPr>
                <w:rFonts w:hAnsi="宋体" w:cs="宋体"/>
                <w:sz w:val="21"/>
              </w:rPr>
            </w:pPr>
            <w:r>
              <w:rPr>
                <w:rFonts w:hint="eastAsia" w:hAnsi="宋体" w:cs="宋体"/>
                <w:bCs/>
                <w:sz w:val="21"/>
              </w:rPr>
              <w:t>2.本磋商文件所称的“</w:t>
            </w:r>
            <w:r>
              <w:rPr>
                <w:rFonts w:hint="eastAsia" w:hAnsi="宋体"/>
                <w:sz w:val="21"/>
              </w:rPr>
              <w:t>电子签章</w:t>
            </w:r>
            <w:r>
              <w:rPr>
                <w:rFonts w:hint="eastAsia" w:hAnsi="宋体" w:cs="宋体"/>
                <w:bCs/>
                <w:sz w:val="21"/>
              </w:rPr>
              <w:t>”“电子签名”</w:t>
            </w:r>
            <w:r>
              <w:rPr>
                <w:rFonts w:hint="eastAsia" w:hAnsi="宋体"/>
                <w:sz w:val="21"/>
              </w:rPr>
              <w:t>，是指经广西政府采购云平台认可的CA认证的电子签名数据为表现形式的印章，可用于签署电子响应文件，电子印章与实物印章具有同等法律效力，不因其采用电子化表现形式而否定其法律效力。</w:t>
            </w:r>
          </w:p>
          <w:p w14:paraId="4430B0C8">
            <w:pPr>
              <w:pStyle w:val="24"/>
              <w:spacing w:line="360" w:lineRule="auto"/>
              <w:rPr>
                <w:rFonts w:hAnsi="宋体" w:cs="宋体"/>
                <w:bCs/>
                <w:sz w:val="21"/>
              </w:rPr>
            </w:pPr>
            <w:r>
              <w:rPr>
                <w:rFonts w:hAnsi="宋体" w:cs="宋体"/>
                <w:sz w:val="21"/>
              </w:rPr>
              <w:t>3</w:t>
            </w:r>
            <w:r>
              <w:rPr>
                <w:rFonts w:hint="eastAsia" w:hAnsi="宋体" w:cs="宋体"/>
                <w:sz w:val="21"/>
              </w:rPr>
              <w:t>.供应商为其他组织或者自然人时，本磋商文件规定的法定代表人指负责人或者自然人。本磋商文件所称负责人是指参加竞标的其他组织</w:t>
            </w:r>
            <w:r>
              <w:rPr>
                <w:rFonts w:hint="eastAsia" w:hAnsi="宋体" w:cs="宋体"/>
                <w:bCs/>
                <w:sz w:val="21"/>
              </w:rPr>
              <w:t>营业执照或者执业许可证等证照上的</w:t>
            </w:r>
            <w:r>
              <w:rPr>
                <w:rFonts w:hint="eastAsia" w:hAnsi="宋体" w:cs="宋体"/>
                <w:sz w:val="21"/>
              </w:rPr>
              <w:t>负责人，本磋商文件所称自然人指参与竞标的自然人本人，</w:t>
            </w:r>
            <w:r>
              <w:rPr>
                <w:rFonts w:hint="eastAsia" w:hAnsi="宋体" w:cs="宋体"/>
                <w:bCs/>
                <w:sz w:val="21"/>
              </w:rPr>
              <w:t>且应具备独立承担民事责任能力，自然人应当为年满18岁以上成年人（十六周岁以上的未成年人，以自己的劳动收入为主要生活来源的，视为完全民事行为能力人）。</w:t>
            </w:r>
          </w:p>
          <w:p w14:paraId="6E51B473">
            <w:pPr>
              <w:pStyle w:val="24"/>
              <w:spacing w:line="360" w:lineRule="auto"/>
              <w:rPr>
                <w:rFonts w:hAnsi="宋体" w:cs="宋体"/>
                <w:sz w:val="21"/>
              </w:rPr>
            </w:pPr>
            <w:r>
              <w:rPr>
                <w:rFonts w:hAnsi="宋体" w:cs="宋体"/>
                <w:sz w:val="21"/>
              </w:rPr>
              <w:t>4.</w:t>
            </w:r>
            <w:r>
              <w:rPr>
                <w:rFonts w:hint="eastAsia" w:hAnsi="宋体" w:cs="宋体"/>
                <w:sz w:val="21"/>
              </w:rPr>
              <w:t>本磋商文件中描述供应商的“签字”是指供应商的法定代表人或者委托代理人亲自在文件规定签署处亲笔写上个人的名字的行为，私章、签字章、印鉴、影印等其他形式均不能代替亲笔签字。</w:t>
            </w:r>
          </w:p>
          <w:p w14:paraId="0A9A1778">
            <w:pPr>
              <w:pStyle w:val="24"/>
              <w:spacing w:line="360" w:lineRule="auto"/>
              <w:rPr>
                <w:rFonts w:hAnsi="宋体" w:cs="宋体"/>
                <w:sz w:val="21"/>
              </w:rPr>
            </w:pPr>
            <w:r>
              <w:rPr>
                <w:rFonts w:hint="eastAsia" w:hAnsi="宋体" w:cs="宋体"/>
                <w:sz w:val="21"/>
              </w:rPr>
              <w:t>5</w:t>
            </w:r>
            <w:r>
              <w:rPr>
                <w:rFonts w:hAnsi="宋体" w:cs="宋体"/>
                <w:sz w:val="21"/>
              </w:rPr>
              <w:t>.</w:t>
            </w:r>
            <w:r>
              <w:rPr>
                <w:rFonts w:hint="eastAsia" w:hAnsi="宋体" w:cs="宋体"/>
                <w:sz w:val="21"/>
              </w:rPr>
              <w:t>本磋商文件所称的“以上”“以下”“以内”“届满”，包括本数；所称的“不满”“超过”“以外”，不包括本数。</w:t>
            </w:r>
          </w:p>
        </w:tc>
      </w:tr>
    </w:tbl>
    <w:p w14:paraId="78422BD6">
      <w:pPr>
        <w:spacing w:line="400" w:lineRule="exact"/>
        <w:jc w:val="center"/>
        <w:rPr>
          <w:rFonts w:ascii="宋体" w:hAnsi="宋体"/>
          <w:b/>
          <w:sz w:val="32"/>
          <w:szCs w:val="32"/>
        </w:rPr>
      </w:pPr>
      <w:r>
        <w:rPr>
          <w:rFonts w:ascii="宋体" w:hAnsi="宋体"/>
          <w:b/>
          <w:sz w:val="32"/>
          <w:szCs w:val="32"/>
        </w:rPr>
        <w:br w:type="page" w:clear="all"/>
      </w:r>
      <w:r>
        <w:rPr>
          <w:rFonts w:hint="eastAsia" w:ascii="宋体" w:hAnsi="宋体"/>
          <w:b/>
          <w:sz w:val="32"/>
          <w:szCs w:val="32"/>
        </w:rPr>
        <w:t>供应商须知正文</w:t>
      </w:r>
    </w:p>
    <w:p w14:paraId="3EF40CC0">
      <w:pPr>
        <w:spacing w:line="400" w:lineRule="exact"/>
        <w:jc w:val="center"/>
        <w:rPr>
          <w:rFonts w:ascii="宋体" w:hAnsi="宋体"/>
          <w:b/>
          <w:sz w:val="32"/>
          <w:szCs w:val="32"/>
        </w:rPr>
      </w:pPr>
    </w:p>
    <w:p w14:paraId="15E3C9DD">
      <w:pPr>
        <w:spacing w:line="400" w:lineRule="exact"/>
        <w:jc w:val="center"/>
        <w:rPr>
          <w:rFonts w:ascii="宋体" w:hAnsi="宋体"/>
          <w:b/>
          <w:sz w:val="32"/>
          <w:szCs w:val="32"/>
        </w:rPr>
      </w:pPr>
      <w:r>
        <w:rPr>
          <w:rFonts w:hint="eastAsia" w:ascii="宋体" w:hAnsi="宋体"/>
          <w:b/>
          <w:sz w:val="32"/>
          <w:szCs w:val="32"/>
        </w:rPr>
        <w:t>一、总则</w:t>
      </w:r>
    </w:p>
    <w:p w14:paraId="1DE05921">
      <w:pPr>
        <w:spacing w:line="400" w:lineRule="exact"/>
        <w:rPr>
          <w:rFonts w:ascii="宋体" w:hAnsi="宋体"/>
          <w:szCs w:val="21"/>
        </w:rPr>
      </w:pPr>
    </w:p>
    <w:p w14:paraId="0EAFE0BF">
      <w:pPr>
        <w:spacing w:line="360" w:lineRule="auto"/>
        <w:ind w:firstLine="482"/>
        <w:rPr>
          <w:rFonts w:ascii="黑体" w:hAnsi="黑体" w:eastAsia="黑体" w:cs="宋体"/>
          <w:b/>
          <w:bCs/>
          <w:sz w:val="24"/>
        </w:rPr>
      </w:pPr>
      <w:r>
        <w:rPr>
          <w:rFonts w:hint="eastAsia" w:ascii="黑体" w:hAnsi="黑体" w:eastAsia="黑体" w:cs="宋体"/>
          <w:b/>
          <w:bCs/>
          <w:sz w:val="24"/>
        </w:rPr>
        <w:t>1.适用范围</w:t>
      </w:r>
    </w:p>
    <w:p w14:paraId="135E0100">
      <w:pPr>
        <w:spacing w:line="360" w:lineRule="auto"/>
        <w:ind w:firstLine="420"/>
        <w:rPr>
          <w:rFonts w:ascii="宋体" w:hAnsi="宋体" w:cs="宋体"/>
          <w:szCs w:val="21"/>
        </w:rPr>
      </w:pPr>
      <w:r>
        <w:rPr>
          <w:rFonts w:hint="eastAsia" w:ascii="宋体" w:hAnsi="宋体" w:cs="宋体"/>
          <w:szCs w:val="21"/>
        </w:rPr>
        <w:t>1.1本项目采购人、采购代理机构、供应商、磋商小组的相关行为均受《中华人民共和国政府采购法》《中华人民共和国政府采购法实施条例》</w:t>
      </w:r>
      <w:r>
        <w:rPr>
          <w:rFonts w:hint="eastAsia" w:ascii="宋体" w:hAnsi="宋体"/>
          <w:szCs w:val="21"/>
        </w:rPr>
        <w:t>《政府采购竞争性磋商采购方式管理暂行办法》《财政部关于政府采购竞争性磋商采购方式管理暂行办法有关问题的补充通知》</w:t>
      </w:r>
      <w:r>
        <w:rPr>
          <w:rFonts w:hint="eastAsia" w:ascii="宋体" w:hAnsi="宋体" w:cs="宋体"/>
          <w:szCs w:val="21"/>
        </w:rPr>
        <w:t>及本项目本级和上级财政部门政府采购有关规定的约束和保护。</w:t>
      </w:r>
    </w:p>
    <w:p w14:paraId="770ADCC9">
      <w:pPr>
        <w:spacing w:line="360" w:lineRule="auto"/>
        <w:ind w:firstLine="420"/>
        <w:rPr>
          <w:rFonts w:ascii="宋体" w:hAnsi="宋体" w:cs="宋体"/>
          <w:szCs w:val="21"/>
        </w:rPr>
      </w:pPr>
      <w:r>
        <w:rPr>
          <w:rFonts w:hint="eastAsia" w:ascii="宋体" w:hAnsi="宋体" w:cs="宋体"/>
          <w:szCs w:val="21"/>
        </w:rPr>
        <w:t>1.2</w:t>
      </w:r>
      <w:r>
        <w:rPr>
          <w:rFonts w:hint="eastAsia" w:ascii="宋体" w:hAnsi="宋体" w:cs="宋体"/>
          <w:spacing w:val="-6"/>
          <w:szCs w:val="21"/>
        </w:rPr>
        <w:t>本竞争性磋商文件（以下简称磋商文件）适用于本项目的所有采购程序和环节（法律、法规另有规定的，从其规定）。</w:t>
      </w:r>
    </w:p>
    <w:p w14:paraId="5F30E5DE">
      <w:pPr>
        <w:spacing w:line="360" w:lineRule="auto"/>
        <w:ind w:firstLine="482"/>
        <w:rPr>
          <w:rFonts w:ascii="黑体" w:hAnsi="黑体" w:eastAsia="黑体" w:cs="宋体"/>
          <w:b/>
          <w:bCs/>
          <w:sz w:val="24"/>
        </w:rPr>
      </w:pPr>
      <w:r>
        <w:rPr>
          <w:rFonts w:hint="eastAsia" w:ascii="黑体" w:hAnsi="黑体" w:eastAsia="黑体" w:cs="宋体"/>
          <w:b/>
          <w:bCs/>
          <w:sz w:val="24"/>
        </w:rPr>
        <w:t>2.定义</w:t>
      </w:r>
    </w:p>
    <w:p w14:paraId="019F3D4B">
      <w:pPr>
        <w:spacing w:line="360" w:lineRule="auto"/>
        <w:ind w:firstLine="420"/>
        <w:rPr>
          <w:rFonts w:ascii="宋体" w:hAnsi="宋体" w:cs="宋体"/>
          <w:szCs w:val="21"/>
        </w:rPr>
      </w:pPr>
      <w:r>
        <w:rPr>
          <w:rFonts w:hint="eastAsia" w:ascii="宋体" w:hAnsi="宋体" w:cs="宋体"/>
          <w:szCs w:val="21"/>
        </w:rPr>
        <w:t>2.1“采购人”是指依法进行政府采购的国家机关、事业单位、团体组织。</w:t>
      </w:r>
    </w:p>
    <w:p w14:paraId="4663FF02">
      <w:pPr>
        <w:spacing w:line="360" w:lineRule="auto"/>
        <w:ind w:firstLine="420"/>
        <w:rPr>
          <w:rFonts w:ascii="宋体" w:hAnsi="宋体" w:cs="宋体"/>
          <w:szCs w:val="21"/>
          <w:u w:val="single"/>
        </w:rPr>
      </w:pPr>
      <w:r>
        <w:rPr>
          <w:rFonts w:hint="eastAsia" w:ascii="宋体" w:hAnsi="宋体" w:cs="宋体"/>
          <w:szCs w:val="21"/>
        </w:rPr>
        <w:t>2.2“采购代理机构”是指政府采购集中采购机构和集中采购机构以外的采购代理机构。</w:t>
      </w:r>
    </w:p>
    <w:p w14:paraId="2DB0B432">
      <w:pPr>
        <w:spacing w:line="360" w:lineRule="auto"/>
        <w:ind w:firstLine="420"/>
        <w:rPr>
          <w:rFonts w:ascii="宋体" w:hAnsi="宋体" w:cs="宋体"/>
          <w:szCs w:val="21"/>
        </w:rPr>
      </w:pPr>
      <w:r>
        <w:rPr>
          <w:rFonts w:hint="eastAsia" w:ascii="宋体" w:hAnsi="宋体" w:cs="宋体"/>
          <w:szCs w:val="21"/>
        </w:rPr>
        <w:t>2.3“供应商”是指向采购人提供货物、工程或者服务的法人、其他组织或者自然人。</w:t>
      </w:r>
    </w:p>
    <w:p w14:paraId="298B1394">
      <w:pPr>
        <w:spacing w:line="360" w:lineRule="auto"/>
        <w:ind w:firstLine="420"/>
        <w:rPr>
          <w:rFonts w:ascii="宋体" w:hAnsi="宋体" w:cs="宋体"/>
          <w:szCs w:val="21"/>
        </w:rPr>
      </w:pPr>
      <w:r>
        <w:rPr>
          <w:rFonts w:hint="eastAsia" w:ascii="宋体" w:hAnsi="宋体"/>
          <w:szCs w:val="21"/>
        </w:rPr>
        <w:t>2.4“服务”是指除货物和工程以外的其他政府采购对象。</w:t>
      </w:r>
    </w:p>
    <w:p w14:paraId="3A9167F6">
      <w:pPr>
        <w:spacing w:line="360" w:lineRule="auto"/>
        <w:ind w:firstLine="420"/>
        <w:rPr>
          <w:rFonts w:ascii="宋体" w:hAnsi="宋体" w:cs="宋体"/>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“竞标”是指供应商按照本项目竞争性磋商公告规定的方式获取磋商文件、提交响应文件并希望获得标的的行为。</w:t>
      </w:r>
    </w:p>
    <w:p w14:paraId="11E2FC43">
      <w:pPr>
        <w:spacing w:line="360" w:lineRule="auto"/>
        <w:ind w:firstLine="420"/>
        <w:contextualSpacing/>
        <w:rPr>
          <w:rFonts w:ascii="宋体" w:hAnsi="宋体" w:cs="宋体"/>
          <w:szCs w:val="21"/>
        </w:rPr>
      </w:pPr>
      <w:r>
        <w:rPr>
          <w:rFonts w:hint="eastAsia" w:ascii="宋体" w:hAnsi="宋体" w:cs="宋体"/>
          <w:szCs w:val="21"/>
        </w:rPr>
        <w:t>2.6“书面形式”是指合同书、信件和数据电文（包括电报、电传、传真、电子数据交换和电子邮件）等可以有形地表现所载内容的形式。</w:t>
      </w:r>
    </w:p>
    <w:p w14:paraId="758E904C">
      <w:pPr>
        <w:spacing w:line="360" w:lineRule="auto"/>
        <w:ind w:firstLine="420"/>
        <w:contextualSpacing/>
        <w:rPr>
          <w:rFonts w:ascii="宋体" w:hAnsi="宋体" w:cs="宋体"/>
          <w:szCs w:val="21"/>
        </w:rPr>
      </w:pPr>
      <w:r>
        <w:rPr>
          <w:rFonts w:hint="eastAsia" w:ascii="宋体" w:hAnsi="宋体" w:cs="宋体"/>
          <w:szCs w:val="21"/>
        </w:rPr>
        <w:t>2.7“响应文件”</w:t>
      </w:r>
      <w:r>
        <w:rPr>
          <w:rFonts w:hint="eastAsia" w:ascii="宋体" w:hAnsi="宋体" w:cs="宋体"/>
          <w:spacing w:val="-6"/>
          <w:szCs w:val="21"/>
        </w:rPr>
        <w:t>是指：供应商根据本磋商文件要求，编制包含资格证明、报价、商务技术等所有内容的文件。</w:t>
      </w:r>
    </w:p>
    <w:p w14:paraId="1214C196">
      <w:pPr>
        <w:spacing w:line="360" w:lineRule="auto"/>
        <w:ind w:firstLine="420"/>
        <w:contextualSpacing/>
        <w:rPr>
          <w:rFonts w:ascii="宋体" w:hAnsi="宋体" w:cs="宋体"/>
          <w:szCs w:val="21"/>
        </w:rPr>
      </w:pPr>
      <w:r>
        <w:rPr>
          <w:rFonts w:hint="eastAsia" w:ascii="宋体" w:hAnsi="宋体" w:cs="宋体"/>
          <w:szCs w:val="21"/>
        </w:rPr>
        <w:t>2.8“实质性要求”是指磋商文件中已经指明不满足则响应文件按无效响应处理的条款，或者不能负偏离的条款，或者采购需求中带“▲”的条款。</w:t>
      </w:r>
    </w:p>
    <w:p w14:paraId="22533DB4">
      <w:pPr>
        <w:spacing w:line="360" w:lineRule="auto"/>
        <w:ind w:firstLine="420"/>
        <w:contextualSpacing/>
        <w:rPr>
          <w:rFonts w:ascii="宋体" w:hAnsi="宋体" w:cs="宋体"/>
          <w:szCs w:val="21"/>
        </w:rPr>
      </w:pPr>
      <w:r>
        <w:rPr>
          <w:rFonts w:hint="eastAsia" w:ascii="宋体" w:hAnsi="宋体" w:cs="宋体"/>
          <w:szCs w:val="21"/>
        </w:rPr>
        <w:t>2.9“正偏离”，是指响应文件对磋商文件“采购需求”中有关条款作出的响应优于条款要求并有利于采购人的情形。</w:t>
      </w:r>
    </w:p>
    <w:p w14:paraId="51F4A884">
      <w:pPr>
        <w:spacing w:line="360" w:lineRule="auto"/>
        <w:ind w:firstLine="420"/>
        <w:contextualSpacing/>
        <w:rPr>
          <w:rFonts w:ascii="宋体" w:hAnsi="宋体" w:cs="宋体"/>
          <w:szCs w:val="21"/>
        </w:rPr>
      </w:pPr>
      <w:r>
        <w:rPr>
          <w:rFonts w:ascii="宋体" w:hAnsi="宋体" w:cs="宋体"/>
          <w:szCs w:val="21"/>
        </w:rPr>
        <w:t>2.</w:t>
      </w:r>
      <w:r>
        <w:rPr>
          <w:rFonts w:hint="eastAsia" w:ascii="宋体" w:hAnsi="宋体" w:cs="宋体"/>
          <w:szCs w:val="21"/>
        </w:rPr>
        <w:t>10“负偏离”，是指响应文件对磋商文件“采购需求”中有关条款作出的响应不满足条款要求，导致采购人要求不能得到满足的情形。</w:t>
      </w:r>
    </w:p>
    <w:p w14:paraId="52BD912C">
      <w:pPr>
        <w:spacing w:line="360" w:lineRule="auto"/>
        <w:ind w:firstLine="420"/>
        <w:contextualSpacing/>
        <w:rPr>
          <w:rFonts w:ascii="宋体" w:hAnsi="宋体" w:cs="宋体"/>
          <w:szCs w:val="21"/>
        </w:rPr>
      </w:pPr>
      <w:r>
        <w:rPr>
          <w:rFonts w:hint="eastAsia" w:ascii="宋体" w:hAnsi="宋体" w:cs="宋体"/>
          <w:szCs w:val="21"/>
        </w:rPr>
        <w:t>2.11“允许负偏离的条款”是指采购需求中的不属于“实质性要求”的条款。</w:t>
      </w:r>
    </w:p>
    <w:p w14:paraId="0E7A49D9">
      <w:pPr>
        <w:spacing w:line="360" w:lineRule="auto"/>
        <w:ind w:firstLine="420"/>
        <w:contextualSpacing/>
        <w:rPr>
          <w:rFonts w:ascii="宋体" w:hAnsi="宋体" w:cs="宋体"/>
          <w:szCs w:val="21"/>
        </w:rPr>
      </w:pPr>
      <w:r>
        <w:rPr>
          <w:rFonts w:hint="eastAsia" w:ascii="宋体" w:hAnsi="宋体" w:cs="宋体"/>
          <w:szCs w:val="21"/>
        </w:rPr>
        <w:t>2.</w:t>
      </w:r>
      <w:r>
        <w:rPr>
          <w:rFonts w:ascii="宋体" w:hAnsi="宋体" w:cs="宋体"/>
          <w:szCs w:val="21"/>
        </w:rPr>
        <w:t>1</w:t>
      </w:r>
      <w:r>
        <w:rPr>
          <w:rFonts w:hint="eastAsia" w:ascii="宋体" w:hAnsi="宋体" w:cs="宋体"/>
          <w:szCs w:val="21"/>
        </w:rPr>
        <w:t>2“首次报价”是指供应商提交的首次响应文件中的报价。</w:t>
      </w:r>
    </w:p>
    <w:p w14:paraId="4252BD32">
      <w:pPr>
        <w:spacing w:line="360" w:lineRule="auto"/>
        <w:ind w:firstLine="482"/>
        <w:rPr>
          <w:rFonts w:ascii="黑体" w:hAnsi="黑体" w:eastAsia="黑体" w:cs="宋体"/>
          <w:b/>
          <w:bCs/>
          <w:sz w:val="24"/>
        </w:rPr>
      </w:pPr>
      <w:r>
        <w:rPr>
          <w:rFonts w:hint="eastAsia" w:ascii="黑体" w:hAnsi="黑体" w:eastAsia="黑体" w:cs="宋体"/>
          <w:b/>
          <w:bCs/>
          <w:sz w:val="24"/>
        </w:rPr>
        <w:t>3.供应商的资格条件</w:t>
      </w:r>
    </w:p>
    <w:p w14:paraId="6140417A">
      <w:pPr>
        <w:spacing w:line="360" w:lineRule="auto"/>
        <w:ind w:firstLine="420"/>
        <w:rPr>
          <w:rFonts w:ascii="宋体" w:hAnsi="宋体" w:cs="宋体"/>
          <w:szCs w:val="21"/>
        </w:rPr>
      </w:pPr>
      <w:r>
        <w:rPr>
          <w:rFonts w:hint="eastAsia" w:ascii="宋体" w:hAnsi="宋体" w:cs="宋体"/>
          <w:szCs w:val="21"/>
        </w:rPr>
        <w:t>供应商的资格条件详见“供应商须知前附表”。</w:t>
      </w:r>
    </w:p>
    <w:p w14:paraId="4402DCA3">
      <w:pPr>
        <w:spacing w:line="360" w:lineRule="auto"/>
        <w:ind w:firstLine="482"/>
        <w:rPr>
          <w:rFonts w:ascii="黑体" w:hAnsi="黑体" w:eastAsia="黑体" w:cs="宋体"/>
          <w:b/>
          <w:bCs/>
          <w:sz w:val="24"/>
        </w:rPr>
      </w:pPr>
      <w:r>
        <w:rPr>
          <w:rFonts w:hint="eastAsia" w:ascii="黑体" w:hAnsi="黑体" w:eastAsia="黑体" w:cs="宋体"/>
          <w:b/>
          <w:bCs/>
          <w:sz w:val="24"/>
        </w:rPr>
        <w:t>4.竞标费用</w:t>
      </w:r>
    </w:p>
    <w:p w14:paraId="166B1529">
      <w:pPr>
        <w:spacing w:line="360" w:lineRule="auto"/>
        <w:ind w:firstLine="420"/>
        <w:rPr>
          <w:rFonts w:ascii="宋体" w:hAnsi="宋体" w:cs="宋体"/>
          <w:szCs w:val="21"/>
        </w:rPr>
      </w:pPr>
      <w:r>
        <w:rPr>
          <w:rFonts w:hint="eastAsia" w:ascii="宋体" w:hAnsi="宋体" w:cs="宋体"/>
          <w:szCs w:val="21"/>
        </w:rPr>
        <w:t>供应商应承担参与本次采购活动有关的所有费用，包括但不限于获取磋商文件、勘查现场、编制和提交响应文件、参加磋商与应答、签订合同等，不论竞标结果如何，均应自行承担。</w:t>
      </w:r>
    </w:p>
    <w:p w14:paraId="44923490">
      <w:pPr>
        <w:spacing w:line="360" w:lineRule="auto"/>
        <w:ind w:firstLine="482"/>
        <w:rPr>
          <w:rFonts w:ascii="黑体" w:hAnsi="黑体" w:eastAsia="黑体" w:cs="宋体"/>
          <w:b/>
          <w:bCs/>
          <w:sz w:val="24"/>
        </w:rPr>
      </w:pPr>
      <w:r>
        <w:rPr>
          <w:rFonts w:hint="eastAsia" w:ascii="黑体" w:hAnsi="黑体" w:eastAsia="黑体" w:cs="宋体"/>
          <w:b/>
          <w:bCs/>
          <w:sz w:val="24"/>
        </w:rPr>
        <w:t>5.联合体竞标</w:t>
      </w:r>
    </w:p>
    <w:p w14:paraId="15E1C35E">
      <w:pPr>
        <w:spacing w:line="360" w:lineRule="auto"/>
        <w:ind w:firstLine="420"/>
        <w:rPr>
          <w:rFonts w:ascii="宋体" w:hAnsi="宋体" w:cs="宋体"/>
          <w:szCs w:val="21"/>
        </w:rPr>
      </w:pPr>
      <w:r>
        <w:rPr>
          <w:rFonts w:hint="eastAsia" w:ascii="宋体" w:hAnsi="宋体" w:cs="宋体"/>
          <w:szCs w:val="21"/>
        </w:rPr>
        <w:t>5.1本项目是否接受联合体竞标，详见“供应商须知前附表”。</w:t>
      </w:r>
    </w:p>
    <w:p w14:paraId="52D89827">
      <w:pPr>
        <w:spacing w:line="360" w:lineRule="auto"/>
        <w:ind w:firstLine="420"/>
        <w:rPr>
          <w:rFonts w:ascii="宋体" w:hAnsi="宋体" w:cs="宋体"/>
          <w:szCs w:val="21"/>
        </w:rPr>
      </w:pPr>
      <w:r>
        <w:rPr>
          <w:rFonts w:hint="eastAsia" w:ascii="宋体" w:hAnsi="宋体" w:cs="宋体"/>
          <w:szCs w:val="21"/>
        </w:rPr>
        <w:t>5.2</w:t>
      </w:r>
      <w:r>
        <w:rPr>
          <w:rFonts w:hint="eastAsia" w:ascii="宋体" w:hAnsi="宋体"/>
        </w:rPr>
        <w:t>如接受联合体竞标，</w:t>
      </w:r>
      <w:r>
        <w:rPr>
          <w:rFonts w:hint="eastAsia" w:ascii="宋体" w:hAnsi="宋体" w:cs="宋体"/>
          <w:szCs w:val="21"/>
        </w:rPr>
        <w:t>联合体竞标要求详见“供应商须知前附表”。</w:t>
      </w:r>
    </w:p>
    <w:p w14:paraId="3CB66171">
      <w:pPr>
        <w:spacing w:line="360" w:lineRule="auto"/>
        <w:ind w:firstLine="420"/>
        <w:rPr>
          <w:rFonts w:ascii="宋体" w:hAnsi="宋体" w:cs="宋体"/>
          <w:szCs w:val="21"/>
        </w:rPr>
      </w:pPr>
      <w:r>
        <w:rPr>
          <w:rFonts w:hint="eastAsia" w:ascii="宋体" w:hAnsi="宋体" w:cs="宋体"/>
          <w:szCs w:val="21"/>
        </w:rPr>
        <w:t>5.3</w:t>
      </w:r>
      <w:bookmarkStart w:id="36" w:name="_Hlk66782192"/>
      <w:r>
        <w:rPr>
          <w:rFonts w:hint="eastAsia" w:ascii="宋体" w:hAnsi="宋体"/>
          <w:bCs/>
          <w:szCs w:val="21"/>
        </w:rPr>
        <w:t>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36"/>
    </w:p>
    <w:p w14:paraId="7DC6AAAA">
      <w:pPr>
        <w:spacing w:line="360" w:lineRule="auto"/>
        <w:ind w:firstLine="482"/>
        <w:rPr>
          <w:rFonts w:ascii="黑体" w:hAnsi="黑体" w:eastAsia="黑体" w:cs="宋体"/>
          <w:b/>
          <w:bCs/>
          <w:sz w:val="24"/>
        </w:rPr>
      </w:pPr>
      <w:r>
        <w:rPr>
          <w:rFonts w:hint="eastAsia" w:ascii="黑体" w:hAnsi="黑体" w:eastAsia="黑体" w:cs="宋体"/>
          <w:b/>
          <w:bCs/>
          <w:sz w:val="24"/>
        </w:rPr>
        <w:t xml:space="preserve">6.转包与分包             </w:t>
      </w:r>
    </w:p>
    <w:p w14:paraId="3D8AF388">
      <w:pPr>
        <w:pStyle w:val="7"/>
        <w:keepNext w:val="0"/>
        <w:keepLines w:val="0"/>
        <w:spacing w:before="0" w:after="0" w:line="360" w:lineRule="auto"/>
        <w:ind w:left="420"/>
        <w:rPr>
          <w:rFonts w:ascii="宋体" w:hAnsi="宋体"/>
          <w:b w:val="0"/>
          <w:sz w:val="21"/>
          <w:szCs w:val="21"/>
        </w:rPr>
      </w:pPr>
      <w:bookmarkStart w:id="37" w:name="_Toc254970532"/>
      <w:bookmarkStart w:id="38" w:name="_Toc254970673"/>
      <w:r>
        <w:rPr>
          <w:rFonts w:hint="eastAsia" w:ascii="宋体" w:hAnsi="宋体"/>
          <w:b w:val="0"/>
          <w:sz w:val="21"/>
          <w:szCs w:val="21"/>
        </w:rPr>
        <w:t>6.1本项目不允许转包。</w:t>
      </w:r>
    </w:p>
    <w:p w14:paraId="2FE9494D">
      <w:pPr>
        <w:pStyle w:val="7"/>
        <w:keepNext w:val="0"/>
        <w:keepLines w:val="0"/>
        <w:spacing w:before="0" w:after="0" w:line="360" w:lineRule="auto"/>
        <w:ind w:firstLine="315"/>
        <w:rPr>
          <w:rFonts w:ascii="宋体" w:hAnsi="宋体"/>
          <w:b w:val="0"/>
          <w:sz w:val="21"/>
          <w:szCs w:val="21"/>
        </w:rPr>
      </w:pPr>
      <w:r>
        <w:rPr>
          <w:rFonts w:hint="eastAsia" w:ascii="宋体" w:hAnsi="宋体"/>
          <w:b w:val="0"/>
          <w:sz w:val="21"/>
          <w:szCs w:val="21"/>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0FA6FF2E">
      <w:pPr>
        <w:pStyle w:val="7"/>
        <w:keepNext w:val="0"/>
        <w:keepLines w:val="0"/>
        <w:spacing w:before="0" w:after="0" w:line="360" w:lineRule="auto"/>
        <w:ind w:firstLine="315"/>
        <w:rPr>
          <w:rFonts w:ascii="宋体" w:hAnsi="宋体"/>
          <w:b w:val="0"/>
          <w:sz w:val="21"/>
          <w:szCs w:val="21"/>
        </w:rPr>
      </w:pPr>
      <w:r>
        <w:rPr>
          <w:rFonts w:hint="eastAsia" w:ascii="宋体" w:hAnsi="宋体"/>
          <w:b w:val="0"/>
          <w:sz w:val="21"/>
          <w:szCs w:val="21"/>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14:paraId="09E0B824">
      <w:pPr>
        <w:spacing w:line="360" w:lineRule="auto"/>
        <w:ind w:firstLine="482"/>
        <w:rPr>
          <w:rFonts w:ascii="黑体" w:hAnsi="黑体" w:eastAsia="黑体" w:cs="宋体"/>
          <w:b/>
          <w:bCs/>
          <w:sz w:val="24"/>
        </w:rPr>
      </w:pPr>
      <w:r>
        <w:rPr>
          <w:rFonts w:hint="eastAsia" w:ascii="黑体" w:hAnsi="黑体" w:eastAsia="黑体" w:cs="宋体"/>
          <w:b/>
          <w:bCs/>
          <w:sz w:val="24"/>
        </w:rPr>
        <w:t>7.特别说明</w:t>
      </w:r>
      <w:bookmarkEnd w:id="37"/>
      <w:bookmarkEnd w:id="38"/>
    </w:p>
    <w:p w14:paraId="50CDF124">
      <w:pPr>
        <w:spacing w:line="360" w:lineRule="auto"/>
        <w:ind w:firstLine="420"/>
        <w:rPr>
          <w:rFonts w:ascii="宋体" w:hAnsi="宋体" w:cs="宋体"/>
          <w:szCs w:val="21"/>
        </w:rPr>
      </w:pPr>
      <w:bookmarkStart w:id="39" w:name="_8.1提供相同品牌产品且通过资格审查、符合性审查的不同投标人参加同一合"/>
      <w:bookmarkEnd w:id="39"/>
      <w:r>
        <w:rPr>
          <w:rFonts w:hint="eastAsia" w:ascii="宋体" w:hAnsi="宋体" w:cs="宋体"/>
          <w:szCs w:val="21"/>
        </w:rPr>
        <w:t>7.</w:t>
      </w:r>
      <w:r>
        <w:rPr>
          <w:rFonts w:ascii="宋体" w:hAnsi="宋体" w:cs="宋体"/>
          <w:szCs w:val="21"/>
        </w:rPr>
        <w:t>1</w:t>
      </w:r>
      <w:bookmarkStart w:id="40" w:name="_Hlk65832145"/>
      <w:r>
        <w:rPr>
          <w:rFonts w:hint="eastAsia" w:ascii="宋体" w:hAnsi="宋体"/>
          <w:szCs w:val="21"/>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szCs w:val="21"/>
        </w:rPr>
        <w:t>。</w:t>
      </w:r>
      <w:bookmarkEnd w:id="40"/>
    </w:p>
    <w:p w14:paraId="09ECD9CC">
      <w:pPr>
        <w:spacing w:line="360" w:lineRule="auto"/>
        <w:ind w:firstLine="420"/>
        <w:rPr>
          <w:rFonts w:ascii="宋体" w:hAnsi="宋体" w:cs="宋体"/>
          <w:szCs w:val="21"/>
        </w:rPr>
      </w:pPr>
      <w:r>
        <w:rPr>
          <w:rFonts w:hint="eastAsia" w:ascii="宋体" w:hAnsi="宋体" w:cs="宋体"/>
          <w:szCs w:val="21"/>
        </w:rPr>
        <w:t>7.</w:t>
      </w:r>
      <w:r>
        <w:rPr>
          <w:rFonts w:ascii="宋体" w:hAnsi="宋体" w:cs="宋体"/>
          <w:szCs w:val="21"/>
        </w:rPr>
        <w:t>2</w:t>
      </w:r>
      <w:r>
        <w:rPr>
          <w:rFonts w:hint="eastAsia" w:ascii="宋体" w:hAnsi="宋体" w:cs="宋体"/>
          <w:szCs w:val="21"/>
        </w:rPr>
        <w:t>供应商应仔细阅读磋商文件的所有内容，按照磋商文件的要求提交响应文件，并对所提供的全部资料的真实性承担法律责任。</w:t>
      </w:r>
    </w:p>
    <w:p w14:paraId="1C07DEFF">
      <w:pPr>
        <w:spacing w:line="360" w:lineRule="auto"/>
        <w:ind w:firstLine="420"/>
        <w:rPr>
          <w:rFonts w:ascii="宋体" w:hAnsi="宋体" w:cs="宋体"/>
          <w:szCs w:val="21"/>
        </w:rPr>
      </w:pPr>
      <w:r>
        <w:rPr>
          <w:rFonts w:hint="eastAsia" w:ascii="宋体" w:hAnsi="宋体" w:cs="宋体"/>
          <w:szCs w:val="21"/>
        </w:rPr>
        <w:t>7.</w:t>
      </w:r>
      <w:r>
        <w:rPr>
          <w:rFonts w:ascii="宋体" w:hAnsi="宋体" w:cs="宋体"/>
          <w:szCs w:val="21"/>
        </w:rPr>
        <w:t>3</w:t>
      </w:r>
      <w:r>
        <w:rPr>
          <w:rFonts w:hint="eastAsia" w:ascii="宋体" w:hAnsi="宋体" w:cs="宋体"/>
          <w:szCs w:val="21"/>
        </w:rPr>
        <w:t>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21CEA8F4">
      <w:pPr>
        <w:spacing w:line="360" w:lineRule="auto"/>
        <w:ind w:firstLine="420"/>
        <w:rPr>
          <w:rFonts w:ascii="宋体" w:hAnsi="宋体" w:cs="宋体"/>
          <w:szCs w:val="21"/>
        </w:rPr>
      </w:pPr>
      <w:r>
        <w:rPr>
          <w:rFonts w:hint="eastAsia" w:ascii="宋体" w:hAnsi="宋体" w:cs="宋体"/>
          <w:szCs w:val="21"/>
        </w:rPr>
        <w:t>7.</w:t>
      </w:r>
      <w:r>
        <w:rPr>
          <w:rFonts w:ascii="宋体" w:hAnsi="宋体" w:cs="宋体"/>
          <w:szCs w:val="21"/>
        </w:rPr>
        <w:t>4</w:t>
      </w:r>
      <w:r>
        <w:rPr>
          <w:rFonts w:hint="eastAsia" w:ascii="宋体" w:hAnsi="宋体" w:cs="宋体"/>
          <w:szCs w:val="21"/>
        </w:rPr>
        <w:t>在政府采购活动中，采购人员及相关人员与供应商有下列利害关系之一的，应当回避：</w:t>
      </w:r>
    </w:p>
    <w:p w14:paraId="2EB6C0AE">
      <w:pPr>
        <w:spacing w:line="360" w:lineRule="auto"/>
        <w:ind w:firstLine="420"/>
        <w:rPr>
          <w:rFonts w:ascii="宋体" w:hAnsi="宋体" w:cs="宋体"/>
          <w:szCs w:val="21"/>
        </w:rPr>
      </w:pPr>
      <w:r>
        <w:rPr>
          <w:rFonts w:hint="eastAsia" w:ascii="宋体" w:hAnsi="宋体" w:cs="宋体"/>
          <w:szCs w:val="21"/>
        </w:rPr>
        <w:t>（1）参加采购活动前3年内与供应商存在劳动关系；</w:t>
      </w:r>
    </w:p>
    <w:p w14:paraId="5EEE7C2C">
      <w:pPr>
        <w:spacing w:line="360" w:lineRule="auto"/>
        <w:ind w:firstLine="420"/>
        <w:rPr>
          <w:rFonts w:ascii="宋体" w:hAnsi="宋体" w:cs="宋体"/>
          <w:szCs w:val="21"/>
        </w:rPr>
      </w:pPr>
      <w:r>
        <w:rPr>
          <w:rFonts w:hint="eastAsia" w:ascii="宋体" w:hAnsi="宋体" w:cs="宋体"/>
          <w:szCs w:val="21"/>
        </w:rPr>
        <w:t>（2）参加采购活动前3年内担任供应商的董事、监事；</w:t>
      </w:r>
    </w:p>
    <w:p w14:paraId="49E85BAA">
      <w:pPr>
        <w:spacing w:line="360" w:lineRule="auto"/>
        <w:ind w:firstLine="420"/>
        <w:rPr>
          <w:rFonts w:ascii="宋体" w:hAnsi="宋体" w:cs="宋体"/>
          <w:szCs w:val="21"/>
        </w:rPr>
      </w:pPr>
      <w:r>
        <w:rPr>
          <w:rFonts w:hint="eastAsia" w:ascii="宋体" w:hAnsi="宋体" w:cs="宋体"/>
          <w:szCs w:val="21"/>
        </w:rPr>
        <w:t>（3）参加采购活动前3年内是供应商的控股股东或者实际控制人；</w:t>
      </w:r>
    </w:p>
    <w:p w14:paraId="6325ADAC">
      <w:pPr>
        <w:spacing w:line="360" w:lineRule="auto"/>
        <w:ind w:firstLine="420"/>
        <w:rPr>
          <w:rFonts w:ascii="宋体" w:hAnsi="宋体" w:cs="宋体"/>
          <w:szCs w:val="21"/>
        </w:rPr>
      </w:pPr>
      <w:r>
        <w:rPr>
          <w:rFonts w:hint="eastAsia" w:ascii="宋体" w:hAnsi="宋体" w:cs="宋体"/>
          <w:szCs w:val="21"/>
        </w:rPr>
        <w:t>（4）与供应商的法定代表人或者负责人有夫妻、直系血亲、三代以内旁系血亲或者近姻亲关系；</w:t>
      </w:r>
    </w:p>
    <w:p w14:paraId="5C35CCCE">
      <w:pPr>
        <w:spacing w:line="360" w:lineRule="auto"/>
        <w:ind w:firstLine="420"/>
        <w:rPr>
          <w:rFonts w:ascii="宋体" w:hAnsi="宋体" w:cs="宋体"/>
          <w:szCs w:val="21"/>
        </w:rPr>
      </w:pPr>
      <w:r>
        <w:rPr>
          <w:rFonts w:hint="eastAsia" w:ascii="宋体" w:hAnsi="宋体" w:cs="宋体"/>
          <w:szCs w:val="21"/>
        </w:rPr>
        <w:t>（5）与供应商有其他可能影响政府采购活动公平、公正进行的关系。</w:t>
      </w:r>
    </w:p>
    <w:p w14:paraId="4D3E34F9">
      <w:pPr>
        <w:spacing w:line="360" w:lineRule="auto"/>
        <w:ind w:firstLine="420"/>
        <w:rPr>
          <w:rFonts w:ascii="宋体" w:hAnsi="宋体" w:cs="宋体"/>
          <w:szCs w:val="21"/>
        </w:rPr>
      </w:pPr>
      <w:r>
        <w:rPr>
          <w:rFonts w:hint="eastAsia" w:ascii="宋体" w:hAnsi="宋体" w:cs="宋体"/>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4E978CAF">
      <w:pPr>
        <w:spacing w:line="360" w:lineRule="auto"/>
        <w:ind w:firstLine="420"/>
        <w:rPr>
          <w:rFonts w:ascii="宋体" w:hAnsi="宋体" w:cs="宋体"/>
          <w:szCs w:val="21"/>
        </w:rPr>
      </w:pPr>
      <w:r>
        <w:rPr>
          <w:rFonts w:hint="eastAsia" w:ascii="宋体" w:hAnsi="宋体" w:cs="宋体"/>
          <w:szCs w:val="21"/>
        </w:rPr>
        <w:t>7.</w:t>
      </w:r>
      <w:r>
        <w:rPr>
          <w:rFonts w:ascii="宋体" w:hAnsi="宋体" w:cs="宋体"/>
          <w:szCs w:val="21"/>
        </w:rPr>
        <w:t>5</w:t>
      </w:r>
      <w:r>
        <w:rPr>
          <w:rFonts w:hint="eastAsia" w:ascii="宋体" w:hAnsi="宋体" w:cs="宋体"/>
          <w:szCs w:val="21"/>
        </w:rPr>
        <w:t>有下列情形之一的视为供应商相互串通竞标，响应文件将被视为无效：</w:t>
      </w:r>
    </w:p>
    <w:p w14:paraId="6F15C362">
      <w:pPr>
        <w:spacing w:line="360" w:lineRule="auto"/>
        <w:ind w:firstLine="420"/>
        <w:rPr>
          <w:rFonts w:ascii="宋体" w:hAnsi="宋体" w:cs="宋体"/>
          <w:szCs w:val="21"/>
        </w:rPr>
      </w:pPr>
      <w:r>
        <w:rPr>
          <w:rFonts w:hint="eastAsia" w:ascii="宋体" w:hAnsi="宋体" w:cs="宋体"/>
          <w:szCs w:val="21"/>
        </w:rPr>
        <w:t xml:space="preserve">（1）不同供应商的响应文件由同一单位或者个人编制,或不同供应商报名的IP地址一致的；或不同供应商竞标设备信息（包括但不限于：IP地址、MAC地址、硬盘号、主板号）一致的； </w:t>
      </w:r>
    </w:p>
    <w:p w14:paraId="7841399D">
      <w:pPr>
        <w:spacing w:line="360" w:lineRule="auto"/>
        <w:ind w:firstLine="420"/>
        <w:rPr>
          <w:rFonts w:ascii="宋体" w:hAnsi="宋体" w:cs="宋体"/>
          <w:szCs w:val="21"/>
        </w:rPr>
      </w:pPr>
      <w:r>
        <w:rPr>
          <w:rFonts w:hint="eastAsia" w:ascii="宋体" w:hAnsi="宋体" w:cs="宋体"/>
          <w:szCs w:val="21"/>
        </w:rPr>
        <w:t>（2）不同供应商委托同一单位或者个人办理竞标事宜；</w:t>
      </w:r>
    </w:p>
    <w:p w14:paraId="1630654F">
      <w:pPr>
        <w:spacing w:line="360" w:lineRule="auto"/>
        <w:ind w:firstLine="420"/>
        <w:rPr>
          <w:rFonts w:ascii="宋体" w:hAnsi="宋体" w:cs="宋体"/>
          <w:szCs w:val="21"/>
        </w:rPr>
      </w:pPr>
      <w:r>
        <w:rPr>
          <w:rFonts w:hint="eastAsia" w:ascii="宋体" w:hAnsi="宋体" w:cs="宋体"/>
          <w:szCs w:val="21"/>
        </w:rPr>
        <w:t>（3）不同的供应商的响应文件载明的项目管理员为同一个人；</w:t>
      </w:r>
    </w:p>
    <w:p w14:paraId="28BC2C69">
      <w:pPr>
        <w:spacing w:line="360" w:lineRule="auto"/>
        <w:ind w:firstLine="420"/>
        <w:rPr>
          <w:rFonts w:ascii="宋体" w:hAnsi="宋体" w:cs="宋体"/>
          <w:szCs w:val="21"/>
        </w:rPr>
      </w:pPr>
      <w:r>
        <w:rPr>
          <w:rFonts w:hint="eastAsia" w:ascii="宋体" w:hAnsi="宋体" w:cs="宋体"/>
          <w:szCs w:val="21"/>
        </w:rPr>
        <w:t>（4）不同供应商的响应文件异常一致或者报价呈规律性差异；</w:t>
      </w:r>
    </w:p>
    <w:p w14:paraId="2FD7DEC2">
      <w:pPr>
        <w:spacing w:line="360" w:lineRule="auto"/>
        <w:ind w:firstLine="420"/>
        <w:rPr>
          <w:rFonts w:ascii="宋体" w:hAnsi="宋体" w:cs="宋体"/>
          <w:szCs w:val="21"/>
        </w:rPr>
      </w:pPr>
      <w:r>
        <w:rPr>
          <w:rFonts w:hint="eastAsia" w:ascii="宋体" w:hAnsi="宋体" w:cs="宋体"/>
          <w:szCs w:val="21"/>
        </w:rPr>
        <w:t>（5）不同供应商的响应文件相互混装；</w:t>
      </w:r>
    </w:p>
    <w:p w14:paraId="58DA49FB">
      <w:pPr>
        <w:tabs>
          <w:tab w:val="left" w:pos="6931"/>
        </w:tabs>
        <w:spacing w:line="360" w:lineRule="auto"/>
        <w:ind w:firstLine="420"/>
        <w:rPr>
          <w:rFonts w:ascii="宋体" w:hAnsi="宋体" w:cs="宋体"/>
          <w:szCs w:val="21"/>
        </w:rPr>
      </w:pPr>
      <w:r>
        <w:rPr>
          <w:rFonts w:hint="eastAsia" w:ascii="宋体" w:hAnsi="宋体" w:cs="宋体"/>
          <w:szCs w:val="21"/>
        </w:rPr>
        <w:t>（6）不同供应商的磋商保证金从同一单位或者个人账户转出。</w:t>
      </w:r>
      <w:r>
        <w:rPr>
          <w:rFonts w:ascii="宋体" w:hAnsi="宋体" w:cs="宋体"/>
          <w:szCs w:val="21"/>
        </w:rPr>
        <w:tab/>
      </w:r>
    </w:p>
    <w:p w14:paraId="48F234C6">
      <w:pPr>
        <w:spacing w:line="360" w:lineRule="auto"/>
        <w:ind w:firstLine="420"/>
        <w:rPr>
          <w:rFonts w:ascii="宋体" w:hAnsi="宋体" w:cs="宋体"/>
          <w:szCs w:val="21"/>
        </w:rPr>
      </w:pPr>
      <w:r>
        <w:rPr>
          <w:rFonts w:hint="eastAsia" w:ascii="宋体" w:hAnsi="宋体" w:cs="宋体"/>
          <w:szCs w:val="21"/>
        </w:rPr>
        <w:t>7.</w:t>
      </w:r>
      <w:r>
        <w:rPr>
          <w:rFonts w:ascii="宋体" w:hAnsi="宋体" w:cs="宋体"/>
          <w:szCs w:val="21"/>
        </w:rPr>
        <w:t>6</w:t>
      </w:r>
      <w:r>
        <w:rPr>
          <w:rFonts w:hint="eastAsia" w:ascii="宋体" w:hAnsi="宋体" w:cs="宋体"/>
          <w:szCs w:val="21"/>
        </w:rPr>
        <w:t>供应商有下列情形之一的，属于恶意串通行为，将报同级监督管理部门：</w:t>
      </w:r>
    </w:p>
    <w:p w14:paraId="534ED0FC">
      <w:pPr>
        <w:spacing w:line="360" w:lineRule="auto"/>
        <w:ind w:firstLine="420"/>
        <w:rPr>
          <w:rFonts w:ascii="宋体" w:hAnsi="宋体" w:cs="宋体"/>
          <w:szCs w:val="21"/>
        </w:rPr>
      </w:pPr>
      <w:r>
        <w:rPr>
          <w:rFonts w:hint="eastAsia" w:ascii="宋体" w:hAnsi="宋体" w:cs="宋体"/>
          <w:szCs w:val="21"/>
        </w:rPr>
        <w:t>（1）供应商直接或者间接从采购人或者采购代理机构处获得其他供应商的相关信息并修改其响应文件；</w:t>
      </w:r>
    </w:p>
    <w:p w14:paraId="23DD51AB">
      <w:pPr>
        <w:spacing w:line="360" w:lineRule="auto"/>
        <w:ind w:firstLine="420"/>
        <w:rPr>
          <w:rFonts w:ascii="宋体" w:hAnsi="宋体" w:cs="宋体"/>
          <w:szCs w:val="21"/>
        </w:rPr>
      </w:pPr>
      <w:r>
        <w:rPr>
          <w:rFonts w:hint="eastAsia" w:ascii="宋体" w:hAnsi="宋体" w:cs="宋体"/>
          <w:szCs w:val="21"/>
        </w:rPr>
        <w:t>（2）供应商按照采购人或者采购代理机构的授意撤换、修改响应文件；</w:t>
      </w:r>
    </w:p>
    <w:p w14:paraId="0425A62A">
      <w:pPr>
        <w:spacing w:line="360" w:lineRule="auto"/>
        <w:ind w:firstLine="420"/>
        <w:rPr>
          <w:rFonts w:ascii="宋体" w:hAnsi="宋体" w:cs="宋体"/>
          <w:szCs w:val="21"/>
        </w:rPr>
      </w:pPr>
      <w:r>
        <w:rPr>
          <w:rFonts w:hint="eastAsia" w:ascii="宋体" w:hAnsi="宋体" w:cs="宋体"/>
          <w:szCs w:val="21"/>
        </w:rPr>
        <w:t>（3）供应商之间协商报价、技术方案等响应文件或者响应文件的实质性内容；</w:t>
      </w:r>
    </w:p>
    <w:p w14:paraId="78A11DB3">
      <w:pPr>
        <w:spacing w:line="360" w:lineRule="auto"/>
        <w:ind w:firstLine="420"/>
        <w:rPr>
          <w:rFonts w:ascii="宋体" w:hAnsi="宋体" w:cs="宋体"/>
          <w:szCs w:val="21"/>
        </w:rPr>
      </w:pPr>
      <w:r>
        <w:rPr>
          <w:rFonts w:hint="eastAsia" w:ascii="宋体" w:hAnsi="宋体" w:cs="宋体"/>
          <w:szCs w:val="21"/>
        </w:rPr>
        <w:t>（4）属于同一集团、协会、商会等组织成员的供应商按照该组织要求协同参加政府采购活动；</w:t>
      </w:r>
    </w:p>
    <w:p w14:paraId="30561DB1">
      <w:pPr>
        <w:spacing w:line="360" w:lineRule="auto"/>
        <w:ind w:firstLine="420"/>
        <w:rPr>
          <w:rFonts w:ascii="宋体" w:hAnsi="宋体" w:cs="宋体"/>
          <w:szCs w:val="21"/>
        </w:rPr>
      </w:pPr>
      <w:r>
        <w:rPr>
          <w:rFonts w:hint="eastAsia" w:ascii="宋体" w:hAnsi="宋体" w:cs="宋体"/>
          <w:szCs w:val="21"/>
        </w:rPr>
        <w:t>（5）供应商之间事先约定一致抬高或者压低报价，或者在政府采购活动中事先约定轮流以高价位或者低价位成交，或者事先约定由某一特定供应商成交，然后再参加竞标；</w:t>
      </w:r>
    </w:p>
    <w:p w14:paraId="7B0E0B4A">
      <w:pPr>
        <w:spacing w:line="360" w:lineRule="auto"/>
        <w:ind w:firstLine="420"/>
        <w:rPr>
          <w:rFonts w:ascii="宋体" w:hAnsi="宋体" w:cs="宋体"/>
          <w:szCs w:val="21"/>
        </w:rPr>
      </w:pPr>
      <w:r>
        <w:rPr>
          <w:rFonts w:hint="eastAsia" w:ascii="宋体" w:hAnsi="宋体" w:cs="宋体"/>
          <w:szCs w:val="21"/>
        </w:rPr>
        <w:t>（6）供应商之间商定部分供应商放弃参加政府采购活动或者放弃成交；</w:t>
      </w:r>
    </w:p>
    <w:p w14:paraId="23FAB1F1">
      <w:pPr>
        <w:spacing w:line="360" w:lineRule="auto"/>
        <w:ind w:firstLine="420"/>
        <w:rPr>
          <w:rFonts w:ascii="宋体" w:hAnsi="宋体" w:cs="宋体"/>
          <w:szCs w:val="21"/>
        </w:rPr>
      </w:pPr>
      <w:r>
        <w:rPr>
          <w:rFonts w:hint="eastAsia" w:ascii="宋体" w:hAnsi="宋体" w:cs="宋体"/>
          <w:szCs w:val="21"/>
        </w:rPr>
        <w:t>（7）供应商与采购人或者采购代理机构之间、供应商相互之间，为谋求特定供应商成交或者排斥其他供应商的其他串通行为。</w:t>
      </w:r>
    </w:p>
    <w:p w14:paraId="15F37EFF">
      <w:pPr>
        <w:spacing w:line="360" w:lineRule="auto"/>
        <w:ind w:firstLine="420"/>
        <w:rPr>
          <w:rFonts w:ascii="宋体" w:hAnsi="宋体" w:cs="宋体"/>
          <w:szCs w:val="21"/>
        </w:rPr>
      </w:pPr>
      <w:r>
        <w:rPr>
          <w:rFonts w:hint="eastAsia" w:ascii="宋体" w:hAnsi="宋体" w:cs="宋体"/>
          <w:szCs w:val="21"/>
        </w:rPr>
        <w:t>7.7现场踏勘相关说明详见“供应商须知前附表”。</w:t>
      </w:r>
    </w:p>
    <w:p w14:paraId="7BB45C45">
      <w:pPr>
        <w:spacing w:line="360" w:lineRule="auto"/>
        <w:ind w:firstLine="420"/>
        <w:rPr>
          <w:rFonts w:ascii="宋体" w:hAnsi="宋体" w:cs="宋体"/>
          <w:szCs w:val="21"/>
        </w:rPr>
      </w:pPr>
    </w:p>
    <w:p w14:paraId="65672ABA">
      <w:pPr>
        <w:spacing w:line="360" w:lineRule="auto"/>
        <w:ind w:left="1" w:firstLine="417"/>
        <w:jc w:val="center"/>
        <w:rPr>
          <w:rFonts w:ascii="宋体" w:hAnsi="宋体"/>
        </w:rPr>
      </w:pPr>
      <w:bookmarkStart w:id="41" w:name="_Toc254970675"/>
      <w:bookmarkStart w:id="42" w:name="_Toc254970534"/>
    </w:p>
    <w:p w14:paraId="347E0A7B">
      <w:pPr>
        <w:spacing w:line="360" w:lineRule="auto"/>
        <w:jc w:val="center"/>
        <w:rPr>
          <w:rFonts w:ascii="宋体" w:hAnsi="宋体"/>
          <w:b/>
          <w:bCs/>
          <w:sz w:val="32"/>
          <w:szCs w:val="32"/>
        </w:rPr>
      </w:pPr>
      <w:r>
        <w:rPr>
          <w:rFonts w:hint="eastAsia" w:ascii="宋体" w:hAnsi="宋体"/>
          <w:b/>
          <w:bCs/>
          <w:sz w:val="32"/>
          <w:szCs w:val="32"/>
        </w:rPr>
        <w:t>二、磋商文件</w:t>
      </w:r>
      <w:bookmarkEnd w:id="41"/>
      <w:bookmarkEnd w:id="42"/>
    </w:p>
    <w:p w14:paraId="14EC77C3">
      <w:pPr>
        <w:spacing w:line="360" w:lineRule="auto"/>
        <w:rPr>
          <w:rFonts w:ascii="宋体" w:hAnsi="宋体"/>
          <w:szCs w:val="21"/>
        </w:rPr>
      </w:pPr>
    </w:p>
    <w:p w14:paraId="4D9A3121">
      <w:pPr>
        <w:spacing w:line="360" w:lineRule="auto"/>
        <w:ind w:firstLine="482"/>
        <w:rPr>
          <w:rFonts w:ascii="黑体" w:hAnsi="黑体" w:eastAsia="黑体" w:cs="宋体"/>
          <w:b/>
          <w:bCs/>
          <w:sz w:val="24"/>
        </w:rPr>
      </w:pPr>
      <w:r>
        <w:rPr>
          <w:rFonts w:hint="eastAsia" w:ascii="黑体" w:hAnsi="黑体" w:eastAsia="黑体" w:cs="宋体"/>
          <w:b/>
          <w:bCs/>
          <w:sz w:val="24"/>
        </w:rPr>
        <w:t>8.磋商文件的构成</w:t>
      </w:r>
    </w:p>
    <w:p w14:paraId="25A6C413">
      <w:pPr>
        <w:spacing w:line="360" w:lineRule="auto"/>
        <w:ind w:firstLine="420"/>
        <w:jc w:val="left"/>
        <w:rPr>
          <w:rFonts w:ascii="宋体" w:hAnsi="宋体"/>
          <w:szCs w:val="21"/>
        </w:rPr>
      </w:pPr>
      <w:r>
        <w:rPr>
          <w:rFonts w:hint="eastAsia" w:ascii="宋体" w:hAnsi="宋体"/>
          <w:szCs w:val="21"/>
        </w:rPr>
        <w:t>（1）竞争性磋商公告；</w:t>
      </w:r>
    </w:p>
    <w:p w14:paraId="2E7BEAF1">
      <w:pPr>
        <w:spacing w:line="360" w:lineRule="auto"/>
        <w:ind w:firstLine="420"/>
        <w:jc w:val="left"/>
        <w:rPr>
          <w:rFonts w:ascii="宋体" w:hAnsi="宋体"/>
          <w:szCs w:val="21"/>
        </w:rPr>
      </w:pPr>
      <w:r>
        <w:rPr>
          <w:rFonts w:hint="eastAsia" w:ascii="宋体" w:hAnsi="宋体"/>
          <w:szCs w:val="21"/>
        </w:rPr>
        <w:t xml:space="preserve">（2）供应商须知； </w:t>
      </w:r>
    </w:p>
    <w:p w14:paraId="47A0A9BC">
      <w:pPr>
        <w:spacing w:line="360" w:lineRule="auto"/>
        <w:ind w:firstLine="420"/>
        <w:jc w:val="left"/>
        <w:rPr>
          <w:rFonts w:ascii="宋体" w:hAnsi="宋体"/>
          <w:szCs w:val="21"/>
        </w:rPr>
      </w:pPr>
      <w:r>
        <w:rPr>
          <w:rFonts w:hint="eastAsia" w:ascii="宋体" w:hAnsi="宋体"/>
          <w:szCs w:val="21"/>
        </w:rPr>
        <w:t>（3）采购需求；</w:t>
      </w:r>
    </w:p>
    <w:p w14:paraId="033C015C">
      <w:pPr>
        <w:spacing w:line="360" w:lineRule="auto"/>
        <w:ind w:firstLine="420"/>
        <w:jc w:val="left"/>
        <w:rPr>
          <w:rFonts w:ascii="宋体" w:hAnsi="宋体"/>
          <w:szCs w:val="21"/>
        </w:rPr>
      </w:pPr>
      <w:r>
        <w:rPr>
          <w:rFonts w:hint="eastAsia" w:ascii="宋体" w:hAnsi="宋体"/>
          <w:szCs w:val="21"/>
        </w:rPr>
        <w:t>（4）评审程序、评审方法和评审标准；</w:t>
      </w:r>
    </w:p>
    <w:p w14:paraId="2F5B9C00">
      <w:pPr>
        <w:spacing w:line="360" w:lineRule="auto"/>
        <w:ind w:firstLine="420"/>
        <w:jc w:val="left"/>
        <w:rPr>
          <w:rFonts w:ascii="宋体" w:hAnsi="宋体"/>
          <w:szCs w:val="21"/>
        </w:rPr>
      </w:pPr>
      <w:r>
        <w:rPr>
          <w:rFonts w:hint="eastAsia" w:ascii="宋体" w:hAnsi="宋体"/>
          <w:szCs w:val="21"/>
        </w:rPr>
        <w:t>（5）响应文件格式；</w:t>
      </w:r>
    </w:p>
    <w:p w14:paraId="124F00F6">
      <w:pPr>
        <w:spacing w:line="360" w:lineRule="auto"/>
        <w:ind w:firstLine="420"/>
        <w:jc w:val="left"/>
        <w:rPr>
          <w:rFonts w:ascii="宋体" w:hAnsi="宋体"/>
          <w:szCs w:val="21"/>
        </w:rPr>
      </w:pPr>
      <w:r>
        <w:rPr>
          <w:rFonts w:hint="eastAsia" w:ascii="宋体" w:hAnsi="宋体"/>
          <w:szCs w:val="21"/>
        </w:rPr>
        <w:t>（6）合同文本。</w:t>
      </w:r>
    </w:p>
    <w:p w14:paraId="11FBBB67">
      <w:pPr>
        <w:spacing w:line="360" w:lineRule="auto"/>
        <w:ind w:firstLine="482"/>
        <w:rPr>
          <w:rFonts w:ascii="黑体" w:hAnsi="黑体" w:eastAsia="黑体" w:cs="宋体"/>
          <w:b/>
          <w:bCs/>
          <w:sz w:val="24"/>
        </w:rPr>
      </w:pPr>
      <w:r>
        <w:rPr>
          <w:rFonts w:hint="eastAsia" w:ascii="黑体" w:hAnsi="黑体" w:eastAsia="黑体" w:cs="宋体"/>
          <w:b/>
          <w:bCs/>
          <w:sz w:val="24"/>
        </w:rPr>
        <w:t>9.供应商的询问</w:t>
      </w:r>
    </w:p>
    <w:p w14:paraId="5A38F214">
      <w:pPr>
        <w:spacing w:line="360" w:lineRule="auto"/>
        <w:ind w:firstLine="420"/>
        <w:rPr>
          <w:rFonts w:ascii="宋体" w:hAnsi="宋体"/>
          <w:szCs w:val="21"/>
        </w:rPr>
      </w:pPr>
      <w:r>
        <w:rPr>
          <w:rFonts w:hint="eastAsia" w:ascii="宋体" w:hAnsi="宋体"/>
          <w:szCs w:val="21"/>
        </w:rPr>
        <w:t>供应商应认真阅读磋商文件的采购需求，如供应商对磋商文件有疑问的，如要求采购人作出澄清或者修改的，供应商应在</w:t>
      </w:r>
      <w:r>
        <w:rPr>
          <w:rFonts w:ascii="宋体" w:hAnsi="宋体"/>
          <w:szCs w:val="21"/>
        </w:rPr>
        <w:t>提交首次响应文件截止之日前</w:t>
      </w:r>
      <w:r>
        <w:rPr>
          <w:rFonts w:hint="eastAsia" w:ascii="宋体" w:hAnsi="宋体"/>
          <w:szCs w:val="21"/>
        </w:rPr>
        <w:t>，以书面形式向</w:t>
      </w:r>
      <w:r>
        <w:rPr>
          <w:rFonts w:ascii="宋体" w:hAnsi="宋体"/>
          <w:szCs w:val="21"/>
        </w:rPr>
        <w:t>采购人、采购代理机构</w:t>
      </w:r>
      <w:r>
        <w:rPr>
          <w:rFonts w:hint="eastAsia" w:ascii="宋体" w:hAnsi="宋体"/>
          <w:szCs w:val="21"/>
        </w:rPr>
        <w:t>提出。</w:t>
      </w:r>
    </w:p>
    <w:p w14:paraId="5B651A55">
      <w:pPr>
        <w:spacing w:line="360" w:lineRule="auto"/>
        <w:ind w:firstLine="482"/>
        <w:rPr>
          <w:rFonts w:ascii="黑体" w:hAnsi="黑体" w:eastAsia="黑体" w:cs="宋体"/>
          <w:b/>
          <w:bCs/>
          <w:sz w:val="24"/>
        </w:rPr>
      </w:pPr>
      <w:r>
        <w:rPr>
          <w:rFonts w:hint="eastAsia" w:ascii="黑体" w:hAnsi="黑体" w:eastAsia="黑体" w:cs="宋体"/>
          <w:b/>
          <w:bCs/>
          <w:sz w:val="24"/>
        </w:rPr>
        <w:t>10.磋商文件的澄清和修改</w:t>
      </w:r>
    </w:p>
    <w:p w14:paraId="7F578889">
      <w:pPr>
        <w:spacing w:line="360" w:lineRule="auto"/>
        <w:ind w:firstLine="420"/>
        <w:rPr>
          <w:rFonts w:ascii="宋体" w:hAnsi="宋体"/>
          <w:szCs w:val="21"/>
        </w:rPr>
      </w:pPr>
      <w:r>
        <w:rPr>
          <w:rFonts w:ascii="宋体" w:hAnsi="宋体"/>
          <w:szCs w:val="21"/>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通知所有</w:t>
      </w:r>
      <w:r>
        <w:rPr>
          <w:rFonts w:hint="eastAsia" w:ascii="宋体" w:hAnsi="宋体"/>
          <w:szCs w:val="21"/>
        </w:rPr>
        <w:t>获取</w:t>
      </w:r>
      <w:r>
        <w:rPr>
          <w:rFonts w:ascii="宋体" w:hAnsi="宋体"/>
          <w:szCs w:val="21"/>
        </w:rPr>
        <w:t>磋商文件的供应商，不足3个工作日的，应当顺延提交首次响应文件截止之日。</w:t>
      </w:r>
    </w:p>
    <w:p w14:paraId="20892BF8">
      <w:pPr>
        <w:spacing w:line="360" w:lineRule="auto"/>
        <w:rPr>
          <w:rFonts w:ascii="宋体" w:hAnsi="宋体"/>
          <w:szCs w:val="21"/>
        </w:rPr>
      </w:pPr>
    </w:p>
    <w:p w14:paraId="243476BF">
      <w:pPr>
        <w:spacing w:line="360" w:lineRule="auto"/>
        <w:jc w:val="center"/>
        <w:rPr>
          <w:rFonts w:ascii="宋体" w:hAnsi="宋体"/>
          <w:b/>
          <w:bCs/>
          <w:szCs w:val="21"/>
        </w:rPr>
      </w:pPr>
      <w:r>
        <w:rPr>
          <w:rFonts w:hint="eastAsia" w:ascii="宋体" w:hAnsi="宋体"/>
          <w:b/>
          <w:bCs/>
          <w:sz w:val="32"/>
          <w:szCs w:val="32"/>
        </w:rPr>
        <w:t>三、响应文件的编制</w:t>
      </w:r>
    </w:p>
    <w:p w14:paraId="2F1B6158">
      <w:pPr>
        <w:spacing w:line="360" w:lineRule="auto"/>
        <w:rPr>
          <w:rFonts w:ascii="宋体" w:hAnsi="宋体"/>
          <w:szCs w:val="21"/>
        </w:rPr>
      </w:pPr>
    </w:p>
    <w:p w14:paraId="7585624C">
      <w:pPr>
        <w:spacing w:line="360" w:lineRule="auto"/>
        <w:ind w:firstLine="482"/>
        <w:rPr>
          <w:rFonts w:ascii="黑体" w:hAnsi="黑体" w:eastAsia="黑体" w:cs="宋体"/>
          <w:b/>
          <w:bCs/>
          <w:sz w:val="24"/>
        </w:rPr>
      </w:pPr>
      <w:r>
        <w:rPr>
          <w:rFonts w:hint="eastAsia" w:ascii="黑体" w:hAnsi="黑体" w:eastAsia="黑体" w:cs="宋体"/>
          <w:b/>
          <w:bCs/>
          <w:sz w:val="24"/>
        </w:rPr>
        <w:t>11.响应文件的编制原则</w:t>
      </w:r>
    </w:p>
    <w:p w14:paraId="59A733B6">
      <w:pPr>
        <w:spacing w:line="360" w:lineRule="auto"/>
        <w:ind w:firstLine="420"/>
        <w:rPr>
          <w:rFonts w:ascii="宋体" w:hAnsi="宋体" w:cs="宋体"/>
          <w:szCs w:val="21"/>
        </w:rPr>
      </w:pPr>
      <w:r>
        <w:rPr>
          <w:rFonts w:hint="eastAsia" w:ascii="宋体" w:hAnsi="宋体" w:cs="宋体"/>
          <w:szCs w:val="21"/>
        </w:rPr>
        <w:t>供应商必须按照磋商文件的要求编制响应文件，并对其提交的响应文件的真实性、合法性承担法律责任。响应文件必须对磋商文件</w:t>
      </w:r>
      <w:r>
        <w:rPr>
          <w:rFonts w:hint="eastAsia" w:ascii="宋体" w:hAnsi="宋体"/>
          <w:szCs w:val="21"/>
        </w:rPr>
        <w:t>提出的要求和条件作出明确响应</w:t>
      </w:r>
      <w:r>
        <w:rPr>
          <w:rFonts w:hint="eastAsia" w:ascii="宋体" w:hAnsi="宋体" w:cs="宋体"/>
          <w:szCs w:val="21"/>
        </w:rPr>
        <w:t>。</w:t>
      </w:r>
    </w:p>
    <w:p w14:paraId="07A03A0F">
      <w:pPr>
        <w:spacing w:line="360" w:lineRule="auto"/>
        <w:ind w:firstLine="482"/>
        <w:rPr>
          <w:rFonts w:ascii="黑体" w:hAnsi="黑体" w:eastAsia="黑体" w:cs="宋体"/>
          <w:b/>
          <w:bCs/>
          <w:sz w:val="24"/>
        </w:rPr>
      </w:pPr>
      <w:r>
        <w:rPr>
          <w:rFonts w:hint="eastAsia" w:ascii="黑体" w:hAnsi="黑体" w:eastAsia="黑体" w:cs="宋体"/>
          <w:b/>
          <w:bCs/>
          <w:sz w:val="24"/>
        </w:rPr>
        <w:t>12.响应文件的组成</w:t>
      </w:r>
    </w:p>
    <w:p w14:paraId="5980F736">
      <w:pPr>
        <w:spacing w:line="360" w:lineRule="auto"/>
        <w:ind w:firstLine="420"/>
        <w:rPr>
          <w:rFonts w:ascii="宋体" w:hAnsi="宋体" w:cs="宋体"/>
          <w:szCs w:val="21"/>
        </w:rPr>
      </w:pPr>
      <w:r>
        <w:rPr>
          <w:rFonts w:hint="eastAsia" w:ascii="宋体" w:hAnsi="宋体" w:cs="宋体"/>
          <w:szCs w:val="21"/>
        </w:rPr>
        <w:t>12.1响应文件由资格证明文件、报价文件、商务技术文件三部分组成。</w:t>
      </w:r>
    </w:p>
    <w:p w14:paraId="02B364C0">
      <w:pPr>
        <w:spacing w:line="360" w:lineRule="auto"/>
        <w:ind w:left="840" w:hanging="420"/>
        <w:rPr>
          <w:rFonts w:ascii="宋体" w:hAnsi="宋体" w:cs="宋体"/>
          <w:szCs w:val="21"/>
        </w:rPr>
      </w:pPr>
      <w:r>
        <w:rPr>
          <w:rFonts w:hint="eastAsia" w:ascii="宋体" w:hAnsi="宋体" w:cs="宋体"/>
          <w:szCs w:val="21"/>
        </w:rPr>
        <w:t>12.1.1资格证明文件：详见“供应商须知前附表”</w:t>
      </w:r>
    </w:p>
    <w:p w14:paraId="0ADA6DCC">
      <w:pPr>
        <w:spacing w:line="360" w:lineRule="auto"/>
        <w:ind w:left="840" w:hanging="420"/>
        <w:rPr>
          <w:rFonts w:ascii="宋体" w:hAnsi="宋体" w:cs="宋体"/>
          <w:szCs w:val="21"/>
        </w:rPr>
      </w:pPr>
      <w:r>
        <w:rPr>
          <w:rFonts w:hint="eastAsia" w:ascii="宋体" w:hAnsi="宋体" w:cs="宋体"/>
          <w:szCs w:val="21"/>
        </w:rPr>
        <w:t>12.1.2报价文件：详见“供应商须知前附表”</w:t>
      </w:r>
    </w:p>
    <w:p w14:paraId="7E46D903">
      <w:pPr>
        <w:spacing w:line="360" w:lineRule="auto"/>
        <w:ind w:left="840" w:hanging="420"/>
        <w:rPr>
          <w:rFonts w:ascii="宋体" w:hAnsi="宋体" w:cs="宋体"/>
          <w:szCs w:val="21"/>
        </w:rPr>
      </w:pPr>
      <w:r>
        <w:rPr>
          <w:rFonts w:hint="eastAsia" w:ascii="宋体" w:hAnsi="宋体" w:cs="宋体"/>
          <w:szCs w:val="21"/>
        </w:rPr>
        <w:t>12.1.3商务技术文件：详见“供应商须知前附表”</w:t>
      </w:r>
    </w:p>
    <w:p w14:paraId="0CB0A526">
      <w:pPr>
        <w:spacing w:line="360" w:lineRule="auto"/>
        <w:ind w:firstLine="482"/>
        <w:rPr>
          <w:rFonts w:ascii="黑体" w:hAnsi="黑体" w:eastAsia="黑体" w:cs="宋体"/>
          <w:b/>
          <w:bCs/>
          <w:sz w:val="24"/>
        </w:rPr>
      </w:pPr>
      <w:r>
        <w:rPr>
          <w:rFonts w:hint="eastAsia" w:ascii="黑体" w:hAnsi="黑体" w:eastAsia="黑体" w:cs="宋体"/>
          <w:b/>
          <w:bCs/>
          <w:sz w:val="24"/>
        </w:rPr>
        <w:t>13.计量单位</w:t>
      </w:r>
    </w:p>
    <w:p w14:paraId="3B3C1BF9">
      <w:pPr>
        <w:spacing w:line="360" w:lineRule="auto"/>
        <w:ind w:firstLine="420"/>
        <w:rPr>
          <w:rFonts w:ascii="宋体" w:hAnsi="宋体" w:cs="宋体"/>
          <w:szCs w:val="21"/>
        </w:rPr>
      </w:pPr>
      <w:r>
        <w:rPr>
          <w:rFonts w:hint="eastAsia" w:ascii="宋体" w:hAnsi="宋体" w:cs="宋体"/>
          <w:szCs w:val="21"/>
        </w:rPr>
        <w:t>磋商文件已有明确规定的，使用磋商文件规定的计量单位；磋商文件没有规定的，应采用中华人民共和国法定计量单位，货币种类为人民币，否则视同未响应。</w:t>
      </w:r>
    </w:p>
    <w:p w14:paraId="51882FC8">
      <w:pPr>
        <w:spacing w:line="360" w:lineRule="auto"/>
        <w:ind w:firstLine="482"/>
        <w:rPr>
          <w:rFonts w:ascii="黑体" w:hAnsi="黑体" w:eastAsia="黑体" w:cs="宋体"/>
          <w:b/>
          <w:bCs/>
          <w:sz w:val="24"/>
        </w:rPr>
      </w:pPr>
      <w:r>
        <w:rPr>
          <w:rFonts w:hint="eastAsia" w:ascii="黑体" w:hAnsi="黑体" w:eastAsia="黑体" w:cs="宋体"/>
          <w:b/>
          <w:bCs/>
          <w:sz w:val="24"/>
        </w:rPr>
        <w:t>14.竞标的风险</w:t>
      </w:r>
    </w:p>
    <w:p w14:paraId="4E559E2A">
      <w:pPr>
        <w:spacing w:line="360" w:lineRule="auto"/>
        <w:ind w:firstLine="420"/>
        <w:rPr>
          <w:rFonts w:ascii="宋体" w:hAnsi="宋体" w:cs="宋体"/>
          <w:szCs w:val="21"/>
        </w:rPr>
      </w:pPr>
      <w:r>
        <w:rPr>
          <w:rFonts w:hint="eastAsia" w:ascii="宋体" w:hAnsi="宋体" w:cs="宋体"/>
          <w:szCs w:val="21"/>
        </w:rPr>
        <w:t>供应商没有按照磋商文件要求提供全部资料，或者供应商没有对磋商文件在各方面作出实质性响应可能导致其响应无效，是供应商应当考虑的风险。</w:t>
      </w:r>
    </w:p>
    <w:p w14:paraId="3FDC98AC">
      <w:pPr>
        <w:spacing w:line="360" w:lineRule="auto"/>
        <w:ind w:firstLine="482"/>
        <w:rPr>
          <w:rFonts w:ascii="黑体" w:hAnsi="黑体" w:eastAsia="黑体" w:cs="宋体"/>
          <w:b/>
          <w:bCs/>
          <w:sz w:val="24"/>
        </w:rPr>
      </w:pPr>
      <w:r>
        <w:rPr>
          <w:rFonts w:hint="eastAsia" w:ascii="黑体" w:hAnsi="黑体" w:eastAsia="黑体" w:cs="宋体"/>
          <w:b/>
          <w:bCs/>
          <w:sz w:val="24"/>
        </w:rPr>
        <w:t>15.竞标报价</w:t>
      </w:r>
    </w:p>
    <w:p w14:paraId="2C02ED4C">
      <w:pPr>
        <w:tabs>
          <w:tab w:val="left" w:pos="2492"/>
        </w:tabs>
        <w:spacing w:line="360" w:lineRule="auto"/>
        <w:ind w:firstLine="420"/>
        <w:rPr>
          <w:rFonts w:ascii="宋体" w:hAnsi="宋体" w:cs="宋体"/>
          <w:szCs w:val="21"/>
        </w:rPr>
      </w:pPr>
      <w:r>
        <w:rPr>
          <w:rFonts w:hint="eastAsia" w:ascii="宋体" w:hAnsi="宋体" w:cs="宋体"/>
          <w:szCs w:val="21"/>
        </w:rPr>
        <w:t>15.1竞标报价应按磋商文件中“竞标报价表”格式填写。</w:t>
      </w:r>
    </w:p>
    <w:p w14:paraId="71B9F5EB">
      <w:pPr>
        <w:tabs>
          <w:tab w:val="left" w:pos="2492"/>
        </w:tabs>
        <w:spacing w:line="360" w:lineRule="auto"/>
        <w:ind w:firstLine="420"/>
        <w:rPr>
          <w:rFonts w:ascii="宋体" w:hAnsi="宋体" w:cs="宋体"/>
          <w:szCs w:val="21"/>
        </w:rPr>
      </w:pPr>
      <w:r>
        <w:rPr>
          <w:rFonts w:hint="eastAsia" w:ascii="宋体" w:hAnsi="宋体" w:cs="宋体"/>
          <w:szCs w:val="21"/>
        </w:rPr>
        <w:t>15.2竞标报价的内容见“供应商须知前附表”。</w:t>
      </w:r>
    </w:p>
    <w:p w14:paraId="64027243">
      <w:pPr>
        <w:spacing w:line="360" w:lineRule="auto"/>
        <w:ind w:left="426"/>
        <w:rPr>
          <w:rFonts w:ascii="宋体" w:hAnsi="宋体" w:cs="宋体"/>
          <w:szCs w:val="21"/>
        </w:rPr>
      </w:pPr>
      <w:r>
        <w:rPr>
          <w:rFonts w:hint="eastAsia" w:ascii="宋体" w:hAnsi="宋体" w:cs="宋体"/>
          <w:szCs w:val="21"/>
        </w:rPr>
        <w:t>15.3竞标报价要求</w:t>
      </w:r>
    </w:p>
    <w:p w14:paraId="2A620A54">
      <w:pPr>
        <w:spacing w:line="360" w:lineRule="auto"/>
        <w:ind w:firstLine="420"/>
        <w:rPr>
          <w:rFonts w:ascii="宋体" w:hAnsi="宋体" w:cs="宋体"/>
          <w:szCs w:val="21"/>
        </w:rPr>
      </w:pPr>
      <w:r>
        <w:rPr>
          <w:rFonts w:hint="eastAsia" w:ascii="宋体" w:hAnsi="宋体" w:cs="宋体"/>
          <w:szCs w:val="21"/>
        </w:rPr>
        <w:t>1</w:t>
      </w:r>
      <w:r>
        <w:rPr>
          <w:rFonts w:ascii="宋体" w:hAnsi="宋体" w:cs="宋体"/>
          <w:szCs w:val="21"/>
        </w:rPr>
        <w:t>5.3.1</w:t>
      </w:r>
      <w:r>
        <w:rPr>
          <w:rFonts w:hint="eastAsia" w:ascii="宋体" w:hAnsi="宋体" w:cs="宋体"/>
          <w:szCs w:val="21"/>
        </w:rPr>
        <w:t>供应商的竞标报价应符合以下要求，否则响应文件按无效响应处理：</w:t>
      </w:r>
    </w:p>
    <w:p w14:paraId="5D4D5237">
      <w:pPr>
        <w:spacing w:line="360" w:lineRule="auto"/>
        <w:ind w:left="420"/>
        <w:rPr>
          <w:rFonts w:ascii="宋体" w:hAnsi="宋体" w:cs="宋体"/>
          <w:szCs w:val="21"/>
        </w:rPr>
      </w:pPr>
      <w:r>
        <w:rPr>
          <w:rFonts w:hint="eastAsia" w:ascii="宋体" w:hAnsi="宋体" w:cs="宋体"/>
          <w:szCs w:val="21"/>
        </w:rPr>
        <w:t>（1）供应商必须就“采购需求”中所竞标的每个分标的全部内容分别作完整唯一总价报价，</w:t>
      </w:r>
    </w:p>
    <w:p w14:paraId="51FFA01B">
      <w:pPr>
        <w:spacing w:line="360" w:lineRule="auto"/>
        <w:rPr>
          <w:rFonts w:ascii="宋体" w:hAnsi="宋体" w:cs="宋体"/>
          <w:szCs w:val="21"/>
        </w:rPr>
      </w:pPr>
      <w:r>
        <w:rPr>
          <w:rFonts w:hint="eastAsia" w:ascii="宋体" w:hAnsi="宋体" w:cs="宋体"/>
          <w:szCs w:val="21"/>
        </w:rPr>
        <w:t>不得存在漏项报价；</w:t>
      </w:r>
    </w:p>
    <w:p w14:paraId="0E65E354">
      <w:pPr>
        <w:spacing w:line="360" w:lineRule="auto"/>
        <w:ind w:firstLine="420"/>
        <w:rPr>
          <w:rFonts w:ascii="宋体" w:hAns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）供应商必须就所竞标的分标的单项内容作唯一报价。</w:t>
      </w:r>
    </w:p>
    <w:p w14:paraId="5F0FD436">
      <w:pPr>
        <w:spacing w:line="360" w:lineRule="auto"/>
        <w:ind w:firstLine="420"/>
        <w:rPr>
          <w:rFonts w:ascii="宋体" w:hAnsi="宋体" w:cs="宋体"/>
          <w:szCs w:val="21"/>
        </w:rPr>
      </w:pPr>
      <w:r>
        <w:rPr>
          <w:rFonts w:hint="eastAsia" w:ascii="宋体" w:hAnsi="宋体" w:cs="宋体"/>
          <w:szCs w:val="21"/>
        </w:rPr>
        <w:t>15.3.</w:t>
      </w:r>
      <w:r>
        <w:rPr>
          <w:rFonts w:ascii="宋体" w:hAnsi="宋体" w:cs="宋体"/>
          <w:szCs w:val="21"/>
        </w:rPr>
        <w:t>2</w:t>
      </w:r>
      <w:r>
        <w:rPr>
          <w:rFonts w:hint="eastAsia" w:ascii="宋体" w:hAnsi="宋体" w:cs="宋体"/>
          <w:szCs w:val="21"/>
        </w:rPr>
        <w:t>竞标报价（包含首次报价、最后报价）超过所竞标分标规定的采购预算金额或者最高限价的，其响应文件将按无效处理。</w:t>
      </w:r>
    </w:p>
    <w:p w14:paraId="5A8E2ADC">
      <w:pPr>
        <w:spacing w:line="360" w:lineRule="auto"/>
        <w:ind w:firstLine="420"/>
        <w:rPr>
          <w:rFonts w:ascii="宋体" w:hAnsi="宋体" w:cs="宋体"/>
          <w:szCs w:val="21"/>
        </w:rPr>
      </w:pPr>
      <w:r>
        <w:rPr>
          <w:rFonts w:hint="eastAsia" w:ascii="宋体" w:hAnsi="宋体" w:cs="宋体"/>
          <w:szCs w:val="21"/>
        </w:rPr>
        <w:t>15.3.</w:t>
      </w:r>
      <w:r>
        <w:rPr>
          <w:rFonts w:ascii="宋体" w:hAnsi="宋体" w:cs="宋体"/>
          <w:szCs w:val="21"/>
        </w:rPr>
        <w:t>3</w:t>
      </w:r>
      <w:bookmarkStart w:id="43" w:name="_Hlk42592874"/>
      <w:r>
        <w:rPr>
          <w:rFonts w:hint="eastAsia" w:ascii="宋体" w:hAnsi="宋体" w:cs="宋体"/>
          <w:szCs w:val="21"/>
        </w:rPr>
        <w:t>竞标报价（包含首次报价、最后报价）超过分项采购预算金额或者最高限价的，其响应文件将按无效处理。</w:t>
      </w:r>
      <w:bookmarkEnd w:id="43"/>
    </w:p>
    <w:p w14:paraId="7F8581E8">
      <w:pPr>
        <w:spacing w:line="360" w:lineRule="auto"/>
        <w:ind w:firstLine="482"/>
        <w:rPr>
          <w:rFonts w:ascii="黑体" w:hAnsi="黑体" w:eastAsia="黑体" w:cs="宋体"/>
          <w:b/>
          <w:bCs/>
          <w:sz w:val="24"/>
        </w:rPr>
      </w:pPr>
      <w:r>
        <w:rPr>
          <w:rFonts w:hint="eastAsia" w:ascii="黑体" w:hAnsi="黑体" w:eastAsia="黑体" w:cs="宋体"/>
          <w:b/>
          <w:bCs/>
          <w:sz w:val="24"/>
        </w:rPr>
        <w:t>16.竞标有效期</w:t>
      </w:r>
    </w:p>
    <w:p w14:paraId="15CD764F">
      <w:pPr>
        <w:spacing w:line="360" w:lineRule="auto"/>
        <w:ind w:firstLine="420"/>
        <w:rPr>
          <w:rFonts w:ascii="宋体" w:hAnsi="宋体" w:cs="宋体"/>
          <w:szCs w:val="21"/>
        </w:rPr>
      </w:pPr>
      <w:r>
        <w:rPr>
          <w:rFonts w:hint="eastAsia" w:ascii="宋体" w:hAnsi="宋体" w:cs="宋体"/>
          <w:szCs w:val="21"/>
        </w:rPr>
        <w:t>16.1竞标有效期是指为保证采购人有足够的时间在提交响应文件后完成评审、确定成交供应商、合同签订等工作而要求供应商提交的响应文件在一定时间内保持有效的期限。</w:t>
      </w:r>
    </w:p>
    <w:p w14:paraId="450CB9B6">
      <w:pPr>
        <w:spacing w:line="360" w:lineRule="auto"/>
        <w:ind w:firstLine="420"/>
        <w:rPr>
          <w:rFonts w:ascii="宋体" w:hAnsi="宋体" w:cs="宋体"/>
          <w:szCs w:val="21"/>
        </w:rPr>
      </w:pPr>
      <w:r>
        <w:rPr>
          <w:rFonts w:hint="eastAsia" w:ascii="宋体" w:hAnsi="宋体" w:cs="宋体"/>
          <w:szCs w:val="21"/>
        </w:rPr>
        <w:t>16.2 竞标有效期应由供应商按“供应商须知前附表”规定的期限作出响应。</w:t>
      </w:r>
      <w:r>
        <w:rPr>
          <w:rFonts w:hint="eastAsia" w:ascii="宋体" w:hAnsi="宋体"/>
          <w:szCs w:val="21"/>
        </w:rPr>
        <w:t>承诺的竞标有效期低于采购文件规定期限的，供应商的响应文件作无效处理。</w:t>
      </w:r>
    </w:p>
    <w:p w14:paraId="11DFB442">
      <w:pPr>
        <w:spacing w:line="360" w:lineRule="auto"/>
        <w:ind w:firstLine="420"/>
        <w:rPr>
          <w:rFonts w:ascii="宋体" w:hAnsi="宋体" w:cs="宋体"/>
          <w:szCs w:val="21"/>
        </w:rPr>
      </w:pPr>
      <w:r>
        <w:rPr>
          <w:rFonts w:hint="eastAsia" w:ascii="宋体" w:hAnsi="宋体" w:cs="宋体"/>
          <w:szCs w:val="21"/>
        </w:rPr>
        <w:t>16.3供应商的响应文件在竞标有效期内均保持有效。</w:t>
      </w:r>
    </w:p>
    <w:p w14:paraId="28D33D83">
      <w:pPr>
        <w:spacing w:line="360" w:lineRule="auto"/>
        <w:ind w:firstLine="482"/>
        <w:rPr>
          <w:rFonts w:ascii="黑体" w:hAnsi="黑体" w:eastAsia="黑体" w:cs="宋体"/>
          <w:b/>
          <w:bCs/>
          <w:sz w:val="24"/>
        </w:rPr>
      </w:pPr>
      <w:r>
        <w:rPr>
          <w:rFonts w:hint="eastAsia" w:ascii="黑体" w:hAnsi="黑体" w:eastAsia="黑体" w:cs="宋体"/>
          <w:b/>
          <w:bCs/>
          <w:sz w:val="24"/>
        </w:rPr>
        <w:t>17.磋商保证金</w:t>
      </w:r>
    </w:p>
    <w:p w14:paraId="1D6BB28A">
      <w:pPr>
        <w:spacing w:line="360" w:lineRule="auto"/>
        <w:ind w:left="420"/>
        <w:rPr>
          <w:rFonts w:ascii="宋体" w:hAnsi="宋体" w:cs="宋体"/>
          <w:szCs w:val="21"/>
        </w:rPr>
      </w:pPr>
      <w:r>
        <w:rPr>
          <w:rFonts w:hint="eastAsia" w:ascii="宋体" w:hAnsi="宋体" w:cs="宋体"/>
          <w:szCs w:val="21"/>
        </w:rPr>
        <w:t>17.1供应商须按“供应商须知前附表”的规定提交磋商保证金。</w:t>
      </w:r>
    </w:p>
    <w:p w14:paraId="58E66156">
      <w:pPr>
        <w:spacing w:line="360" w:lineRule="auto"/>
        <w:ind w:left="420"/>
        <w:rPr>
          <w:rFonts w:ascii="宋体" w:hAnsi="宋体" w:cs="宋体"/>
          <w:szCs w:val="21"/>
        </w:rPr>
      </w:pPr>
      <w:r>
        <w:rPr>
          <w:rFonts w:hint="eastAsia" w:ascii="宋体" w:hAnsi="宋体" w:cs="宋体"/>
          <w:szCs w:val="21"/>
        </w:rPr>
        <w:t>17.2磋商保证金的退还</w:t>
      </w:r>
    </w:p>
    <w:p w14:paraId="1B351016">
      <w:pPr>
        <w:spacing w:line="360" w:lineRule="auto"/>
        <w:ind w:firstLine="420"/>
        <w:rPr>
          <w:rFonts w:ascii="宋体" w:hAnsi="宋体" w:cs="宋体"/>
          <w:szCs w:val="21"/>
        </w:rPr>
      </w:pPr>
      <w:bookmarkStart w:id="44" w:name="_Hlk66782243"/>
      <w:r>
        <w:rPr>
          <w:rFonts w:hint="eastAsia" w:ascii="宋体" w:hAnsi="宋体" w:cs="宋体"/>
          <w:szCs w:val="21"/>
        </w:rPr>
        <w:t>未</w:t>
      </w:r>
      <w:r>
        <w:rPr>
          <w:rFonts w:hint="eastAsia" w:ascii="宋体" w:hAnsi="宋体" w:cs="宋体"/>
          <w:spacing w:val="-6"/>
          <w:szCs w:val="21"/>
        </w:rPr>
        <w:t>成交供应商的磋商保证金自成交通知书发出之日起5个工作日内退还；</w:t>
      </w:r>
      <w:r>
        <w:rPr>
          <w:rFonts w:hint="eastAsia" w:ascii="宋体" w:hAnsi="宋体" w:cs="宋体"/>
          <w:szCs w:val="21"/>
        </w:rPr>
        <w:t>成交供应商的磋商保证金自签订合同之日起5个工作日内退还。</w:t>
      </w:r>
      <w:bookmarkEnd w:id="44"/>
    </w:p>
    <w:p w14:paraId="548D5405">
      <w:pPr>
        <w:spacing w:line="360" w:lineRule="auto"/>
        <w:ind w:left="420"/>
        <w:rPr>
          <w:rFonts w:ascii="宋体" w:hAnsi="宋体" w:cs="宋体"/>
          <w:szCs w:val="21"/>
        </w:rPr>
      </w:pPr>
      <w:r>
        <w:rPr>
          <w:rFonts w:hint="eastAsia" w:ascii="宋体" w:hAnsi="宋体" w:cs="宋体"/>
          <w:szCs w:val="21"/>
        </w:rPr>
        <w:t>17.3除逾期退还磋商保证金和终止采购的情形以外，磋商保证金不计息。</w:t>
      </w:r>
    </w:p>
    <w:p w14:paraId="4CAB85B4">
      <w:pPr>
        <w:spacing w:line="360" w:lineRule="auto"/>
        <w:ind w:left="420"/>
        <w:rPr>
          <w:rFonts w:ascii="宋体" w:hAnsi="宋体" w:cs="宋体"/>
          <w:szCs w:val="21"/>
        </w:rPr>
      </w:pPr>
      <w:r>
        <w:rPr>
          <w:rFonts w:hint="eastAsia" w:ascii="宋体" w:hAnsi="宋体" w:cs="宋体"/>
          <w:szCs w:val="21"/>
        </w:rPr>
        <w:t xml:space="preserve">17.4供应商有下列情形之一的，磋商保证金将不予退还： </w:t>
      </w:r>
    </w:p>
    <w:p w14:paraId="3946D470">
      <w:pPr>
        <w:spacing w:line="360" w:lineRule="auto"/>
        <w:ind w:left="420"/>
        <w:rPr>
          <w:rFonts w:ascii="宋体" w:hAnsi="宋体" w:cs="宋体"/>
          <w:szCs w:val="21"/>
        </w:rPr>
      </w:pPr>
      <w:r>
        <w:rPr>
          <w:rFonts w:hint="eastAsia" w:ascii="宋体" w:hAnsi="宋体" w:cs="宋体"/>
          <w:szCs w:val="21"/>
        </w:rPr>
        <w:t>（1）供应商在提交响应文件截止时间后撤回响应文件的；</w:t>
      </w:r>
    </w:p>
    <w:p w14:paraId="591B75B2">
      <w:pPr>
        <w:spacing w:line="360" w:lineRule="auto"/>
        <w:ind w:left="420"/>
        <w:rPr>
          <w:rFonts w:ascii="宋体" w:hAnsi="宋体" w:cs="宋体"/>
          <w:szCs w:val="21"/>
        </w:rPr>
      </w:pPr>
      <w:r>
        <w:rPr>
          <w:rFonts w:hint="eastAsia" w:ascii="宋体" w:hAnsi="宋体"/>
          <w:szCs w:val="21"/>
        </w:rPr>
        <w:t>（2）未按规定提交履约保证金的；</w:t>
      </w:r>
    </w:p>
    <w:p w14:paraId="6AF2DF6F">
      <w:pPr>
        <w:spacing w:line="360" w:lineRule="auto"/>
        <w:ind w:left="420"/>
        <w:rPr>
          <w:rFonts w:ascii="宋体" w:hAnsi="宋体" w:cs="宋体"/>
          <w:szCs w:val="21"/>
        </w:rPr>
      </w:pPr>
      <w:r>
        <w:rPr>
          <w:rFonts w:hint="eastAsia" w:ascii="宋体" w:hAnsi="宋体" w:cs="宋体"/>
          <w:szCs w:val="21"/>
        </w:rPr>
        <w:t>（3）供应商在响应文件中提供虚假材料的；</w:t>
      </w:r>
    </w:p>
    <w:p w14:paraId="0DC3701B">
      <w:pPr>
        <w:spacing w:line="360" w:lineRule="auto"/>
        <w:ind w:firstLine="420"/>
        <w:rPr>
          <w:rFonts w:ascii="宋体" w:hAnsi="宋体" w:cs="宋体"/>
          <w:szCs w:val="21"/>
        </w:rPr>
      </w:pPr>
      <w:r>
        <w:rPr>
          <w:rFonts w:hint="eastAsia" w:ascii="宋体" w:hAnsi="宋体" w:cs="宋体"/>
          <w:szCs w:val="21"/>
        </w:rPr>
        <w:t>（4）除因不可抗力或者磋商文件认可的情形以外，成交供应商不与采购人签订合同的；</w:t>
      </w:r>
    </w:p>
    <w:p w14:paraId="726B8029">
      <w:pPr>
        <w:spacing w:line="360" w:lineRule="auto"/>
        <w:ind w:left="420"/>
        <w:rPr>
          <w:rFonts w:ascii="宋体" w:hAnsi="宋体" w:cs="宋体"/>
          <w:szCs w:val="21"/>
        </w:rPr>
      </w:pPr>
      <w:r>
        <w:rPr>
          <w:rFonts w:hint="eastAsia" w:ascii="宋体" w:hAnsi="宋体" w:cs="宋体"/>
          <w:szCs w:val="21"/>
        </w:rPr>
        <w:t>（5）供应商与采购人、其他供应商或者采购代理机构恶意串通的；</w:t>
      </w:r>
    </w:p>
    <w:p w14:paraId="2338549C">
      <w:pPr>
        <w:spacing w:line="360" w:lineRule="auto"/>
        <w:ind w:left="420"/>
        <w:rPr>
          <w:rFonts w:ascii="宋体" w:hAnsi="宋体" w:cs="宋体"/>
          <w:szCs w:val="21"/>
        </w:rPr>
      </w:pPr>
      <w:r>
        <w:rPr>
          <w:rFonts w:hint="eastAsia" w:ascii="宋体" w:hAnsi="宋体" w:cs="宋体"/>
          <w:szCs w:val="21"/>
        </w:rPr>
        <w:t>（6）法律法规规定的其他情形。</w:t>
      </w:r>
    </w:p>
    <w:p w14:paraId="702DBC09">
      <w:pPr>
        <w:spacing w:line="360" w:lineRule="auto"/>
        <w:ind w:firstLine="482"/>
        <w:rPr>
          <w:rFonts w:ascii="黑体" w:hAnsi="黑体" w:eastAsia="黑体" w:cs="宋体"/>
          <w:b/>
          <w:bCs/>
          <w:sz w:val="24"/>
        </w:rPr>
      </w:pPr>
      <w:r>
        <w:rPr>
          <w:rFonts w:hint="eastAsia" w:ascii="黑体" w:hAnsi="黑体" w:eastAsia="黑体" w:cs="宋体"/>
          <w:b/>
          <w:bCs/>
          <w:sz w:val="24"/>
        </w:rPr>
        <w:t>18.响应文件编制的要求</w:t>
      </w:r>
    </w:p>
    <w:p w14:paraId="6718177E">
      <w:pPr>
        <w:spacing w:line="360" w:lineRule="auto"/>
        <w:ind w:firstLine="420"/>
        <w:rPr>
          <w:rFonts w:ascii="宋体" w:hAnsi="宋体" w:cs="宋体"/>
          <w:szCs w:val="21"/>
        </w:rPr>
      </w:pPr>
      <w:r>
        <w:rPr>
          <w:rFonts w:hint="eastAsia" w:ascii="宋体" w:hAnsi="宋体" w:cs="宋体"/>
          <w:szCs w:val="21"/>
        </w:rPr>
        <w:t>18.1供应商应按照本项目磋商文件规定的格式和顺序和广西政府采购云平台的要求编制响应文件并加密。响应文件内容不完整、编排混乱导致响应文件被误读、漏读或者查找不到相关内容的，由此引发的后果由供应商承担。</w:t>
      </w:r>
    </w:p>
    <w:p w14:paraId="68FF68B2">
      <w:pPr>
        <w:spacing w:line="360" w:lineRule="auto"/>
        <w:ind w:firstLine="420"/>
        <w:rPr>
          <w:rFonts w:ascii="宋体" w:hAnsi="宋体" w:cs="宋体"/>
          <w:szCs w:val="21"/>
        </w:rPr>
      </w:pPr>
      <w:r>
        <w:rPr>
          <w:rFonts w:hint="eastAsia" w:ascii="宋体" w:hAnsi="宋体" w:cs="宋体"/>
          <w:szCs w:val="21"/>
        </w:rPr>
        <w:t>18.2为确保网上操作合法、有效和安全，供应商应当在提交响应文件截止时间前完成在广西政府采购云平台的身份认证，确保在电子竞标过程中能够对相关数据电文进行加密和使用电子签章。</w:t>
      </w:r>
    </w:p>
    <w:p w14:paraId="2DF5C9E9">
      <w:pPr>
        <w:spacing w:line="360" w:lineRule="auto"/>
        <w:ind w:firstLine="420"/>
        <w:rPr>
          <w:rFonts w:ascii="宋体" w:hAnsi="宋体" w:cs="宋体"/>
          <w:szCs w:val="21"/>
        </w:rPr>
      </w:pPr>
      <w:r>
        <w:rPr>
          <w:rFonts w:hint="eastAsia" w:ascii="宋体" w:hAnsi="宋体" w:cs="宋体"/>
          <w:szCs w:val="21"/>
        </w:rPr>
        <w:t>18.3响应文件须由供应商在规定位置签字、盖章（具体以供应商须知前附表或响应文件格式规定为准）</w:t>
      </w:r>
      <w:r>
        <w:rPr>
          <w:rFonts w:hint="eastAsia" w:ascii="宋体" w:hAnsi="宋体" w:cs="宋体"/>
          <w:b/>
          <w:bCs/>
          <w:szCs w:val="21"/>
        </w:rPr>
        <w:t>，否则按无效响应处理。</w:t>
      </w:r>
    </w:p>
    <w:p w14:paraId="15D8A742">
      <w:pPr>
        <w:spacing w:line="360" w:lineRule="auto"/>
        <w:ind w:firstLine="420"/>
        <w:rPr>
          <w:rFonts w:ascii="宋体" w:hAnsi="宋体" w:cs="宋体"/>
          <w:szCs w:val="21"/>
        </w:rPr>
      </w:pPr>
      <w:r>
        <w:rPr>
          <w:rFonts w:hint="eastAsia" w:ascii="宋体" w:hAnsi="宋体" w:cs="宋体"/>
          <w:szCs w:val="21"/>
        </w:rPr>
        <w:t>18.4响应文件中标注的供应商名称应与主体资格证明（如营业执照或者事业单位法人证书或者执业许可证或者登记证书等）及公章一致，</w:t>
      </w:r>
      <w:r>
        <w:rPr>
          <w:rFonts w:hint="eastAsia" w:ascii="宋体" w:hAnsi="宋体"/>
          <w:b/>
          <w:szCs w:val="21"/>
        </w:rPr>
        <w:t>并与广西政府采购云平台中获取采购文件的供应商名称一致，</w:t>
      </w:r>
      <w:r>
        <w:rPr>
          <w:rFonts w:hint="eastAsia" w:ascii="宋体" w:hAnsi="宋体" w:cs="宋体"/>
          <w:szCs w:val="21"/>
        </w:rPr>
        <w:t>供应商为自然人的，标注的供应商名称应与身份证姓名及签名一致</w:t>
      </w:r>
      <w:r>
        <w:rPr>
          <w:rFonts w:hint="eastAsia" w:ascii="宋体" w:hAnsi="宋体" w:cs="宋体"/>
          <w:b/>
          <w:bCs/>
          <w:szCs w:val="21"/>
        </w:rPr>
        <w:t>，否则其响应文件按无效响应处理。</w:t>
      </w:r>
    </w:p>
    <w:p w14:paraId="0BD83A27">
      <w:pPr>
        <w:spacing w:line="360" w:lineRule="auto"/>
        <w:ind w:firstLine="420"/>
        <w:rPr>
          <w:rFonts w:ascii="宋体" w:hAnsi="宋体" w:cs="宋体"/>
          <w:szCs w:val="21"/>
        </w:rPr>
      </w:pPr>
      <w:r>
        <w:rPr>
          <w:rFonts w:hint="eastAsia" w:ascii="宋体" w:hAnsi="宋体" w:cs="宋体"/>
          <w:szCs w:val="21"/>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6EB47F01">
      <w:pPr>
        <w:spacing w:line="360" w:lineRule="auto"/>
        <w:ind w:firstLine="482"/>
        <w:rPr>
          <w:rFonts w:ascii="黑体" w:hAnsi="黑体" w:eastAsia="黑体"/>
          <w:sz w:val="24"/>
        </w:rPr>
      </w:pPr>
      <w:r>
        <w:rPr>
          <w:rFonts w:hint="eastAsia" w:ascii="黑体" w:hAnsi="黑体" w:eastAsia="黑体" w:cs="宋体"/>
          <w:b/>
          <w:bCs/>
          <w:sz w:val="24"/>
        </w:rPr>
        <w:t>19.电子</w:t>
      </w:r>
      <w:r>
        <w:rPr>
          <w:rFonts w:hint="eastAsia" w:ascii="黑体" w:hAnsi="黑体" w:eastAsia="黑体"/>
          <w:b/>
          <w:sz w:val="24"/>
        </w:rPr>
        <w:t>备份响应文件</w:t>
      </w:r>
    </w:p>
    <w:p w14:paraId="38486368">
      <w:pPr>
        <w:spacing w:line="360" w:lineRule="auto"/>
        <w:ind w:firstLine="420"/>
        <w:rPr>
          <w:rFonts w:ascii="宋体" w:hAnsi="宋体" w:cs="宋体"/>
          <w:szCs w:val="21"/>
        </w:rPr>
      </w:pPr>
      <w:r>
        <w:rPr>
          <w:rFonts w:hint="eastAsia"/>
        </w:rPr>
        <w:t>电子备份响应文件是指通过在线编制生成且后缀名为“</w:t>
      </w:r>
      <w:r>
        <w:t>bfbs</w:t>
      </w:r>
      <w:r>
        <w:rPr>
          <w:rFonts w:hint="eastAsia"/>
        </w:rPr>
        <w:t>”的文件，是否接受电子备份响应文件</w:t>
      </w:r>
      <w:r>
        <w:rPr>
          <w:rFonts w:hint="eastAsia" w:hAnsi="宋体"/>
          <w:bCs/>
          <w:szCs w:val="21"/>
        </w:rPr>
        <w:t>详见“供应商须知前附表”。</w:t>
      </w:r>
    </w:p>
    <w:p w14:paraId="3B0F0A74">
      <w:pPr>
        <w:spacing w:line="360" w:lineRule="auto"/>
        <w:ind w:firstLine="482"/>
        <w:rPr>
          <w:rFonts w:ascii="黑体" w:hAnsi="黑体" w:eastAsia="黑体" w:cs="宋体"/>
          <w:b/>
          <w:bCs/>
          <w:sz w:val="24"/>
        </w:rPr>
      </w:pPr>
      <w:r>
        <w:rPr>
          <w:rFonts w:hint="eastAsia" w:ascii="黑体" w:hAnsi="黑体" w:eastAsia="黑体" w:cs="宋体"/>
          <w:b/>
          <w:bCs/>
          <w:sz w:val="24"/>
        </w:rPr>
        <w:t>20.响应文件的提交</w:t>
      </w:r>
    </w:p>
    <w:p w14:paraId="3B4FCF46">
      <w:pPr>
        <w:spacing w:line="360" w:lineRule="auto"/>
        <w:ind w:firstLine="420"/>
        <w:rPr>
          <w:rFonts w:hAnsi="宋体"/>
          <w:b/>
        </w:rPr>
      </w:pPr>
      <w:r>
        <w:rPr>
          <w:rFonts w:hint="eastAsia" w:hAnsi="宋体"/>
          <w:bCs/>
          <w:szCs w:val="21"/>
        </w:rPr>
        <w:t>20.1供应商必须按“供应商须知前附表”规定的</w:t>
      </w:r>
      <w:r>
        <w:rPr>
          <w:rFonts w:hint="eastAsia" w:ascii="宋体" w:hAnsi="宋体" w:cs="宋体"/>
          <w:szCs w:val="21"/>
        </w:rPr>
        <w:t>时间</w:t>
      </w:r>
      <w:r>
        <w:rPr>
          <w:rFonts w:hint="eastAsia" w:ascii="宋体" w:hAnsi="宋体"/>
          <w:szCs w:val="21"/>
        </w:rPr>
        <w:t>及</w:t>
      </w:r>
      <w:r>
        <w:rPr>
          <w:rFonts w:hint="eastAsia" w:hAnsi="宋体"/>
          <w:bCs/>
          <w:szCs w:val="21"/>
        </w:rPr>
        <w:t>地点提交响应文件。电子响应文件应在制作完成后，</w:t>
      </w:r>
      <w:r>
        <w:rPr>
          <w:rFonts w:hAnsi="宋体"/>
          <w:bCs/>
          <w:szCs w:val="21"/>
        </w:rPr>
        <w:t>在</w:t>
      </w:r>
      <w:r>
        <w:rPr>
          <w:rFonts w:hint="eastAsia" w:hAnsi="宋体"/>
          <w:bCs/>
          <w:szCs w:val="21"/>
        </w:rPr>
        <w:t>提交响应文件截止</w:t>
      </w:r>
      <w:r>
        <w:rPr>
          <w:rFonts w:hAnsi="宋体"/>
          <w:bCs/>
          <w:szCs w:val="21"/>
        </w:rPr>
        <w:t>时间前</w:t>
      </w:r>
      <w:r>
        <w:rPr>
          <w:rFonts w:hint="eastAsia" w:hAnsi="宋体"/>
          <w:bCs/>
          <w:szCs w:val="21"/>
        </w:rPr>
        <w:t>通过有效数字证书（CA认证锁）进行电子签章、加密，然后通过网络将加密的电子响应文件提交至</w:t>
      </w:r>
      <w:r>
        <w:rPr>
          <w:rFonts w:hint="eastAsia" w:ascii="宋体" w:hAnsi="宋体"/>
          <w:szCs w:val="21"/>
        </w:rPr>
        <w:t>广西政府采购云平台</w:t>
      </w:r>
      <w:r>
        <w:rPr>
          <w:rFonts w:hint="eastAsia" w:hAnsi="宋体"/>
          <w:bCs/>
          <w:szCs w:val="21"/>
        </w:rPr>
        <w:t xml:space="preserve">。 </w:t>
      </w:r>
    </w:p>
    <w:p w14:paraId="1B60BCA5">
      <w:pPr>
        <w:spacing w:line="360" w:lineRule="auto"/>
        <w:ind w:firstLine="422"/>
        <w:rPr>
          <w:rFonts w:ascii="宋体" w:hAnsi="宋体" w:cs="宋体"/>
          <w:szCs w:val="21"/>
        </w:rPr>
      </w:pPr>
      <w:r>
        <w:rPr>
          <w:rFonts w:hint="eastAsia" w:ascii="宋体" w:hAnsi="宋体"/>
          <w:b/>
          <w:szCs w:val="21"/>
        </w:rPr>
        <w:t>20.</w:t>
      </w:r>
      <w:r>
        <w:rPr>
          <w:rFonts w:ascii="宋体" w:hAnsi="宋体"/>
          <w:b/>
          <w:szCs w:val="21"/>
        </w:rPr>
        <w:t>2</w:t>
      </w:r>
      <w:r>
        <w:rPr>
          <w:rFonts w:hint="eastAsia" w:ascii="宋体" w:hAnsi="宋体"/>
          <w:b/>
          <w:szCs w:val="21"/>
        </w:rPr>
        <w:t>未在规定时间内提交或者未按照磋商文件要求加密的电子响应文件，广西政府采购云平台将拒收。</w:t>
      </w:r>
    </w:p>
    <w:p w14:paraId="432EF4CC">
      <w:pPr>
        <w:spacing w:line="360" w:lineRule="auto"/>
        <w:ind w:firstLine="482"/>
        <w:rPr>
          <w:rFonts w:ascii="黑体" w:hAnsi="黑体" w:eastAsia="黑体" w:cs="宋体"/>
          <w:b/>
          <w:bCs/>
          <w:sz w:val="24"/>
        </w:rPr>
      </w:pPr>
      <w:r>
        <w:rPr>
          <w:rFonts w:hint="eastAsia" w:ascii="黑体" w:hAnsi="黑体" w:eastAsia="黑体" w:cs="宋体"/>
          <w:b/>
          <w:bCs/>
          <w:sz w:val="24"/>
        </w:rPr>
        <w:t>21.首次响应文件的补充、修改与撤回</w:t>
      </w:r>
    </w:p>
    <w:p w14:paraId="695DCE23">
      <w:pPr>
        <w:spacing w:line="360" w:lineRule="auto"/>
        <w:ind w:firstLine="420"/>
        <w:jc w:val="left"/>
        <w:rPr>
          <w:rFonts w:ascii="宋体" w:hAnsi="宋体"/>
          <w:szCs w:val="21"/>
        </w:rPr>
      </w:pPr>
      <w:bookmarkStart w:id="45" w:name="_Toc254970543"/>
      <w:bookmarkStart w:id="46" w:name="_Toc254970684"/>
      <w:r>
        <w:rPr>
          <w:rFonts w:ascii="宋体" w:hAnsi="宋体" w:cs="宋体"/>
          <w:szCs w:val="21"/>
        </w:rPr>
        <w:t>2</w:t>
      </w:r>
      <w:r>
        <w:rPr>
          <w:rFonts w:hint="eastAsia" w:ascii="宋体" w:hAnsi="宋体" w:cs="宋体"/>
          <w:szCs w:val="21"/>
        </w:rPr>
        <w:t>1.1</w:t>
      </w:r>
      <w:r>
        <w:rPr>
          <w:rFonts w:hint="eastAsia" w:ascii="宋体" w:hAnsi="宋体"/>
          <w:bCs/>
          <w:szCs w:val="21"/>
        </w:rPr>
        <w:t>供应商应当在</w:t>
      </w:r>
      <w:r>
        <w:rPr>
          <w:rFonts w:hint="eastAsia" w:hAnsi="宋体"/>
          <w:bCs/>
          <w:szCs w:val="21"/>
        </w:rPr>
        <w:t>提交响应文件截止</w:t>
      </w:r>
      <w:r>
        <w:rPr>
          <w:rFonts w:hAnsi="宋体"/>
          <w:bCs/>
          <w:szCs w:val="21"/>
        </w:rPr>
        <w:t>时间</w:t>
      </w:r>
      <w:r>
        <w:rPr>
          <w:rFonts w:hint="eastAsia" w:ascii="宋体" w:hAnsi="宋体"/>
          <w:bCs/>
          <w:szCs w:val="21"/>
        </w:rPr>
        <w:t>前完成电子响应文件的提交（上传），</w:t>
      </w:r>
      <w:r>
        <w:rPr>
          <w:rFonts w:hint="eastAsia" w:hAnsi="宋体"/>
          <w:bCs/>
          <w:szCs w:val="21"/>
        </w:rPr>
        <w:t>提交响应文件截止</w:t>
      </w:r>
      <w:r>
        <w:rPr>
          <w:rFonts w:hAnsi="宋体"/>
          <w:bCs/>
          <w:szCs w:val="21"/>
        </w:rPr>
        <w:t>时间</w:t>
      </w:r>
      <w:r>
        <w:rPr>
          <w:rFonts w:hint="eastAsia" w:hAnsi="宋体"/>
          <w:bCs/>
          <w:szCs w:val="21"/>
        </w:rPr>
        <w:t>前</w:t>
      </w:r>
      <w:r>
        <w:rPr>
          <w:rFonts w:hint="eastAsia" w:ascii="宋体" w:hAnsi="宋体"/>
          <w:bCs/>
          <w:szCs w:val="21"/>
        </w:rPr>
        <w:t>可以补充、修改或者撤回响应文件。补充或者修改响应文件的，应当先行撤回原响应文件，补充、修改后重新提交（上传），</w:t>
      </w:r>
      <w:r>
        <w:rPr>
          <w:rFonts w:hint="eastAsia" w:hAnsi="宋体"/>
          <w:bCs/>
          <w:szCs w:val="21"/>
        </w:rPr>
        <w:t>提交响应文件截止</w:t>
      </w:r>
      <w:r>
        <w:rPr>
          <w:rFonts w:hAnsi="宋体"/>
          <w:bCs/>
          <w:szCs w:val="21"/>
        </w:rPr>
        <w:t>时间</w:t>
      </w:r>
      <w:r>
        <w:rPr>
          <w:rFonts w:hint="eastAsia" w:hAnsi="宋体"/>
          <w:bCs/>
          <w:szCs w:val="21"/>
        </w:rPr>
        <w:t>前</w:t>
      </w:r>
      <w:r>
        <w:rPr>
          <w:rFonts w:hint="eastAsia" w:ascii="宋体" w:hAnsi="宋体"/>
          <w:bCs/>
          <w:szCs w:val="21"/>
        </w:rPr>
        <w:t>未完成提交（上传）的，视为撤回响应文件。</w:t>
      </w:r>
      <w:r>
        <w:rPr>
          <w:rFonts w:hint="eastAsia" w:hAnsi="宋体"/>
          <w:bCs/>
          <w:szCs w:val="21"/>
        </w:rPr>
        <w:t>提交响应文件截止</w:t>
      </w:r>
      <w:r>
        <w:rPr>
          <w:rFonts w:hAnsi="宋体"/>
          <w:bCs/>
          <w:szCs w:val="21"/>
        </w:rPr>
        <w:t>时间</w:t>
      </w:r>
      <w:r>
        <w:rPr>
          <w:rFonts w:hint="eastAsia" w:ascii="宋体" w:hAnsi="宋体"/>
          <w:bCs/>
          <w:szCs w:val="21"/>
        </w:rPr>
        <w:t>以后提交（上传）的响应文件，广西政府采购云平台将予以拒收。</w:t>
      </w:r>
      <w:r>
        <w:rPr>
          <w:rFonts w:hint="eastAsia" w:ascii="宋体" w:hAnsi="宋体" w:cs="宋体"/>
          <w:szCs w:val="21"/>
        </w:rPr>
        <w:t>（补充、修改或者撤回方式可</w:t>
      </w:r>
      <w:r>
        <w:rPr>
          <w:rFonts w:hint="eastAsia" w:ascii="宋体" w:hAnsi="宋体"/>
          <w:szCs w:val="21"/>
        </w:rPr>
        <w:t>登录</w:t>
      </w:r>
      <w:r>
        <w:rPr>
          <w:rFonts w:hint="eastAsia" w:ascii="宋体" w:hAnsi="宋体" w:cs="宋体"/>
          <w:szCs w:val="21"/>
        </w:rPr>
        <w:t>广西政府采购云平台，</w:t>
      </w:r>
      <w:r>
        <w:rPr>
          <w:rFonts w:hint="eastAsia" w:ascii="宋体" w:hAnsi="宋体"/>
          <w:szCs w:val="21"/>
        </w:rPr>
        <w:t>进入“服务中心”中查看</w:t>
      </w:r>
      <w:r>
        <w:rPr>
          <w:rFonts w:hint="eastAsia" w:ascii="宋体" w:hAnsi="宋体" w:cs="宋体"/>
          <w:szCs w:val="21"/>
        </w:rPr>
        <w:t xml:space="preserve"> “电子投标文件制作与投送教程”）</w:t>
      </w:r>
      <w:bookmarkEnd w:id="45"/>
      <w:bookmarkEnd w:id="46"/>
    </w:p>
    <w:p w14:paraId="5C2EF3EB">
      <w:pPr>
        <w:pStyle w:val="258"/>
        <w:spacing w:before="0"/>
        <w:ind w:firstLine="420"/>
        <w:rPr>
          <w:rFonts w:ascii="宋体" w:hAnsi="宋体" w:cs="宋体"/>
          <w:sz w:val="21"/>
          <w:szCs w:val="21"/>
        </w:rPr>
      </w:pPr>
      <w:r>
        <w:rPr>
          <w:rFonts w:ascii="宋体" w:hAnsi="宋体" w:cs="宋体"/>
          <w:sz w:val="21"/>
          <w:szCs w:val="21"/>
        </w:rPr>
        <w:t>2</w:t>
      </w:r>
      <w:r>
        <w:rPr>
          <w:rFonts w:hint="eastAsia" w:ascii="宋体" w:hAnsi="宋体" w:cs="宋体"/>
          <w:sz w:val="21"/>
          <w:szCs w:val="21"/>
        </w:rPr>
        <w:t>1</w:t>
      </w:r>
      <w:r>
        <w:rPr>
          <w:rFonts w:ascii="宋体" w:hAnsi="宋体" w:cs="宋体"/>
          <w:sz w:val="21"/>
          <w:szCs w:val="21"/>
        </w:rPr>
        <w:t>.</w:t>
      </w:r>
      <w:r>
        <w:rPr>
          <w:rFonts w:hint="eastAsia" w:ascii="宋体" w:hAnsi="宋体" w:cs="宋体"/>
          <w:sz w:val="21"/>
          <w:szCs w:val="21"/>
        </w:rPr>
        <w:t>2在提交响应文件截止时间前，除供应商补充、修改或者撤回响应文件外，任何单位和个人不得解密或提取响应文件。</w:t>
      </w:r>
    </w:p>
    <w:p w14:paraId="419B9F09">
      <w:pPr>
        <w:spacing w:line="360" w:lineRule="auto"/>
        <w:ind w:firstLine="482"/>
        <w:rPr>
          <w:rFonts w:ascii="黑体" w:hAnsi="黑体" w:eastAsia="黑体" w:cs="宋体"/>
          <w:b/>
          <w:bCs/>
          <w:sz w:val="24"/>
        </w:rPr>
      </w:pPr>
      <w:bookmarkStart w:id="47" w:name="_Hlk45702405"/>
      <w:r>
        <w:rPr>
          <w:rFonts w:hint="eastAsia" w:ascii="黑体" w:hAnsi="黑体" w:eastAsia="黑体" w:cs="宋体"/>
          <w:b/>
          <w:bCs/>
          <w:sz w:val="24"/>
        </w:rPr>
        <w:t>22.响应文件的退回</w:t>
      </w:r>
    </w:p>
    <w:p w14:paraId="2CF10231">
      <w:pPr>
        <w:spacing w:line="360" w:lineRule="auto"/>
        <w:ind w:firstLine="420"/>
        <w:rPr>
          <w:rFonts w:ascii="宋体" w:hAnsi="宋体" w:cs="宋体"/>
          <w:szCs w:val="21"/>
        </w:rPr>
      </w:pPr>
      <w:r>
        <w:rPr>
          <w:rFonts w:hint="eastAsia" w:ascii="宋体" w:hAnsi="宋体" w:cs="宋体"/>
          <w:szCs w:val="21"/>
        </w:rPr>
        <w:t>采购人和采购代理机构对已提交的响应文件概不退回。</w:t>
      </w:r>
    </w:p>
    <w:p w14:paraId="72E05472">
      <w:pPr>
        <w:spacing w:line="360" w:lineRule="auto"/>
        <w:ind w:firstLine="482"/>
        <w:rPr>
          <w:rFonts w:ascii="黑体" w:hAnsi="黑体" w:eastAsia="黑体" w:cs="宋体"/>
          <w:b/>
          <w:bCs/>
          <w:sz w:val="24"/>
        </w:rPr>
      </w:pPr>
      <w:r>
        <w:rPr>
          <w:rFonts w:hint="eastAsia" w:ascii="黑体" w:hAnsi="黑体" w:eastAsia="黑体" w:cs="宋体"/>
          <w:b/>
          <w:bCs/>
          <w:sz w:val="24"/>
        </w:rPr>
        <w:t>23.截止时间后的撤回</w:t>
      </w:r>
    </w:p>
    <w:p w14:paraId="2152517C">
      <w:pPr>
        <w:spacing w:line="360" w:lineRule="auto"/>
        <w:ind w:firstLine="420"/>
        <w:rPr>
          <w:rFonts w:ascii="宋体" w:hAnsi="宋体" w:cs="宋体"/>
          <w:szCs w:val="21"/>
        </w:rPr>
      </w:pPr>
      <w:r>
        <w:rPr>
          <w:rFonts w:hint="eastAsia" w:ascii="宋体" w:hAnsi="宋体" w:cs="宋体"/>
          <w:szCs w:val="21"/>
        </w:rPr>
        <w:t>供应商在响应文件提交截止时间后向采购人、采购代理机构书面申请撤回响应文件的，将根据本须知正文17.4的规定不予退还其磋商保证金。</w:t>
      </w:r>
      <w:bookmarkEnd w:id="47"/>
    </w:p>
    <w:p w14:paraId="20D60E4A">
      <w:pPr>
        <w:spacing w:line="360" w:lineRule="auto"/>
        <w:rPr>
          <w:rFonts w:ascii="宋体" w:hAnsi="宋体"/>
          <w:szCs w:val="21"/>
        </w:rPr>
      </w:pPr>
    </w:p>
    <w:p w14:paraId="2B7101CA">
      <w:pPr>
        <w:spacing w:line="360" w:lineRule="auto"/>
        <w:ind w:left="420" w:firstLine="420"/>
        <w:jc w:val="center"/>
        <w:rPr>
          <w:rFonts w:ascii="宋体" w:hAnsi="宋体"/>
          <w:b/>
          <w:bCs/>
          <w:sz w:val="32"/>
          <w:szCs w:val="32"/>
        </w:rPr>
      </w:pPr>
      <w:r>
        <w:rPr>
          <w:rFonts w:hint="eastAsia" w:ascii="宋体" w:hAnsi="宋体"/>
          <w:b/>
          <w:bCs/>
          <w:sz w:val="32"/>
          <w:szCs w:val="32"/>
        </w:rPr>
        <w:t>四、评审及磋商</w:t>
      </w:r>
    </w:p>
    <w:p w14:paraId="41C8520C">
      <w:pPr>
        <w:spacing w:line="360" w:lineRule="auto"/>
        <w:ind w:left="420" w:firstLine="420"/>
        <w:rPr>
          <w:rFonts w:ascii="宋体" w:hAnsi="宋体"/>
          <w:szCs w:val="21"/>
        </w:rPr>
      </w:pPr>
    </w:p>
    <w:p w14:paraId="65E8D2D4">
      <w:pPr>
        <w:spacing w:line="360" w:lineRule="auto"/>
        <w:ind w:firstLine="482"/>
        <w:rPr>
          <w:rFonts w:ascii="黑体" w:hAnsi="黑体" w:eastAsia="黑体" w:cs="宋体"/>
          <w:b/>
          <w:bCs/>
          <w:sz w:val="24"/>
        </w:rPr>
      </w:pPr>
      <w:r>
        <w:rPr>
          <w:rFonts w:hint="eastAsia" w:ascii="黑体" w:hAnsi="黑体" w:eastAsia="黑体" w:cs="宋体"/>
          <w:b/>
          <w:bCs/>
          <w:sz w:val="24"/>
        </w:rPr>
        <w:t>24.磋商小组成立</w:t>
      </w:r>
    </w:p>
    <w:p w14:paraId="11B0F3A1">
      <w:pPr>
        <w:spacing w:line="360" w:lineRule="auto"/>
        <w:ind w:firstLine="420"/>
        <w:rPr>
          <w:rFonts w:ascii="宋体" w:hAnsi="宋体" w:cs="宋体"/>
          <w:szCs w:val="21"/>
        </w:rPr>
      </w:pPr>
      <w:r>
        <w:rPr>
          <w:rFonts w:hint="eastAsia" w:ascii="宋体" w:hAnsi="宋体" w:cs="宋体"/>
          <w:szCs w:val="21"/>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及以上单数组成。</w:t>
      </w:r>
    </w:p>
    <w:p w14:paraId="1B0F9FC0">
      <w:pPr>
        <w:spacing w:line="360" w:lineRule="auto"/>
        <w:ind w:firstLine="420"/>
        <w:rPr>
          <w:rFonts w:ascii="宋体" w:hAnsi="宋体" w:cs="宋体"/>
          <w:szCs w:val="21"/>
        </w:rPr>
      </w:pPr>
      <w:r>
        <w:rPr>
          <w:rFonts w:hint="eastAsia" w:ascii="宋体" w:hAnsi="宋体" w:cs="宋体"/>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384D802A">
      <w:pPr>
        <w:spacing w:line="360" w:lineRule="auto"/>
        <w:ind w:firstLine="420"/>
        <w:rPr>
          <w:rFonts w:hAnsi="宋体"/>
          <w:bCs/>
          <w:szCs w:val="21"/>
        </w:rPr>
      </w:pPr>
      <w:r>
        <w:rPr>
          <w:rFonts w:hint="eastAsia" w:ascii="宋体" w:hAnsi="宋体" w:cs="宋体"/>
          <w:szCs w:val="21"/>
        </w:rPr>
        <w:t>24.3</w:t>
      </w:r>
      <w:r>
        <w:rPr>
          <w:rFonts w:hint="eastAsia" w:hAnsi="宋体"/>
          <w:bCs/>
          <w:szCs w:val="21"/>
        </w:rPr>
        <w:t>采购代理机构</w:t>
      </w:r>
      <w:r>
        <w:rPr>
          <w:rFonts w:hint="eastAsia" w:hAnsi="宋体"/>
          <w:bCs/>
        </w:rPr>
        <w:t>应当</w:t>
      </w:r>
      <w:r>
        <w:rPr>
          <w:rFonts w:hint="eastAsia" w:hAnsi="宋体"/>
          <w:bCs/>
          <w:szCs w:val="21"/>
        </w:rPr>
        <w:t>基于广西政府采购云平台</w:t>
      </w:r>
      <w:r>
        <w:rPr>
          <w:rFonts w:hint="eastAsia" w:hAnsi="宋体"/>
          <w:bCs/>
        </w:rPr>
        <w:t>抽（选）取</w:t>
      </w:r>
      <w:r>
        <w:rPr>
          <w:rFonts w:hint="eastAsia" w:hAnsi="宋体"/>
          <w:bCs/>
          <w:szCs w:val="21"/>
        </w:rPr>
        <w:t>评审专家。</w:t>
      </w:r>
    </w:p>
    <w:p w14:paraId="51912D2B">
      <w:pPr>
        <w:spacing w:line="360" w:lineRule="auto"/>
        <w:ind w:firstLine="420"/>
        <w:rPr>
          <w:rFonts w:ascii="宋体" w:hAnsi="宋体" w:cs="宋体"/>
          <w:szCs w:val="21"/>
        </w:rPr>
      </w:pPr>
      <w:r>
        <w:rPr>
          <w:rFonts w:hint="eastAsia" w:ascii="宋体" w:hAnsi="宋体" w:cs="宋体"/>
          <w:szCs w:val="21"/>
        </w:rPr>
        <w:t>24.4参加过采购项目前期咨询论证的专家，不得参加该采购项目的评审活动。</w:t>
      </w:r>
    </w:p>
    <w:p w14:paraId="725D850B">
      <w:pPr>
        <w:spacing w:line="360" w:lineRule="auto"/>
        <w:ind w:firstLine="482"/>
        <w:rPr>
          <w:rFonts w:ascii="黑体" w:hAnsi="黑体" w:eastAsia="黑体" w:cs="宋体"/>
          <w:b/>
          <w:bCs/>
          <w:sz w:val="24"/>
        </w:rPr>
      </w:pPr>
      <w:r>
        <w:rPr>
          <w:rFonts w:ascii="黑体" w:hAnsi="黑体" w:eastAsia="黑体" w:cs="宋体"/>
          <w:b/>
          <w:bCs/>
          <w:sz w:val="24"/>
        </w:rPr>
        <w:t>25.</w:t>
      </w:r>
      <w:r>
        <w:rPr>
          <w:rFonts w:hint="eastAsia" w:ascii="黑体" w:hAnsi="黑体" w:eastAsia="黑体" w:cs="宋体"/>
          <w:b/>
          <w:bCs/>
          <w:sz w:val="24"/>
        </w:rPr>
        <w:t>首次响应文件的开启和解密</w:t>
      </w:r>
    </w:p>
    <w:p w14:paraId="4FAAD930">
      <w:pPr>
        <w:spacing w:line="360" w:lineRule="auto"/>
        <w:ind w:firstLine="420"/>
        <w:rPr>
          <w:rFonts w:ascii="宋体" w:hAnsi="宋体" w:cs="宋体"/>
          <w:szCs w:val="21"/>
        </w:rPr>
      </w:pPr>
      <w:r>
        <w:rPr>
          <w:rFonts w:hint="eastAsia" w:hAnsi="宋体"/>
          <w:bCs/>
        </w:rPr>
        <w:t>采购代理机构将在“供应商须知前附表”规定的时</w:t>
      </w:r>
      <w:r>
        <w:rPr>
          <w:rFonts w:hint="eastAsia" w:hAnsi="宋体"/>
        </w:rPr>
        <w:t>间通过电子交易平台组织响应文件开启，供应商的法定代表人或其委托代理人须携带加密时所用的CA锁，按平台提示和磋商文件的规定登录到广西政府采购云平台电子开标大厅签到，</w:t>
      </w:r>
      <w:r>
        <w:rPr>
          <w:rFonts w:hint="eastAsia"/>
        </w:rPr>
        <w:t>采购代理机构依托广西政府采购云平台向各供应商发出电子加密响应文件【开始解密】通知，由供应商按</w:t>
      </w:r>
      <w:r>
        <w:rPr>
          <w:rFonts w:hint="eastAsia" w:hAnsi="宋体"/>
          <w:bCs/>
          <w:szCs w:val="21"/>
        </w:rPr>
        <w:t>“供应商须知前附表”</w:t>
      </w:r>
      <w:r>
        <w:rPr>
          <w:rFonts w:hint="eastAsia"/>
        </w:rPr>
        <w:t>规定的时间内自行进行响应文件解密</w:t>
      </w:r>
      <w:r>
        <w:rPr>
          <w:rFonts w:hint="eastAsia" w:hAnsi="宋体"/>
        </w:rPr>
        <w:t>。</w:t>
      </w:r>
      <w:r>
        <w:rPr>
          <w:rFonts w:hint="eastAsia"/>
          <w:b/>
        </w:rPr>
        <w:t>供应商未在</w:t>
      </w:r>
      <w:r>
        <w:rPr>
          <w:b/>
        </w:rPr>
        <w:t>规定的时间内解密</w:t>
      </w:r>
      <w:r>
        <w:rPr>
          <w:rFonts w:hint="eastAsia"/>
          <w:b/>
        </w:rPr>
        <w:t>响应文件</w:t>
      </w:r>
      <w:r>
        <w:rPr>
          <w:b/>
        </w:rPr>
        <w:t>或</w:t>
      </w:r>
      <w:r>
        <w:rPr>
          <w:rFonts w:hint="eastAsia"/>
          <w:b/>
        </w:rPr>
        <w:t>者</w:t>
      </w:r>
      <w:r>
        <w:rPr>
          <w:b/>
        </w:rPr>
        <w:t>解密失败的</w:t>
      </w:r>
      <w:r>
        <w:rPr>
          <w:rFonts w:hint="eastAsia"/>
          <w:b/>
        </w:rPr>
        <w:t>，供应商</w:t>
      </w:r>
      <w:r>
        <w:rPr>
          <w:rFonts w:hint="eastAsia" w:ascii="宋体" w:hAnsi="宋体"/>
          <w:b/>
          <w:szCs w:val="21"/>
        </w:rPr>
        <w:t>的响应文件作无效处理</w:t>
      </w:r>
      <w:r>
        <w:rPr>
          <w:b/>
        </w:rPr>
        <w:t>。</w:t>
      </w:r>
    </w:p>
    <w:p w14:paraId="29574906">
      <w:pPr>
        <w:spacing w:line="360" w:lineRule="auto"/>
        <w:ind w:firstLine="482"/>
        <w:rPr>
          <w:rFonts w:ascii="黑体" w:hAnsi="黑体" w:eastAsia="黑体" w:cs="宋体"/>
          <w:b/>
          <w:bCs/>
          <w:sz w:val="24"/>
        </w:rPr>
      </w:pPr>
      <w:r>
        <w:rPr>
          <w:rFonts w:ascii="黑体" w:hAnsi="黑体" w:eastAsia="黑体" w:cs="宋体"/>
          <w:b/>
          <w:bCs/>
          <w:sz w:val="24"/>
        </w:rPr>
        <w:t>26</w:t>
      </w:r>
      <w:r>
        <w:rPr>
          <w:rFonts w:hint="eastAsia" w:ascii="黑体" w:hAnsi="黑体" w:eastAsia="黑体" w:cs="宋体"/>
          <w:b/>
          <w:bCs/>
          <w:sz w:val="24"/>
        </w:rPr>
        <w:t>.评审程序、评审方法和评审标准</w:t>
      </w:r>
    </w:p>
    <w:p w14:paraId="60C59003">
      <w:pPr>
        <w:spacing w:line="360" w:lineRule="auto"/>
        <w:ind w:firstLine="42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.1本项目的评审方法为综合评分法。</w:t>
      </w:r>
    </w:p>
    <w:p w14:paraId="53599C50">
      <w:pPr>
        <w:spacing w:line="360" w:lineRule="auto"/>
        <w:ind w:firstLine="420"/>
        <w:rPr>
          <w:rFonts w:ascii="宋体" w:hAnsi="宋体" w:cs="宋体"/>
          <w:szCs w:val="21"/>
        </w:rPr>
      </w:pPr>
      <w:r>
        <w:rPr>
          <w:rFonts w:ascii="宋体" w:hAnsi="宋体" w:cs="宋体"/>
          <w:szCs w:val="21"/>
        </w:rPr>
        <w:t>26.2</w:t>
      </w:r>
      <w:r>
        <w:rPr>
          <w:rFonts w:hint="eastAsia" w:ascii="宋体" w:hAnsi="宋体" w:cs="宋体"/>
          <w:szCs w:val="21"/>
        </w:rPr>
        <w:t>磋商小组</w:t>
      </w:r>
      <w:r>
        <w:rPr>
          <w:rFonts w:ascii="宋体" w:hAnsi="宋体" w:cs="宋体"/>
          <w:szCs w:val="21"/>
        </w:rPr>
        <w:t>按照</w:t>
      </w:r>
      <w:r>
        <w:rPr>
          <w:rFonts w:hint="eastAsia" w:ascii="宋体" w:hAnsi="宋体" w:cs="宋体"/>
          <w:szCs w:val="21"/>
        </w:rPr>
        <w:t>“第四章 评审程序、评审方法和评审标准”</w:t>
      </w:r>
      <w:r>
        <w:rPr>
          <w:rFonts w:ascii="宋体" w:hAnsi="宋体" w:cs="宋体"/>
          <w:szCs w:val="21"/>
        </w:rPr>
        <w:t>规定的方法、评审因素、标准和程序对</w:t>
      </w:r>
      <w:r>
        <w:rPr>
          <w:rFonts w:hint="eastAsia" w:ascii="宋体" w:hAnsi="宋体" w:cs="宋体"/>
          <w:szCs w:val="21"/>
        </w:rPr>
        <w:t>响应</w:t>
      </w:r>
      <w:r>
        <w:rPr>
          <w:rFonts w:ascii="宋体" w:hAnsi="宋体" w:cs="宋体"/>
          <w:szCs w:val="21"/>
        </w:rPr>
        <w:t>文件进行评审。</w:t>
      </w:r>
    </w:p>
    <w:p w14:paraId="16570382">
      <w:pPr>
        <w:spacing w:line="360" w:lineRule="auto"/>
        <w:ind w:firstLine="420"/>
        <w:rPr>
          <w:rFonts w:ascii="宋体" w:hAnsi="宋体"/>
          <w:szCs w:val="21"/>
        </w:rPr>
      </w:pPr>
      <w:r>
        <w:rPr>
          <w:rFonts w:hint="eastAsia" w:ascii="宋体" w:hAnsi="宋体"/>
          <w:szCs w:val="21"/>
        </w:rPr>
        <w:t>2</w:t>
      </w:r>
      <w:r>
        <w:rPr>
          <w:rFonts w:ascii="宋体" w:hAnsi="宋体"/>
          <w:szCs w:val="21"/>
        </w:rPr>
        <w:t xml:space="preserve">6.3 </w:t>
      </w:r>
      <w:r>
        <w:rPr>
          <w:rFonts w:hint="eastAsia" w:ascii="宋体" w:hAnsi="宋体"/>
          <w:szCs w:val="21"/>
        </w:rPr>
        <w:t>商务/技术要求允许负偏离的条款数详见“供应商须知前附表”。</w:t>
      </w:r>
    </w:p>
    <w:p w14:paraId="11D04F58">
      <w:pPr>
        <w:spacing w:line="360" w:lineRule="auto"/>
        <w:ind w:firstLine="420"/>
        <w:rPr>
          <w:rFonts w:ascii="宋体" w:hAnsi="宋体"/>
          <w:szCs w:val="21"/>
        </w:rPr>
      </w:pPr>
      <w:r>
        <w:rPr>
          <w:rFonts w:hint="eastAsia" w:ascii="宋体" w:hAnsi="宋体" w:cs="宋体"/>
        </w:rPr>
        <w:t>26.</w:t>
      </w:r>
      <w:r>
        <w:rPr>
          <w:rFonts w:ascii="宋体" w:hAnsi="宋体" w:cs="宋体"/>
        </w:rPr>
        <w:t>4</w:t>
      </w:r>
      <w:r>
        <w:rPr>
          <w:rFonts w:hint="eastAsia" w:ascii="宋体" w:hAnsi="宋体" w:cs="宋体"/>
        </w:rPr>
        <w:t>磋商小组成员要依法独立评审，并对评审意见承担个人责任。磋商小组成员对需要共同认定的事项存在争议的，按照少数服从多数的原则作出结论。持不同意见的磋商小组成员应当在评审报告上签署不同意见并说明理由，否则视为同意。</w:t>
      </w:r>
    </w:p>
    <w:p w14:paraId="451E3C69">
      <w:pPr>
        <w:spacing w:line="360" w:lineRule="auto"/>
        <w:ind w:firstLine="420"/>
        <w:rPr>
          <w:rFonts w:hAnsi="宋体"/>
        </w:rPr>
      </w:pPr>
      <w:r>
        <w:rPr>
          <w:rFonts w:hint="eastAsia" w:ascii="宋体" w:hAnsi="宋体" w:cs="宋体"/>
        </w:rPr>
        <w:t>2</w:t>
      </w:r>
      <w:r>
        <w:rPr>
          <w:rFonts w:ascii="宋体" w:hAnsi="宋体" w:cs="宋体"/>
        </w:rPr>
        <w:t>6.5</w:t>
      </w:r>
      <w:r>
        <w:rPr>
          <w:rFonts w:hint="eastAsia" w:hAnsi="宋体"/>
        </w:rPr>
        <w:t>电子交易活动的中止。采购过程中出现以下情形，导致电子交易平台无法正常运行，或者无法保证电子交易的公平、公正和安全时，采购机构可中止电子交易活动：</w:t>
      </w:r>
    </w:p>
    <w:p w14:paraId="21F7DE01">
      <w:pPr>
        <w:spacing w:line="360" w:lineRule="auto"/>
        <w:ind w:firstLine="420"/>
        <w:rPr>
          <w:rFonts w:hAnsi="宋体"/>
        </w:rPr>
      </w:pPr>
      <w:r>
        <w:rPr>
          <w:rFonts w:hint="eastAsia" w:hAnsi="宋体"/>
        </w:rPr>
        <w:t xml:space="preserve">（1）电子交易平台发生故障而无法登录访问的； </w:t>
      </w:r>
    </w:p>
    <w:p w14:paraId="7AD13530">
      <w:pPr>
        <w:spacing w:line="360" w:lineRule="auto"/>
        <w:ind w:firstLine="420"/>
        <w:rPr>
          <w:rFonts w:hAnsi="宋体"/>
        </w:rPr>
      </w:pPr>
      <w:r>
        <w:rPr>
          <w:rFonts w:hint="eastAsia" w:hAnsi="宋体"/>
        </w:rPr>
        <w:t>（2）电子交易平台应用或数据库出现错误，不能进行正常操作的；</w:t>
      </w:r>
    </w:p>
    <w:p w14:paraId="4900CD46">
      <w:pPr>
        <w:spacing w:line="360" w:lineRule="auto"/>
        <w:ind w:firstLine="420"/>
        <w:rPr>
          <w:rFonts w:hAnsi="宋体"/>
        </w:rPr>
      </w:pPr>
      <w:r>
        <w:rPr>
          <w:rFonts w:hint="eastAsia" w:hAnsi="宋体"/>
        </w:rPr>
        <w:t>（3）电子交易平台发现严重安全漏洞，有潜在泄密危险的；</w:t>
      </w:r>
    </w:p>
    <w:p w14:paraId="10FE0C71">
      <w:pPr>
        <w:spacing w:line="360" w:lineRule="auto"/>
        <w:ind w:firstLine="420"/>
        <w:rPr>
          <w:rFonts w:hAnsi="宋体"/>
        </w:rPr>
      </w:pPr>
      <w:r>
        <w:rPr>
          <w:rFonts w:hint="eastAsia" w:hAnsi="宋体"/>
        </w:rPr>
        <w:t xml:space="preserve">（4）病毒发作导致不能进行正常操作的； </w:t>
      </w:r>
    </w:p>
    <w:p w14:paraId="5D426197">
      <w:pPr>
        <w:spacing w:line="360" w:lineRule="auto"/>
        <w:ind w:firstLine="420"/>
        <w:rPr>
          <w:rFonts w:hAnsi="宋体"/>
        </w:rPr>
      </w:pPr>
      <w:r>
        <w:rPr>
          <w:rFonts w:hint="eastAsia" w:hAnsi="宋体"/>
        </w:rPr>
        <w:t>（5）其他无法保证电子交易的公平、公正和安全的情况。</w:t>
      </w:r>
    </w:p>
    <w:p w14:paraId="5D6BC931">
      <w:pPr>
        <w:spacing w:line="360" w:lineRule="auto"/>
        <w:ind w:firstLine="420"/>
        <w:rPr>
          <w:rFonts w:ascii="宋体" w:hAnsi="宋体" w:cs="宋体"/>
          <w:szCs w:val="21"/>
        </w:rPr>
      </w:pPr>
      <w:r>
        <w:rPr>
          <w:rFonts w:hint="eastAsia" w:ascii="宋体" w:hAnsi="宋体"/>
        </w:rPr>
        <w:t>26.</w:t>
      </w:r>
      <w:r>
        <w:rPr>
          <w:rFonts w:ascii="宋体" w:hAnsi="宋体"/>
        </w:rPr>
        <w:t>6</w:t>
      </w:r>
      <w:r>
        <w:rPr>
          <w:rFonts w:hint="eastAsia" w:hAnsi="宋体"/>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做出妥善保密处理，并报财政部门备案。</w:t>
      </w:r>
    </w:p>
    <w:p w14:paraId="7DAF4E84">
      <w:pPr>
        <w:spacing w:line="360" w:lineRule="auto"/>
        <w:ind w:firstLine="482"/>
        <w:rPr>
          <w:rFonts w:ascii="黑体" w:hAnsi="黑体" w:eastAsia="黑体" w:cs="宋体"/>
          <w:b/>
          <w:bCs/>
          <w:sz w:val="24"/>
        </w:rPr>
      </w:pPr>
      <w:r>
        <w:rPr>
          <w:rFonts w:ascii="黑体" w:hAnsi="黑体" w:eastAsia="黑体" w:cs="宋体"/>
          <w:b/>
          <w:bCs/>
          <w:sz w:val="24"/>
        </w:rPr>
        <w:t>27</w:t>
      </w:r>
      <w:r>
        <w:rPr>
          <w:rFonts w:hint="eastAsia" w:ascii="黑体" w:hAnsi="黑体" w:eastAsia="黑体" w:cs="宋体"/>
          <w:b/>
          <w:bCs/>
          <w:sz w:val="24"/>
        </w:rPr>
        <w:t>.确定成交供应商及结果公告</w:t>
      </w:r>
    </w:p>
    <w:p w14:paraId="0A83A3F9">
      <w:pPr>
        <w:spacing w:line="360" w:lineRule="auto"/>
        <w:ind w:firstLine="420"/>
        <w:rPr>
          <w:rFonts w:ascii="宋体" w:hAnsi="宋体" w:cs="宋体"/>
          <w:szCs w:val="21"/>
        </w:rPr>
      </w:pPr>
      <w:r>
        <w:rPr>
          <w:rFonts w:ascii="宋体" w:hAnsi="宋体" w:cs="宋体"/>
          <w:szCs w:val="21"/>
        </w:rPr>
        <w:t>27</w:t>
      </w:r>
      <w:r>
        <w:rPr>
          <w:rFonts w:hint="eastAsia" w:ascii="宋体" w:hAnsi="宋体" w:cs="宋体"/>
          <w:szCs w:val="21"/>
        </w:rPr>
        <w:t>.1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02ABB7AC">
      <w:pPr>
        <w:spacing w:line="360" w:lineRule="auto"/>
        <w:ind w:firstLine="420"/>
        <w:rPr>
          <w:rFonts w:ascii="宋体" w:hAnsi="宋体" w:cs="Courier New"/>
          <w:szCs w:val="21"/>
        </w:rPr>
      </w:pPr>
      <w:r>
        <w:rPr>
          <w:rFonts w:ascii="宋体" w:hAnsi="宋体" w:cs="宋体"/>
          <w:szCs w:val="21"/>
        </w:rPr>
        <w:t>27</w:t>
      </w:r>
      <w:r>
        <w:rPr>
          <w:rFonts w:hint="eastAsia" w:ascii="宋体" w:hAnsi="宋体" w:cs="宋体"/>
          <w:szCs w:val="21"/>
        </w:rPr>
        <w:t>.2采购代理机构应当在成交供应商确定后2个工作日内，在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48" w:name="_Hlk66782294"/>
      <w:r>
        <w:rPr>
          <w:rFonts w:hint="eastAsia" w:ascii="宋体" w:hAnsi="宋体" w:cs="Courier New"/>
          <w:szCs w:val="21"/>
        </w:rPr>
        <w:t>成交供应商享受</w:t>
      </w:r>
      <w:r>
        <w:rPr>
          <w:rFonts w:hint="eastAsia" w:ascii="宋体" w:hAnsi="宋体"/>
          <w:szCs w:val="21"/>
        </w:rPr>
        <w:t>《政府采购促进中小企业发展管理办法》（财库〔2020〕46号）规定的中小企业扶持</w:t>
      </w:r>
      <w:r>
        <w:rPr>
          <w:rFonts w:hint="eastAsia" w:ascii="宋体" w:hAnsi="宋体" w:cs="Courier New"/>
          <w:szCs w:val="21"/>
        </w:rPr>
        <w:t>政策的，采购人、采购代理机构应当随成交结果公开成交供应商的《中小企业声明函》。</w:t>
      </w:r>
      <w:bookmarkEnd w:id="48"/>
    </w:p>
    <w:p w14:paraId="72D7B733">
      <w:pPr>
        <w:spacing w:line="360" w:lineRule="auto"/>
        <w:ind w:firstLine="420"/>
        <w:rPr>
          <w:rFonts w:ascii="宋体" w:hAnsi="宋体" w:cs="Courier New"/>
          <w:szCs w:val="21"/>
        </w:rPr>
      </w:pPr>
      <w:r>
        <w:rPr>
          <w:rFonts w:hint="eastAsia" w:ascii="宋体" w:hAnsi="宋体" w:cs="Courier New"/>
          <w:szCs w:val="21"/>
        </w:rPr>
        <w:t>27.4出现下列情形之一的，采购人或者采购代理机构应当终止竞争性磋商采购活动，发布项目终止公告并说明原因，重新开展采购活动：</w:t>
      </w:r>
    </w:p>
    <w:p w14:paraId="770BED90">
      <w:pPr>
        <w:spacing w:line="360" w:lineRule="auto"/>
        <w:ind w:firstLine="420"/>
        <w:rPr>
          <w:rFonts w:ascii="宋体" w:hAnsi="宋体" w:cs="Courier New"/>
          <w:szCs w:val="21"/>
        </w:rPr>
      </w:pPr>
      <w:r>
        <w:rPr>
          <w:rFonts w:hint="eastAsia" w:ascii="宋体" w:hAnsi="宋体" w:cs="Courier New"/>
          <w:szCs w:val="21"/>
        </w:rPr>
        <w:t>（1）因情况变化，不再符合规定的竞争性磋商采购方式适用情形的；</w:t>
      </w:r>
    </w:p>
    <w:p w14:paraId="2C554BAF">
      <w:pPr>
        <w:spacing w:line="360" w:lineRule="auto"/>
        <w:ind w:firstLine="420"/>
        <w:rPr>
          <w:rFonts w:ascii="宋体" w:hAnsi="宋体" w:cs="Courier New"/>
          <w:szCs w:val="21"/>
        </w:rPr>
      </w:pPr>
      <w:r>
        <w:rPr>
          <w:rFonts w:hint="eastAsia" w:ascii="宋体" w:hAnsi="宋体" w:cs="Courier New"/>
          <w:szCs w:val="21"/>
        </w:rPr>
        <w:t>（2）出现影响采购公正的违法、违规行为的；</w:t>
      </w:r>
    </w:p>
    <w:p w14:paraId="2D0D8CE6">
      <w:pPr>
        <w:spacing w:line="360" w:lineRule="auto"/>
        <w:ind w:firstLine="420"/>
        <w:rPr>
          <w:rFonts w:ascii="宋体" w:hAnsi="宋体" w:cs="Courier New"/>
          <w:szCs w:val="21"/>
        </w:rPr>
      </w:pPr>
      <w:r>
        <w:rPr>
          <w:rFonts w:hint="eastAsia" w:ascii="宋体" w:hAnsi="宋体" w:cs="Courier New"/>
          <w:szCs w:val="21"/>
        </w:rPr>
        <w:t>（3）除“第四章 评审程序、评审方法和评审标准”第4.3条规定的情形外，在采购过程中符合要求的供应商或者报价未超过采购预算的供应商不足3家的。</w:t>
      </w:r>
    </w:p>
    <w:p w14:paraId="47FDB260">
      <w:pPr>
        <w:spacing w:line="360" w:lineRule="auto"/>
        <w:ind w:firstLine="420"/>
        <w:rPr>
          <w:rFonts w:ascii="宋体" w:hAnsi="宋体" w:cs="宋体"/>
          <w:szCs w:val="21"/>
        </w:rPr>
      </w:pPr>
      <w:r>
        <w:rPr>
          <w:rFonts w:hint="eastAsia" w:ascii="宋体" w:hAnsi="宋体" w:cs="Courier New"/>
          <w:szCs w:val="21"/>
        </w:rPr>
        <w:t>27.5 在采购活动中因重大变故，采购任务取消的，采购人或者采购代理机构应当终止采购活动，通知所有参加采购活动的供应商，并将项目实施情况和采购任务取消原因报送本级财政部门。</w:t>
      </w:r>
    </w:p>
    <w:p w14:paraId="48D1F20F">
      <w:pPr>
        <w:spacing w:line="360" w:lineRule="auto"/>
        <w:ind w:firstLine="482"/>
        <w:rPr>
          <w:rFonts w:ascii="黑体" w:hAnsi="黑体" w:eastAsia="黑体" w:cs="宋体"/>
          <w:b/>
          <w:bCs/>
          <w:sz w:val="24"/>
        </w:rPr>
      </w:pPr>
      <w:r>
        <w:rPr>
          <w:rFonts w:ascii="黑体" w:hAnsi="黑体" w:eastAsia="黑体" w:cs="宋体"/>
          <w:b/>
          <w:bCs/>
          <w:sz w:val="24"/>
        </w:rPr>
        <w:t>28</w:t>
      </w:r>
      <w:r>
        <w:rPr>
          <w:rFonts w:hint="eastAsia" w:ascii="黑体" w:hAnsi="黑体" w:eastAsia="黑体" w:cs="宋体"/>
          <w:b/>
          <w:bCs/>
          <w:sz w:val="24"/>
        </w:rPr>
        <w:t>.履约保证金</w:t>
      </w:r>
    </w:p>
    <w:p w14:paraId="4806B633">
      <w:pPr>
        <w:spacing w:line="360" w:lineRule="auto"/>
        <w:ind w:firstLine="424"/>
        <w:rPr>
          <w:rFonts w:ascii="宋体" w:hAnsi="宋体" w:cs="宋体"/>
          <w:szCs w:val="21"/>
        </w:rPr>
      </w:pPr>
      <w:r>
        <w:rPr>
          <w:rFonts w:ascii="宋体" w:hAnsi="宋体" w:cs="宋体"/>
          <w:szCs w:val="21"/>
        </w:rPr>
        <w:t>28</w:t>
      </w:r>
      <w:r>
        <w:rPr>
          <w:rFonts w:hint="eastAsia" w:ascii="宋体" w:hAnsi="宋体" w:cs="宋体"/>
          <w:szCs w:val="21"/>
        </w:rPr>
        <w:t>.1履约保证金的金额、提交方式、缴纳期限、退付的时间和条件详见 “供应商须知前附表”。成交供应商未按规定提交履约保证金的，视为拒绝</w:t>
      </w:r>
      <w:r>
        <w:rPr>
          <w:rFonts w:ascii="宋体" w:hAnsi="宋体"/>
        </w:rPr>
        <w:t>与采购人</w:t>
      </w:r>
      <w:r>
        <w:rPr>
          <w:rFonts w:hint="eastAsia" w:ascii="宋体" w:hAnsi="宋体" w:cs="宋体"/>
          <w:szCs w:val="21"/>
        </w:rPr>
        <w:t>签订合同。</w:t>
      </w:r>
    </w:p>
    <w:p w14:paraId="5459F29C">
      <w:pPr>
        <w:spacing w:line="360" w:lineRule="auto"/>
        <w:ind w:firstLine="424"/>
        <w:rPr>
          <w:rFonts w:ascii="宋体" w:hAnsi="宋体" w:cs="宋体"/>
          <w:szCs w:val="21"/>
        </w:rPr>
      </w:pPr>
      <w:r>
        <w:rPr>
          <w:rFonts w:ascii="宋体" w:hAnsi="宋体" w:cs="宋体"/>
          <w:szCs w:val="21"/>
        </w:rPr>
        <w:t>28</w:t>
      </w:r>
      <w:r>
        <w:rPr>
          <w:rFonts w:hint="eastAsia" w:ascii="宋体" w:hAnsi="宋体" w:cs="宋体"/>
          <w:szCs w:val="21"/>
        </w:rPr>
        <w:t>.2在履约保证金退还日期前，若成交供应商的开户名称、开户银行、账号有变动的，请以书面形式通知履约保证金收取单位，否则由此产生的后果由成交供应商自行承担。</w:t>
      </w:r>
    </w:p>
    <w:p w14:paraId="72E47115">
      <w:pPr>
        <w:spacing w:line="360" w:lineRule="auto"/>
        <w:ind w:firstLine="482"/>
        <w:rPr>
          <w:rFonts w:ascii="黑体" w:hAnsi="黑体" w:eastAsia="黑体" w:cs="宋体"/>
          <w:b/>
          <w:bCs/>
          <w:sz w:val="24"/>
        </w:rPr>
      </w:pPr>
      <w:r>
        <w:rPr>
          <w:rFonts w:ascii="黑体" w:hAnsi="黑体" w:eastAsia="黑体" w:cs="宋体"/>
          <w:b/>
          <w:bCs/>
          <w:sz w:val="24"/>
        </w:rPr>
        <w:t>29</w:t>
      </w:r>
      <w:r>
        <w:rPr>
          <w:rFonts w:hint="eastAsia" w:ascii="黑体" w:hAnsi="黑体" w:eastAsia="黑体" w:cs="宋体"/>
          <w:b/>
          <w:bCs/>
          <w:sz w:val="24"/>
        </w:rPr>
        <w:t>.签订合同</w:t>
      </w:r>
    </w:p>
    <w:p w14:paraId="4CF6A795">
      <w:pPr>
        <w:spacing w:line="360" w:lineRule="auto"/>
        <w:ind w:firstLine="424"/>
        <w:rPr>
          <w:rFonts w:ascii="宋体" w:hAnsi="宋体" w:cs="宋体"/>
          <w:szCs w:val="21"/>
        </w:rPr>
      </w:pPr>
      <w:r>
        <w:rPr>
          <w:rFonts w:hint="eastAsia" w:ascii="宋体" w:hAnsi="宋体" w:cs="宋体"/>
          <w:szCs w:val="21"/>
        </w:rPr>
        <w:t>29.1签订电子采购合同：成交供应商领取电子成交通知书后，在</w:t>
      </w:r>
      <w:r>
        <w:rPr>
          <w:rFonts w:hint="eastAsia" w:ascii="宋体" w:hAnsi="宋体" w:cs="宋体"/>
          <w:szCs w:val="21"/>
          <w:lang w:val="zh-CN"/>
        </w:rPr>
        <w:t>规定的日期、时间、地点，由法定代表人或其授权代表与采购人代表签订电子采购合同。如成交供应商为联合体的，由联合体成员各方法定代表人或其授权代表与采购人代表签订合同。</w:t>
      </w:r>
    </w:p>
    <w:p w14:paraId="69204464">
      <w:pPr>
        <w:spacing w:line="360" w:lineRule="auto"/>
        <w:ind w:firstLine="424"/>
        <w:rPr>
          <w:rFonts w:ascii="宋体" w:hAnsi="宋体" w:cs="宋体"/>
          <w:szCs w:val="21"/>
        </w:rPr>
      </w:pPr>
      <w:r>
        <w:rPr>
          <w:rFonts w:hint="eastAsia" w:ascii="宋体" w:hAnsi="宋体" w:cs="宋体"/>
          <w:szCs w:val="21"/>
        </w:rPr>
        <w:t>线下签订纸质合同：供应商领取成交通知书后，按“供应商须知前附表”规定向采购人出示相关证明材料，经采购人核验合格后方可签订合同。</w:t>
      </w:r>
    </w:p>
    <w:p w14:paraId="06D7DD75">
      <w:pPr>
        <w:spacing w:line="360" w:lineRule="auto"/>
        <w:ind w:firstLine="424"/>
        <w:rPr>
          <w:rFonts w:ascii="宋体" w:hAnsi="宋体" w:cs="宋体"/>
          <w:szCs w:val="21"/>
        </w:rPr>
      </w:pPr>
      <w:r>
        <w:rPr>
          <w:rFonts w:hint="eastAsia" w:ascii="宋体" w:hAnsi="宋体" w:cs="宋体"/>
          <w:szCs w:val="21"/>
        </w:rPr>
        <w:t>29.2签订合同时间：按成交通知书规定的时间与采购人签订合同。</w:t>
      </w:r>
    </w:p>
    <w:p w14:paraId="1887EF77">
      <w:pPr>
        <w:spacing w:line="360" w:lineRule="auto"/>
        <w:ind w:firstLine="424"/>
        <w:rPr>
          <w:rFonts w:ascii="宋体" w:hAnsi="宋体" w:cs="宋体"/>
          <w:szCs w:val="21"/>
        </w:rPr>
      </w:pPr>
      <w:r>
        <w:rPr>
          <w:rFonts w:hint="eastAsia" w:ascii="宋体" w:hAnsi="宋体" w:cs="宋体"/>
          <w:szCs w:val="21"/>
        </w:rPr>
        <w:t>29.</w:t>
      </w:r>
      <w:r>
        <w:rPr>
          <w:rFonts w:ascii="宋体" w:hAnsi="宋体" w:cs="宋体"/>
          <w:szCs w:val="21"/>
        </w:rPr>
        <w:t>3</w:t>
      </w:r>
      <w:r>
        <w:rPr>
          <w:rFonts w:hint="eastAsia" w:ascii="宋体" w:hAnsi="宋体" w:cs="宋体"/>
          <w:szCs w:val="21"/>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452C4848">
      <w:pPr>
        <w:spacing w:line="360" w:lineRule="auto"/>
        <w:ind w:firstLine="424"/>
        <w:rPr>
          <w:rFonts w:ascii="宋体" w:hAnsi="宋体" w:cs="宋体"/>
          <w:szCs w:val="21"/>
        </w:rPr>
      </w:pPr>
      <w:r>
        <w:rPr>
          <w:rFonts w:hint="eastAsia" w:ascii="宋体" w:hAnsi="宋体" w:cs="宋体"/>
          <w:szCs w:val="21"/>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6C0127F8">
      <w:pPr>
        <w:spacing w:line="360" w:lineRule="auto"/>
        <w:ind w:firstLine="424"/>
        <w:rPr>
          <w:rFonts w:ascii="宋体" w:hAnsi="宋体" w:cs="宋体"/>
          <w:szCs w:val="21"/>
        </w:rPr>
      </w:pPr>
      <w:r>
        <w:rPr>
          <w:rFonts w:hint="eastAsia" w:ascii="宋体" w:hAnsi="宋体" w:cs="宋体"/>
          <w:szCs w:val="21"/>
        </w:rPr>
        <w:t>29.5采购人或成交供应商不得单方面向合同另一方提出任何磋商文件没有约定的条件或不合理的要求，作为签订合同的条件；也不得协商另行订立背离磋商文件和合同实质性内容的协议。</w:t>
      </w:r>
    </w:p>
    <w:p w14:paraId="2E7F4CB3">
      <w:pPr>
        <w:spacing w:line="360" w:lineRule="auto"/>
        <w:ind w:firstLine="424"/>
        <w:rPr>
          <w:rFonts w:ascii="宋体" w:hAnsi="宋体" w:cs="宋体"/>
          <w:szCs w:val="21"/>
        </w:rPr>
      </w:pPr>
      <w:r>
        <w:rPr>
          <w:rFonts w:hint="eastAsia" w:ascii="宋体" w:hAnsi="宋体" w:cs="宋体"/>
          <w:szCs w:val="21"/>
        </w:rPr>
        <w:t>29.6如签订合同并生效后，供应商无故拒绝或延期，除按照合同条款处理外，将承担相应的法律责任。</w:t>
      </w:r>
    </w:p>
    <w:p w14:paraId="021E2F01">
      <w:pPr>
        <w:spacing w:line="360" w:lineRule="auto"/>
        <w:ind w:firstLine="424"/>
        <w:rPr>
          <w:rFonts w:ascii="宋体" w:hAnsi="宋体" w:cs="宋体"/>
          <w:szCs w:val="21"/>
        </w:rPr>
      </w:pPr>
      <w:r>
        <w:rPr>
          <w:rFonts w:hint="eastAsia" w:ascii="宋体" w:hAnsi="宋体" w:cs="宋体"/>
          <w:szCs w:val="21"/>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53EA4748">
      <w:pPr>
        <w:spacing w:line="360" w:lineRule="auto"/>
        <w:ind w:firstLine="482"/>
        <w:rPr>
          <w:rFonts w:ascii="黑体" w:hAnsi="黑体" w:eastAsia="黑体" w:cs="宋体"/>
          <w:b/>
          <w:bCs/>
          <w:sz w:val="24"/>
        </w:rPr>
      </w:pPr>
      <w:r>
        <w:rPr>
          <w:rFonts w:ascii="黑体" w:hAnsi="黑体" w:eastAsia="黑体" w:cs="宋体"/>
          <w:b/>
          <w:bCs/>
          <w:sz w:val="24"/>
        </w:rPr>
        <w:t>30</w:t>
      </w:r>
      <w:r>
        <w:rPr>
          <w:rFonts w:hint="eastAsia" w:ascii="黑体" w:hAnsi="黑体" w:eastAsia="黑体" w:cs="宋体"/>
          <w:b/>
          <w:bCs/>
          <w:sz w:val="24"/>
        </w:rPr>
        <w:t>.政府采购合同公告</w:t>
      </w:r>
    </w:p>
    <w:p w14:paraId="4F098007">
      <w:pPr>
        <w:spacing w:line="360" w:lineRule="auto"/>
        <w:ind w:firstLine="420"/>
        <w:rPr>
          <w:rFonts w:ascii="宋体" w:hAnsi="宋体" w:cs="宋体"/>
          <w:szCs w:val="21"/>
        </w:rPr>
      </w:pPr>
      <w:r>
        <w:rPr>
          <w:rFonts w:hint="eastAsia" w:ascii="宋体" w:hAnsi="宋体" w:cs="宋体"/>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6AE925B2">
      <w:pPr>
        <w:spacing w:line="360" w:lineRule="auto"/>
        <w:ind w:firstLine="482"/>
        <w:rPr>
          <w:rFonts w:ascii="黑体" w:hAnsi="黑体" w:eastAsia="黑体" w:cs="宋体"/>
          <w:b/>
          <w:bCs/>
          <w:sz w:val="24"/>
        </w:rPr>
      </w:pPr>
      <w:r>
        <w:rPr>
          <w:rFonts w:ascii="黑体" w:hAnsi="黑体" w:eastAsia="黑体" w:cs="宋体"/>
          <w:b/>
          <w:bCs/>
          <w:sz w:val="24"/>
        </w:rPr>
        <w:t>31</w:t>
      </w:r>
      <w:r>
        <w:rPr>
          <w:rFonts w:hint="eastAsia" w:ascii="黑体" w:hAnsi="黑体" w:eastAsia="黑体" w:cs="宋体"/>
          <w:b/>
          <w:bCs/>
          <w:sz w:val="24"/>
        </w:rPr>
        <w:t>. 询问、质疑和投诉</w:t>
      </w:r>
    </w:p>
    <w:p w14:paraId="35F55725">
      <w:pPr>
        <w:pStyle w:val="2"/>
        <w:spacing w:line="360" w:lineRule="auto"/>
        <w:rPr>
          <w:rFonts w:ascii="宋体" w:hAnsi="宋体"/>
          <w:szCs w:val="21"/>
        </w:rPr>
      </w:pPr>
      <w:r>
        <w:rPr>
          <w:rFonts w:hint="eastAsia" w:ascii="宋体" w:hAnsi="宋体" w:cs="宋体"/>
        </w:rPr>
        <w:t>3</w:t>
      </w:r>
      <w:r>
        <w:rPr>
          <w:rFonts w:ascii="宋体" w:hAnsi="宋体" w:cs="宋体"/>
        </w:rPr>
        <w:t>1</w:t>
      </w:r>
      <w:r>
        <w:rPr>
          <w:rFonts w:hint="eastAsia" w:ascii="宋体" w:hAnsi="宋体" w:cs="宋体"/>
        </w:rPr>
        <w:t>.1供应商对政府采购活动事项有疑问的，可以向采购人、采购代理机构提出询问，采购人或者采购代理机构应当在3个工作日内对供应商依法提出的询问作出答复，</w:t>
      </w:r>
      <w:r>
        <w:rPr>
          <w:rFonts w:hint="eastAsia" w:ascii="宋体" w:hAnsi="宋体"/>
          <w:szCs w:val="21"/>
        </w:rPr>
        <w:t>但答复的内容不得涉及商业秘密</w:t>
      </w:r>
      <w:r>
        <w:rPr>
          <w:rFonts w:hint="eastAsia" w:ascii="宋体" w:hAnsi="宋体" w:cs="宋体"/>
        </w:rPr>
        <w:t>。</w:t>
      </w:r>
    </w:p>
    <w:p w14:paraId="253C3F2E">
      <w:pPr>
        <w:spacing w:line="360" w:lineRule="auto"/>
        <w:ind w:firstLine="420"/>
        <w:rPr>
          <w:rFonts w:ascii="宋体" w:hAnsi="宋体" w:cs="宋体"/>
        </w:rPr>
      </w:pPr>
      <w:r>
        <w:rPr>
          <w:rFonts w:hint="eastAsia" w:ascii="宋体" w:hAnsi="宋体" w:cs="宋体"/>
        </w:rPr>
        <w:t>3</w:t>
      </w:r>
      <w:r>
        <w:rPr>
          <w:rFonts w:ascii="宋体" w:hAnsi="宋体" w:cs="宋体"/>
        </w:rPr>
        <w:t>1</w:t>
      </w:r>
      <w:r>
        <w:rPr>
          <w:rFonts w:hint="eastAsia" w:ascii="宋体" w:hAnsi="宋体" w:cs="宋体"/>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shd w:val="clear" w:color="auto" w:fill="FFFFFF"/>
        </w:rPr>
        <w:t>接收质疑函的方式、联系部门、联系电话和通讯地址等信息</w:t>
      </w:r>
      <w:r>
        <w:rPr>
          <w:rFonts w:hint="eastAsia" w:ascii="宋体" w:hAnsi="宋体" w:cs="Arial"/>
          <w:shd w:val="clear" w:color="auto" w:fill="FFFFFF"/>
        </w:rPr>
        <w:t>详见</w:t>
      </w:r>
      <w:r>
        <w:rPr>
          <w:rFonts w:hint="eastAsia" w:ascii="宋体" w:hAnsi="宋体" w:cs="宋体"/>
          <w:szCs w:val="21"/>
        </w:rPr>
        <w:t>“供应商须知前附表”</w:t>
      </w:r>
      <w:r>
        <w:rPr>
          <w:rFonts w:hint="eastAsia" w:ascii="宋体" w:hAnsi="宋体" w:cs="宋体"/>
        </w:rPr>
        <w:t>。具体质疑起算时间如下：</w:t>
      </w:r>
    </w:p>
    <w:p w14:paraId="65BAA9F0">
      <w:pPr>
        <w:spacing w:line="360" w:lineRule="auto"/>
        <w:ind w:firstLine="420"/>
        <w:rPr>
          <w:rFonts w:ascii="宋体" w:hAnsi="宋体" w:cs="宋体"/>
        </w:rPr>
      </w:pPr>
      <w:r>
        <w:rPr>
          <w:rFonts w:hint="eastAsia" w:ascii="宋体" w:hAnsi="宋体" w:cs="宋体"/>
        </w:rPr>
        <w:t>（1）对可以质疑的磋商文件提出质疑的，为收到磋商文件之日或者</w:t>
      </w:r>
      <w:r>
        <w:rPr>
          <w:rFonts w:hint="eastAsia" w:ascii="宋体" w:hAnsi="宋体"/>
        </w:rPr>
        <w:t>竞争性磋商公告期限届满之日</w:t>
      </w:r>
      <w:r>
        <w:rPr>
          <w:rFonts w:hint="eastAsia" w:ascii="宋体" w:hAnsi="宋体" w:cs="宋体"/>
        </w:rPr>
        <w:t>；</w:t>
      </w:r>
    </w:p>
    <w:p w14:paraId="666B6514">
      <w:pPr>
        <w:spacing w:line="360" w:lineRule="auto"/>
        <w:ind w:firstLine="420"/>
        <w:rPr>
          <w:rFonts w:ascii="宋体" w:hAnsi="宋体" w:cs="宋体"/>
        </w:rPr>
      </w:pPr>
      <w:r>
        <w:rPr>
          <w:rFonts w:hint="eastAsia" w:ascii="宋体" w:hAnsi="宋体" w:cs="宋体"/>
        </w:rPr>
        <w:t>（2）对采购过程提出质疑的，为各采购程序环节结束之日；</w:t>
      </w:r>
    </w:p>
    <w:p w14:paraId="4A0E29FD">
      <w:pPr>
        <w:spacing w:line="360" w:lineRule="auto"/>
        <w:ind w:firstLine="420"/>
        <w:rPr>
          <w:rFonts w:ascii="宋体" w:hAnsi="宋体" w:cs="宋体"/>
        </w:rPr>
      </w:pPr>
      <w:r>
        <w:rPr>
          <w:rFonts w:hint="eastAsia" w:ascii="宋体" w:hAnsi="宋体" w:cs="宋体"/>
        </w:rPr>
        <w:t>（3）对成交结果提出质疑的，为成交结果公告期限届满之日。</w:t>
      </w:r>
    </w:p>
    <w:p w14:paraId="48856290">
      <w:pPr>
        <w:spacing w:line="360" w:lineRule="auto"/>
        <w:ind w:firstLine="420"/>
        <w:rPr>
          <w:rFonts w:ascii="宋体" w:hAnsi="宋体" w:cs="宋体"/>
        </w:rPr>
      </w:pPr>
      <w:r>
        <w:rPr>
          <w:rFonts w:hint="eastAsia" w:ascii="宋体" w:hAnsi="宋体" w:cs="宋体"/>
        </w:rPr>
        <w:t>3</w:t>
      </w:r>
      <w:r>
        <w:rPr>
          <w:rFonts w:ascii="宋体" w:hAnsi="宋体" w:cs="宋体"/>
        </w:rPr>
        <w:t>1</w:t>
      </w:r>
      <w:r>
        <w:rPr>
          <w:rFonts w:hint="eastAsia" w:ascii="宋体" w:hAnsi="宋体" w:cs="宋体"/>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3CC8895B">
      <w:pPr>
        <w:spacing w:line="360" w:lineRule="auto"/>
        <w:ind w:firstLine="420"/>
        <w:rPr>
          <w:rFonts w:ascii="宋体" w:hAnsi="宋体" w:cs="宋体"/>
        </w:rPr>
      </w:pPr>
      <w:r>
        <w:rPr>
          <w:rFonts w:hint="eastAsia" w:ascii="宋体" w:hAnsi="宋体" w:cs="宋体"/>
        </w:rPr>
        <w:t>3</w:t>
      </w:r>
      <w:r>
        <w:rPr>
          <w:rFonts w:ascii="宋体" w:hAnsi="宋体" w:cs="宋体"/>
        </w:rPr>
        <w:t>1</w:t>
      </w:r>
      <w:r>
        <w:rPr>
          <w:rFonts w:hint="eastAsia" w:ascii="宋体" w:hAnsi="宋体" w:cs="宋体"/>
        </w:rPr>
        <w:t>.4 供应商提出质疑应当提交质疑函和必要的证明材料，针对同一采购程序环节的质疑必须在法定质疑期内一次性提出。质疑函应当包括下列内容</w:t>
      </w:r>
      <w:r>
        <w:rPr>
          <w:rFonts w:hint="eastAsia" w:hAnsi="宋体"/>
          <w:bCs/>
        </w:rPr>
        <w:t>（质疑函格式后附）</w:t>
      </w:r>
      <w:r>
        <w:rPr>
          <w:rFonts w:hint="eastAsia" w:ascii="宋体" w:hAnsi="宋体" w:cs="宋体"/>
        </w:rPr>
        <w:t>：</w:t>
      </w:r>
    </w:p>
    <w:p w14:paraId="12754E03">
      <w:pPr>
        <w:spacing w:line="360" w:lineRule="auto"/>
        <w:ind w:firstLine="420"/>
        <w:rPr>
          <w:rFonts w:ascii="宋体" w:hAnsi="宋体" w:cs="宋体"/>
        </w:rPr>
      </w:pPr>
      <w:r>
        <w:rPr>
          <w:rFonts w:hint="eastAsia" w:ascii="宋体" w:hAnsi="宋体" w:cs="宋体"/>
        </w:rPr>
        <w:t>（1）供应商的姓名或者名称、地址、邮编、联系人及联系电话；</w:t>
      </w:r>
    </w:p>
    <w:p w14:paraId="608DD9A8">
      <w:pPr>
        <w:spacing w:line="360" w:lineRule="auto"/>
        <w:ind w:firstLine="420"/>
        <w:rPr>
          <w:rFonts w:ascii="宋体" w:hAnsi="宋体" w:cs="宋体"/>
        </w:rPr>
      </w:pPr>
      <w:r>
        <w:rPr>
          <w:rFonts w:hint="eastAsia" w:ascii="宋体" w:hAnsi="宋体" w:cs="宋体"/>
        </w:rPr>
        <w:t>（2）质疑项目的名称、编号；</w:t>
      </w:r>
    </w:p>
    <w:p w14:paraId="02BF7221">
      <w:pPr>
        <w:spacing w:line="360" w:lineRule="auto"/>
        <w:ind w:firstLine="420"/>
        <w:rPr>
          <w:rFonts w:ascii="宋体" w:hAnsi="宋体" w:cs="宋体"/>
        </w:rPr>
      </w:pPr>
      <w:r>
        <w:rPr>
          <w:rFonts w:hint="eastAsia" w:ascii="宋体" w:hAnsi="宋体" w:cs="宋体"/>
        </w:rPr>
        <w:t>（3）具体、明确的质疑事项和与质疑事项相关的请求；</w:t>
      </w:r>
    </w:p>
    <w:p w14:paraId="78B9DF13">
      <w:pPr>
        <w:spacing w:line="360" w:lineRule="auto"/>
        <w:ind w:firstLine="420"/>
        <w:rPr>
          <w:rFonts w:ascii="宋体" w:hAnsi="宋体" w:cs="宋体"/>
        </w:rPr>
      </w:pPr>
      <w:r>
        <w:rPr>
          <w:rFonts w:hint="eastAsia" w:ascii="宋体" w:hAnsi="宋体" w:cs="宋体"/>
        </w:rPr>
        <w:t>（4）事实依据；</w:t>
      </w:r>
    </w:p>
    <w:p w14:paraId="5304E351">
      <w:pPr>
        <w:spacing w:line="360" w:lineRule="auto"/>
        <w:ind w:firstLine="420"/>
        <w:rPr>
          <w:rFonts w:ascii="宋体" w:hAnsi="宋体" w:cs="宋体"/>
        </w:rPr>
      </w:pPr>
      <w:r>
        <w:rPr>
          <w:rFonts w:hint="eastAsia" w:ascii="宋体" w:hAnsi="宋体" w:cs="宋体"/>
        </w:rPr>
        <w:t>（5）必要的法律依据；</w:t>
      </w:r>
    </w:p>
    <w:p w14:paraId="176526C3">
      <w:pPr>
        <w:spacing w:line="360" w:lineRule="auto"/>
        <w:ind w:firstLine="420"/>
        <w:rPr>
          <w:rFonts w:ascii="宋体" w:hAnsi="宋体" w:cs="宋体"/>
        </w:rPr>
      </w:pPr>
      <w:r>
        <w:rPr>
          <w:rFonts w:hint="eastAsia" w:ascii="宋体" w:hAnsi="宋体" w:cs="宋体"/>
        </w:rPr>
        <w:t>（6）提出质疑的日期。</w:t>
      </w:r>
    </w:p>
    <w:p w14:paraId="0F359074">
      <w:pPr>
        <w:spacing w:line="360" w:lineRule="auto"/>
        <w:ind w:firstLine="420"/>
        <w:rPr>
          <w:rFonts w:ascii="宋体" w:hAnsi="宋体" w:cs="宋体"/>
        </w:rPr>
      </w:pPr>
      <w:r>
        <w:rPr>
          <w:rFonts w:hint="eastAsia" w:ascii="宋体" w:hAnsi="宋体" w:cs="宋体"/>
        </w:rPr>
        <w:t>供应商为自然人的，应当由本人签字；供应商为法人或者其他组织的，应当由法定代表人、主要负责人，或者其委托代理人签字或者盖章，并加盖公章。</w:t>
      </w:r>
    </w:p>
    <w:p w14:paraId="77DA296C">
      <w:pPr>
        <w:spacing w:line="360" w:lineRule="auto"/>
        <w:ind w:firstLine="420"/>
        <w:rPr>
          <w:rFonts w:ascii="宋体" w:hAnsi="宋体" w:cs="宋体"/>
        </w:rPr>
      </w:pPr>
      <w:r>
        <w:rPr>
          <w:rFonts w:hint="eastAsia" w:ascii="宋体" w:hAnsi="宋体" w:cs="宋体"/>
        </w:rPr>
        <w:t>3</w:t>
      </w:r>
      <w:r>
        <w:rPr>
          <w:rFonts w:ascii="宋体" w:hAnsi="宋体" w:cs="宋体"/>
        </w:rPr>
        <w:t>1.5</w:t>
      </w:r>
      <w:r>
        <w:rPr>
          <w:rFonts w:hint="eastAsia" w:ascii="宋体" w:hAnsi="宋体" w:cs="宋体"/>
        </w:rPr>
        <w:t>采购人、采购代理机构认为供应商质疑不成立，或者成立但未对成交结果构成影响的，继续开展采购活动；认为供应商质疑成立且影响或者可能影响成交结果的，按照下列情况处理：</w:t>
      </w:r>
    </w:p>
    <w:p w14:paraId="1E94705C">
      <w:pPr>
        <w:spacing w:line="360" w:lineRule="auto"/>
        <w:ind w:firstLine="420"/>
        <w:rPr>
          <w:rFonts w:ascii="宋体" w:hAnsi="宋体" w:cs="宋体"/>
        </w:rPr>
      </w:pPr>
      <w:r>
        <w:rPr>
          <w:rFonts w:hint="eastAsia" w:ascii="宋体" w:hAnsi="宋体" w:cs="宋体"/>
        </w:rPr>
        <w:t>（一）对采购文件提出的质疑，依法通过澄清或者修改可以继续开展采购活动的，澄清或者修改采购文件后继续开展采购活动；否则应当修改采购文件后重新开展采购活动。</w:t>
      </w:r>
    </w:p>
    <w:p w14:paraId="44CBE592">
      <w:pPr>
        <w:spacing w:line="360" w:lineRule="auto"/>
        <w:ind w:firstLine="420"/>
        <w:rPr>
          <w:rFonts w:ascii="宋体" w:hAnsi="宋体" w:cs="宋体"/>
        </w:rPr>
      </w:pPr>
      <w:r>
        <w:rPr>
          <w:rFonts w:hint="eastAsia" w:ascii="宋体" w:hAnsi="宋体" w:cs="宋体"/>
        </w:rPr>
        <w:t>（二）对采购过程或者成交结果提出的质疑，合格供应商符合法定数量时，可以从合格的成交候选人中另行确定成交供应商的，应当依法另行确定成交供应商；否则应当重新开展采购活动。</w:t>
      </w:r>
    </w:p>
    <w:p w14:paraId="3C5A6057">
      <w:pPr>
        <w:spacing w:line="360" w:lineRule="auto"/>
        <w:ind w:firstLine="420"/>
        <w:rPr>
          <w:rFonts w:ascii="宋体" w:hAnsi="宋体" w:cs="宋体"/>
        </w:rPr>
      </w:pPr>
      <w:r>
        <w:rPr>
          <w:rFonts w:hint="eastAsia" w:ascii="宋体" w:hAnsi="宋体" w:cs="宋体"/>
        </w:rPr>
        <w:t>质疑答复导致成交结果改变的，采购人或者采购代理机构应当将有关情况书面报告本级财政部门。</w:t>
      </w:r>
    </w:p>
    <w:p w14:paraId="13A7418C">
      <w:pPr>
        <w:pStyle w:val="24"/>
        <w:snapToGrid w:val="0"/>
        <w:spacing w:line="360" w:lineRule="auto"/>
        <w:ind w:firstLine="400" w:firstLineChars="200"/>
        <w:rPr>
          <w:rFonts w:hAnsi="宋体" w:cs="宋体"/>
          <w:color w:val="000000"/>
        </w:rPr>
      </w:pPr>
      <w:r>
        <w:rPr>
          <w:rFonts w:hAnsi="宋体" w:cs="宋体"/>
        </w:rPr>
        <w:t>31</w:t>
      </w:r>
      <w:r>
        <w:rPr>
          <w:rFonts w:hint="eastAsia" w:hAnsi="宋体" w:cs="宋体"/>
        </w:rPr>
        <w:t>.</w:t>
      </w:r>
      <w:r>
        <w:rPr>
          <w:rFonts w:hAnsi="宋体" w:cs="宋体"/>
        </w:rPr>
        <w:t>6</w:t>
      </w:r>
      <w:r>
        <w:rPr>
          <w:rFonts w:hint="eastAsia" w:hAnsi="宋体" w:cs="宋体"/>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r>
        <w:rPr>
          <w:rFonts w:hint="eastAsia" w:hAnsi="宋体" w:cs="宋体"/>
          <w:color w:val="000000"/>
        </w:rPr>
        <w:t>受理投诉方式：</w:t>
      </w:r>
    </w:p>
    <w:p w14:paraId="19D6E2DC">
      <w:pPr>
        <w:pStyle w:val="24"/>
        <w:snapToGrid w:val="0"/>
        <w:spacing w:line="360" w:lineRule="auto"/>
        <w:ind w:firstLine="400" w:firstLineChars="200"/>
        <w:rPr>
          <w:rFonts w:hAnsi="宋体" w:cs="宋体"/>
          <w:kern w:val="2"/>
          <w:sz w:val="21"/>
        </w:rPr>
      </w:pPr>
      <w:r>
        <w:rPr>
          <w:rFonts w:hint="eastAsia" w:hAnsi="宋体" w:cs="宋体"/>
          <w:color w:val="000000"/>
        </w:rPr>
        <w:t>询问、质疑联系部门：</w:t>
      </w:r>
      <w:r>
        <w:rPr>
          <w:rFonts w:hint="eastAsia" w:hAnsi="宋体" w:cs="宋体"/>
          <w:kern w:val="2"/>
          <w:sz w:val="21"/>
        </w:rPr>
        <w:t>同致诚工程咨询有限责任公司，联系电话：</w:t>
      </w:r>
      <w:r>
        <w:rPr>
          <w:rFonts w:hint="eastAsia" w:hAnsi="宋体" w:cs="宋体"/>
          <w:color w:val="000000"/>
        </w:rPr>
        <w:t xml:space="preserve">0774-3932979 </w:t>
      </w:r>
      <w:r>
        <w:rPr>
          <w:rFonts w:hint="eastAsia" w:hAnsi="宋体" w:cs="宋体"/>
          <w:kern w:val="2"/>
          <w:sz w:val="21"/>
        </w:rPr>
        <w:t>，通讯地址：</w:t>
      </w:r>
      <w:r>
        <w:rPr>
          <w:rFonts w:hint="eastAsia" w:hAnsi="宋体" w:cs="宋体"/>
          <w:color w:val="000000"/>
        </w:rPr>
        <w:t>梧州市长洲区新兴二路3号（恒祥豪苑小区）B2栋2205号房。</w:t>
      </w:r>
    </w:p>
    <w:p w14:paraId="463E49A5">
      <w:pPr>
        <w:spacing w:line="360" w:lineRule="auto"/>
        <w:ind w:firstLine="420" w:firstLineChars="200"/>
        <w:rPr>
          <w:rFonts w:ascii="宋体" w:hAnsi="宋体" w:cs="宋体"/>
          <w:szCs w:val="21"/>
        </w:rPr>
      </w:pPr>
      <w:r>
        <w:rPr>
          <w:rFonts w:hint="eastAsia" w:ascii="宋体" w:hAnsi="宋体" w:cs="宋体"/>
          <w:color w:val="000000"/>
        </w:rPr>
        <w:t>投诉联系部门：梧州市财政局采购监督管理科：联系电话：0774-3866434，</w:t>
      </w:r>
      <w:r>
        <w:rPr>
          <w:rFonts w:hint="eastAsia" w:hAnsi="宋体" w:cs="宋体"/>
          <w:kern w:val="2"/>
        </w:rPr>
        <w:t>通讯地址：梧州市长洲三龙大道红岭</w:t>
      </w:r>
      <w:r>
        <w:rPr>
          <w:rFonts w:hint="eastAsia" w:ascii="宋体" w:hAnsi="宋体" w:cs="宋体"/>
          <w:kern w:val="2"/>
        </w:rPr>
        <w:t>大厦2217室、2226室。</w:t>
      </w:r>
    </w:p>
    <w:p w14:paraId="03C7E637">
      <w:pPr>
        <w:spacing w:line="360" w:lineRule="auto"/>
        <w:ind w:firstLine="482"/>
        <w:rPr>
          <w:rFonts w:ascii="黑体" w:hAnsi="黑体" w:eastAsia="黑体" w:cs="宋体"/>
          <w:b/>
          <w:bCs/>
          <w:sz w:val="24"/>
        </w:rPr>
      </w:pPr>
      <w:r>
        <w:rPr>
          <w:rFonts w:ascii="黑体" w:hAnsi="黑体" w:eastAsia="黑体" w:cs="宋体"/>
          <w:b/>
          <w:bCs/>
          <w:sz w:val="24"/>
        </w:rPr>
        <w:t>32</w:t>
      </w:r>
      <w:r>
        <w:rPr>
          <w:rFonts w:hint="eastAsia" w:ascii="黑体" w:hAnsi="黑体" w:eastAsia="黑体" w:cs="宋体"/>
          <w:b/>
          <w:bCs/>
          <w:sz w:val="24"/>
        </w:rPr>
        <w:t>.其他内容</w:t>
      </w:r>
    </w:p>
    <w:p w14:paraId="6294C922">
      <w:pPr>
        <w:tabs>
          <w:tab w:val="left" w:pos="2835"/>
        </w:tabs>
        <w:spacing w:line="360" w:lineRule="auto"/>
        <w:ind w:firstLine="420"/>
        <w:rPr>
          <w:rFonts w:ascii="宋体" w:hAnsi="宋体" w:cs="宋体"/>
          <w:szCs w:val="21"/>
        </w:rPr>
      </w:pPr>
      <w:r>
        <w:rPr>
          <w:rFonts w:ascii="宋体" w:hAnsi="宋体" w:cs="宋体"/>
          <w:szCs w:val="21"/>
        </w:rPr>
        <w:t>32</w:t>
      </w:r>
      <w:r>
        <w:rPr>
          <w:rFonts w:hint="eastAsia" w:ascii="宋体" w:hAnsi="宋体" w:cs="宋体"/>
          <w:szCs w:val="21"/>
        </w:rPr>
        <w:t>.1代理服务</w:t>
      </w:r>
      <w:r>
        <w:rPr>
          <w:rFonts w:hint="eastAsia"/>
        </w:rPr>
        <w:t>费</w:t>
      </w:r>
      <w:r>
        <w:rPr>
          <w:rFonts w:hint="eastAsia" w:ascii="宋体" w:hAnsi="宋体" w:cs="宋体"/>
          <w:szCs w:val="21"/>
        </w:rPr>
        <w:t>收取标准及缴费账户详见“供应商须知前附表”，供应商为联合体的，可以由联合体中的一方或者多方共同交纳代理服务费。</w:t>
      </w:r>
    </w:p>
    <w:p w14:paraId="0D0F4876">
      <w:pPr>
        <w:tabs>
          <w:tab w:val="left" w:pos="2835"/>
        </w:tabs>
        <w:spacing w:line="360" w:lineRule="auto"/>
        <w:ind w:firstLine="420"/>
        <w:rPr>
          <w:rFonts w:ascii="宋体" w:hAnsi="宋体" w:cs="宋体"/>
          <w:szCs w:val="21"/>
        </w:rPr>
      </w:pPr>
      <w:r>
        <w:rPr>
          <w:rFonts w:ascii="宋体" w:hAnsi="宋体" w:cs="宋体"/>
          <w:szCs w:val="21"/>
        </w:rPr>
        <w:t>32.2</w:t>
      </w:r>
      <w:r>
        <w:rPr>
          <w:rFonts w:hint="eastAsia" w:ascii="宋体" w:hAnsi="宋体" w:cs="宋体"/>
          <w:szCs w:val="21"/>
        </w:rPr>
        <w:t>代理服务费收费计算标准：</w:t>
      </w:r>
    </w:p>
    <w:tbl>
      <w:tblPr>
        <w:tblStyle w:val="44"/>
        <w:tblW w:w="820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5808A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3326A4C4">
            <w:pPr>
              <w:spacing w:line="360" w:lineRule="auto"/>
              <w:rPr>
                <w:rFonts w:ascii="宋体" w:hAnsi="宋体" w:cs="宋体"/>
                <w:szCs w:val="21"/>
              </w:rPr>
            </w:pPr>
            <w:r>
              <w:rPr>
                <w:rFonts w:hint="eastAsia" w:ascii="宋体" w:hAnsi="宋体" w:cs="宋体"/>
                <w:szCs w:val="21"/>
              </w:rPr>
              <w:t xml:space="preserve">               费率</w:t>
            </w:r>
          </w:p>
          <w:p w14:paraId="640C5CCA">
            <w:pPr>
              <w:spacing w:line="360" w:lineRule="auto"/>
              <w:rPr>
                <w:rFonts w:ascii="宋体" w:hAnsi="宋体" w:cs="宋体"/>
                <w:szCs w:val="21"/>
              </w:rPr>
            </w:pPr>
            <w:r>
              <w:rPr>
                <w:rFonts w:hint="eastAsia" w:ascii="宋体" w:hAnsi="宋体" w:cs="宋体"/>
                <w:szCs w:val="21"/>
              </w:rPr>
              <w:t>金额</w:t>
            </w:r>
          </w:p>
        </w:tc>
        <w:tc>
          <w:tcPr>
            <w:tcW w:w="1659" w:type="dxa"/>
            <w:noWrap/>
            <w:vAlign w:val="center"/>
          </w:tcPr>
          <w:p w14:paraId="50798594">
            <w:pPr>
              <w:spacing w:line="360" w:lineRule="auto"/>
              <w:ind w:firstLine="105"/>
              <w:jc w:val="center"/>
              <w:rPr>
                <w:rFonts w:ascii="宋体" w:hAnsi="宋体" w:cs="宋体"/>
                <w:szCs w:val="21"/>
              </w:rPr>
            </w:pPr>
            <w:r>
              <w:rPr>
                <w:rFonts w:hint="eastAsia" w:ascii="宋体" w:hAnsi="宋体" w:cs="宋体"/>
                <w:szCs w:val="21"/>
              </w:rPr>
              <w:t>货物类</w:t>
            </w:r>
          </w:p>
        </w:tc>
        <w:tc>
          <w:tcPr>
            <w:tcW w:w="1532" w:type="dxa"/>
            <w:noWrap/>
            <w:vAlign w:val="center"/>
          </w:tcPr>
          <w:p w14:paraId="636ADC06">
            <w:pPr>
              <w:spacing w:line="360" w:lineRule="auto"/>
              <w:jc w:val="center"/>
              <w:rPr>
                <w:rFonts w:ascii="宋体" w:hAnsi="宋体" w:cs="宋体"/>
                <w:szCs w:val="21"/>
              </w:rPr>
            </w:pPr>
            <w:r>
              <w:rPr>
                <w:rFonts w:hint="eastAsia" w:ascii="宋体" w:hAnsi="宋体" w:cs="宋体"/>
                <w:szCs w:val="21"/>
              </w:rPr>
              <w:t>服务类</w:t>
            </w:r>
          </w:p>
        </w:tc>
        <w:tc>
          <w:tcPr>
            <w:tcW w:w="1546" w:type="dxa"/>
            <w:noWrap/>
            <w:vAlign w:val="center"/>
          </w:tcPr>
          <w:p w14:paraId="2738DD62">
            <w:pPr>
              <w:spacing w:line="360" w:lineRule="auto"/>
              <w:jc w:val="center"/>
              <w:rPr>
                <w:rFonts w:ascii="宋体" w:hAnsi="宋体" w:cs="宋体"/>
                <w:szCs w:val="21"/>
              </w:rPr>
            </w:pPr>
            <w:r>
              <w:rPr>
                <w:rFonts w:hint="eastAsia" w:ascii="宋体" w:hAnsi="宋体" w:cs="宋体"/>
                <w:szCs w:val="21"/>
              </w:rPr>
              <w:t>工程类</w:t>
            </w:r>
          </w:p>
        </w:tc>
      </w:tr>
      <w:tr w14:paraId="3F27F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2B7FE9AA">
            <w:pPr>
              <w:spacing w:line="360" w:lineRule="auto"/>
              <w:rPr>
                <w:rFonts w:ascii="宋体" w:hAnsi="宋体" w:cs="宋体"/>
                <w:szCs w:val="21"/>
              </w:rPr>
            </w:pPr>
            <w:r>
              <w:rPr>
                <w:rFonts w:hint="eastAsia" w:ascii="宋体" w:hAnsi="宋体" w:cs="宋体"/>
                <w:szCs w:val="21"/>
              </w:rPr>
              <w:t>100万元以下</w:t>
            </w:r>
          </w:p>
        </w:tc>
        <w:tc>
          <w:tcPr>
            <w:tcW w:w="1659" w:type="dxa"/>
            <w:noWrap/>
          </w:tcPr>
          <w:p w14:paraId="15EFDB8B">
            <w:pPr>
              <w:spacing w:line="360" w:lineRule="auto"/>
              <w:rPr>
                <w:rFonts w:ascii="宋体" w:hAnsi="宋体" w:cs="宋体"/>
                <w:szCs w:val="21"/>
              </w:rPr>
            </w:pPr>
            <w:r>
              <w:rPr>
                <w:rFonts w:hint="eastAsia" w:ascii="宋体" w:hAnsi="宋体" w:cs="宋体"/>
                <w:szCs w:val="21"/>
              </w:rPr>
              <w:t xml:space="preserve">  1.5%                </w:t>
            </w:r>
          </w:p>
        </w:tc>
        <w:tc>
          <w:tcPr>
            <w:tcW w:w="1532" w:type="dxa"/>
            <w:noWrap/>
          </w:tcPr>
          <w:p w14:paraId="388DEDBB">
            <w:pPr>
              <w:spacing w:line="360" w:lineRule="auto"/>
              <w:ind w:firstLine="210"/>
              <w:rPr>
                <w:rFonts w:ascii="宋体" w:hAnsi="宋体" w:cs="宋体"/>
                <w:szCs w:val="21"/>
              </w:rPr>
            </w:pPr>
            <w:r>
              <w:rPr>
                <w:rFonts w:hint="eastAsia" w:ascii="宋体" w:hAnsi="宋体" w:cs="宋体"/>
                <w:szCs w:val="21"/>
              </w:rPr>
              <w:t>1.5%</w:t>
            </w:r>
          </w:p>
        </w:tc>
        <w:tc>
          <w:tcPr>
            <w:tcW w:w="1546" w:type="dxa"/>
            <w:noWrap/>
          </w:tcPr>
          <w:p w14:paraId="02B4E9C9">
            <w:pPr>
              <w:spacing w:line="360" w:lineRule="auto"/>
              <w:ind w:firstLine="210"/>
              <w:rPr>
                <w:rFonts w:ascii="宋体" w:hAnsi="宋体" w:cs="宋体"/>
                <w:szCs w:val="21"/>
              </w:rPr>
            </w:pPr>
            <w:r>
              <w:rPr>
                <w:rFonts w:hint="eastAsia" w:ascii="宋体" w:hAnsi="宋体" w:cs="宋体"/>
                <w:szCs w:val="21"/>
              </w:rPr>
              <w:t xml:space="preserve">1.0% </w:t>
            </w:r>
          </w:p>
        </w:tc>
      </w:tr>
      <w:tr w14:paraId="0C35B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4D9528E6">
            <w:pPr>
              <w:spacing w:line="360" w:lineRule="auto"/>
              <w:rPr>
                <w:rFonts w:ascii="宋体" w:hAnsi="宋体" w:cs="宋体"/>
                <w:szCs w:val="21"/>
              </w:rPr>
            </w:pPr>
            <w:r>
              <w:rPr>
                <w:rFonts w:hint="eastAsia" w:ascii="宋体" w:hAnsi="宋体" w:cs="宋体"/>
                <w:szCs w:val="21"/>
              </w:rPr>
              <w:t>100万～500万元</w:t>
            </w:r>
          </w:p>
        </w:tc>
        <w:tc>
          <w:tcPr>
            <w:tcW w:w="1659" w:type="dxa"/>
            <w:noWrap/>
          </w:tcPr>
          <w:p w14:paraId="214FD135">
            <w:pPr>
              <w:spacing w:line="360" w:lineRule="auto"/>
              <w:ind w:firstLine="210"/>
              <w:rPr>
                <w:rFonts w:ascii="宋体" w:hAnsi="宋体" w:cs="宋体"/>
                <w:szCs w:val="21"/>
              </w:rPr>
            </w:pPr>
            <w:r>
              <w:rPr>
                <w:rFonts w:hint="eastAsia" w:ascii="宋体" w:hAnsi="宋体" w:cs="宋体"/>
                <w:szCs w:val="21"/>
              </w:rPr>
              <w:t xml:space="preserve">1.1%                 </w:t>
            </w:r>
          </w:p>
        </w:tc>
        <w:tc>
          <w:tcPr>
            <w:tcW w:w="1532" w:type="dxa"/>
            <w:noWrap/>
          </w:tcPr>
          <w:p w14:paraId="7B846765">
            <w:pPr>
              <w:spacing w:line="360" w:lineRule="auto"/>
              <w:ind w:firstLine="210"/>
              <w:rPr>
                <w:rFonts w:ascii="宋体" w:hAnsi="宋体" w:cs="宋体"/>
                <w:szCs w:val="21"/>
              </w:rPr>
            </w:pPr>
            <w:r>
              <w:rPr>
                <w:rFonts w:hint="eastAsia" w:ascii="宋体" w:hAnsi="宋体" w:cs="宋体"/>
                <w:szCs w:val="21"/>
              </w:rPr>
              <w:t>0.8%</w:t>
            </w:r>
          </w:p>
        </w:tc>
        <w:tc>
          <w:tcPr>
            <w:tcW w:w="1546" w:type="dxa"/>
            <w:noWrap/>
          </w:tcPr>
          <w:p w14:paraId="25282E61">
            <w:pPr>
              <w:spacing w:line="360" w:lineRule="auto"/>
              <w:ind w:firstLine="210"/>
              <w:rPr>
                <w:rFonts w:ascii="宋体" w:hAnsi="宋体" w:cs="宋体"/>
                <w:szCs w:val="21"/>
              </w:rPr>
            </w:pPr>
            <w:r>
              <w:rPr>
                <w:rFonts w:hint="eastAsia" w:ascii="宋体" w:hAnsi="宋体" w:cs="宋体"/>
                <w:szCs w:val="21"/>
              </w:rPr>
              <w:t xml:space="preserve">0.7% </w:t>
            </w:r>
          </w:p>
        </w:tc>
      </w:tr>
      <w:tr w14:paraId="3721D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2A9057C7">
            <w:pPr>
              <w:spacing w:line="360" w:lineRule="auto"/>
              <w:rPr>
                <w:rFonts w:ascii="宋体" w:hAnsi="宋体" w:cs="宋体"/>
                <w:szCs w:val="21"/>
              </w:rPr>
            </w:pPr>
            <w:r>
              <w:rPr>
                <w:rFonts w:hint="eastAsia" w:ascii="宋体" w:hAnsi="宋体" w:cs="宋体"/>
                <w:szCs w:val="21"/>
              </w:rPr>
              <w:t>500万～1000万元</w:t>
            </w:r>
          </w:p>
        </w:tc>
        <w:tc>
          <w:tcPr>
            <w:tcW w:w="1659" w:type="dxa"/>
            <w:noWrap/>
          </w:tcPr>
          <w:p w14:paraId="2C2CF3F4">
            <w:pPr>
              <w:spacing w:line="360" w:lineRule="auto"/>
              <w:rPr>
                <w:rFonts w:ascii="宋体" w:hAnsi="宋体" w:cs="宋体"/>
                <w:szCs w:val="21"/>
              </w:rPr>
            </w:pPr>
            <w:r>
              <w:rPr>
                <w:rFonts w:hint="eastAsia" w:ascii="宋体" w:hAnsi="宋体" w:cs="宋体"/>
                <w:szCs w:val="21"/>
              </w:rPr>
              <w:t xml:space="preserve">  0.8%                </w:t>
            </w:r>
          </w:p>
        </w:tc>
        <w:tc>
          <w:tcPr>
            <w:tcW w:w="1532" w:type="dxa"/>
            <w:noWrap/>
          </w:tcPr>
          <w:p w14:paraId="6B404E91">
            <w:pPr>
              <w:spacing w:line="360" w:lineRule="auto"/>
              <w:ind w:firstLine="210"/>
              <w:rPr>
                <w:rFonts w:ascii="宋体" w:hAnsi="宋体" w:cs="宋体"/>
                <w:szCs w:val="21"/>
              </w:rPr>
            </w:pPr>
            <w:r>
              <w:rPr>
                <w:rFonts w:hint="eastAsia" w:ascii="宋体" w:hAnsi="宋体" w:cs="宋体"/>
                <w:szCs w:val="21"/>
              </w:rPr>
              <w:t>0.45%</w:t>
            </w:r>
          </w:p>
        </w:tc>
        <w:tc>
          <w:tcPr>
            <w:tcW w:w="1546" w:type="dxa"/>
            <w:noWrap/>
          </w:tcPr>
          <w:p w14:paraId="2038EF2C">
            <w:pPr>
              <w:spacing w:line="360" w:lineRule="auto"/>
              <w:ind w:firstLine="210"/>
              <w:rPr>
                <w:rFonts w:ascii="宋体" w:hAnsi="宋体" w:cs="宋体"/>
                <w:szCs w:val="21"/>
              </w:rPr>
            </w:pPr>
            <w:r>
              <w:rPr>
                <w:rFonts w:hint="eastAsia" w:ascii="宋体" w:hAnsi="宋体" w:cs="宋体"/>
                <w:szCs w:val="21"/>
              </w:rPr>
              <w:t>0.55%</w:t>
            </w:r>
          </w:p>
        </w:tc>
      </w:tr>
      <w:tr w14:paraId="5B481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6EE207FC">
            <w:pPr>
              <w:spacing w:line="360" w:lineRule="auto"/>
              <w:rPr>
                <w:rFonts w:ascii="宋体" w:hAnsi="宋体" w:cs="宋体"/>
                <w:szCs w:val="21"/>
              </w:rPr>
            </w:pPr>
            <w:r>
              <w:rPr>
                <w:rFonts w:hint="eastAsia" w:ascii="宋体" w:hAnsi="宋体" w:cs="宋体"/>
                <w:szCs w:val="21"/>
              </w:rPr>
              <w:t>1000万～5000万元</w:t>
            </w:r>
          </w:p>
        </w:tc>
        <w:tc>
          <w:tcPr>
            <w:tcW w:w="1659" w:type="dxa"/>
            <w:noWrap/>
          </w:tcPr>
          <w:p w14:paraId="30B4BD11">
            <w:pPr>
              <w:spacing w:line="360" w:lineRule="auto"/>
              <w:ind w:firstLine="210"/>
              <w:rPr>
                <w:rFonts w:ascii="宋体" w:hAnsi="宋体" w:cs="宋体"/>
                <w:szCs w:val="21"/>
              </w:rPr>
            </w:pPr>
            <w:r>
              <w:rPr>
                <w:rFonts w:hint="eastAsia" w:ascii="宋体" w:hAnsi="宋体" w:cs="宋体"/>
                <w:szCs w:val="21"/>
              </w:rPr>
              <w:t xml:space="preserve">0.5%                </w:t>
            </w:r>
          </w:p>
        </w:tc>
        <w:tc>
          <w:tcPr>
            <w:tcW w:w="1532" w:type="dxa"/>
            <w:noWrap/>
          </w:tcPr>
          <w:p w14:paraId="16AF2941">
            <w:pPr>
              <w:spacing w:line="360" w:lineRule="auto"/>
              <w:ind w:firstLine="210"/>
              <w:rPr>
                <w:rFonts w:ascii="宋体" w:hAnsi="宋体" w:cs="宋体"/>
                <w:szCs w:val="21"/>
              </w:rPr>
            </w:pPr>
            <w:r>
              <w:rPr>
                <w:rFonts w:hint="eastAsia" w:ascii="宋体" w:hAnsi="宋体" w:cs="宋体"/>
                <w:szCs w:val="21"/>
              </w:rPr>
              <w:t>0.25%</w:t>
            </w:r>
          </w:p>
        </w:tc>
        <w:tc>
          <w:tcPr>
            <w:tcW w:w="1546" w:type="dxa"/>
            <w:noWrap/>
          </w:tcPr>
          <w:p w14:paraId="0A4528CD">
            <w:pPr>
              <w:spacing w:line="360" w:lineRule="auto"/>
              <w:ind w:firstLine="210"/>
              <w:rPr>
                <w:rFonts w:ascii="宋体" w:hAnsi="宋体" w:cs="宋体"/>
                <w:szCs w:val="21"/>
              </w:rPr>
            </w:pPr>
            <w:r>
              <w:rPr>
                <w:rFonts w:hint="eastAsia" w:ascii="宋体" w:hAnsi="宋体" w:cs="宋体"/>
                <w:szCs w:val="21"/>
              </w:rPr>
              <w:t xml:space="preserve">0.35% </w:t>
            </w:r>
          </w:p>
        </w:tc>
      </w:tr>
      <w:tr w14:paraId="14F91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27E6591C">
            <w:pPr>
              <w:spacing w:line="360" w:lineRule="auto"/>
              <w:rPr>
                <w:rFonts w:ascii="宋体" w:hAnsi="宋体" w:cs="宋体"/>
                <w:szCs w:val="21"/>
              </w:rPr>
            </w:pPr>
            <w:r>
              <w:rPr>
                <w:rFonts w:hint="eastAsia" w:ascii="宋体" w:hAnsi="宋体" w:cs="宋体"/>
                <w:szCs w:val="21"/>
              </w:rPr>
              <w:t>5000万元～1亿元</w:t>
            </w:r>
          </w:p>
        </w:tc>
        <w:tc>
          <w:tcPr>
            <w:tcW w:w="1659" w:type="dxa"/>
            <w:noWrap/>
          </w:tcPr>
          <w:p w14:paraId="3DDCA02B">
            <w:pPr>
              <w:spacing w:line="360" w:lineRule="auto"/>
              <w:ind w:firstLine="210"/>
              <w:rPr>
                <w:rFonts w:ascii="宋体" w:hAnsi="宋体" w:cs="宋体"/>
                <w:szCs w:val="21"/>
              </w:rPr>
            </w:pPr>
            <w:r>
              <w:rPr>
                <w:rFonts w:hint="eastAsia" w:ascii="宋体" w:hAnsi="宋体" w:cs="宋体"/>
                <w:szCs w:val="21"/>
              </w:rPr>
              <w:t xml:space="preserve">0.25%                 </w:t>
            </w:r>
          </w:p>
        </w:tc>
        <w:tc>
          <w:tcPr>
            <w:tcW w:w="1532" w:type="dxa"/>
            <w:noWrap/>
          </w:tcPr>
          <w:p w14:paraId="674E9E79">
            <w:pPr>
              <w:spacing w:line="360" w:lineRule="auto"/>
              <w:ind w:firstLine="210"/>
              <w:rPr>
                <w:rFonts w:ascii="宋体" w:hAnsi="宋体" w:cs="宋体"/>
                <w:szCs w:val="21"/>
              </w:rPr>
            </w:pPr>
            <w:r>
              <w:rPr>
                <w:rFonts w:hint="eastAsia" w:ascii="宋体" w:hAnsi="宋体" w:cs="宋体"/>
                <w:szCs w:val="21"/>
              </w:rPr>
              <w:t>0.1%</w:t>
            </w:r>
          </w:p>
        </w:tc>
        <w:tc>
          <w:tcPr>
            <w:tcW w:w="1546" w:type="dxa"/>
            <w:noWrap/>
          </w:tcPr>
          <w:p w14:paraId="36DC0FB4">
            <w:pPr>
              <w:spacing w:line="360" w:lineRule="auto"/>
              <w:ind w:firstLine="210"/>
              <w:rPr>
                <w:rFonts w:ascii="宋体" w:hAnsi="宋体" w:cs="宋体"/>
                <w:szCs w:val="21"/>
              </w:rPr>
            </w:pPr>
            <w:r>
              <w:rPr>
                <w:rFonts w:hint="eastAsia" w:ascii="宋体" w:hAnsi="宋体" w:cs="宋体"/>
                <w:szCs w:val="21"/>
              </w:rPr>
              <w:t>0.2%</w:t>
            </w:r>
          </w:p>
        </w:tc>
      </w:tr>
      <w:tr w14:paraId="03325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4E86D707">
            <w:pPr>
              <w:spacing w:line="360" w:lineRule="auto"/>
              <w:rPr>
                <w:rFonts w:ascii="宋体" w:hAnsi="宋体" w:cs="宋体"/>
                <w:szCs w:val="21"/>
              </w:rPr>
            </w:pPr>
            <w:r>
              <w:rPr>
                <w:rFonts w:hint="eastAsia" w:ascii="宋体" w:hAnsi="宋体" w:cs="宋体"/>
                <w:szCs w:val="21"/>
              </w:rPr>
              <w:t>1亿～5亿元</w:t>
            </w:r>
          </w:p>
        </w:tc>
        <w:tc>
          <w:tcPr>
            <w:tcW w:w="1659" w:type="dxa"/>
            <w:noWrap/>
          </w:tcPr>
          <w:p w14:paraId="29DB81BE">
            <w:pPr>
              <w:spacing w:line="360" w:lineRule="auto"/>
              <w:ind w:firstLine="210"/>
              <w:rPr>
                <w:rFonts w:ascii="宋体" w:hAnsi="宋体" w:cs="宋体"/>
                <w:szCs w:val="21"/>
              </w:rPr>
            </w:pPr>
            <w:r>
              <w:rPr>
                <w:rFonts w:hint="eastAsia" w:ascii="宋体" w:hAnsi="宋体" w:cs="宋体"/>
                <w:szCs w:val="21"/>
              </w:rPr>
              <w:t>0.05%</w:t>
            </w:r>
          </w:p>
        </w:tc>
        <w:tc>
          <w:tcPr>
            <w:tcW w:w="1532" w:type="dxa"/>
            <w:noWrap/>
          </w:tcPr>
          <w:p w14:paraId="6EE62292">
            <w:pPr>
              <w:spacing w:line="360" w:lineRule="auto"/>
              <w:rPr>
                <w:rFonts w:ascii="宋体" w:hAnsi="宋体" w:cs="宋体"/>
                <w:szCs w:val="21"/>
              </w:rPr>
            </w:pPr>
            <w:r>
              <w:rPr>
                <w:rFonts w:hint="eastAsia" w:ascii="宋体" w:hAnsi="宋体" w:cs="宋体"/>
                <w:szCs w:val="21"/>
              </w:rPr>
              <w:t xml:space="preserve">  0.05%</w:t>
            </w:r>
          </w:p>
        </w:tc>
        <w:tc>
          <w:tcPr>
            <w:tcW w:w="1546" w:type="dxa"/>
            <w:noWrap/>
          </w:tcPr>
          <w:p w14:paraId="70876FA1">
            <w:pPr>
              <w:spacing w:line="360" w:lineRule="auto"/>
              <w:rPr>
                <w:rFonts w:ascii="宋体" w:hAnsi="宋体" w:cs="宋体"/>
                <w:szCs w:val="21"/>
              </w:rPr>
            </w:pPr>
            <w:r>
              <w:rPr>
                <w:rFonts w:hint="eastAsia" w:ascii="宋体" w:hAnsi="宋体" w:cs="宋体"/>
                <w:szCs w:val="21"/>
              </w:rPr>
              <w:t xml:space="preserve">  0.05%</w:t>
            </w:r>
          </w:p>
        </w:tc>
      </w:tr>
      <w:tr w14:paraId="629B9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74DE6F84">
            <w:pPr>
              <w:spacing w:line="360" w:lineRule="auto"/>
              <w:rPr>
                <w:rFonts w:ascii="宋体" w:hAnsi="宋体" w:cs="宋体"/>
                <w:szCs w:val="21"/>
              </w:rPr>
            </w:pPr>
            <w:r>
              <w:rPr>
                <w:rFonts w:hint="eastAsia" w:ascii="宋体" w:hAnsi="宋体" w:cs="宋体"/>
                <w:szCs w:val="21"/>
              </w:rPr>
              <w:t>5亿～10亿元</w:t>
            </w:r>
          </w:p>
        </w:tc>
        <w:tc>
          <w:tcPr>
            <w:tcW w:w="1659" w:type="dxa"/>
            <w:noWrap/>
          </w:tcPr>
          <w:p w14:paraId="3BFCDAE9">
            <w:pPr>
              <w:spacing w:line="360" w:lineRule="auto"/>
              <w:ind w:firstLine="105"/>
              <w:rPr>
                <w:rFonts w:ascii="宋体" w:hAnsi="宋体" w:cs="宋体"/>
                <w:szCs w:val="21"/>
              </w:rPr>
            </w:pPr>
            <w:r>
              <w:rPr>
                <w:rFonts w:hint="eastAsia" w:ascii="宋体" w:hAnsi="宋体" w:cs="宋体"/>
                <w:szCs w:val="21"/>
              </w:rPr>
              <w:t>0.035%</w:t>
            </w:r>
          </w:p>
        </w:tc>
        <w:tc>
          <w:tcPr>
            <w:tcW w:w="1532" w:type="dxa"/>
            <w:noWrap/>
          </w:tcPr>
          <w:p w14:paraId="65B8E1C8">
            <w:pPr>
              <w:spacing w:line="360" w:lineRule="auto"/>
              <w:rPr>
                <w:rFonts w:ascii="宋体" w:hAnsi="宋体" w:cs="宋体"/>
                <w:szCs w:val="21"/>
              </w:rPr>
            </w:pPr>
            <w:r>
              <w:rPr>
                <w:rFonts w:hint="eastAsia" w:ascii="宋体" w:hAnsi="宋体" w:cs="宋体"/>
                <w:szCs w:val="21"/>
              </w:rPr>
              <w:t xml:space="preserve">  0.035%</w:t>
            </w:r>
          </w:p>
        </w:tc>
        <w:tc>
          <w:tcPr>
            <w:tcW w:w="1546" w:type="dxa"/>
            <w:noWrap/>
          </w:tcPr>
          <w:p w14:paraId="1CC39C48">
            <w:pPr>
              <w:spacing w:line="360" w:lineRule="auto"/>
              <w:ind w:firstLine="105"/>
              <w:rPr>
                <w:rFonts w:ascii="宋体" w:hAnsi="宋体" w:cs="宋体"/>
                <w:szCs w:val="21"/>
              </w:rPr>
            </w:pPr>
            <w:r>
              <w:rPr>
                <w:rFonts w:hint="eastAsia" w:ascii="宋体" w:hAnsi="宋体" w:cs="宋体"/>
                <w:szCs w:val="21"/>
              </w:rPr>
              <w:t>0.035%</w:t>
            </w:r>
          </w:p>
        </w:tc>
      </w:tr>
      <w:tr w14:paraId="522C0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333CB424">
            <w:pPr>
              <w:spacing w:line="360" w:lineRule="auto"/>
              <w:rPr>
                <w:rFonts w:ascii="宋体" w:hAnsi="宋体" w:cs="宋体"/>
                <w:szCs w:val="21"/>
              </w:rPr>
            </w:pPr>
            <w:r>
              <w:rPr>
                <w:rFonts w:hint="eastAsia" w:ascii="宋体" w:hAnsi="宋体" w:cs="宋体"/>
                <w:szCs w:val="21"/>
              </w:rPr>
              <w:t>10亿～50亿元</w:t>
            </w:r>
          </w:p>
        </w:tc>
        <w:tc>
          <w:tcPr>
            <w:tcW w:w="1659" w:type="dxa"/>
            <w:noWrap/>
          </w:tcPr>
          <w:p w14:paraId="708EE04D">
            <w:pPr>
              <w:spacing w:line="360" w:lineRule="auto"/>
              <w:ind w:firstLine="105"/>
              <w:rPr>
                <w:rFonts w:ascii="宋体" w:hAnsi="宋体" w:cs="宋体"/>
                <w:szCs w:val="21"/>
              </w:rPr>
            </w:pPr>
            <w:r>
              <w:rPr>
                <w:rFonts w:hint="eastAsia" w:ascii="宋体" w:hAnsi="宋体" w:cs="宋体"/>
                <w:szCs w:val="21"/>
              </w:rPr>
              <w:t>0.008%</w:t>
            </w:r>
          </w:p>
        </w:tc>
        <w:tc>
          <w:tcPr>
            <w:tcW w:w="1532" w:type="dxa"/>
            <w:noWrap/>
          </w:tcPr>
          <w:p w14:paraId="23CAAB13">
            <w:pPr>
              <w:spacing w:line="360" w:lineRule="auto"/>
              <w:ind w:firstLine="210"/>
              <w:rPr>
                <w:rFonts w:ascii="宋体" w:hAnsi="宋体" w:cs="宋体"/>
                <w:szCs w:val="21"/>
              </w:rPr>
            </w:pPr>
            <w:r>
              <w:rPr>
                <w:rFonts w:hint="eastAsia" w:ascii="宋体" w:hAnsi="宋体" w:cs="宋体"/>
                <w:szCs w:val="21"/>
              </w:rPr>
              <w:t>0.008%</w:t>
            </w:r>
          </w:p>
        </w:tc>
        <w:tc>
          <w:tcPr>
            <w:tcW w:w="1546" w:type="dxa"/>
            <w:noWrap/>
          </w:tcPr>
          <w:p w14:paraId="564DC22B">
            <w:pPr>
              <w:spacing w:line="360" w:lineRule="auto"/>
              <w:ind w:firstLine="105"/>
              <w:rPr>
                <w:rFonts w:ascii="宋体" w:hAnsi="宋体" w:cs="宋体"/>
                <w:szCs w:val="21"/>
              </w:rPr>
            </w:pPr>
            <w:r>
              <w:rPr>
                <w:rFonts w:hint="eastAsia" w:ascii="宋体" w:hAnsi="宋体" w:cs="宋体"/>
                <w:szCs w:val="21"/>
              </w:rPr>
              <w:t>0.008%</w:t>
            </w:r>
          </w:p>
        </w:tc>
      </w:tr>
      <w:tr w14:paraId="5B15E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5393A50E">
            <w:pPr>
              <w:spacing w:line="360" w:lineRule="auto"/>
              <w:rPr>
                <w:rFonts w:ascii="宋体" w:hAnsi="宋体" w:cs="宋体"/>
                <w:szCs w:val="21"/>
              </w:rPr>
            </w:pPr>
            <w:r>
              <w:rPr>
                <w:rFonts w:hint="eastAsia" w:ascii="宋体" w:hAnsi="宋体" w:cs="宋体"/>
                <w:szCs w:val="21"/>
              </w:rPr>
              <w:t>50亿～100亿元</w:t>
            </w:r>
          </w:p>
        </w:tc>
        <w:tc>
          <w:tcPr>
            <w:tcW w:w="1659" w:type="dxa"/>
            <w:noWrap/>
          </w:tcPr>
          <w:p w14:paraId="5145014C">
            <w:pPr>
              <w:spacing w:line="360" w:lineRule="auto"/>
              <w:rPr>
                <w:rFonts w:ascii="宋体" w:hAnsi="宋体" w:cs="宋体"/>
                <w:szCs w:val="21"/>
              </w:rPr>
            </w:pPr>
            <w:r>
              <w:rPr>
                <w:rFonts w:hint="eastAsia" w:ascii="宋体" w:hAnsi="宋体" w:cs="宋体"/>
                <w:szCs w:val="21"/>
              </w:rPr>
              <w:t xml:space="preserve"> 0.006%</w:t>
            </w:r>
          </w:p>
        </w:tc>
        <w:tc>
          <w:tcPr>
            <w:tcW w:w="1532" w:type="dxa"/>
            <w:noWrap/>
          </w:tcPr>
          <w:p w14:paraId="3D34C4B8">
            <w:pPr>
              <w:spacing w:line="360" w:lineRule="auto"/>
              <w:ind w:firstLine="210"/>
              <w:rPr>
                <w:rFonts w:ascii="宋体" w:hAnsi="宋体" w:cs="宋体"/>
                <w:szCs w:val="21"/>
              </w:rPr>
            </w:pPr>
            <w:r>
              <w:rPr>
                <w:rFonts w:hint="eastAsia" w:ascii="宋体" w:hAnsi="宋体" w:cs="宋体"/>
                <w:szCs w:val="21"/>
              </w:rPr>
              <w:t>0.006%</w:t>
            </w:r>
          </w:p>
        </w:tc>
        <w:tc>
          <w:tcPr>
            <w:tcW w:w="1546" w:type="dxa"/>
            <w:noWrap/>
          </w:tcPr>
          <w:p w14:paraId="3678F127">
            <w:pPr>
              <w:spacing w:line="360" w:lineRule="auto"/>
              <w:ind w:firstLine="105"/>
              <w:rPr>
                <w:rFonts w:ascii="宋体" w:hAnsi="宋体" w:cs="宋体"/>
                <w:szCs w:val="21"/>
              </w:rPr>
            </w:pPr>
            <w:r>
              <w:rPr>
                <w:rFonts w:hint="eastAsia" w:ascii="宋体" w:hAnsi="宋体" w:cs="宋体"/>
                <w:szCs w:val="21"/>
              </w:rPr>
              <w:t>0.006%</w:t>
            </w:r>
          </w:p>
        </w:tc>
      </w:tr>
      <w:tr w14:paraId="7FB0C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0D473EC8">
            <w:pPr>
              <w:spacing w:line="360" w:lineRule="auto"/>
              <w:rPr>
                <w:rFonts w:ascii="宋体" w:hAnsi="宋体" w:cs="宋体"/>
                <w:szCs w:val="21"/>
              </w:rPr>
            </w:pPr>
            <w:r>
              <w:rPr>
                <w:rFonts w:hint="eastAsia" w:ascii="宋体" w:hAnsi="宋体" w:cs="宋体"/>
                <w:szCs w:val="21"/>
              </w:rPr>
              <w:t>100亿元以上</w:t>
            </w:r>
          </w:p>
        </w:tc>
        <w:tc>
          <w:tcPr>
            <w:tcW w:w="1659" w:type="dxa"/>
            <w:noWrap/>
          </w:tcPr>
          <w:p w14:paraId="330F2AAB">
            <w:pPr>
              <w:spacing w:line="360" w:lineRule="auto"/>
              <w:rPr>
                <w:rFonts w:ascii="宋体" w:hAnsi="宋体" w:cs="宋体"/>
                <w:szCs w:val="21"/>
              </w:rPr>
            </w:pPr>
            <w:r>
              <w:rPr>
                <w:rFonts w:hint="eastAsia" w:ascii="宋体" w:hAnsi="宋体" w:cs="宋体"/>
                <w:szCs w:val="21"/>
              </w:rPr>
              <w:t xml:space="preserve"> 0.004%</w:t>
            </w:r>
          </w:p>
        </w:tc>
        <w:tc>
          <w:tcPr>
            <w:tcW w:w="1532" w:type="dxa"/>
            <w:noWrap/>
          </w:tcPr>
          <w:p w14:paraId="726613D2">
            <w:pPr>
              <w:spacing w:line="360" w:lineRule="auto"/>
              <w:ind w:firstLine="210"/>
              <w:rPr>
                <w:rFonts w:ascii="宋体" w:hAnsi="宋体" w:cs="宋体"/>
                <w:szCs w:val="21"/>
              </w:rPr>
            </w:pPr>
            <w:r>
              <w:rPr>
                <w:rFonts w:hint="eastAsia" w:ascii="宋体" w:hAnsi="宋体" w:cs="宋体"/>
                <w:szCs w:val="21"/>
              </w:rPr>
              <w:t>0.004%</w:t>
            </w:r>
          </w:p>
        </w:tc>
        <w:tc>
          <w:tcPr>
            <w:tcW w:w="1546" w:type="dxa"/>
            <w:noWrap/>
          </w:tcPr>
          <w:p w14:paraId="51B36C18">
            <w:pPr>
              <w:spacing w:line="360" w:lineRule="auto"/>
              <w:ind w:firstLine="105"/>
              <w:rPr>
                <w:rFonts w:ascii="宋体" w:hAnsi="宋体" w:cs="宋体"/>
                <w:szCs w:val="21"/>
              </w:rPr>
            </w:pPr>
            <w:r>
              <w:rPr>
                <w:rFonts w:hint="eastAsia" w:ascii="宋体" w:hAnsi="宋体" w:cs="宋体"/>
                <w:szCs w:val="21"/>
              </w:rPr>
              <w:t>0.004%</w:t>
            </w:r>
          </w:p>
        </w:tc>
      </w:tr>
    </w:tbl>
    <w:p w14:paraId="7AC28F35">
      <w:pPr>
        <w:spacing w:line="360" w:lineRule="auto"/>
        <w:ind w:firstLine="420"/>
        <w:rPr>
          <w:rFonts w:ascii="宋体" w:hAnsi="宋体" w:cs="宋体"/>
        </w:rPr>
      </w:pPr>
      <w:r>
        <w:rPr>
          <w:rFonts w:ascii="宋体" w:hAnsi="宋体" w:cs="宋体"/>
        </w:rPr>
        <w:t>注：</w:t>
      </w:r>
    </w:p>
    <w:p w14:paraId="562D8A05">
      <w:pPr>
        <w:spacing w:line="360" w:lineRule="auto"/>
        <w:ind w:firstLine="420"/>
        <w:rPr>
          <w:rFonts w:ascii="宋体" w:hAnsi="宋体" w:cs="宋体"/>
        </w:rPr>
      </w:pPr>
      <w:r>
        <w:rPr>
          <w:rFonts w:hint="eastAsia" w:ascii="宋体" w:hAnsi="宋体" w:cs="宋体"/>
        </w:rPr>
        <w:t>（1）</w:t>
      </w:r>
      <w:r>
        <w:rPr>
          <w:rFonts w:ascii="宋体" w:hAnsi="宋体" w:cs="宋体"/>
        </w:rPr>
        <w:t>按本表费率计算的收费为</w:t>
      </w:r>
      <w:r>
        <w:rPr>
          <w:rFonts w:hint="eastAsia" w:ascii="宋体" w:hAnsi="宋体" w:cs="宋体"/>
        </w:rPr>
        <w:t>采购</w:t>
      </w:r>
      <w:r>
        <w:rPr>
          <w:rFonts w:ascii="宋体" w:hAnsi="宋体" w:cs="宋体"/>
        </w:rPr>
        <w:t>代理的收费基准价格</w:t>
      </w:r>
      <w:r>
        <w:rPr>
          <w:rFonts w:hint="eastAsia" w:ascii="宋体" w:hAnsi="宋体" w:cs="宋体"/>
        </w:rPr>
        <w:t>；</w:t>
      </w:r>
    </w:p>
    <w:p w14:paraId="5207C8E5">
      <w:pPr>
        <w:spacing w:line="360" w:lineRule="auto"/>
        <w:ind w:firstLine="420"/>
        <w:rPr>
          <w:rFonts w:ascii="宋体" w:hAnsi="宋体" w:cs="宋体"/>
        </w:rPr>
      </w:pPr>
      <w:r>
        <w:rPr>
          <w:rFonts w:hint="eastAsia" w:ascii="宋体" w:hAnsi="宋体" w:cs="宋体"/>
        </w:rPr>
        <w:t>（2）采购</w:t>
      </w:r>
      <w:r>
        <w:rPr>
          <w:rFonts w:ascii="宋体" w:hAnsi="宋体" w:cs="宋体"/>
        </w:rPr>
        <w:t>代理收费按差额定率累进法计算。</w:t>
      </w:r>
    </w:p>
    <w:p w14:paraId="3532607B">
      <w:pPr>
        <w:spacing w:line="360" w:lineRule="auto"/>
        <w:ind w:firstLine="420"/>
        <w:rPr>
          <w:rFonts w:ascii="宋体" w:hAnsi="宋体" w:cs="宋体"/>
        </w:rPr>
      </w:pPr>
      <w:r>
        <w:rPr>
          <w:rFonts w:ascii="宋体" w:hAnsi="宋体" w:cs="宋体"/>
        </w:rPr>
        <w:t>例如：某</w:t>
      </w:r>
      <w:r>
        <w:rPr>
          <w:rFonts w:hint="eastAsia" w:ascii="宋体" w:hAnsi="宋体" w:cs="宋体"/>
        </w:rPr>
        <w:t>服务采购</w:t>
      </w:r>
      <w:r>
        <w:rPr>
          <w:rFonts w:ascii="宋体" w:hAnsi="宋体" w:cs="宋体"/>
        </w:rPr>
        <w:t>代理业务</w:t>
      </w:r>
      <w:r>
        <w:rPr>
          <w:rFonts w:hint="eastAsia" w:ascii="宋体" w:hAnsi="宋体" w:cs="宋体"/>
        </w:rPr>
        <w:t>成交</w:t>
      </w:r>
      <w:r>
        <w:rPr>
          <w:rFonts w:ascii="宋体" w:hAnsi="宋体" w:cs="宋体"/>
        </w:rPr>
        <w:t>金额</w:t>
      </w:r>
      <w:r>
        <w:rPr>
          <w:rFonts w:hint="eastAsia" w:ascii="宋体" w:hAnsi="宋体" w:cs="宋体"/>
        </w:rPr>
        <w:t>或者暂定价</w:t>
      </w:r>
      <w:r>
        <w:rPr>
          <w:rFonts w:ascii="宋体" w:hAnsi="宋体" w:cs="宋体"/>
        </w:rPr>
        <w:t>为150万元，计算</w:t>
      </w:r>
      <w:r>
        <w:rPr>
          <w:rFonts w:hint="eastAsia" w:ascii="宋体" w:hAnsi="宋体" w:cs="宋体"/>
        </w:rPr>
        <w:t>采购</w:t>
      </w:r>
      <w:r>
        <w:rPr>
          <w:rFonts w:ascii="宋体" w:hAnsi="宋体" w:cs="宋体"/>
        </w:rPr>
        <w:t>代理收费额如下：</w:t>
      </w:r>
    </w:p>
    <w:p w14:paraId="73F24D1F">
      <w:pPr>
        <w:spacing w:line="360" w:lineRule="auto"/>
        <w:ind w:firstLine="420"/>
        <w:rPr>
          <w:rFonts w:ascii="宋体" w:hAnsi="宋体" w:cs="宋体"/>
        </w:rPr>
      </w:pPr>
      <w:r>
        <w:rPr>
          <w:rFonts w:ascii="宋体" w:hAnsi="宋体" w:cs="宋体"/>
        </w:rPr>
        <w:t>100 万元 ×</w:t>
      </w:r>
      <w:r>
        <w:rPr>
          <w:rFonts w:hint="eastAsia" w:ascii="宋体" w:hAnsi="宋体" w:cs="宋体"/>
        </w:rPr>
        <w:t>1</w:t>
      </w:r>
      <w:r>
        <w:rPr>
          <w:rFonts w:ascii="宋体" w:hAnsi="宋体" w:cs="宋体"/>
        </w:rPr>
        <w:t>.5%＝ 1.5 万元</w:t>
      </w:r>
    </w:p>
    <w:p w14:paraId="5BB8777C">
      <w:pPr>
        <w:spacing w:line="360" w:lineRule="auto"/>
        <w:ind w:firstLine="420"/>
        <w:rPr>
          <w:rFonts w:ascii="宋体" w:hAnsi="宋体" w:cs="宋体"/>
        </w:rPr>
      </w:pPr>
      <w:r>
        <w:rPr>
          <w:rFonts w:ascii="宋体" w:hAnsi="宋体" w:cs="宋体"/>
        </w:rPr>
        <w:t>（ 150 － 100 ）万元 ×0.8%＝ 0.4万元</w:t>
      </w:r>
    </w:p>
    <w:p w14:paraId="5EF84DCD">
      <w:pPr>
        <w:spacing w:line="360" w:lineRule="auto"/>
        <w:ind w:firstLine="420"/>
        <w:rPr>
          <w:rFonts w:ascii="宋体" w:hAnsi="宋体" w:cs="宋体"/>
        </w:rPr>
      </w:pPr>
      <w:r>
        <w:rPr>
          <w:rFonts w:ascii="宋体" w:hAnsi="宋体" w:cs="宋体"/>
        </w:rPr>
        <w:t>合计收费＝ 1.5 ＋ 0.4＝ 1.9 万元</w:t>
      </w:r>
    </w:p>
    <w:p w14:paraId="599D4249">
      <w:pPr>
        <w:spacing w:line="360" w:lineRule="auto"/>
        <w:ind w:firstLine="482"/>
        <w:rPr>
          <w:rFonts w:ascii="黑体" w:hAnsi="黑体" w:eastAsia="黑体" w:cs="宋体"/>
          <w:b/>
          <w:bCs/>
          <w:sz w:val="24"/>
        </w:rPr>
      </w:pPr>
      <w:r>
        <w:rPr>
          <w:rFonts w:hint="eastAsia" w:ascii="黑体" w:hAnsi="黑体" w:eastAsia="黑体" w:cs="宋体"/>
          <w:b/>
          <w:bCs/>
          <w:sz w:val="24"/>
        </w:rPr>
        <w:t>3</w:t>
      </w:r>
      <w:r>
        <w:rPr>
          <w:rFonts w:ascii="黑体" w:hAnsi="黑体" w:eastAsia="黑体" w:cs="宋体"/>
          <w:b/>
          <w:bCs/>
          <w:sz w:val="24"/>
        </w:rPr>
        <w:t>3.需要补充的其他内容</w:t>
      </w:r>
    </w:p>
    <w:p w14:paraId="2302C16C">
      <w:pPr>
        <w:pStyle w:val="24"/>
        <w:spacing w:line="360" w:lineRule="auto"/>
        <w:ind w:firstLine="420"/>
        <w:rPr>
          <w:rFonts w:hAnsi="宋体" w:cs="宋体"/>
          <w:sz w:val="21"/>
        </w:rPr>
      </w:pPr>
      <w:r>
        <w:rPr>
          <w:rFonts w:hint="eastAsia" w:hAnsi="宋体" w:cs="宋体"/>
          <w:sz w:val="21"/>
        </w:rPr>
        <w:t>3</w:t>
      </w:r>
      <w:r>
        <w:rPr>
          <w:rFonts w:hAnsi="宋体" w:cs="宋体"/>
          <w:sz w:val="21"/>
        </w:rPr>
        <w:t>3.1</w:t>
      </w:r>
      <w:r>
        <w:rPr>
          <w:rFonts w:hint="eastAsia" w:hAnsi="宋体" w:cs="宋体"/>
          <w:sz w:val="21"/>
        </w:rPr>
        <w:t>本磋商文件解释规则详见“供应商须知前附表”。</w:t>
      </w:r>
    </w:p>
    <w:p w14:paraId="28CB0264">
      <w:pPr>
        <w:pStyle w:val="24"/>
        <w:spacing w:line="360" w:lineRule="auto"/>
        <w:ind w:firstLine="420"/>
        <w:rPr>
          <w:rFonts w:hAnsi="宋体" w:cs="宋体"/>
          <w:sz w:val="21"/>
        </w:rPr>
      </w:pPr>
      <w:r>
        <w:rPr>
          <w:rFonts w:hAnsi="宋体" w:cs="宋体"/>
          <w:sz w:val="21"/>
        </w:rPr>
        <w:t>33.2</w:t>
      </w:r>
      <w:r>
        <w:rPr>
          <w:rFonts w:hint="eastAsia" w:hAnsi="宋体" w:cs="宋体"/>
          <w:sz w:val="21"/>
        </w:rPr>
        <w:t xml:space="preserve"> 其他事项详见“供应商须知前附表”。</w:t>
      </w:r>
    </w:p>
    <w:p w14:paraId="66400C2E">
      <w:pPr>
        <w:pStyle w:val="24"/>
        <w:spacing w:line="360" w:lineRule="auto"/>
        <w:ind w:firstLine="420"/>
        <w:rPr>
          <w:rFonts w:hAnsi="宋体" w:cs="宋体"/>
          <w:sz w:val="21"/>
        </w:rPr>
      </w:pPr>
      <w:r>
        <w:rPr>
          <w:rFonts w:hint="eastAsia" w:hAnsi="宋体" w:cs="宋体"/>
          <w:sz w:val="21"/>
        </w:rPr>
        <w:t>3</w:t>
      </w:r>
      <w:r>
        <w:rPr>
          <w:rFonts w:hAnsi="宋体" w:cs="宋体"/>
          <w:sz w:val="21"/>
        </w:rPr>
        <w:t>3.3</w:t>
      </w:r>
      <w:r>
        <w:rPr>
          <w:rFonts w:hint="eastAsia" w:hAnsi="宋体" w:cs="宋体"/>
          <w:sz w:val="21"/>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765E530A">
      <w:pPr>
        <w:pStyle w:val="24"/>
        <w:spacing w:line="360" w:lineRule="auto"/>
        <w:ind w:firstLine="420"/>
        <w:contextualSpacing/>
        <w:rPr>
          <w:rFonts w:hAnsi="宋体"/>
          <w:sz w:val="21"/>
        </w:rPr>
      </w:pPr>
      <w:r>
        <w:rPr>
          <w:rFonts w:hint="eastAsia" w:hAnsi="宋体"/>
          <w:sz w:val="21"/>
        </w:rPr>
        <w:t>（1）在货物采购项目中，货物由中小企业制造，即货物由中小企业生产且使用该中小企业商号或者注册商标，不对其中涉及的工程承建商和服务的承接商作出要求；</w:t>
      </w:r>
    </w:p>
    <w:p w14:paraId="0AB1DA9A">
      <w:pPr>
        <w:pStyle w:val="24"/>
        <w:spacing w:line="360" w:lineRule="auto"/>
        <w:ind w:firstLine="420"/>
        <w:contextualSpacing/>
        <w:rPr>
          <w:rFonts w:hAnsi="宋体"/>
          <w:sz w:val="21"/>
        </w:rPr>
      </w:pPr>
      <w:r>
        <w:rPr>
          <w:rFonts w:hint="eastAsia" w:hAnsi="宋体"/>
          <w:sz w:val="21"/>
        </w:rPr>
        <w:t>（2）在工程采购项目中，工程由中小企业承建，即工程施工单位为中小企业，不对其中涉及的货物的制造商和服务的承接商作出要求；</w:t>
      </w:r>
    </w:p>
    <w:p w14:paraId="650F1F87">
      <w:pPr>
        <w:pStyle w:val="24"/>
        <w:spacing w:line="360" w:lineRule="auto"/>
        <w:ind w:firstLine="420"/>
        <w:contextualSpacing/>
        <w:rPr>
          <w:rFonts w:hAnsi="宋体"/>
          <w:sz w:val="21"/>
        </w:rPr>
      </w:pPr>
      <w:r>
        <w:rPr>
          <w:rFonts w:hint="eastAsia" w:hAnsi="宋体"/>
          <w:sz w:val="21"/>
        </w:rPr>
        <w:t>（3）在服务采购项目中，服务由中小企业承接，即提供服务的人员为中小企业依照《中华人民共和国劳动合同法》订立劳动合同的从业人员，不对其中涉及的货物的制造商和工程承建商作出要求。</w:t>
      </w:r>
    </w:p>
    <w:p w14:paraId="25C9554A">
      <w:pPr>
        <w:pStyle w:val="24"/>
        <w:spacing w:line="360" w:lineRule="auto"/>
        <w:ind w:firstLine="420"/>
        <w:rPr>
          <w:rFonts w:hAnsi="宋体" w:cs="宋体"/>
          <w:sz w:val="21"/>
        </w:rPr>
      </w:pPr>
      <w:r>
        <w:rPr>
          <w:rFonts w:hint="eastAsia" w:hAnsi="宋体" w:cs="宋体"/>
          <w:sz w:val="21"/>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0542F17C">
      <w:pPr>
        <w:pStyle w:val="24"/>
        <w:spacing w:line="360" w:lineRule="auto"/>
        <w:ind w:firstLine="420"/>
        <w:rPr>
          <w:rFonts w:hAnsi="宋体"/>
        </w:rPr>
        <w:sectPr>
          <w:footerReference r:id="rId7" w:type="default"/>
          <w:pgSz w:w="11906" w:h="16838"/>
          <w:pgMar w:top="1327" w:right="1253" w:bottom="1327" w:left="1253" w:header="851" w:footer="992" w:gutter="0"/>
          <w:cols w:space="0" w:num="1"/>
        </w:sectPr>
      </w:pPr>
      <w:r>
        <w:rPr>
          <w:rFonts w:hint="eastAsia" w:hAnsi="宋体" w:cs="宋体"/>
          <w:sz w:val="21"/>
        </w:rPr>
        <w:t>依据本磋商文件规定享受扶持政策获得政府采购合同的，小微企业不得将合同分包给大中型企业，中型企业不得将合同分包给大型企业。</w:t>
      </w:r>
      <w:r>
        <w:rPr>
          <w:rFonts w:hAnsi="宋体"/>
          <w:b/>
        </w:rPr>
        <w:br w:type="page" w:clear="all"/>
      </w:r>
    </w:p>
    <w:p w14:paraId="5EF98755">
      <w:pPr>
        <w:pStyle w:val="24"/>
        <w:spacing w:before="120" w:after="120"/>
        <w:rPr>
          <w:rFonts w:hAnsi="宋体"/>
        </w:rPr>
      </w:pPr>
    </w:p>
    <w:p w14:paraId="1615502D">
      <w:pPr>
        <w:pStyle w:val="3"/>
        <w:jc w:val="center"/>
      </w:pPr>
      <w:bookmarkStart w:id="49" w:name="_Toc74323458"/>
      <w:r>
        <w:rPr>
          <w:rFonts w:hint="eastAsia"/>
        </w:rPr>
        <w:t>第三章 采购需求</w:t>
      </w:r>
      <w:bookmarkEnd w:id="49"/>
    </w:p>
    <w:p w14:paraId="7A806210">
      <w:pPr>
        <w:spacing w:line="360" w:lineRule="auto"/>
        <w:jc w:val="left"/>
        <w:rPr>
          <w:rFonts w:ascii="宋体" w:hAnsi="宋体" w:cs="宋体"/>
          <w:szCs w:val="21"/>
        </w:rPr>
      </w:pPr>
      <w:r>
        <w:rPr>
          <w:rFonts w:hint="eastAsia" w:ascii="宋体" w:hAnsi="宋体" w:cs="宋体"/>
          <w:szCs w:val="21"/>
        </w:rPr>
        <w:t>说明：</w:t>
      </w:r>
    </w:p>
    <w:p w14:paraId="3A3BF6BF">
      <w:pPr>
        <w:numPr>
          <w:ilvl w:val="0"/>
          <w:numId w:val="1"/>
        </w:numPr>
        <w:spacing w:line="360" w:lineRule="auto"/>
        <w:ind w:firstLine="420"/>
        <w:jc w:val="left"/>
      </w:pPr>
      <w:r>
        <w:rPr>
          <w:rFonts w:hint="eastAsia"/>
        </w:rPr>
        <w:t>为落实政府采购政策需满足的要求</w:t>
      </w:r>
    </w:p>
    <w:p w14:paraId="1005B498">
      <w:pPr>
        <w:spacing w:line="360" w:lineRule="auto"/>
        <w:ind w:firstLine="420"/>
        <w:jc w:val="left"/>
        <w:rPr>
          <w:rFonts w:ascii="宋体" w:hAnsi="宋体" w:cs="宋体"/>
          <w:szCs w:val="21"/>
        </w:rPr>
      </w:pPr>
      <w:r>
        <w:rPr>
          <w:rFonts w:hint="eastAsia" w:ascii="宋体" w:hAnsi="宋体" w:cs="宋体"/>
          <w:szCs w:val="21"/>
        </w:rPr>
        <w:t>（1）本竞争性磋商采购文件所称中小企业必须符合《政府采购促进中小企业发展管理办法》（财库〔2020〕46号）的规定。</w:t>
      </w:r>
    </w:p>
    <w:p w14:paraId="16C8ACE1">
      <w:pPr>
        <w:spacing w:line="360" w:lineRule="auto"/>
        <w:ind w:firstLine="424"/>
        <w:jc w:val="left"/>
        <w:rPr>
          <w:rFonts w:ascii="宋体" w:hAnsi="宋体" w:cs="宋体"/>
          <w:szCs w:val="21"/>
        </w:rPr>
      </w:pPr>
      <w:r>
        <w:rPr>
          <w:rFonts w:hint="eastAsia" w:ascii="宋体" w:hAnsi="宋体" w:cs="宋体"/>
          <w:szCs w:val="21"/>
        </w:rPr>
        <w:t>2. “实质性要求”是指采购需求中带“▲”的条款或者不能负偏离的条款或者已经指明不满足响应文件</w:t>
      </w:r>
      <w:r>
        <w:rPr>
          <w:rFonts w:hint="eastAsia"/>
        </w:rPr>
        <w:t>按</w:t>
      </w:r>
      <w:r>
        <w:rPr>
          <w:rFonts w:hint="eastAsia" w:ascii="宋体" w:hAnsi="宋体" w:cs="宋体"/>
          <w:szCs w:val="21"/>
        </w:rPr>
        <w:t>无效处理的条款。</w:t>
      </w:r>
    </w:p>
    <w:p w14:paraId="4EFFC404">
      <w:pPr>
        <w:spacing w:line="360" w:lineRule="auto"/>
        <w:ind w:firstLine="424"/>
        <w:jc w:val="left"/>
        <w:rPr>
          <w:rFonts w:ascii="宋体" w:hAnsi="宋体" w:cs="宋体"/>
          <w:szCs w:val="21"/>
        </w:rPr>
      </w:pPr>
      <w:r>
        <w:rPr>
          <w:rFonts w:hint="eastAsia" w:ascii="宋体" w:hAnsi="宋体" w:cs="宋体"/>
          <w:szCs w:val="21"/>
        </w:rPr>
        <w:t>3.供应商应根据自身实际情况如实响应磋商文件，对磋商文件提出的要求和条件作出明确响应，否则将作无效响应处理。对于重要技术条款或技术参数应当在响应文件中提供技术支持资料，技术支持资料以磋商文件中规定的形式为准，否则将视为无效技术支持资料。</w:t>
      </w:r>
    </w:p>
    <w:p w14:paraId="5FB32DCE">
      <w:pPr>
        <w:spacing w:line="360" w:lineRule="auto"/>
        <w:ind w:firstLine="308"/>
        <w:jc w:val="left"/>
        <w:rPr>
          <w:rFonts w:ascii="宋体" w:hAnsi="宋体" w:cs="宋体"/>
          <w:szCs w:val="21"/>
        </w:rPr>
      </w:pPr>
      <w:r>
        <w:rPr>
          <w:rFonts w:hint="eastAsia" w:ascii="宋体" w:hAnsi="宋体" w:cs="宋体"/>
          <w:szCs w:val="21"/>
        </w:rPr>
        <w:t>4.供应商必须自行为其竞标产品侵犯他人的知识产权或者专利成果的行为承担相应法律责任。</w:t>
      </w:r>
    </w:p>
    <w:p w14:paraId="2F4132FB">
      <w:pPr>
        <w:spacing w:line="360" w:lineRule="auto"/>
        <w:ind w:firstLine="310"/>
        <w:jc w:val="left"/>
        <w:rPr>
          <w:rFonts w:ascii="宋体" w:hAnsi="宋体" w:cs="宋体"/>
          <w:b/>
          <w:szCs w:val="21"/>
          <w:highlight w:val="none"/>
        </w:rPr>
      </w:pPr>
      <w:r>
        <w:rPr>
          <w:rFonts w:hint="eastAsia" w:ascii="宋体" w:hAnsi="宋体"/>
          <w:b/>
          <w:szCs w:val="21"/>
          <w:highlight w:val="none"/>
        </w:rPr>
        <w:t>1分标采购预算：</w:t>
      </w:r>
      <w:r>
        <w:rPr>
          <w:rFonts w:hint="eastAsia" w:ascii="宋体" w:hAnsi="宋体"/>
          <w:b/>
          <w:szCs w:val="21"/>
          <w:highlight w:val="none"/>
          <w:u w:val="single"/>
        </w:rPr>
        <w:t>1500000.00元，</w:t>
      </w:r>
      <w:r>
        <w:rPr>
          <w:rFonts w:ascii="宋体" w:hAnsi="宋体" w:cs="宋体"/>
          <w:b/>
          <w:szCs w:val="21"/>
          <w:highlight w:val="none"/>
        </w:rPr>
        <w:t>最高限价（如有）</w:t>
      </w:r>
      <w:r>
        <w:rPr>
          <w:rFonts w:hint="eastAsia" w:ascii="宋体" w:hAnsi="宋体" w:cs="宋体"/>
          <w:b/>
          <w:szCs w:val="21"/>
          <w:highlight w:val="none"/>
        </w:rPr>
        <w:t>：</w:t>
      </w:r>
      <w:r>
        <w:rPr>
          <w:rFonts w:hint="eastAsia" w:ascii="宋体" w:hAnsi="宋体"/>
          <w:b/>
          <w:szCs w:val="21"/>
          <w:highlight w:val="none"/>
        </w:rPr>
        <w:t>折扣≤95%</w:t>
      </w:r>
    </w:p>
    <w:tbl>
      <w:tblPr>
        <w:tblStyle w:val="44"/>
        <w:tblW w:w="1016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68"/>
        <w:gridCol w:w="727"/>
        <w:gridCol w:w="660"/>
        <w:gridCol w:w="490"/>
        <w:gridCol w:w="7050"/>
        <w:gridCol w:w="773"/>
      </w:tblGrid>
      <w:tr w14:paraId="4015EF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94" w:hRule="atLeast"/>
          <w:jc w:val="center"/>
        </w:trPr>
        <w:tc>
          <w:tcPr>
            <w:tcW w:w="468"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0B22BAE4">
            <w:pPr>
              <w:spacing w:line="360" w:lineRule="auto"/>
              <w:jc w:val="center"/>
              <w:rPr>
                <w:rFonts w:ascii="宋体" w:hAnsi="宋体" w:cs="宋体"/>
                <w:color w:val="000000"/>
                <w:szCs w:val="21"/>
              </w:rPr>
            </w:pPr>
            <w:r>
              <w:rPr>
                <w:rFonts w:hint="eastAsia" w:ascii="宋体" w:hAnsi="宋体" w:cs="宋体"/>
                <w:b/>
                <w:szCs w:val="21"/>
              </w:rPr>
              <w:t>序号</w:t>
            </w:r>
          </w:p>
        </w:tc>
        <w:tc>
          <w:tcPr>
            <w:tcW w:w="727" w:type="dxa"/>
            <w:tcBorders>
              <w:top w:val="single" w:color="auto" w:sz="4" w:space="0"/>
              <w:left w:val="single" w:color="auto" w:sz="4" w:space="0"/>
              <w:bottom w:val="single" w:color="auto" w:sz="4" w:space="0"/>
              <w:right w:val="single" w:color="auto" w:sz="4" w:space="0"/>
            </w:tcBorders>
            <w:vAlign w:val="center"/>
          </w:tcPr>
          <w:p w14:paraId="51054241">
            <w:pPr>
              <w:spacing w:line="360" w:lineRule="auto"/>
              <w:jc w:val="center"/>
              <w:rPr>
                <w:rFonts w:ascii="宋体" w:hAnsi="宋体" w:cs="宋体"/>
                <w:color w:val="000000"/>
                <w:szCs w:val="21"/>
              </w:rPr>
            </w:pPr>
            <w:r>
              <w:rPr>
                <w:rFonts w:hint="eastAsia" w:ascii="宋体" w:hAnsi="宋体" w:cs="宋体"/>
                <w:b/>
                <w:szCs w:val="21"/>
              </w:rPr>
              <w:t>标的的名称</w:t>
            </w:r>
          </w:p>
        </w:tc>
        <w:tc>
          <w:tcPr>
            <w:tcW w:w="660" w:type="dxa"/>
            <w:tcBorders>
              <w:top w:val="single" w:color="auto" w:sz="4" w:space="0"/>
              <w:left w:val="single" w:color="auto" w:sz="4" w:space="0"/>
              <w:bottom w:val="single" w:color="auto" w:sz="4" w:space="0"/>
              <w:right w:val="single" w:color="auto" w:sz="4" w:space="0"/>
            </w:tcBorders>
            <w:vAlign w:val="center"/>
          </w:tcPr>
          <w:p w14:paraId="7DF641FE">
            <w:pPr>
              <w:spacing w:line="360" w:lineRule="auto"/>
              <w:jc w:val="center"/>
              <w:rPr>
                <w:rFonts w:ascii="宋体" w:hAnsi="宋体" w:cs="宋体"/>
                <w:color w:val="000000"/>
                <w:szCs w:val="21"/>
              </w:rPr>
            </w:pPr>
            <w:r>
              <w:rPr>
                <w:rFonts w:hint="eastAsia" w:ascii="宋体" w:hAnsi="宋体" w:cs="宋体"/>
                <w:b/>
                <w:szCs w:val="21"/>
              </w:rPr>
              <w:t>数量及单位</w:t>
            </w:r>
          </w:p>
        </w:tc>
        <w:tc>
          <w:tcPr>
            <w:tcW w:w="490" w:type="dxa"/>
            <w:tcBorders>
              <w:top w:val="single" w:color="auto" w:sz="4" w:space="0"/>
              <w:left w:val="single" w:color="auto" w:sz="4" w:space="0"/>
              <w:bottom w:val="single" w:color="auto" w:sz="4" w:space="0"/>
              <w:right w:val="single" w:color="auto" w:sz="4" w:space="0"/>
            </w:tcBorders>
            <w:vAlign w:val="center"/>
          </w:tcPr>
          <w:p w14:paraId="7156AB0D">
            <w:pPr>
              <w:spacing w:line="360" w:lineRule="auto"/>
              <w:jc w:val="center"/>
              <w:rPr>
                <w:rFonts w:ascii="宋体" w:hAnsi="宋体" w:cs="宋体"/>
                <w:color w:val="000000"/>
                <w:szCs w:val="21"/>
              </w:rPr>
            </w:pPr>
            <w:r>
              <w:rPr>
                <w:rFonts w:hint="eastAsia" w:ascii="宋体" w:hAnsi="宋体" w:cs="宋体"/>
                <w:b/>
                <w:szCs w:val="21"/>
              </w:rPr>
              <w:t>所属行业</w:t>
            </w:r>
          </w:p>
        </w:tc>
        <w:tc>
          <w:tcPr>
            <w:tcW w:w="7050" w:type="dxa"/>
            <w:tcBorders>
              <w:top w:val="single" w:color="auto" w:sz="4" w:space="0"/>
              <w:left w:val="single" w:color="auto" w:sz="4" w:space="0"/>
              <w:bottom w:val="single" w:color="auto" w:sz="4" w:space="0"/>
              <w:right w:val="single" w:color="auto" w:sz="4" w:space="0"/>
            </w:tcBorders>
            <w:vAlign w:val="center"/>
          </w:tcPr>
          <w:p w14:paraId="0FB04C91">
            <w:pPr>
              <w:spacing w:line="360" w:lineRule="auto"/>
              <w:jc w:val="center"/>
              <w:rPr>
                <w:rFonts w:ascii="宋体" w:hAnsi="宋体" w:cs="宋体"/>
                <w:color w:val="000000"/>
                <w:szCs w:val="21"/>
              </w:rPr>
            </w:pPr>
            <w:r>
              <w:rPr>
                <w:rFonts w:hint="eastAsia" w:ascii="宋体" w:hAnsi="宋体" w:cs="宋体"/>
                <w:b/>
                <w:szCs w:val="21"/>
              </w:rPr>
              <w:t>▲技术要求</w:t>
            </w:r>
          </w:p>
        </w:tc>
        <w:tc>
          <w:tcPr>
            <w:tcW w:w="773" w:type="dxa"/>
            <w:tcBorders>
              <w:top w:val="single" w:color="auto" w:sz="4" w:space="0"/>
              <w:left w:val="single" w:color="auto" w:sz="4" w:space="0"/>
              <w:bottom w:val="single" w:color="auto" w:sz="4" w:space="0"/>
              <w:right w:val="single" w:color="auto" w:sz="4" w:space="0"/>
            </w:tcBorders>
            <w:vAlign w:val="center"/>
          </w:tcPr>
          <w:p w14:paraId="636C3E0E">
            <w:pPr>
              <w:spacing w:line="340" w:lineRule="exact"/>
              <w:jc w:val="center"/>
              <w:rPr>
                <w:rFonts w:ascii="宋体" w:hAnsi="宋体" w:cs="宋体"/>
                <w:color w:val="000000"/>
                <w:szCs w:val="21"/>
              </w:rPr>
            </w:pPr>
            <w:r>
              <w:rPr>
                <w:rFonts w:hint="eastAsia" w:ascii="宋体" w:hAnsi="宋体" w:cs="宋体"/>
                <w:color w:val="000000"/>
                <w:szCs w:val="21"/>
              </w:rPr>
              <w:t>备注</w:t>
            </w:r>
          </w:p>
        </w:tc>
      </w:tr>
      <w:tr w14:paraId="720F3A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68" w:type="dxa"/>
            <w:vMerge w:val="restart"/>
            <w:tcBorders>
              <w:top w:val="single" w:color="auto" w:sz="4" w:space="0"/>
              <w:left w:val="single" w:color="auto" w:sz="4" w:space="0"/>
              <w:right w:val="single" w:color="auto" w:sz="4" w:space="0"/>
            </w:tcBorders>
            <w:tcMar>
              <w:top w:w="0" w:type="dxa"/>
              <w:left w:w="0" w:type="dxa"/>
              <w:bottom w:w="0" w:type="dxa"/>
              <w:right w:w="0" w:type="dxa"/>
            </w:tcMar>
            <w:vAlign w:val="center"/>
          </w:tcPr>
          <w:p w14:paraId="010AA282">
            <w:pPr>
              <w:spacing w:line="340" w:lineRule="exact"/>
              <w:jc w:val="center"/>
              <w:rPr>
                <w:rFonts w:ascii="宋体" w:hAnsi="宋体" w:cs="宋体"/>
                <w:color w:val="000000"/>
                <w:szCs w:val="21"/>
              </w:rPr>
            </w:pPr>
            <w:r>
              <w:rPr>
                <w:rFonts w:hint="eastAsia" w:ascii="宋体" w:hAnsi="宋体" w:cs="宋体"/>
                <w:color w:val="000000"/>
                <w:szCs w:val="21"/>
              </w:rPr>
              <w:t>1</w:t>
            </w:r>
          </w:p>
        </w:tc>
        <w:tc>
          <w:tcPr>
            <w:tcW w:w="727" w:type="dxa"/>
            <w:vMerge w:val="restart"/>
            <w:tcBorders>
              <w:top w:val="single" w:color="auto" w:sz="4" w:space="0"/>
              <w:left w:val="single" w:color="auto" w:sz="4" w:space="0"/>
              <w:right w:val="single" w:color="auto" w:sz="4" w:space="0"/>
            </w:tcBorders>
            <w:vAlign w:val="center"/>
          </w:tcPr>
          <w:p w14:paraId="5DBD0399">
            <w:pPr>
              <w:widowControl/>
              <w:spacing w:line="340" w:lineRule="exact"/>
              <w:jc w:val="center"/>
              <w:rPr>
                <w:rFonts w:ascii="宋体" w:hAnsi="宋体" w:cs="宋体"/>
                <w:color w:val="000000"/>
                <w:szCs w:val="21"/>
              </w:rPr>
            </w:pPr>
            <w:r>
              <w:rPr>
                <w:rFonts w:hint="eastAsia" w:ascii="宋体" w:hAnsi="宋体" w:cs="宋体"/>
                <w:color w:val="000000"/>
                <w:szCs w:val="21"/>
              </w:rPr>
              <w:t>食材配送服务采购</w:t>
            </w:r>
          </w:p>
        </w:tc>
        <w:tc>
          <w:tcPr>
            <w:tcW w:w="660" w:type="dxa"/>
            <w:vMerge w:val="restart"/>
            <w:tcBorders>
              <w:top w:val="single" w:color="auto" w:sz="4" w:space="0"/>
              <w:left w:val="single" w:color="auto" w:sz="4" w:space="0"/>
              <w:right w:val="single" w:color="auto" w:sz="4" w:space="0"/>
            </w:tcBorders>
            <w:vAlign w:val="center"/>
          </w:tcPr>
          <w:p w14:paraId="2DAB17C0">
            <w:pPr>
              <w:widowControl/>
              <w:spacing w:line="340" w:lineRule="exact"/>
              <w:jc w:val="center"/>
              <w:rPr>
                <w:rFonts w:ascii="宋体" w:hAnsi="宋体" w:cs="宋体"/>
                <w:color w:val="000000"/>
                <w:szCs w:val="21"/>
              </w:rPr>
            </w:pPr>
            <w:r>
              <w:rPr>
                <w:rFonts w:hint="eastAsia" w:ascii="宋体" w:hAnsi="宋体" w:cs="宋体"/>
                <w:color w:val="000000"/>
                <w:szCs w:val="21"/>
              </w:rPr>
              <w:t>1项</w:t>
            </w:r>
          </w:p>
        </w:tc>
        <w:tc>
          <w:tcPr>
            <w:tcW w:w="490" w:type="dxa"/>
            <w:vMerge w:val="restart"/>
            <w:tcBorders>
              <w:top w:val="single" w:color="auto" w:sz="4" w:space="0"/>
              <w:left w:val="single" w:color="auto" w:sz="4" w:space="0"/>
              <w:right w:val="single" w:color="auto" w:sz="4" w:space="0"/>
            </w:tcBorders>
            <w:vAlign w:val="center"/>
          </w:tcPr>
          <w:p w14:paraId="4D7DEABF">
            <w:pPr>
              <w:widowControl/>
              <w:spacing w:line="340" w:lineRule="exact"/>
              <w:jc w:val="center"/>
              <w:rPr>
                <w:rFonts w:ascii="宋体" w:hAnsi="宋体" w:cs="宋体"/>
                <w:color w:val="000000"/>
                <w:szCs w:val="21"/>
              </w:rPr>
            </w:pPr>
            <w:r>
              <w:rPr>
                <w:rFonts w:hint="eastAsia" w:ascii="宋体" w:hAnsi="宋体" w:cs="宋体"/>
                <w:color w:val="000000"/>
                <w:szCs w:val="21"/>
              </w:rPr>
              <w:t>批发业</w:t>
            </w:r>
          </w:p>
        </w:tc>
        <w:tc>
          <w:tcPr>
            <w:tcW w:w="7050" w:type="dxa"/>
            <w:tcBorders>
              <w:top w:val="single" w:color="auto" w:sz="4" w:space="0"/>
              <w:left w:val="single" w:color="auto" w:sz="4" w:space="0"/>
              <w:bottom w:val="single" w:color="auto" w:sz="4" w:space="0"/>
              <w:right w:val="single" w:color="auto" w:sz="4" w:space="0"/>
            </w:tcBorders>
            <w:vAlign w:val="center"/>
          </w:tcPr>
          <w:p w14:paraId="2DC79282">
            <w:pPr>
              <w:tabs>
                <w:tab w:val="left" w:pos="180"/>
                <w:tab w:val="left" w:pos="1620"/>
              </w:tabs>
              <w:spacing w:line="360" w:lineRule="auto"/>
              <w:jc w:val="left"/>
              <w:rPr>
                <w:rFonts w:ascii="宋体" w:hAnsi="宋体" w:cs="宋体"/>
                <w:b/>
                <w:bCs/>
                <w:szCs w:val="21"/>
              </w:rPr>
            </w:pPr>
            <w:r>
              <w:rPr>
                <w:rFonts w:hint="eastAsia" w:ascii="宋体" w:hAnsi="宋体" w:cs="宋体"/>
                <w:b/>
                <w:bCs/>
                <w:szCs w:val="21"/>
              </w:rPr>
              <w:t>一、服务内容：食材供应及配送服务，具体内容及需求包括但不限于如下：</w:t>
            </w:r>
          </w:p>
          <w:tbl>
            <w:tblPr>
              <w:tblStyle w:val="45"/>
              <w:tblW w:w="67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6"/>
              <w:gridCol w:w="6290"/>
            </w:tblGrid>
            <w:tr w14:paraId="43608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506" w:type="dxa"/>
                </w:tcPr>
                <w:p w14:paraId="2382EA4E">
                  <w:pPr>
                    <w:pStyle w:val="254"/>
                    <w:tabs>
                      <w:tab w:val="left" w:pos="7560"/>
                    </w:tabs>
                    <w:spacing w:before="116" w:line="264" w:lineRule="exact"/>
                    <w:ind w:right="48"/>
                    <w:jc w:val="center"/>
                    <w:rPr>
                      <w:rFonts w:ascii="宋体" w:hAnsi="宋体" w:cs="宋体"/>
                      <w:sz w:val="21"/>
                      <w:szCs w:val="21"/>
                    </w:rPr>
                  </w:pPr>
                  <w:r>
                    <w:rPr>
                      <w:rFonts w:hint="eastAsia" w:ascii="宋体" w:hAnsi="宋体" w:cs="宋体"/>
                      <w:sz w:val="21"/>
                      <w:szCs w:val="21"/>
                    </w:rPr>
                    <w:t>序号</w:t>
                  </w:r>
                </w:p>
              </w:tc>
              <w:tc>
                <w:tcPr>
                  <w:tcW w:w="6290" w:type="dxa"/>
                </w:tcPr>
                <w:p w14:paraId="3A77BE1E">
                  <w:pPr>
                    <w:pStyle w:val="254"/>
                    <w:tabs>
                      <w:tab w:val="left" w:pos="7560"/>
                    </w:tabs>
                    <w:spacing w:before="116" w:line="264" w:lineRule="exact"/>
                    <w:ind w:right="48"/>
                    <w:jc w:val="center"/>
                    <w:rPr>
                      <w:rFonts w:ascii="宋体" w:hAnsi="宋体" w:cs="宋体"/>
                      <w:sz w:val="21"/>
                      <w:szCs w:val="21"/>
                    </w:rPr>
                  </w:pPr>
                  <w:r>
                    <w:rPr>
                      <w:rFonts w:hint="eastAsia" w:ascii="宋体" w:hAnsi="宋体" w:cs="宋体"/>
                      <w:sz w:val="21"/>
                      <w:szCs w:val="21"/>
                    </w:rPr>
                    <w:t>品</w:t>
                  </w:r>
                  <w:r>
                    <w:rPr>
                      <w:rFonts w:hint="eastAsia" w:ascii="宋体" w:hAnsi="宋体" w:cs="宋体"/>
                      <w:sz w:val="21"/>
                      <w:szCs w:val="21"/>
                      <w:lang w:eastAsia="zh-CN"/>
                    </w:rPr>
                    <w:t xml:space="preserve">  </w:t>
                  </w:r>
                  <w:r>
                    <w:rPr>
                      <w:rFonts w:hint="eastAsia" w:ascii="宋体" w:hAnsi="宋体" w:cs="宋体"/>
                      <w:sz w:val="21"/>
                      <w:szCs w:val="21"/>
                    </w:rPr>
                    <w:t>目</w:t>
                  </w:r>
                </w:p>
              </w:tc>
            </w:tr>
            <w:tr w14:paraId="09F08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506" w:type="dxa"/>
                </w:tcPr>
                <w:p w14:paraId="67B450E4">
                  <w:pPr>
                    <w:pStyle w:val="254"/>
                    <w:tabs>
                      <w:tab w:val="left" w:pos="7560"/>
                    </w:tabs>
                    <w:spacing w:before="116" w:line="264" w:lineRule="exact"/>
                    <w:ind w:right="48"/>
                    <w:jc w:val="center"/>
                    <w:rPr>
                      <w:rFonts w:ascii="宋体" w:hAnsi="宋体" w:cs="宋体"/>
                      <w:sz w:val="21"/>
                      <w:szCs w:val="21"/>
                    </w:rPr>
                  </w:pPr>
                  <w:r>
                    <w:rPr>
                      <w:rFonts w:hint="eastAsia" w:ascii="宋体" w:hAnsi="宋体" w:cs="宋体"/>
                      <w:sz w:val="21"/>
                      <w:szCs w:val="21"/>
                    </w:rPr>
                    <w:t>1</w:t>
                  </w:r>
                </w:p>
              </w:tc>
              <w:tc>
                <w:tcPr>
                  <w:tcW w:w="6290" w:type="dxa"/>
                </w:tcPr>
                <w:p w14:paraId="788A41BB">
                  <w:pPr>
                    <w:pStyle w:val="254"/>
                    <w:tabs>
                      <w:tab w:val="left" w:pos="7560"/>
                    </w:tabs>
                    <w:spacing w:before="116" w:line="264" w:lineRule="exact"/>
                    <w:ind w:right="48"/>
                    <w:rPr>
                      <w:rFonts w:ascii="宋体" w:hAnsi="宋体" w:cs="宋体"/>
                      <w:sz w:val="21"/>
                      <w:szCs w:val="21"/>
                      <w:lang w:eastAsia="zh-CN"/>
                    </w:rPr>
                  </w:pPr>
                  <w:r>
                    <w:rPr>
                      <w:rFonts w:hint="eastAsia" w:ascii="宋体" w:hAnsi="宋体"/>
                      <w:color w:val="000000"/>
                      <w:szCs w:val="21"/>
                      <w:lang w:eastAsia="zh-CN"/>
                    </w:rPr>
                    <w:t>粮油类（大米、食用油、调味品）</w:t>
                  </w:r>
                </w:p>
              </w:tc>
            </w:tr>
            <w:tr w14:paraId="2575B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506" w:type="dxa"/>
                </w:tcPr>
                <w:p w14:paraId="4615698B">
                  <w:pPr>
                    <w:pStyle w:val="254"/>
                    <w:tabs>
                      <w:tab w:val="left" w:pos="7560"/>
                    </w:tabs>
                    <w:spacing w:before="118" w:line="262" w:lineRule="exact"/>
                    <w:ind w:right="48"/>
                    <w:jc w:val="center"/>
                    <w:rPr>
                      <w:rFonts w:ascii="宋体" w:hAnsi="宋体" w:cs="宋体"/>
                      <w:sz w:val="21"/>
                      <w:szCs w:val="21"/>
                    </w:rPr>
                  </w:pPr>
                  <w:r>
                    <w:rPr>
                      <w:rFonts w:hint="eastAsia" w:ascii="宋体" w:hAnsi="宋体" w:cs="宋体"/>
                      <w:sz w:val="21"/>
                      <w:szCs w:val="21"/>
                    </w:rPr>
                    <w:t>2</w:t>
                  </w:r>
                </w:p>
              </w:tc>
              <w:tc>
                <w:tcPr>
                  <w:tcW w:w="6290" w:type="dxa"/>
                </w:tcPr>
                <w:p w14:paraId="74AADE4A">
                  <w:pPr>
                    <w:pStyle w:val="254"/>
                    <w:tabs>
                      <w:tab w:val="left" w:pos="7560"/>
                    </w:tabs>
                    <w:spacing w:before="118" w:line="262" w:lineRule="exact"/>
                    <w:ind w:right="48"/>
                    <w:rPr>
                      <w:rFonts w:ascii="宋体" w:hAnsi="宋体" w:cs="宋体"/>
                      <w:sz w:val="21"/>
                      <w:szCs w:val="21"/>
                      <w:lang w:eastAsia="zh-CN"/>
                    </w:rPr>
                  </w:pPr>
                  <w:r>
                    <w:rPr>
                      <w:rFonts w:hint="eastAsia" w:ascii="宋体" w:hAnsi="宋体"/>
                      <w:color w:val="000000"/>
                      <w:szCs w:val="21"/>
                      <w:lang w:eastAsia="zh-CN"/>
                    </w:rPr>
                    <w:t>干货调料、蛋类</w:t>
                  </w:r>
                </w:p>
              </w:tc>
            </w:tr>
            <w:tr w14:paraId="4E2C1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506" w:type="dxa"/>
                </w:tcPr>
                <w:p w14:paraId="5EAF07F4">
                  <w:pPr>
                    <w:pStyle w:val="254"/>
                    <w:tabs>
                      <w:tab w:val="left" w:pos="7560"/>
                    </w:tabs>
                    <w:spacing w:before="118" w:line="262" w:lineRule="exact"/>
                    <w:ind w:right="48"/>
                    <w:jc w:val="center"/>
                    <w:rPr>
                      <w:rFonts w:ascii="宋体" w:hAnsi="宋体" w:cs="宋体"/>
                      <w:sz w:val="21"/>
                      <w:szCs w:val="21"/>
                    </w:rPr>
                  </w:pPr>
                  <w:r>
                    <w:rPr>
                      <w:rFonts w:hint="eastAsia" w:ascii="宋体" w:hAnsi="宋体" w:cs="宋体"/>
                      <w:sz w:val="21"/>
                      <w:szCs w:val="21"/>
                      <w:lang w:eastAsia="zh-CN"/>
                    </w:rPr>
                    <w:t>3</w:t>
                  </w:r>
                </w:p>
              </w:tc>
              <w:tc>
                <w:tcPr>
                  <w:tcW w:w="6290" w:type="dxa"/>
                </w:tcPr>
                <w:p w14:paraId="69FDF2E3">
                  <w:pPr>
                    <w:pStyle w:val="254"/>
                    <w:tabs>
                      <w:tab w:val="left" w:pos="7560"/>
                    </w:tabs>
                    <w:spacing w:before="118" w:line="262" w:lineRule="exact"/>
                    <w:ind w:right="48"/>
                    <w:rPr>
                      <w:rFonts w:ascii="宋体" w:hAnsi="宋体" w:cs="宋体"/>
                      <w:sz w:val="21"/>
                      <w:szCs w:val="21"/>
                      <w:lang w:eastAsia="zh-CN"/>
                    </w:rPr>
                  </w:pPr>
                  <w:r>
                    <w:rPr>
                      <w:rFonts w:hint="eastAsia" w:ascii="宋体" w:hAnsi="宋体"/>
                      <w:color w:val="000000"/>
                      <w:szCs w:val="21"/>
                      <w:lang w:eastAsia="zh-CN"/>
                    </w:rPr>
                    <w:t xml:space="preserve">冻品类（鸡、鸭、鱼、猪、牛、羊肉、丸类及其它海产品类） </w:t>
                  </w:r>
                </w:p>
              </w:tc>
            </w:tr>
            <w:tr w14:paraId="03906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506" w:type="dxa"/>
                </w:tcPr>
                <w:p w14:paraId="3E377CC9">
                  <w:pPr>
                    <w:pStyle w:val="254"/>
                    <w:tabs>
                      <w:tab w:val="left" w:pos="7560"/>
                    </w:tabs>
                    <w:spacing w:before="117" w:line="264" w:lineRule="exact"/>
                    <w:ind w:right="48"/>
                    <w:jc w:val="center"/>
                    <w:rPr>
                      <w:rFonts w:ascii="宋体" w:hAnsi="宋体" w:cs="宋体"/>
                      <w:sz w:val="21"/>
                      <w:szCs w:val="21"/>
                    </w:rPr>
                  </w:pPr>
                  <w:r>
                    <w:rPr>
                      <w:rFonts w:hint="eastAsia" w:ascii="宋体" w:hAnsi="宋体" w:cs="宋体"/>
                      <w:sz w:val="21"/>
                      <w:szCs w:val="21"/>
                      <w:lang w:eastAsia="zh-CN"/>
                    </w:rPr>
                    <w:t>4</w:t>
                  </w:r>
                </w:p>
              </w:tc>
              <w:tc>
                <w:tcPr>
                  <w:tcW w:w="6290" w:type="dxa"/>
                </w:tcPr>
                <w:p w14:paraId="52376ABD">
                  <w:pPr>
                    <w:pStyle w:val="254"/>
                    <w:tabs>
                      <w:tab w:val="left" w:pos="7560"/>
                    </w:tabs>
                    <w:spacing w:before="88"/>
                    <w:ind w:right="48"/>
                    <w:rPr>
                      <w:rFonts w:ascii="宋体" w:hAnsi="宋体" w:cs="宋体"/>
                      <w:sz w:val="21"/>
                      <w:szCs w:val="21"/>
                      <w:lang w:eastAsia="zh-CN"/>
                    </w:rPr>
                  </w:pPr>
                  <w:r>
                    <w:rPr>
                      <w:rFonts w:hint="eastAsia" w:ascii="宋体" w:hAnsi="宋体"/>
                      <w:color w:val="000000"/>
                      <w:szCs w:val="21"/>
                      <w:lang w:eastAsia="zh-CN"/>
                    </w:rPr>
                    <w:t>新鲜肉类（鲜猪肉、牛肉、羊肉、鸡、鸭、羊肉、内脏类及其它海产品类）</w:t>
                  </w:r>
                </w:p>
              </w:tc>
            </w:tr>
            <w:tr w14:paraId="243EA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506" w:type="dxa"/>
                </w:tcPr>
                <w:p w14:paraId="6165799C">
                  <w:pPr>
                    <w:pStyle w:val="254"/>
                    <w:tabs>
                      <w:tab w:val="left" w:pos="7560"/>
                    </w:tabs>
                    <w:spacing w:before="116" w:line="262" w:lineRule="exact"/>
                    <w:ind w:right="48"/>
                    <w:jc w:val="center"/>
                    <w:rPr>
                      <w:rFonts w:ascii="宋体" w:hAnsi="宋体" w:cs="宋体"/>
                      <w:sz w:val="21"/>
                      <w:szCs w:val="21"/>
                    </w:rPr>
                  </w:pPr>
                  <w:r>
                    <w:rPr>
                      <w:rFonts w:hint="eastAsia" w:ascii="宋体" w:hAnsi="宋体" w:cs="宋体"/>
                      <w:sz w:val="21"/>
                      <w:szCs w:val="21"/>
                      <w:lang w:eastAsia="zh-CN"/>
                    </w:rPr>
                    <w:t>5</w:t>
                  </w:r>
                </w:p>
              </w:tc>
              <w:tc>
                <w:tcPr>
                  <w:tcW w:w="6290" w:type="dxa"/>
                </w:tcPr>
                <w:p w14:paraId="5B361F38">
                  <w:pPr>
                    <w:pStyle w:val="254"/>
                    <w:tabs>
                      <w:tab w:val="left" w:pos="7560"/>
                    </w:tabs>
                    <w:spacing w:before="85"/>
                    <w:ind w:right="48"/>
                    <w:rPr>
                      <w:rFonts w:ascii="宋体" w:hAnsi="宋体" w:cs="宋体"/>
                      <w:sz w:val="21"/>
                      <w:szCs w:val="21"/>
                      <w:lang w:eastAsia="zh-CN"/>
                    </w:rPr>
                  </w:pPr>
                  <w:r>
                    <w:rPr>
                      <w:rFonts w:hint="eastAsia" w:ascii="宋体" w:hAnsi="宋体"/>
                      <w:color w:val="000000"/>
                      <w:szCs w:val="21"/>
                      <w:lang w:eastAsia="zh-CN"/>
                    </w:rPr>
                    <w:t>新鲜蔬菜类（叶菜类、根茎类、鲜菌类、茄果瓜类、葱姜蒜椒、半加工菜类）</w:t>
                  </w:r>
                </w:p>
              </w:tc>
            </w:tr>
            <w:tr w14:paraId="58AD4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506" w:type="dxa"/>
                </w:tcPr>
                <w:p w14:paraId="66BC62E8">
                  <w:pPr>
                    <w:pStyle w:val="254"/>
                    <w:tabs>
                      <w:tab w:val="left" w:pos="7560"/>
                    </w:tabs>
                    <w:spacing w:before="116" w:line="264" w:lineRule="exact"/>
                    <w:ind w:right="48"/>
                    <w:jc w:val="center"/>
                    <w:rPr>
                      <w:rFonts w:ascii="宋体" w:hAnsi="宋体" w:cs="宋体"/>
                      <w:sz w:val="21"/>
                      <w:szCs w:val="21"/>
                    </w:rPr>
                  </w:pPr>
                  <w:r>
                    <w:rPr>
                      <w:rFonts w:hint="eastAsia" w:ascii="宋体" w:hAnsi="宋体" w:cs="宋体"/>
                      <w:sz w:val="21"/>
                      <w:szCs w:val="21"/>
                      <w:lang w:eastAsia="zh-CN"/>
                    </w:rPr>
                    <w:t>6</w:t>
                  </w:r>
                </w:p>
              </w:tc>
              <w:tc>
                <w:tcPr>
                  <w:tcW w:w="6290" w:type="dxa"/>
                </w:tcPr>
                <w:p w14:paraId="2B02AB84">
                  <w:pPr>
                    <w:spacing w:line="360" w:lineRule="exact"/>
                    <w:rPr>
                      <w:rFonts w:ascii="宋体" w:hAnsi="宋体" w:cs="宋体"/>
                      <w:szCs w:val="21"/>
                    </w:rPr>
                  </w:pPr>
                  <w:r>
                    <w:rPr>
                      <w:rFonts w:hint="eastAsia" w:ascii="宋体" w:hAnsi="宋体"/>
                      <w:color w:val="000000"/>
                      <w:szCs w:val="21"/>
                    </w:rPr>
                    <w:t xml:space="preserve">新鲜水果类（热销水果、时令水果、热带水果） </w:t>
                  </w:r>
                </w:p>
              </w:tc>
            </w:tr>
            <w:tr w14:paraId="1B7E3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506" w:type="dxa"/>
                </w:tcPr>
                <w:p w14:paraId="0D2AEBE9">
                  <w:pPr>
                    <w:pStyle w:val="254"/>
                    <w:tabs>
                      <w:tab w:val="left" w:pos="7560"/>
                    </w:tabs>
                    <w:spacing w:before="116" w:line="264" w:lineRule="exact"/>
                    <w:ind w:right="48"/>
                    <w:jc w:val="center"/>
                    <w:rPr>
                      <w:rFonts w:ascii="宋体" w:hAnsi="宋体" w:cs="宋体"/>
                      <w:sz w:val="21"/>
                      <w:szCs w:val="21"/>
                      <w:lang w:eastAsia="zh-CN"/>
                    </w:rPr>
                  </w:pPr>
                  <w:r>
                    <w:rPr>
                      <w:rFonts w:hint="eastAsia" w:ascii="宋体" w:hAnsi="宋体" w:cs="宋体"/>
                      <w:sz w:val="21"/>
                      <w:szCs w:val="21"/>
                      <w:lang w:eastAsia="zh-CN"/>
                    </w:rPr>
                    <w:t>7</w:t>
                  </w:r>
                </w:p>
              </w:tc>
              <w:tc>
                <w:tcPr>
                  <w:tcW w:w="6290" w:type="dxa"/>
                </w:tcPr>
                <w:p w14:paraId="1F40BB32">
                  <w:pPr>
                    <w:pStyle w:val="254"/>
                    <w:tabs>
                      <w:tab w:val="left" w:pos="7560"/>
                    </w:tabs>
                    <w:spacing w:before="87"/>
                    <w:ind w:right="48"/>
                    <w:rPr>
                      <w:rFonts w:ascii="宋体" w:hAnsi="宋体" w:cs="宋体"/>
                      <w:sz w:val="21"/>
                      <w:szCs w:val="21"/>
                      <w:lang w:eastAsia="zh-CN"/>
                    </w:rPr>
                  </w:pPr>
                  <w:r>
                    <w:rPr>
                      <w:rFonts w:hint="eastAsia" w:ascii="宋体" w:hAnsi="宋体"/>
                      <w:color w:val="000000"/>
                      <w:szCs w:val="21"/>
                      <w:lang w:eastAsia="zh-CN"/>
                    </w:rPr>
                    <w:t xml:space="preserve">粉、面、豆制品 </w:t>
                  </w:r>
                </w:p>
              </w:tc>
            </w:tr>
            <w:tr w14:paraId="3C6F1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506" w:type="dxa"/>
                </w:tcPr>
                <w:p w14:paraId="2489C74B">
                  <w:pPr>
                    <w:pStyle w:val="254"/>
                    <w:tabs>
                      <w:tab w:val="left" w:pos="7560"/>
                    </w:tabs>
                    <w:spacing w:before="116" w:line="264" w:lineRule="exact"/>
                    <w:ind w:right="48"/>
                    <w:jc w:val="center"/>
                    <w:rPr>
                      <w:rFonts w:ascii="宋体" w:hAnsi="宋体" w:cs="宋体"/>
                      <w:sz w:val="21"/>
                      <w:szCs w:val="21"/>
                      <w:lang w:eastAsia="zh-CN"/>
                    </w:rPr>
                  </w:pPr>
                  <w:r>
                    <w:rPr>
                      <w:rFonts w:hint="eastAsia" w:ascii="宋体" w:hAnsi="宋体" w:cs="宋体"/>
                      <w:sz w:val="21"/>
                      <w:szCs w:val="21"/>
                      <w:lang w:eastAsia="zh-CN"/>
                    </w:rPr>
                    <w:t>8</w:t>
                  </w:r>
                </w:p>
              </w:tc>
              <w:tc>
                <w:tcPr>
                  <w:tcW w:w="6290" w:type="dxa"/>
                </w:tcPr>
                <w:p w14:paraId="20CBF0A2">
                  <w:pPr>
                    <w:spacing w:line="360" w:lineRule="exact"/>
                    <w:rPr>
                      <w:rFonts w:ascii="宋体" w:hAnsi="宋体"/>
                      <w:color w:val="000000"/>
                      <w:szCs w:val="21"/>
                    </w:rPr>
                  </w:pPr>
                  <w:r>
                    <w:rPr>
                      <w:rFonts w:hint="eastAsia" w:ascii="宋体" w:hAnsi="宋体"/>
                      <w:color w:val="000000"/>
                      <w:szCs w:val="21"/>
                    </w:rPr>
                    <w:t>杂物类（烘焙、烧烤食材；洗洁精、保鲜膜、清洁用纯碱等）</w:t>
                  </w:r>
                </w:p>
                <w:p w14:paraId="2F72A7E1">
                  <w:pPr>
                    <w:pStyle w:val="254"/>
                    <w:tabs>
                      <w:tab w:val="left" w:pos="7560"/>
                    </w:tabs>
                    <w:spacing w:before="87"/>
                    <w:ind w:right="48"/>
                    <w:rPr>
                      <w:rFonts w:ascii="宋体" w:hAnsi="宋体"/>
                      <w:color w:val="000000"/>
                      <w:szCs w:val="21"/>
                      <w:lang w:eastAsia="zh-CN"/>
                    </w:rPr>
                  </w:pPr>
                </w:p>
              </w:tc>
            </w:tr>
          </w:tbl>
          <w:p w14:paraId="7C8D7691">
            <w:pPr>
              <w:spacing w:line="360" w:lineRule="auto"/>
              <w:rPr>
                <w:rFonts w:ascii="宋体" w:hAnsi="宋体" w:cs="宋体"/>
                <w:b/>
                <w:szCs w:val="21"/>
              </w:rPr>
            </w:pPr>
          </w:p>
        </w:tc>
        <w:tc>
          <w:tcPr>
            <w:tcW w:w="773" w:type="dxa"/>
            <w:tcBorders>
              <w:top w:val="single" w:color="auto" w:sz="4" w:space="0"/>
              <w:left w:val="single" w:color="auto" w:sz="4" w:space="0"/>
              <w:bottom w:val="single" w:color="auto" w:sz="4" w:space="0"/>
              <w:right w:val="single" w:color="auto" w:sz="4" w:space="0"/>
            </w:tcBorders>
            <w:vAlign w:val="center"/>
          </w:tcPr>
          <w:p w14:paraId="34F0DEC7">
            <w:pPr>
              <w:spacing w:line="340" w:lineRule="exact"/>
              <w:jc w:val="center"/>
              <w:rPr>
                <w:rFonts w:ascii="宋体" w:hAnsi="宋体" w:cs="宋体"/>
                <w:color w:val="000000"/>
                <w:szCs w:val="21"/>
              </w:rPr>
            </w:pPr>
          </w:p>
        </w:tc>
      </w:tr>
      <w:tr w14:paraId="7D9041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468" w:type="dxa"/>
            <w:vMerge w:val="continue"/>
            <w:tcBorders>
              <w:left w:val="single" w:color="auto" w:sz="4" w:space="0"/>
              <w:bottom w:val="single" w:color="auto" w:sz="4" w:space="0"/>
              <w:right w:val="single" w:color="auto" w:sz="4" w:space="0"/>
            </w:tcBorders>
            <w:vAlign w:val="center"/>
          </w:tcPr>
          <w:p w14:paraId="15F87777">
            <w:pPr>
              <w:spacing w:line="340" w:lineRule="exact"/>
              <w:jc w:val="center"/>
              <w:rPr>
                <w:rFonts w:ascii="宋体" w:hAnsi="宋体" w:cs="宋体"/>
                <w:color w:val="000000"/>
                <w:szCs w:val="21"/>
              </w:rPr>
            </w:pPr>
          </w:p>
        </w:tc>
        <w:tc>
          <w:tcPr>
            <w:tcW w:w="727" w:type="dxa"/>
            <w:vMerge w:val="continue"/>
            <w:tcBorders>
              <w:left w:val="single" w:color="auto" w:sz="4" w:space="0"/>
              <w:bottom w:val="single" w:color="auto" w:sz="4" w:space="0"/>
              <w:right w:val="single" w:color="auto" w:sz="4" w:space="0"/>
            </w:tcBorders>
            <w:vAlign w:val="center"/>
          </w:tcPr>
          <w:p w14:paraId="6134F3A5">
            <w:pPr>
              <w:widowControl/>
              <w:spacing w:line="340" w:lineRule="exact"/>
              <w:jc w:val="center"/>
              <w:rPr>
                <w:rFonts w:ascii="宋体" w:hAnsi="宋体" w:cs="宋体"/>
                <w:color w:val="000000"/>
                <w:szCs w:val="21"/>
              </w:rPr>
            </w:pPr>
          </w:p>
        </w:tc>
        <w:tc>
          <w:tcPr>
            <w:tcW w:w="660" w:type="dxa"/>
            <w:vMerge w:val="continue"/>
            <w:tcBorders>
              <w:left w:val="single" w:color="auto" w:sz="4" w:space="0"/>
              <w:bottom w:val="single" w:color="auto" w:sz="4" w:space="0"/>
              <w:right w:val="single" w:color="auto" w:sz="4" w:space="0"/>
            </w:tcBorders>
            <w:vAlign w:val="center"/>
          </w:tcPr>
          <w:p w14:paraId="2B5E4037">
            <w:pPr>
              <w:widowControl/>
              <w:spacing w:line="340" w:lineRule="exact"/>
              <w:jc w:val="center"/>
              <w:rPr>
                <w:rFonts w:ascii="宋体" w:hAnsi="宋体" w:cs="宋体"/>
                <w:color w:val="000000"/>
                <w:szCs w:val="21"/>
              </w:rPr>
            </w:pPr>
          </w:p>
        </w:tc>
        <w:tc>
          <w:tcPr>
            <w:tcW w:w="490" w:type="dxa"/>
            <w:vMerge w:val="continue"/>
            <w:tcBorders>
              <w:left w:val="single" w:color="auto" w:sz="4" w:space="0"/>
              <w:bottom w:val="single" w:color="auto" w:sz="4" w:space="0"/>
              <w:right w:val="single" w:color="auto" w:sz="4" w:space="0"/>
            </w:tcBorders>
            <w:vAlign w:val="center"/>
          </w:tcPr>
          <w:p w14:paraId="6A1D3874">
            <w:pPr>
              <w:widowControl/>
              <w:spacing w:line="340" w:lineRule="exact"/>
              <w:jc w:val="center"/>
              <w:rPr>
                <w:rFonts w:ascii="宋体" w:hAnsi="宋体" w:cs="宋体"/>
                <w:color w:val="000000"/>
                <w:szCs w:val="21"/>
              </w:rPr>
            </w:pPr>
          </w:p>
        </w:tc>
        <w:tc>
          <w:tcPr>
            <w:tcW w:w="7050" w:type="dxa"/>
            <w:tcBorders>
              <w:top w:val="single" w:color="auto" w:sz="4" w:space="0"/>
              <w:left w:val="single" w:color="auto" w:sz="4" w:space="0"/>
              <w:bottom w:val="single" w:color="auto" w:sz="4" w:space="0"/>
              <w:right w:val="single" w:color="auto" w:sz="4" w:space="0"/>
            </w:tcBorders>
            <w:vAlign w:val="center"/>
          </w:tcPr>
          <w:p w14:paraId="480EAAA2">
            <w:pPr>
              <w:spacing w:line="360" w:lineRule="auto"/>
              <w:rPr>
                <w:rFonts w:ascii="宋体" w:hAnsi="宋体"/>
                <w:b/>
                <w:color w:val="000000"/>
                <w:szCs w:val="21"/>
              </w:rPr>
            </w:pPr>
            <w:r>
              <w:rPr>
                <w:rFonts w:hint="eastAsia" w:ascii="宋体" w:hAnsi="宋体" w:cs="宋体"/>
                <w:b/>
                <w:bCs/>
                <w:szCs w:val="21"/>
              </w:rPr>
              <w:t>二、商品供货要求</w:t>
            </w:r>
          </w:p>
          <w:p w14:paraId="50ED3022">
            <w:pPr>
              <w:pStyle w:val="17"/>
              <w:spacing w:after="0" w:line="360" w:lineRule="auto"/>
              <w:ind w:firstLine="210" w:firstLineChars="100"/>
              <w:rPr>
                <w:rFonts w:ascii="宋体" w:hAnsi="宋体" w:cs="宋体"/>
                <w:sz w:val="21"/>
                <w:szCs w:val="21"/>
              </w:rPr>
            </w:pPr>
            <w:r>
              <w:rPr>
                <w:rFonts w:hint="eastAsia" w:ascii="宋体" w:hAnsi="宋体" w:cs="宋体"/>
                <w:sz w:val="21"/>
                <w:szCs w:val="21"/>
              </w:rPr>
              <w:t>1、食用油品质要求：</w:t>
            </w:r>
          </w:p>
          <w:p w14:paraId="56136BA5">
            <w:pPr>
              <w:pStyle w:val="17"/>
              <w:spacing w:after="0" w:line="360" w:lineRule="auto"/>
              <w:ind w:firstLine="420"/>
              <w:rPr>
                <w:rFonts w:ascii="宋体" w:hAnsi="宋体" w:cs="宋体"/>
                <w:sz w:val="21"/>
                <w:szCs w:val="21"/>
              </w:rPr>
            </w:pPr>
            <w:r>
              <w:rPr>
                <w:rFonts w:hint="eastAsia" w:ascii="宋体" w:hAnsi="宋体" w:cs="宋体"/>
                <w:sz w:val="21"/>
                <w:szCs w:val="21"/>
              </w:rPr>
              <w:t>（1）基本要求：外包装完好，标明品名、厂名、重量、生产日期、保质期或保存期、执行标准，剩余保质期不少于 80%，具有产品合格证。具有正常植物油的色泽、透明度、气味和滋味，无焦臭、酸败及其他异味。</w:t>
            </w:r>
          </w:p>
          <w:p w14:paraId="479A1DE2">
            <w:pPr>
              <w:pStyle w:val="17"/>
              <w:spacing w:after="0" w:line="360" w:lineRule="auto"/>
              <w:ind w:firstLine="420"/>
              <w:rPr>
                <w:rFonts w:ascii="宋体" w:hAnsi="宋体" w:cs="宋体"/>
                <w:sz w:val="21"/>
                <w:szCs w:val="21"/>
              </w:rPr>
            </w:pPr>
            <w:r>
              <w:rPr>
                <w:rFonts w:hint="eastAsia" w:ascii="宋体" w:hAnsi="宋体" w:cs="宋体"/>
                <w:sz w:val="21"/>
                <w:szCs w:val="21"/>
              </w:rPr>
              <w:t>（2）食用油生产企业的资质证明（首次供应时提供</w:t>
            </w:r>
            <w:r>
              <w:rPr>
                <w:rStyle w:val="52"/>
                <w:rFonts w:hint="eastAsia" w:ascii="宋体" w:hAnsi="宋体" w:cs="宋体"/>
              </w:rPr>
              <w:t>复印件</w:t>
            </w:r>
            <w:r>
              <w:rPr>
                <w:rFonts w:hint="eastAsia" w:ascii="宋体" w:hAnsi="宋体" w:cs="宋体"/>
                <w:sz w:val="21"/>
                <w:szCs w:val="21"/>
              </w:rPr>
              <w:t>）：《企业法人营业执照》《重要工业产品生产许可证》。</w:t>
            </w:r>
          </w:p>
          <w:p w14:paraId="1F45F2E6">
            <w:pPr>
              <w:pStyle w:val="17"/>
              <w:spacing w:after="0" w:line="360" w:lineRule="auto"/>
              <w:ind w:firstLine="420"/>
              <w:rPr>
                <w:rFonts w:ascii="宋体" w:hAnsi="宋体" w:cs="宋体"/>
                <w:sz w:val="21"/>
                <w:szCs w:val="21"/>
              </w:rPr>
            </w:pPr>
            <w:r>
              <w:rPr>
                <w:rFonts w:hint="eastAsia" w:ascii="宋体" w:hAnsi="宋体" w:cs="宋体"/>
                <w:sz w:val="21"/>
                <w:szCs w:val="21"/>
              </w:rPr>
              <w:t>（3）气味、滋味：具有固有的气味和滋味，无异味。</w:t>
            </w:r>
          </w:p>
          <w:p w14:paraId="0DAEEF4B">
            <w:pPr>
              <w:pStyle w:val="17"/>
              <w:spacing w:after="0" w:line="360" w:lineRule="auto"/>
              <w:ind w:firstLine="420"/>
              <w:rPr>
                <w:rFonts w:ascii="宋体" w:hAnsi="宋体" w:cs="宋体"/>
                <w:sz w:val="21"/>
                <w:szCs w:val="21"/>
              </w:rPr>
            </w:pPr>
            <w:r>
              <w:rPr>
                <w:rFonts w:hint="eastAsia" w:ascii="宋体" w:hAnsi="宋体" w:cs="宋体"/>
                <w:sz w:val="21"/>
                <w:szCs w:val="21"/>
              </w:rPr>
              <w:t>（4）加热试验（280℃）油色不得变深，无析出物。</w:t>
            </w:r>
          </w:p>
          <w:p w14:paraId="01EFA430">
            <w:pPr>
              <w:pStyle w:val="17"/>
              <w:spacing w:after="0" w:line="360" w:lineRule="auto"/>
              <w:ind w:firstLine="420"/>
              <w:rPr>
                <w:rFonts w:ascii="宋体" w:hAnsi="宋体" w:cs="宋体"/>
                <w:sz w:val="21"/>
                <w:szCs w:val="21"/>
              </w:rPr>
            </w:pPr>
            <w:r>
              <w:rPr>
                <w:rFonts w:hint="eastAsia" w:ascii="宋体" w:hAnsi="宋体" w:cs="宋体"/>
                <w:sz w:val="21"/>
                <w:szCs w:val="21"/>
              </w:rPr>
              <w:t>（5）不得混有其他食用油或非食用油。</w:t>
            </w:r>
          </w:p>
          <w:p w14:paraId="155ED7CA">
            <w:pPr>
              <w:pStyle w:val="17"/>
              <w:spacing w:after="0" w:line="360" w:lineRule="auto"/>
              <w:ind w:firstLine="420"/>
              <w:rPr>
                <w:rFonts w:ascii="宋体" w:hAnsi="宋体" w:cs="宋体"/>
                <w:sz w:val="21"/>
                <w:szCs w:val="21"/>
              </w:rPr>
            </w:pPr>
            <w:r>
              <w:rPr>
                <w:rFonts w:hint="eastAsia" w:ascii="宋体" w:hAnsi="宋体" w:cs="宋体"/>
                <w:sz w:val="21"/>
                <w:szCs w:val="21"/>
              </w:rPr>
              <w:t>（6）卫生标准和动植物检疫项目，按照国家有关规定执行。</w:t>
            </w:r>
          </w:p>
          <w:p w14:paraId="15C0D79A">
            <w:pPr>
              <w:pStyle w:val="17"/>
              <w:spacing w:after="0" w:line="360" w:lineRule="auto"/>
              <w:ind w:firstLine="210" w:firstLineChars="100"/>
              <w:rPr>
                <w:rFonts w:ascii="宋体" w:hAnsi="宋体" w:cs="宋体"/>
                <w:sz w:val="21"/>
                <w:szCs w:val="21"/>
              </w:rPr>
            </w:pPr>
            <w:r>
              <w:rPr>
                <w:rFonts w:hint="eastAsia" w:ascii="宋体" w:hAnsi="宋体" w:cs="宋体"/>
                <w:sz w:val="21"/>
                <w:szCs w:val="21"/>
              </w:rPr>
              <w:t>2、大米质量要求：</w:t>
            </w:r>
          </w:p>
          <w:p w14:paraId="7BDBD657">
            <w:pPr>
              <w:pStyle w:val="17"/>
              <w:spacing w:after="0" w:line="360" w:lineRule="auto"/>
              <w:ind w:firstLine="420"/>
              <w:rPr>
                <w:rFonts w:ascii="宋体" w:hAnsi="宋体" w:cs="宋体"/>
                <w:sz w:val="21"/>
                <w:szCs w:val="21"/>
              </w:rPr>
            </w:pPr>
            <w:r>
              <w:rPr>
                <w:rFonts w:hint="eastAsia" w:ascii="宋体" w:hAnsi="宋体" w:cs="宋体"/>
                <w:sz w:val="21"/>
                <w:szCs w:val="21"/>
              </w:rPr>
              <w:t>（1）标明加工厂名称、品名、生产日期、保质期或保存期，供货时的剩余保质期不少于 80%， 质量等级、产品标准号、产品合格证，质量符合大米国家标准（GB1354-2018）与粮食卫生标准的分析方法（GB/T 5009.36-2003）。</w:t>
            </w:r>
          </w:p>
          <w:p w14:paraId="1121AB59">
            <w:pPr>
              <w:pStyle w:val="17"/>
              <w:spacing w:after="0" w:line="360" w:lineRule="auto"/>
              <w:ind w:firstLine="420"/>
              <w:rPr>
                <w:rFonts w:ascii="宋体" w:hAnsi="宋体"/>
                <w:b/>
                <w:color w:val="000000"/>
                <w:sz w:val="21"/>
                <w:szCs w:val="21"/>
              </w:rPr>
            </w:pPr>
            <w:r>
              <w:rPr>
                <w:rFonts w:hint="eastAsia" w:ascii="宋体" w:hAnsi="宋体" w:cs="宋体"/>
                <w:sz w:val="21"/>
                <w:szCs w:val="21"/>
              </w:rPr>
              <w:t>（2）具有固有色泽和香味，无污染、无虫害，色泽、气味、口味正常，无异味或霉味（霉变），无虫蛀结块挂丝或杂质异等，符合国家粮食卫生标准。</w:t>
            </w:r>
          </w:p>
          <w:p w14:paraId="0A009A17">
            <w:pPr>
              <w:spacing w:line="360" w:lineRule="auto"/>
              <w:ind w:firstLine="210" w:firstLineChars="100"/>
              <w:rPr>
                <w:rFonts w:ascii="宋体" w:hAnsi="宋体"/>
                <w:bCs/>
                <w:color w:val="000000"/>
                <w:szCs w:val="21"/>
              </w:rPr>
            </w:pPr>
            <w:r>
              <w:rPr>
                <w:rFonts w:hint="eastAsia" w:ascii="宋体" w:hAnsi="宋体"/>
                <w:bCs/>
                <w:color w:val="000000"/>
                <w:szCs w:val="21"/>
              </w:rPr>
              <w:t>3</w:t>
            </w:r>
            <w:r>
              <w:rPr>
                <w:rFonts w:ascii="宋体" w:hAnsi="宋体"/>
                <w:bCs/>
                <w:color w:val="000000"/>
                <w:szCs w:val="21"/>
              </w:rPr>
              <w:t>、干杂类</w:t>
            </w:r>
          </w:p>
          <w:p w14:paraId="603F5F53">
            <w:pPr>
              <w:spacing w:line="360" w:lineRule="auto"/>
              <w:rPr>
                <w:rFonts w:ascii="宋体" w:hAnsi="宋体"/>
                <w:color w:val="000000"/>
                <w:szCs w:val="21"/>
              </w:rPr>
            </w:pPr>
            <w:r>
              <w:rPr>
                <w:rFonts w:ascii="宋体" w:hAnsi="宋体"/>
                <w:color w:val="000000"/>
                <w:szCs w:val="21"/>
              </w:rPr>
              <w:t>主要指香菇、木耳、腐竹、花生、黄豆原料等。</w:t>
            </w:r>
          </w:p>
          <w:p w14:paraId="5F5EA8F6">
            <w:pPr>
              <w:pStyle w:val="269"/>
              <w:spacing w:line="360" w:lineRule="auto"/>
              <w:ind w:firstLine="420" w:firstLineChars="200"/>
              <w:jc w:val="left"/>
              <w:rPr>
                <w:rStyle w:val="270"/>
                <w:rFonts w:hint="default" w:cs="仿宋_GB2312"/>
                <w:color w:val="000000"/>
                <w:kern w:val="2"/>
              </w:rPr>
            </w:pPr>
            <w:r>
              <w:rPr>
                <w:rStyle w:val="270"/>
                <w:rFonts w:hint="default" w:cs="仿宋_GB2312"/>
                <w:color w:val="000000"/>
              </w:rPr>
              <w:t>（1）干燥有韧性，无破碎片、虫蛀、霉坏和泥土杂质；</w:t>
            </w:r>
          </w:p>
          <w:p w14:paraId="7036B250">
            <w:pPr>
              <w:spacing w:line="360" w:lineRule="auto"/>
              <w:ind w:firstLine="420" w:firstLineChars="200"/>
              <w:rPr>
                <w:rFonts w:ascii="宋体" w:hAnsi="宋体"/>
                <w:b/>
                <w:color w:val="000000"/>
                <w:szCs w:val="21"/>
              </w:rPr>
            </w:pPr>
            <w:r>
              <w:rPr>
                <w:rStyle w:val="270"/>
                <w:rFonts w:hint="default" w:cs="仿宋_GB2312"/>
                <w:color w:val="000000"/>
              </w:rPr>
              <w:t>（2）严禁添加超量的防腐剂、漂白剂、著色剂，禁止使用二氧化硫燻制产品。</w:t>
            </w:r>
          </w:p>
          <w:p w14:paraId="38F63853">
            <w:pPr>
              <w:spacing w:line="360" w:lineRule="auto"/>
              <w:ind w:firstLine="210" w:firstLineChars="100"/>
              <w:rPr>
                <w:rFonts w:ascii="宋体" w:hAnsi="宋体"/>
                <w:bCs/>
                <w:color w:val="000000"/>
                <w:szCs w:val="21"/>
              </w:rPr>
            </w:pPr>
            <w:r>
              <w:rPr>
                <w:rFonts w:hint="eastAsia" w:ascii="宋体" w:hAnsi="宋体"/>
                <w:bCs/>
                <w:color w:val="000000"/>
                <w:szCs w:val="21"/>
              </w:rPr>
              <w:t>4</w:t>
            </w:r>
            <w:r>
              <w:rPr>
                <w:rFonts w:ascii="宋体" w:hAnsi="宋体"/>
                <w:bCs/>
                <w:color w:val="000000"/>
                <w:szCs w:val="21"/>
              </w:rPr>
              <w:t>、蛋类</w:t>
            </w:r>
            <w:r>
              <w:rPr>
                <w:rFonts w:hint="eastAsia" w:ascii="宋体" w:hAnsi="宋体" w:cs="宋体"/>
                <w:szCs w:val="21"/>
              </w:rPr>
              <w:t>（包括但不限于以下内容）</w:t>
            </w:r>
          </w:p>
          <w:p w14:paraId="6CBCF7E1">
            <w:pPr>
              <w:pStyle w:val="17"/>
              <w:spacing w:after="0" w:line="360" w:lineRule="auto"/>
              <w:ind w:firstLine="420"/>
              <w:rPr>
                <w:rFonts w:ascii="宋体" w:hAnsi="宋体"/>
                <w:color w:val="000000"/>
                <w:sz w:val="21"/>
                <w:szCs w:val="21"/>
              </w:rPr>
            </w:pPr>
            <w:r>
              <w:rPr>
                <w:rFonts w:hint="eastAsia" w:ascii="宋体" w:hAnsi="宋体"/>
                <w:color w:val="000000"/>
                <w:sz w:val="21"/>
                <w:szCs w:val="21"/>
              </w:rPr>
              <w:t>（1）</w:t>
            </w:r>
            <w:r>
              <w:rPr>
                <w:rFonts w:ascii="宋体" w:hAnsi="宋体"/>
                <w:color w:val="000000"/>
                <w:sz w:val="21"/>
                <w:szCs w:val="21"/>
              </w:rPr>
              <w:t>鲜蛋：正常鲜蛋的蛋壳应清洁完整，无裂纹，灯光透视呈微红色，气室小，看不见蛋黄或略见阴影于中心。打开后蛋黄膜不破裂、凸起、完整并带有韧性，蛋黄蛋白分明，颜色鲜艳。</w:t>
            </w:r>
          </w:p>
          <w:p w14:paraId="14B47DD9">
            <w:pPr>
              <w:pStyle w:val="17"/>
              <w:spacing w:after="0" w:line="360" w:lineRule="auto"/>
              <w:ind w:firstLine="420"/>
              <w:rPr>
                <w:rFonts w:ascii="宋体" w:hAnsi="宋体"/>
                <w:color w:val="000000"/>
                <w:sz w:val="21"/>
                <w:szCs w:val="21"/>
              </w:rPr>
            </w:pPr>
            <w:r>
              <w:rPr>
                <w:rFonts w:hint="eastAsia" w:ascii="宋体" w:hAnsi="宋体" w:cs="宋体"/>
                <w:sz w:val="21"/>
                <w:szCs w:val="21"/>
              </w:rPr>
              <w:t>（2）质量符合《GB/T 34262-2017 蛋与蛋制品术语和分类》《GB 2749-2015 食品安全国家标准蛋与蛋制品》《GB 23200.115-2018 食品安全国家标准 鸡蛋中氟虫腈及其代谢物残留量的测定 液相色谱-质谱联用法》《GB 21710-2016 食品安全国家标准 蛋与蛋制品生产卫生规范》等国家标准。</w:t>
            </w:r>
          </w:p>
          <w:p w14:paraId="6AAA40A0">
            <w:pPr>
              <w:spacing w:line="360" w:lineRule="auto"/>
              <w:ind w:firstLine="210" w:firstLineChars="100"/>
              <w:rPr>
                <w:rFonts w:ascii="宋体" w:hAnsi="宋体"/>
                <w:bCs/>
                <w:color w:val="000000"/>
                <w:szCs w:val="21"/>
              </w:rPr>
            </w:pPr>
            <w:r>
              <w:rPr>
                <w:rFonts w:hint="eastAsia" w:ascii="宋体" w:hAnsi="宋体"/>
                <w:bCs/>
                <w:color w:val="000000"/>
                <w:szCs w:val="21"/>
              </w:rPr>
              <w:t>5、鲜肉类（猪肉、牛肉、羊肉等）</w:t>
            </w:r>
          </w:p>
          <w:p w14:paraId="7B90D828">
            <w:pPr>
              <w:pStyle w:val="17"/>
              <w:spacing w:after="0" w:line="360" w:lineRule="auto"/>
              <w:ind w:firstLine="420" w:firstLineChars="200"/>
              <w:rPr>
                <w:rFonts w:ascii="宋体" w:hAnsi="宋体" w:cs="宋体"/>
                <w:sz w:val="21"/>
                <w:szCs w:val="21"/>
              </w:rPr>
            </w:pPr>
            <w:r>
              <w:rPr>
                <w:rFonts w:hint="eastAsia" w:ascii="宋体" w:hAnsi="宋体" w:cs="宋体"/>
                <w:sz w:val="21"/>
                <w:szCs w:val="21"/>
              </w:rPr>
              <w:t>（1）所有肉类必须符合国家有关标准，保证无异味、无霉烂变质。肉类供货时需提供当批次有效的动物产品检疫合格证，原件备查。</w:t>
            </w:r>
          </w:p>
          <w:p w14:paraId="764C7969">
            <w:pPr>
              <w:pStyle w:val="17"/>
              <w:spacing w:after="0" w:line="360" w:lineRule="auto"/>
              <w:ind w:firstLine="420" w:firstLineChars="200"/>
              <w:rPr>
                <w:rFonts w:ascii="宋体" w:hAnsi="宋体" w:cs="宋体"/>
                <w:sz w:val="21"/>
                <w:szCs w:val="21"/>
              </w:rPr>
            </w:pPr>
            <w:r>
              <w:rPr>
                <w:rFonts w:hint="eastAsia" w:ascii="宋体" w:hAnsi="宋体" w:cs="宋体"/>
                <w:sz w:val="21"/>
                <w:szCs w:val="21"/>
              </w:rPr>
              <w:t>（2）肉类生产企业的资质证明（首次供应时提供）：《企业法人营业执照》《动物防疫合格证》《食品生产许可证》。</w:t>
            </w:r>
          </w:p>
          <w:p w14:paraId="3B6E6266">
            <w:pPr>
              <w:pStyle w:val="17"/>
              <w:spacing w:after="0" w:line="360" w:lineRule="auto"/>
              <w:ind w:firstLine="420" w:firstLineChars="200"/>
              <w:rPr>
                <w:rFonts w:ascii="宋体" w:hAnsi="宋体" w:cs="宋体"/>
                <w:sz w:val="21"/>
                <w:szCs w:val="21"/>
              </w:rPr>
            </w:pPr>
            <w:r>
              <w:rPr>
                <w:rFonts w:hint="eastAsia" w:ascii="宋体" w:hAnsi="宋体" w:cs="宋体"/>
                <w:sz w:val="21"/>
                <w:szCs w:val="21"/>
              </w:rPr>
              <w:t>（3）色泽：肌肉有光泽，红色均匀，脂肪乳白色。</w:t>
            </w:r>
          </w:p>
          <w:p w14:paraId="7DD3222A">
            <w:pPr>
              <w:pStyle w:val="17"/>
              <w:spacing w:after="0" w:line="360" w:lineRule="auto"/>
              <w:ind w:firstLine="420" w:firstLineChars="200"/>
              <w:rPr>
                <w:rFonts w:ascii="宋体" w:hAnsi="宋体" w:cs="宋体"/>
                <w:sz w:val="21"/>
                <w:szCs w:val="21"/>
              </w:rPr>
            </w:pPr>
            <w:r>
              <w:rPr>
                <w:rFonts w:hint="eastAsia" w:ascii="宋体" w:hAnsi="宋体" w:cs="宋体"/>
                <w:sz w:val="21"/>
                <w:szCs w:val="21"/>
              </w:rPr>
              <w:t>（4）组织状态：纤维清晰，有坚韧性，指压后凹陷立即恢复，肉质紧密，有坚韧性。</w:t>
            </w:r>
          </w:p>
          <w:p w14:paraId="7C264D96">
            <w:pPr>
              <w:pStyle w:val="17"/>
              <w:spacing w:after="0" w:line="360" w:lineRule="auto"/>
              <w:ind w:firstLine="420" w:firstLineChars="200"/>
              <w:rPr>
                <w:rFonts w:ascii="宋体" w:hAnsi="宋体" w:cs="宋体"/>
                <w:sz w:val="21"/>
                <w:szCs w:val="21"/>
              </w:rPr>
            </w:pPr>
            <w:r>
              <w:rPr>
                <w:rFonts w:hint="eastAsia" w:ascii="宋体" w:hAnsi="宋体" w:cs="宋体"/>
                <w:sz w:val="21"/>
                <w:szCs w:val="21"/>
              </w:rPr>
              <w:t>（5）粘度：外表湿润，不粘手，外表湿润，切面有渗出液，不粘手。</w:t>
            </w:r>
          </w:p>
          <w:p w14:paraId="79BD980F">
            <w:pPr>
              <w:pStyle w:val="17"/>
              <w:spacing w:after="0" w:line="360" w:lineRule="auto"/>
              <w:ind w:firstLine="420" w:firstLineChars="200"/>
              <w:rPr>
                <w:rFonts w:ascii="宋体" w:hAnsi="宋体"/>
                <w:color w:val="000000"/>
                <w:sz w:val="21"/>
                <w:szCs w:val="21"/>
              </w:rPr>
            </w:pPr>
            <w:r>
              <w:rPr>
                <w:rFonts w:hint="eastAsia" w:ascii="宋体" w:hAnsi="宋体" w:cs="宋体"/>
                <w:sz w:val="21"/>
                <w:szCs w:val="21"/>
              </w:rPr>
              <w:t>（6）气味：具有鲜肉固有的气味，无异味，煮沸后肉汤，澄清透明，脂肪团聚于表面，澄清透明或稍有浑浊，脂肪团聚于表面。</w:t>
            </w:r>
          </w:p>
          <w:p w14:paraId="69BB9B04">
            <w:pPr>
              <w:spacing w:line="360" w:lineRule="auto"/>
              <w:ind w:firstLine="210" w:firstLineChars="100"/>
              <w:rPr>
                <w:rFonts w:ascii="宋体" w:hAnsi="宋体"/>
                <w:bCs/>
                <w:color w:val="000000"/>
                <w:szCs w:val="21"/>
              </w:rPr>
            </w:pPr>
            <w:r>
              <w:rPr>
                <w:rFonts w:hint="eastAsia" w:ascii="宋体" w:hAnsi="宋体"/>
                <w:bCs/>
                <w:color w:val="000000"/>
                <w:szCs w:val="21"/>
              </w:rPr>
              <w:t>6、家禽类</w:t>
            </w:r>
          </w:p>
          <w:p w14:paraId="4A5C947D">
            <w:pPr>
              <w:spacing w:line="360" w:lineRule="auto"/>
              <w:ind w:firstLine="420" w:firstLineChars="200"/>
              <w:rPr>
                <w:rFonts w:ascii="宋体" w:hAnsi="宋体"/>
                <w:color w:val="000000"/>
                <w:szCs w:val="21"/>
              </w:rPr>
            </w:pPr>
            <w:r>
              <w:rPr>
                <w:rFonts w:hint="eastAsia" w:ascii="宋体" w:hAnsi="宋体"/>
                <w:color w:val="000000"/>
                <w:szCs w:val="21"/>
              </w:rPr>
              <w:t>（1）基本要求：新鲜的家禽肉肌肉色泽呈淡黄红色，肌肉有弹性且结实，无腥臭味、不黏滑、皮肤光滑。骨髓色泽呈鲜红色，变灰、变绿为品质不佳。凡出现肉淤血、骨折、露骨、脱皮等现象拒收货。</w:t>
            </w:r>
          </w:p>
          <w:p w14:paraId="5236DBA5">
            <w:pPr>
              <w:pStyle w:val="36"/>
              <w:spacing w:line="360" w:lineRule="auto"/>
              <w:ind w:left="0" w:leftChars="0" w:firstLine="420" w:firstLineChars="200"/>
              <w:rPr>
                <w:rFonts w:ascii="宋体" w:hAnsi="宋体"/>
                <w:color w:val="000000"/>
                <w:sz w:val="21"/>
                <w:szCs w:val="21"/>
              </w:rPr>
            </w:pPr>
            <w:r>
              <w:rPr>
                <w:rFonts w:hint="eastAsia" w:ascii="宋体" w:hAnsi="宋体" w:cs="宋体"/>
                <w:bCs/>
                <w:color w:val="000000"/>
                <w:sz w:val="21"/>
                <w:szCs w:val="21"/>
              </w:rPr>
              <w:t>（2）交货时须提供动物检疫合格证明复印件。</w:t>
            </w:r>
          </w:p>
          <w:p w14:paraId="5039E93B">
            <w:pPr>
              <w:spacing w:line="360" w:lineRule="auto"/>
              <w:ind w:firstLine="210" w:firstLineChars="100"/>
              <w:rPr>
                <w:rFonts w:ascii="宋体" w:hAnsi="宋体"/>
                <w:bCs/>
                <w:color w:val="000000"/>
                <w:szCs w:val="21"/>
              </w:rPr>
            </w:pPr>
            <w:r>
              <w:rPr>
                <w:rFonts w:hint="eastAsia" w:ascii="宋体" w:hAnsi="宋体"/>
                <w:bCs/>
                <w:color w:val="000000"/>
                <w:szCs w:val="21"/>
              </w:rPr>
              <w:t>7、河鲜类</w:t>
            </w:r>
          </w:p>
          <w:p w14:paraId="02E99144">
            <w:pPr>
              <w:spacing w:line="360" w:lineRule="auto"/>
              <w:ind w:firstLine="420" w:firstLineChars="200"/>
              <w:rPr>
                <w:rFonts w:ascii="宋体" w:hAnsi="宋体"/>
                <w:color w:val="000000"/>
                <w:szCs w:val="21"/>
              </w:rPr>
            </w:pPr>
            <w:r>
              <w:rPr>
                <w:rFonts w:hint="eastAsia" w:ascii="宋体" w:hAnsi="宋体"/>
                <w:color w:val="000000"/>
                <w:szCs w:val="21"/>
              </w:rPr>
              <w:t>（1）鱼类：体表有光泽，鳞片完整、不易脱落，黏液无混浊，肌肉组织致密、有弹性；鳃丝清晰，色鲜红或暗红，无异臭味；眼球饱满，角膜透明或稍有浑浊；肛门紧缩或稍有凸出。感观鉴别：神态—在水中游动自如、反应敏捷。体态—无伤残、无畸形、无病害。体表—鳞片完整无损、表面无异物、无皮下出血现象及红色鱼鳞。</w:t>
            </w:r>
          </w:p>
          <w:p w14:paraId="26DC8D7D">
            <w:pPr>
              <w:spacing w:line="360" w:lineRule="auto"/>
              <w:ind w:firstLine="420" w:firstLineChars="200"/>
              <w:rPr>
                <w:rFonts w:ascii="宋体" w:hAnsi="宋体"/>
                <w:color w:val="000000"/>
                <w:szCs w:val="21"/>
              </w:rPr>
            </w:pPr>
            <w:r>
              <w:rPr>
                <w:rFonts w:hint="eastAsia" w:ascii="宋体" w:hAnsi="宋体"/>
                <w:color w:val="000000"/>
                <w:szCs w:val="21"/>
              </w:rPr>
              <w:t>（2）虾类：个大均匀、活蹦乱跳（或能活动）、无黑头。</w:t>
            </w:r>
          </w:p>
          <w:p w14:paraId="3ED7AEA1">
            <w:pPr>
              <w:spacing w:line="360" w:lineRule="auto"/>
              <w:rPr>
                <w:rFonts w:ascii="宋体" w:hAnsi="宋体" w:cs="宋体"/>
                <w:szCs w:val="21"/>
              </w:rPr>
            </w:pPr>
            <w:r>
              <w:rPr>
                <w:rFonts w:hint="eastAsia" w:ascii="宋体" w:hAnsi="宋体" w:cs="宋体"/>
                <w:szCs w:val="21"/>
              </w:rPr>
              <w:t xml:space="preserve">  8、蔬果商品供货要求（包括但不限于以下内容）：</w:t>
            </w:r>
          </w:p>
          <w:p w14:paraId="255EF763">
            <w:pPr>
              <w:spacing w:line="360" w:lineRule="auto"/>
              <w:ind w:firstLine="420" w:firstLineChars="200"/>
              <w:rPr>
                <w:rFonts w:ascii="宋体" w:hAnsi="宋体"/>
                <w:color w:val="000000"/>
                <w:szCs w:val="21"/>
              </w:rPr>
            </w:pPr>
            <w:r>
              <w:rPr>
                <w:rStyle w:val="270"/>
                <w:rFonts w:hint="default" w:cs="仿宋_GB2312"/>
                <w:color w:val="000000"/>
              </w:rPr>
              <w:t>（1）蔬果类农药残留不得超标，交货时需提供每批次蔬果类农药残留检测证明。</w:t>
            </w:r>
          </w:p>
          <w:p w14:paraId="07C175DA">
            <w:pPr>
              <w:pStyle w:val="17"/>
              <w:spacing w:after="0" w:line="360" w:lineRule="auto"/>
              <w:ind w:firstLine="420"/>
              <w:rPr>
                <w:rFonts w:ascii="宋体" w:hAnsi="宋体" w:cs="宋体"/>
                <w:sz w:val="21"/>
                <w:szCs w:val="21"/>
              </w:rPr>
            </w:pPr>
            <w:r>
              <w:rPr>
                <w:rFonts w:hint="eastAsia" w:ascii="宋体" w:hAnsi="宋体" w:cs="宋体"/>
                <w:sz w:val="21"/>
                <w:szCs w:val="21"/>
              </w:rPr>
              <w:t>（2）所有蔬果必须符合国家有关标准，保证新鲜、无异味、无霉烂变质。</w:t>
            </w:r>
          </w:p>
          <w:p w14:paraId="6FB55DE1">
            <w:pPr>
              <w:pStyle w:val="17"/>
              <w:spacing w:after="0" w:line="360" w:lineRule="auto"/>
              <w:ind w:firstLine="420"/>
              <w:rPr>
                <w:rFonts w:ascii="宋体" w:hAnsi="宋体"/>
                <w:color w:val="000000"/>
                <w:sz w:val="21"/>
                <w:szCs w:val="21"/>
              </w:rPr>
            </w:pPr>
            <w:r>
              <w:rPr>
                <w:rFonts w:hint="eastAsia" w:ascii="宋体" w:hAnsi="宋体" w:cs="宋体"/>
                <w:sz w:val="21"/>
                <w:szCs w:val="21"/>
              </w:rPr>
              <w:t>（3）所有蔬果在交付采购人指定人员前须经过前期处理，使用率达到 90%以上。</w:t>
            </w:r>
          </w:p>
          <w:p w14:paraId="2FBC8B19">
            <w:pPr>
              <w:spacing w:line="360" w:lineRule="auto"/>
              <w:ind w:firstLine="210" w:firstLineChars="100"/>
              <w:rPr>
                <w:rFonts w:ascii="宋体" w:hAnsi="宋体"/>
                <w:color w:val="000000"/>
                <w:szCs w:val="21"/>
              </w:rPr>
            </w:pPr>
            <w:r>
              <w:rPr>
                <w:rFonts w:hint="eastAsia" w:ascii="宋体" w:hAnsi="宋体"/>
                <w:bCs/>
                <w:color w:val="000000"/>
                <w:szCs w:val="21"/>
              </w:rPr>
              <w:t>9</w:t>
            </w:r>
            <w:r>
              <w:rPr>
                <w:rFonts w:ascii="宋体" w:hAnsi="宋体"/>
                <w:bCs/>
                <w:color w:val="000000"/>
                <w:szCs w:val="21"/>
              </w:rPr>
              <w:t>、豆制品类：产品</w:t>
            </w:r>
            <w:r>
              <w:rPr>
                <w:rFonts w:ascii="宋体" w:hAnsi="宋体"/>
                <w:color w:val="000000"/>
                <w:szCs w:val="21"/>
              </w:rPr>
              <w:t>符合国家食品安全要求，证照齐全，新鲜，无异味，无腐烂；</w:t>
            </w:r>
          </w:p>
          <w:p w14:paraId="26C2CD9E">
            <w:pPr>
              <w:spacing w:line="360" w:lineRule="auto"/>
              <w:ind w:firstLine="210" w:firstLineChars="100"/>
              <w:rPr>
                <w:rFonts w:ascii="宋体" w:hAnsi="宋体"/>
                <w:bCs/>
                <w:color w:val="000000"/>
                <w:szCs w:val="21"/>
              </w:rPr>
            </w:pPr>
            <w:r>
              <w:rPr>
                <w:rFonts w:hint="eastAsia" w:ascii="宋体" w:hAnsi="宋体"/>
                <w:bCs/>
                <w:color w:val="000000"/>
                <w:szCs w:val="21"/>
              </w:rPr>
              <w:t>10、冻品类</w:t>
            </w:r>
          </w:p>
          <w:p w14:paraId="726F773A">
            <w:pPr>
              <w:spacing w:line="360" w:lineRule="auto"/>
              <w:ind w:firstLine="210" w:firstLineChars="100"/>
              <w:rPr>
                <w:rFonts w:ascii="宋体" w:hAnsi="宋体"/>
                <w:color w:val="000000"/>
                <w:szCs w:val="21"/>
              </w:rPr>
            </w:pPr>
            <w:r>
              <w:rPr>
                <w:rFonts w:hint="eastAsia" w:ascii="宋体" w:hAnsi="宋体"/>
                <w:color w:val="000000"/>
                <w:szCs w:val="21"/>
              </w:rPr>
              <w:t>（1）冷冻产品的供应商须具备固定专用的冷冻场地及设备。</w:t>
            </w:r>
          </w:p>
          <w:p w14:paraId="6E33B24F">
            <w:pPr>
              <w:spacing w:line="360" w:lineRule="auto"/>
              <w:ind w:firstLine="210" w:firstLineChars="100"/>
              <w:rPr>
                <w:rFonts w:ascii="宋体" w:hAnsi="宋体"/>
                <w:color w:val="000000"/>
                <w:szCs w:val="21"/>
              </w:rPr>
            </w:pPr>
            <w:r>
              <w:rPr>
                <w:rFonts w:hint="eastAsia" w:ascii="宋体" w:hAnsi="宋体"/>
                <w:color w:val="000000"/>
                <w:szCs w:val="21"/>
              </w:rPr>
              <w:t>（2）供应商运输时需配备冷链车确保冻品保鲜度。</w:t>
            </w:r>
          </w:p>
          <w:p w14:paraId="3A193557">
            <w:pPr>
              <w:spacing w:line="360" w:lineRule="auto"/>
              <w:ind w:firstLine="210" w:firstLineChars="100"/>
              <w:rPr>
                <w:rFonts w:ascii="宋体" w:hAnsi="宋体"/>
                <w:color w:val="000000"/>
                <w:szCs w:val="21"/>
              </w:rPr>
            </w:pPr>
            <w:r>
              <w:rPr>
                <w:rFonts w:hint="eastAsia" w:ascii="宋体" w:hAnsi="宋体"/>
                <w:color w:val="000000"/>
                <w:szCs w:val="21"/>
              </w:rPr>
              <w:t>（3）供应的每一批冷冻产品必须出具产品检疫检验合格报告和保质期限证明。</w:t>
            </w:r>
          </w:p>
          <w:p w14:paraId="501E3A3D">
            <w:pPr>
              <w:spacing w:line="360" w:lineRule="auto"/>
              <w:ind w:firstLine="210" w:firstLineChars="100"/>
              <w:jc w:val="left"/>
              <w:rPr>
                <w:rFonts w:ascii="宋体" w:hAnsi="宋体"/>
                <w:color w:val="000000"/>
                <w:szCs w:val="21"/>
              </w:rPr>
            </w:pPr>
            <w:r>
              <w:rPr>
                <w:rFonts w:hint="eastAsia" w:ascii="宋体" w:hAnsi="宋体"/>
                <w:color w:val="000000"/>
                <w:szCs w:val="21"/>
              </w:rPr>
              <w:t>（4）保证产品质量，供应保质期内的产品，不得供应过期变质、来历不明和存在质量问题的产品。</w:t>
            </w:r>
          </w:p>
          <w:p w14:paraId="0200C4CA">
            <w:pPr>
              <w:spacing w:line="360" w:lineRule="auto"/>
              <w:ind w:firstLine="210" w:firstLineChars="100"/>
              <w:rPr>
                <w:rFonts w:ascii="宋体" w:hAnsi="宋体"/>
                <w:bCs/>
                <w:color w:val="000000"/>
                <w:szCs w:val="21"/>
              </w:rPr>
            </w:pPr>
            <w:r>
              <w:rPr>
                <w:rFonts w:hint="eastAsia" w:ascii="宋体" w:hAnsi="宋体"/>
                <w:bCs/>
                <w:color w:val="000000"/>
                <w:szCs w:val="21"/>
              </w:rPr>
              <w:t>11</w:t>
            </w:r>
            <w:r>
              <w:rPr>
                <w:rFonts w:ascii="宋体" w:hAnsi="宋体"/>
                <w:bCs/>
                <w:color w:val="000000"/>
                <w:szCs w:val="21"/>
              </w:rPr>
              <w:t>、</w:t>
            </w:r>
            <w:r>
              <w:rPr>
                <w:rFonts w:hint="eastAsia" w:ascii="宋体" w:hAnsi="宋体"/>
                <w:bCs/>
                <w:color w:val="000000"/>
                <w:szCs w:val="21"/>
              </w:rPr>
              <w:t>其它</w:t>
            </w:r>
            <w:r>
              <w:rPr>
                <w:rFonts w:ascii="宋体" w:hAnsi="宋体"/>
                <w:bCs/>
                <w:color w:val="000000"/>
                <w:szCs w:val="21"/>
              </w:rPr>
              <w:t>类：按国家标准。</w:t>
            </w:r>
          </w:p>
          <w:p w14:paraId="3E194F97">
            <w:pPr>
              <w:pStyle w:val="2"/>
            </w:pPr>
          </w:p>
        </w:tc>
        <w:tc>
          <w:tcPr>
            <w:tcW w:w="773" w:type="dxa"/>
            <w:tcBorders>
              <w:top w:val="single" w:color="auto" w:sz="4" w:space="0"/>
              <w:left w:val="single" w:color="auto" w:sz="4" w:space="0"/>
              <w:bottom w:val="single" w:color="auto" w:sz="4" w:space="0"/>
              <w:right w:val="single" w:color="auto" w:sz="4" w:space="0"/>
            </w:tcBorders>
          </w:tcPr>
          <w:p w14:paraId="5D74476E">
            <w:pPr>
              <w:spacing w:line="340" w:lineRule="exact"/>
              <w:rPr>
                <w:rFonts w:ascii="宋体" w:hAnsi="宋体" w:cs="宋体"/>
                <w:color w:val="000000"/>
                <w:szCs w:val="21"/>
              </w:rPr>
            </w:pPr>
          </w:p>
        </w:tc>
      </w:tr>
      <w:tr w14:paraId="679793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855" w:type="dxa"/>
            <w:gridSpan w:val="3"/>
            <w:tcBorders>
              <w:top w:val="single" w:color="auto" w:sz="4" w:space="0"/>
              <w:left w:val="single" w:color="auto" w:sz="4" w:space="0"/>
              <w:bottom w:val="single" w:color="auto" w:sz="4" w:space="0"/>
              <w:right w:val="single" w:color="auto" w:sz="4" w:space="0"/>
            </w:tcBorders>
          </w:tcPr>
          <w:p w14:paraId="2C6D26DD">
            <w:pPr>
              <w:spacing w:line="360" w:lineRule="auto"/>
              <w:jc w:val="center"/>
              <w:rPr>
                <w:rFonts w:ascii="宋体" w:hAnsi="宋体" w:cs="宋体"/>
                <w:color w:val="000000"/>
              </w:rPr>
            </w:pPr>
          </w:p>
          <w:p w14:paraId="181D4EF3">
            <w:pPr>
              <w:spacing w:line="360" w:lineRule="auto"/>
              <w:jc w:val="center"/>
              <w:rPr>
                <w:rFonts w:ascii="宋体" w:hAnsi="宋体" w:cs="宋体"/>
                <w:color w:val="000000"/>
              </w:rPr>
            </w:pPr>
          </w:p>
          <w:p w14:paraId="4E95B6A6">
            <w:pPr>
              <w:spacing w:line="360" w:lineRule="auto"/>
              <w:jc w:val="center"/>
              <w:rPr>
                <w:rFonts w:ascii="宋体" w:hAnsi="宋体" w:cs="宋体"/>
                <w:color w:val="000000"/>
              </w:rPr>
            </w:pPr>
            <w:r>
              <w:rPr>
                <w:rFonts w:hint="eastAsia" w:ascii="宋体" w:hAnsi="宋体" w:cs="宋体"/>
                <w:color w:val="000000"/>
                <w:szCs w:val="21"/>
              </w:rPr>
              <w:t>▲</w:t>
            </w:r>
            <w:r>
              <w:rPr>
                <w:rFonts w:hint="eastAsia" w:ascii="宋体" w:hAnsi="宋体" w:cs="宋体"/>
                <w:color w:val="000000"/>
              </w:rPr>
              <w:t>商务条款</w:t>
            </w:r>
          </w:p>
        </w:tc>
        <w:tc>
          <w:tcPr>
            <w:tcW w:w="8313" w:type="dxa"/>
            <w:gridSpan w:val="3"/>
            <w:tcBorders>
              <w:top w:val="single" w:color="auto" w:sz="4" w:space="0"/>
              <w:left w:val="single" w:color="auto" w:sz="4" w:space="0"/>
              <w:bottom w:val="single" w:color="auto" w:sz="4" w:space="0"/>
              <w:right w:val="single" w:color="auto" w:sz="4" w:space="0"/>
            </w:tcBorders>
          </w:tcPr>
          <w:p w14:paraId="45522C33">
            <w:pPr>
              <w:widowControl/>
              <w:shd w:val="clear" w:color="auto" w:fill="FFFFFF"/>
              <w:spacing w:line="360" w:lineRule="auto"/>
              <w:rPr>
                <w:rFonts w:ascii="宋体" w:hAnsi="宋体" w:cs="宋体"/>
                <w:color w:val="000000"/>
                <w:szCs w:val="21"/>
                <w:highlight w:val="none"/>
              </w:rPr>
            </w:pPr>
            <w:r>
              <w:rPr>
                <w:rFonts w:hint="eastAsia" w:ascii="宋体" w:hAnsi="宋体" w:cs="宋体"/>
                <w:color w:val="000000"/>
                <w:szCs w:val="21"/>
              </w:rPr>
              <w:t>一</w:t>
            </w:r>
            <w:r>
              <w:rPr>
                <w:rFonts w:hint="eastAsia" w:ascii="宋体" w:hAnsi="宋体" w:cs="宋体"/>
                <w:color w:val="000000"/>
                <w:szCs w:val="21"/>
                <w:highlight w:val="none"/>
              </w:rPr>
              <w:t>、</w:t>
            </w:r>
            <w:r>
              <w:rPr>
                <w:rFonts w:hint="eastAsia" w:ascii="宋体" w:hAnsi="宋体" w:cs="宋体"/>
                <w:szCs w:val="21"/>
                <w:highlight w:val="none"/>
              </w:rPr>
              <w:t>合同签订时间</w:t>
            </w:r>
            <w:r>
              <w:rPr>
                <w:rFonts w:hint="eastAsia" w:ascii="宋体" w:hAnsi="宋体" w:cs="宋体"/>
                <w:color w:val="000000"/>
                <w:szCs w:val="21"/>
                <w:highlight w:val="none"/>
              </w:rPr>
              <w:t>：自成交通知书发出之日起15日内</w:t>
            </w:r>
          </w:p>
          <w:p w14:paraId="78B5E1DF">
            <w:pPr>
              <w:widowControl/>
              <w:shd w:val="clear" w:color="auto" w:fill="FFFFFF"/>
              <w:spacing w:line="360" w:lineRule="auto"/>
              <w:rPr>
                <w:rFonts w:ascii="宋体" w:hAnsi="宋体" w:cs="宋体"/>
                <w:color w:val="000000"/>
                <w:szCs w:val="21"/>
                <w:highlight w:val="none"/>
              </w:rPr>
            </w:pPr>
            <w:r>
              <w:rPr>
                <w:rFonts w:hint="eastAsia" w:ascii="宋体" w:hAnsi="宋体" w:cs="宋体"/>
                <w:color w:val="000000"/>
                <w:szCs w:val="21"/>
                <w:highlight w:val="none"/>
              </w:rPr>
              <w:t>二、</w:t>
            </w:r>
            <w:r>
              <w:rPr>
                <w:rFonts w:hint="eastAsia" w:ascii="宋体" w:hAnsi="宋体" w:cs="宋体"/>
                <w:bCs/>
                <w:szCs w:val="21"/>
                <w:highlight w:val="none"/>
              </w:rPr>
              <w:t>服务期限</w:t>
            </w:r>
            <w:r>
              <w:rPr>
                <w:rFonts w:hint="eastAsia" w:ascii="宋体" w:hAnsi="宋体" w:cs="宋体"/>
                <w:color w:val="000000"/>
                <w:szCs w:val="21"/>
                <w:highlight w:val="none"/>
              </w:rPr>
              <w:t>：签订合同之日起1年。</w:t>
            </w:r>
          </w:p>
          <w:p w14:paraId="07C81EFF">
            <w:pPr>
              <w:widowControl/>
              <w:shd w:val="clear" w:color="auto" w:fill="FFFFFF"/>
              <w:spacing w:line="360" w:lineRule="auto"/>
              <w:rPr>
                <w:rFonts w:ascii="宋体" w:hAnsi="宋体" w:cs="宋体"/>
                <w:color w:val="000000"/>
                <w:szCs w:val="21"/>
                <w:highlight w:val="none"/>
              </w:rPr>
            </w:pPr>
            <w:r>
              <w:rPr>
                <w:rFonts w:hint="eastAsia" w:ascii="宋体" w:hAnsi="宋体" w:cs="宋体"/>
                <w:color w:val="000000"/>
                <w:szCs w:val="21"/>
                <w:highlight w:val="none"/>
              </w:rPr>
              <w:t>三、</w:t>
            </w:r>
            <w:r>
              <w:rPr>
                <w:rFonts w:hint="eastAsia" w:ascii="宋体" w:hAnsi="宋体" w:cs="宋体"/>
                <w:bCs/>
                <w:szCs w:val="21"/>
                <w:highlight w:val="none"/>
              </w:rPr>
              <w:t>服务地点</w:t>
            </w:r>
            <w:r>
              <w:rPr>
                <w:rFonts w:hint="eastAsia" w:ascii="宋体" w:hAnsi="宋体" w:cs="宋体"/>
                <w:color w:val="000000"/>
                <w:szCs w:val="21"/>
                <w:highlight w:val="none"/>
              </w:rPr>
              <w:t>：采购人指定地点(广西梧州市高旺路3号)</w:t>
            </w:r>
          </w:p>
          <w:p w14:paraId="1DD7C7D1">
            <w:pPr>
              <w:spacing w:line="360" w:lineRule="auto"/>
              <w:rPr>
                <w:rFonts w:ascii="宋体" w:hAnsi="宋体" w:cs="宋体"/>
                <w:color w:val="000000"/>
                <w:szCs w:val="21"/>
                <w:highlight w:val="none"/>
              </w:rPr>
            </w:pPr>
            <w:r>
              <w:rPr>
                <w:rFonts w:hint="eastAsia" w:ascii="宋体" w:hAnsi="宋体" w:cs="宋体"/>
                <w:color w:val="000000"/>
                <w:szCs w:val="21"/>
                <w:highlight w:val="none"/>
              </w:rPr>
              <w:t>四、配送要求：</w:t>
            </w:r>
          </w:p>
          <w:p w14:paraId="327D51A0">
            <w:pPr>
              <w:widowControl/>
              <w:spacing w:line="360" w:lineRule="auto"/>
              <w:jc w:val="left"/>
              <w:rPr>
                <w:rFonts w:ascii="宋体" w:hAnsi="宋体"/>
                <w:color w:val="000000"/>
                <w:szCs w:val="21"/>
                <w:highlight w:val="none"/>
              </w:rPr>
            </w:pPr>
            <w:r>
              <w:rPr>
                <w:rFonts w:hint="eastAsia" w:ascii="宋体" w:hAnsi="宋体"/>
                <w:color w:val="000000"/>
                <w:szCs w:val="21"/>
                <w:highlight w:val="none"/>
              </w:rPr>
              <w:t>1、</w:t>
            </w:r>
            <w:r>
              <w:rPr>
                <w:rFonts w:hint="eastAsia" w:ascii="宋体" w:hAnsi="宋体" w:cs="宋体"/>
                <w:color w:val="000000"/>
                <w:sz w:val="20"/>
                <w:szCs w:val="20"/>
                <w:highlight w:val="none"/>
              </w:rPr>
              <w:t>采购人提前 1 天时间列明供货清单通知成交供应商。成交供应商</w:t>
            </w:r>
            <w:r>
              <w:rPr>
                <w:rFonts w:ascii="宋体" w:hAnsi="宋体"/>
                <w:color w:val="000000"/>
                <w:szCs w:val="21"/>
                <w:highlight w:val="none"/>
              </w:rPr>
              <w:t>按照</w:t>
            </w:r>
            <w:r>
              <w:rPr>
                <w:rFonts w:hint="eastAsia" w:ascii="宋体" w:hAnsi="宋体"/>
                <w:color w:val="000000"/>
                <w:szCs w:val="21"/>
                <w:highlight w:val="none"/>
              </w:rPr>
              <w:t>采购人</w:t>
            </w:r>
            <w:r>
              <w:rPr>
                <w:rFonts w:ascii="宋体" w:hAnsi="宋体"/>
                <w:color w:val="000000"/>
                <w:szCs w:val="21"/>
                <w:highlight w:val="none"/>
              </w:rPr>
              <w:t>的要求，将</w:t>
            </w:r>
            <w:r>
              <w:rPr>
                <w:rFonts w:hint="eastAsia" w:ascii="宋体" w:hAnsi="宋体"/>
                <w:color w:val="000000"/>
                <w:szCs w:val="21"/>
                <w:highlight w:val="none"/>
              </w:rPr>
              <w:t>采购人</w:t>
            </w:r>
            <w:r>
              <w:rPr>
                <w:rFonts w:ascii="宋体" w:hAnsi="宋体"/>
                <w:color w:val="000000"/>
                <w:szCs w:val="21"/>
                <w:highlight w:val="none"/>
              </w:rPr>
              <w:t>需要的食品在规定时间内保质保量配送到指定地点。服从</w:t>
            </w:r>
            <w:r>
              <w:rPr>
                <w:rFonts w:hint="eastAsia" w:ascii="宋体" w:hAnsi="宋体"/>
                <w:color w:val="000000"/>
                <w:szCs w:val="21"/>
                <w:highlight w:val="none"/>
              </w:rPr>
              <w:t>采购人</w:t>
            </w:r>
            <w:r>
              <w:rPr>
                <w:rFonts w:ascii="宋体" w:hAnsi="宋体"/>
                <w:color w:val="000000"/>
                <w:szCs w:val="21"/>
                <w:highlight w:val="none"/>
              </w:rPr>
              <w:t>的监督、协调、指导与管理。凡是《食品安全法》禁止经营的食品一律不得采购和使用，严禁配送“三无”食品、有毒、有害、过期、变质、假冒伪劣等不合格食品。</w:t>
            </w:r>
            <w:r>
              <w:rPr>
                <w:rFonts w:hint="eastAsia" w:ascii="宋体" w:hAnsi="宋体" w:cs="宋体"/>
                <w:color w:val="000000"/>
                <w:sz w:val="20"/>
                <w:szCs w:val="20"/>
                <w:highlight w:val="none"/>
              </w:rPr>
              <w:t>成交</w:t>
            </w:r>
            <w:r>
              <w:rPr>
                <w:rFonts w:ascii="宋体" w:hAnsi="宋体"/>
                <w:color w:val="000000"/>
                <w:szCs w:val="21"/>
                <w:highlight w:val="none"/>
              </w:rPr>
              <w:t>供应商应负责货物的供应、包装、运输、交货以及售后服务等工作。</w:t>
            </w:r>
          </w:p>
          <w:p w14:paraId="5B4A935A">
            <w:pPr>
              <w:spacing w:line="360" w:lineRule="auto"/>
              <w:rPr>
                <w:rFonts w:ascii="宋体" w:hAnsi="宋体"/>
                <w:color w:val="000000"/>
                <w:szCs w:val="21"/>
                <w:highlight w:val="none"/>
              </w:rPr>
            </w:pPr>
            <w:r>
              <w:rPr>
                <w:rFonts w:hint="eastAsia" w:ascii="宋体" w:hAnsi="宋体"/>
                <w:color w:val="000000"/>
                <w:szCs w:val="21"/>
                <w:highlight w:val="none"/>
              </w:rPr>
              <w:t>2</w:t>
            </w:r>
            <w:r>
              <w:rPr>
                <w:rFonts w:ascii="宋体" w:hAnsi="宋体"/>
                <w:color w:val="000000"/>
                <w:szCs w:val="21"/>
                <w:highlight w:val="none"/>
              </w:rPr>
              <w:t>、送货要求</w:t>
            </w:r>
          </w:p>
          <w:p w14:paraId="1BFAA0E0">
            <w:pPr>
              <w:spacing w:line="360" w:lineRule="auto"/>
              <w:rPr>
                <w:rFonts w:ascii="宋体" w:hAnsi="宋体"/>
                <w:color w:val="000000"/>
                <w:szCs w:val="21"/>
                <w:highlight w:val="none"/>
              </w:rPr>
            </w:pPr>
            <w:r>
              <w:rPr>
                <w:rFonts w:hint="eastAsia" w:ascii="宋体" w:hAnsi="宋体"/>
                <w:color w:val="000000"/>
                <w:szCs w:val="21"/>
                <w:highlight w:val="none"/>
              </w:rPr>
              <w:t>（1）</w:t>
            </w:r>
            <w:r>
              <w:rPr>
                <w:rFonts w:ascii="宋体" w:hAnsi="宋体"/>
                <w:color w:val="000000"/>
                <w:szCs w:val="21"/>
                <w:highlight w:val="none"/>
              </w:rPr>
              <w:t>一般供货要求：</w:t>
            </w:r>
            <w:r>
              <w:rPr>
                <w:rFonts w:hint="eastAsia" w:ascii="宋体" w:hAnsi="宋体" w:cs="宋体"/>
                <w:color w:val="000000"/>
                <w:sz w:val="20"/>
                <w:szCs w:val="20"/>
                <w:highlight w:val="none"/>
              </w:rPr>
              <w:t>成交</w:t>
            </w:r>
            <w:r>
              <w:rPr>
                <w:rFonts w:ascii="宋体" w:hAnsi="宋体"/>
                <w:color w:val="000000"/>
                <w:szCs w:val="21"/>
                <w:highlight w:val="none"/>
              </w:rPr>
              <w:t>供应商必须按照</w:t>
            </w:r>
            <w:r>
              <w:rPr>
                <w:rFonts w:hint="eastAsia" w:ascii="宋体" w:hAnsi="宋体"/>
                <w:color w:val="000000"/>
                <w:szCs w:val="21"/>
                <w:highlight w:val="none"/>
              </w:rPr>
              <w:t>采购人</w:t>
            </w:r>
            <w:r>
              <w:rPr>
                <w:rFonts w:ascii="宋体" w:hAnsi="宋体"/>
                <w:color w:val="000000"/>
                <w:szCs w:val="21"/>
                <w:highlight w:val="none"/>
              </w:rPr>
              <w:t>通知的时间、数量、品种、品质要求及商定的价格准时送货，经验收合格后签字确认。</w:t>
            </w:r>
            <w:r>
              <w:rPr>
                <w:rFonts w:hint="eastAsia" w:ascii="宋体" w:hAnsi="宋体" w:cs="宋体"/>
                <w:color w:val="000000"/>
                <w:sz w:val="20"/>
                <w:szCs w:val="20"/>
                <w:highlight w:val="none"/>
              </w:rPr>
              <w:t>成交</w:t>
            </w:r>
            <w:r>
              <w:rPr>
                <w:rFonts w:ascii="宋体" w:hAnsi="宋体"/>
                <w:color w:val="000000"/>
                <w:szCs w:val="21"/>
                <w:highlight w:val="none"/>
              </w:rPr>
              <w:t>供应商不能以任何理由推托配送任务，一旦影响到</w:t>
            </w:r>
            <w:r>
              <w:rPr>
                <w:rFonts w:hint="eastAsia" w:ascii="宋体" w:hAnsi="宋体"/>
                <w:color w:val="000000"/>
                <w:szCs w:val="21"/>
                <w:highlight w:val="none"/>
              </w:rPr>
              <w:t>采购人</w:t>
            </w:r>
            <w:r>
              <w:rPr>
                <w:rFonts w:ascii="宋体" w:hAnsi="宋体"/>
                <w:color w:val="000000"/>
                <w:szCs w:val="21"/>
                <w:highlight w:val="none"/>
              </w:rPr>
              <w:t>工作的正常运转，将按5</w:t>
            </w:r>
            <w:r>
              <w:rPr>
                <w:rFonts w:hint="eastAsia" w:ascii="宋体" w:hAnsi="宋体"/>
                <w:color w:val="000000"/>
                <w:szCs w:val="21"/>
                <w:highlight w:val="none"/>
              </w:rPr>
              <w:t>0</w:t>
            </w:r>
            <w:r>
              <w:rPr>
                <w:rFonts w:ascii="宋体" w:hAnsi="宋体"/>
                <w:color w:val="000000"/>
                <w:szCs w:val="21"/>
                <w:highlight w:val="none"/>
              </w:rPr>
              <w:t>00 元/次进行罚款，造成经济损失按实际情况</w:t>
            </w:r>
            <w:r>
              <w:rPr>
                <w:rFonts w:hint="eastAsia" w:ascii="宋体" w:hAnsi="宋体"/>
                <w:color w:val="000000"/>
                <w:szCs w:val="21"/>
                <w:highlight w:val="none"/>
              </w:rPr>
              <w:t>由</w:t>
            </w:r>
            <w:r>
              <w:rPr>
                <w:rFonts w:hint="eastAsia" w:ascii="宋体" w:hAnsi="宋体" w:cs="宋体"/>
                <w:color w:val="000000"/>
                <w:sz w:val="20"/>
                <w:szCs w:val="20"/>
                <w:highlight w:val="none"/>
              </w:rPr>
              <w:t>成交</w:t>
            </w:r>
            <w:r>
              <w:rPr>
                <w:rFonts w:hint="eastAsia" w:ascii="宋体" w:hAnsi="宋体"/>
                <w:color w:val="000000"/>
                <w:szCs w:val="21"/>
                <w:highlight w:val="none"/>
              </w:rPr>
              <w:t>供应商</w:t>
            </w:r>
            <w:r>
              <w:rPr>
                <w:rFonts w:ascii="宋体" w:hAnsi="宋体"/>
                <w:color w:val="000000"/>
                <w:szCs w:val="21"/>
                <w:highlight w:val="none"/>
              </w:rPr>
              <w:t>赔偿。</w:t>
            </w:r>
          </w:p>
          <w:p w14:paraId="6A4EA404">
            <w:pPr>
              <w:spacing w:line="360" w:lineRule="auto"/>
              <w:rPr>
                <w:rFonts w:ascii="宋体" w:hAnsi="宋体"/>
                <w:color w:val="000000"/>
                <w:szCs w:val="21"/>
                <w:highlight w:val="none"/>
              </w:rPr>
            </w:pPr>
            <w:r>
              <w:rPr>
                <w:rFonts w:hint="eastAsia" w:ascii="宋体" w:hAnsi="宋体"/>
                <w:color w:val="000000"/>
                <w:szCs w:val="21"/>
                <w:highlight w:val="none"/>
              </w:rPr>
              <w:t>（2）</w:t>
            </w:r>
            <w:r>
              <w:rPr>
                <w:rFonts w:ascii="宋体" w:hAnsi="宋体"/>
                <w:color w:val="000000"/>
                <w:szCs w:val="21"/>
                <w:highlight w:val="none"/>
              </w:rPr>
              <w:t>紧急供货要求：在收到</w:t>
            </w:r>
            <w:r>
              <w:rPr>
                <w:rFonts w:hint="eastAsia" w:ascii="宋体" w:hAnsi="宋体"/>
                <w:color w:val="000000"/>
                <w:szCs w:val="21"/>
                <w:highlight w:val="none"/>
              </w:rPr>
              <w:t>采购人</w:t>
            </w:r>
            <w:r>
              <w:rPr>
                <w:rFonts w:ascii="宋体" w:hAnsi="宋体"/>
                <w:color w:val="000000"/>
                <w:szCs w:val="21"/>
                <w:highlight w:val="none"/>
              </w:rPr>
              <w:t>发出紧急供货通知后，</w:t>
            </w:r>
            <w:r>
              <w:rPr>
                <w:rFonts w:hint="eastAsia" w:ascii="宋体" w:hAnsi="宋体" w:cs="宋体"/>
                <w:color w:val="000000"/>
                <w:sz w:val="20"/>
                <w:szCs w:val="20"/>
                <w:highlight w:val="none"/>
              </w:rPr>
              <w:t>成交</w:t>
            </w:r>
            <w:r>
              <w:rPr>
                <w:rFonts w:ascii="宋体" w:hAnsi="宋体"/>
                <w:color w:val="000000"/>
                <w:szCs w:val="21"/>
                <w:highlight w:val="none"/>
              </w:rPr>
              <w:t>供应商应在</w:t>
            </w:r>
            <w:r>
              <w:rPr>
                <w:rFonts w:hint="eastAsia" w:ascii="宋体" w:hAnsi="宋体"/>
                <w:color w:val="000000"/>
                <w:szCs w:val="21"/>
                <w:highlight w:val="none"/>
              </w:rPr>
              <w:t>采购人</w:t>
            </w:r>
            <w:r>
              <w:rPr>
                <w:rFonts w:ascii="宋体" w:hAnsi="宋体"/>
                <w:color w:val="000000"/>
                <w:szCs w:val="21"/>
                <w:highlight w:val="none"/>
              </w:rPr>
              <w:t>规定的时间内完成当次现场供货。</w:t>
            </w:r>
          </w:p>
          <w:p w14:paraId="354B1015">
            <w:pPr>
              <w:spacing w:line="360" w:lineRule="auto"/>
              <w:rPr>
                <w:rFonts w:ascii="宋体" w:hAnsi="宋体"/>
                <w:color w:val="000000"/>
                <w:szCs w:val="21"/>
                <w:highlight w:val="none"/>
              </w:rPr>
            </w:pPr>
            <w:r>
              <w:rPr>
                <w:rFonts w:hint="eastAsia" w:ascii="宋体" w:hAnsi="宋体"/>
                <w:color w:val="000000"/>
                <w:szCs w:val="21"/>
                <w:highlight w:val="none"/>
              </w:rPr>
              <w:t>3</w:t>
            </w:r>
            <w:r>
              <w:rPr>
                <w:rFonts w:ascii="宋体" w:hAnsi="宋体"/>
                <w:color w:val="000000"/>
                <w:szCs w:val="21"/>
                <w:highlight w:val="none"/>
              </w:rPr>
              <w:t>、产品验收</w:t>
            </w:r>
          </w:p>
          <w:p w14:paraId="6DBA37A3">
            <w:pPr>
              <w:spacing w:line="360" w:lineRule="auto"/>
              <w:rPr>
                <w:rFonts w:ascii="宋体" w:hAnsi="宋体"/>
                <w:color w:val="000000"/>
                <w:szCs w:val="21"/>
                <w:highlight w:val="none"/>
              </w:rPr>
            </w:pPr>
            <w:r>
              <w:rPr>
                <w:rFonts w:hint="eastAsia" w:ascii="宋体" w:hAnsi="宋体"/>
                <w:color w:val="000000"/>
                <w:szCs w:val="21"/>
                <w:highlight w:val="none"/>
              </w:rPr>
              <w:t>（1）</w:t>
            </w:r>
            <w:r>
              <w:rPr>
                <w:rFonts w:ascii="宋体" w:hAnsi="宋体"/>
                <w:color w:val="000000"/>
                <w:szCs w:val="21"/>
                <w:highlight w:val="none"/>
              </w:rPr>
              <w:t>产品的验收工作由</w:t>
            </w:r>
            <w:r>
              <w:rPr>
                <w:rFonts w:hint="eastAsia" w:ascii="宋体" w:hAnsi="宋体"/>
                <w:color w:val="000000"/>
                <w:szCs w:val="21"/>
                <w:highlight w:val="none"/>
              </w:rPr>
              <w:t>采购人</w:t>
            </w:r>
            <w:r>
              <w:rPr>
                <w:rFonts w:ascii="宋体" w:hAnsi="宋体"/>
                <w:color w:val="000000"/>
                <w:szCs w:val="21"/>
                <w:highlight w:val="none"/>
              </w:rPr>
              <w:t>和</w:t>
            </w:r>
            <w:r>
              <w:rPr>
                <w:rFonts w:hint="eastAsia" w:ascii="宋体" w:hAnsi="宋体" w:cs="宋体"/>
                <w:color w:val="000000"/>
                <w:sz w:val="20"/>
                <w:szCs w:val="20"/>
                <w:highlight w:val="none"/>
              </w:rPr>
              <w:t>成交</w:t>
            </w:r>
            <w:r>
              <w:rPr>
                <w:rFonts w:ascii="宋体" w:hAnsi="宋体"/>
                <w:color w:val="000000"/>
                <w:szCs w:val="21"/>
                <w:highlight w:val="none"/>
              </w:rPr>
              <w:t>供应商共同进行。</w:t>
            </w:r>
            <w:r>
              <w:rPr>
                <w:rFonts w:hint="eastAsia" w:ascii="宋体" w:hAnsi="宋体" w:cs="宋体"/>
                <w:color w:val="000000"/>
                <w:sz w:val="20"/>
                <w:szCs w:val="20"/>
                <w:highlight w:val="none"/>
              </w:rPr>
              <w:t>成交</w:t>
            </w:r>
            <w:r>
              <w:rPr>
                <w:rFonts w:ascii="宋体" w:hAnsi="宋体"/>
                <w:color w:val="000000"/>
                <w:szCs w:val="21"/>
                <w:highlight w:val="none"/>
              </w:rPr>
              <w:t>供应商提供的产品须经过</w:t>
            </w:r>
            <w:r>
              <w:rPr>
                <w:rFonts w:hint="eastAsia" w:ascii="宋体" w:hAnsi="宋体"/>
                <w:color w:val="000000"/>
                <w:szCs w:val="21"/>
                <w:highlight w:val="none"/>
              </w:rPr>
              <w:t>采购人</w:t>
            </w:r>
            <w:r>
              <w:rPr>
                <w:rFonts w:ascii="宋体" w:hAnsi="宋体"/>
                <w:color w:val="000000"/>
                <w:szCs w:val="21"/>
                <w:highlight w:val="none"/>
              </w:rPr>
              <w:t>验收人员的感官检验、外观检验和试用检验，若产品外观、包装、形式不符合要求、感官检验不能达到食品卫生要求，当即拒收，</w:t>
            </w:r>
            <w:r>
              <w:rPr>
                <w:rFonts w:hint="eastAsia" w:ascii="宋体" w:hAnsi="宋体" w:cs="宋体"/>
                <w:color w:val="000000"/>
                <w:sz w:val="20"/>
                <w:szCs w:val="20"/>
                <w:highlight w:val="none"/>
              </w:rPr>
              <w:t>成交</w:t>
            </w:r>
            <w:r>
              <w:rPr>
                <w:rFonts w:ascii="宋体" w:hAnsi="宋体"/>
                <w:color w:val="000000"/>
                <w:szCs w:val="21"/>
                <w:highlight w:val="none"/>
              </w:rPr>
              <w:t>供应商需在</w:t>
            </w:r>
            <w:r>
              <w:rPr>
                <w:rFonts w:hint="eastAsia" w:ascii="宋体" w:hAnsi="宋体"/>
                <w:color w:val="000000"/>
                <w:szCs w:val="21"/>
                <w:highlight w:val="none"/>
              </w:rPr>
              <w:t>2</w:t>
            </w:r>
            <w:r>
              <w:rPr>
                <w:rFonts w:ascii="宋体" w:hAnsi="宋体"/>
                <w:color w:val="000000"/>
                <w:szCs w:val="21"/>
                <w:highlight w:val="none"/>
              </w:rPr>
              <w:t>小时内更换不合格产品。</w:t>
            </w:r>
            <w:r>
              <w:rPr>
                <w:rFonts w:hint="eastAsia" w:ascii="宋体" w:hAnsi="宋体" w:cs="宋体"/>
                <w:color w:val="000000"/>
                <w:sz w:val="20"/>
                <w:szCs w:val="20"/>
                <w:highlight w:val="none"/>
              </w:rPr>
              <w:t>成交</w:t>
            </w:r>
            <w:r>
              <w:rPr>
                <w:rFonts w:ascii="宋体" w:hAnsi="宋体"/>
                <w:color w:val="000000"/>
                <w:szCs w:val="21"/>
                <w:highlight w:val="none"/>
              </w:rPr>
              <w:t>供应商不能满足食品的质量及售后服务要求时，造成经济损失按实际情况</w:t>
            </w:r>
            <w:r>
              <w:rPr>
                <w:rFonts w:hint="eastAsia" w:ascii="宋体" w:hAnsi="宋体"/>
                <w:color w:val="000000"/>
                <w:szCs w:val="21"/>
                <w:highlight w:val="none"/>
              </w:rPr>
              <w:t>由供应商</w:t>
            </w:r>
            <w:r>
              <w:rPr>
                <w:rFonts w:ascii="宋体" w:hAnsi="宋体"/>
                <w:color w:val="000000"/>
                <w:szCs w:val="21"/>
                <w:highlight w:val="none"/>
              </w:rPr>
              <w:t>赔偿。</w:t>
            </w:r>
          </w:p>
          <w:p w14:paraId="59E273D2">
            <w:pPr>
              <w:spacing w:line="360" w:lineRule="auto"/>
              <w:rPr>
                <w:rFonts w:ascii="宋体" w:hAnsi="宋体"/>
                <w:color w:val="000000"/>
                <w:szCs w:val="21"/>
                <w:highlight w:val="none"/>
              </w:rPr>
            </w:pPr>
            <w:r>
              <w:rPr>
                <w:rFonts w:hint="eastAsia" w:ascii="宋体" w:hAnsi="宋体"/>
                <w:color w:val="000000"/>
                <w:szCs w:val="21"/>
                <w:highlight w:val="none"/>
              </w:rPr>
              <w:t>（2）</w:t>
            </w:r>
            <w:r>
              <w:rPr>
                <w:rFonts w:ascii="宋体" w:hAnsi="宋体"/>
                <w:color w:val="000000"/>
                <w:szCs w:val="21"/>
                <w:highlight w:val="none"/>
              </w:rPr>
              <w:t>验收工作的一般程序：根据采购清单的具体要求，对所购产品进行清点、外观检查以及对产品的各项指标和性能进行实测。检测结束后，验收人员在验收单上签字。对未能通过验收的，一律退货、更换直至验收合格。</w:t>
            </w:r>
          </w:p>
          <w:p w14:paraId="01C7C2D0">
            <w:pPr>
              <w:pStyle w:val="2"/>
              <w:spacing w:line="360" w:lineRule="auto"/>
              <w:ind w:firstLineChars="200"/>
              <w:rPr>
                <w:highlight w:val="none"/>
              </w:rPr>
            </w:pPr>
            <w:r>
              <w:rPr>
                <w:rFonts w:hint="eastAsia" w:ascii="宋体" w:hAnsi="宋体"/>
                <w:color w:val="000000"/>
                <w:szCs w:val="21"/>
                <w:highlight w:val="none"/>
              </w:rPr>
              <w:t>来货量大于订货量时按订货量验收，来货量小于订货量85%，则告知</w:t>
            </w:r>
            <w:r>
              <w:rPr>
                <w:rFonts w:hint="eastAsia" w:ascii="宋体" w:hAnsi="宋体" w:cs="宋体"/>
                <w:color w:val="000000"/>
                <w:sz w:val="20"/>
                <w:highlight w:val="none"/>
              </w:rPr>
              <w:t>成交</w:t>
            </w:r>
            <w:r>
              <w:rPr>
                <w:rFonts w:ascii="宋体" w:hAnsi="宋体"/>
                <w:color w:val="000000"/>
                <w:szCs w:val="21"/>
                <w:highlight w:val="none"/>
              </w:rPr>
              <w:t>供应商</w:t>
            </w:r>
            <w:r>
              <w:rPr>
                <w:rFonts w:hint="eastAsia" w:ascii="宋体" w:hAnsi="宋体"/>
                <w:color w:val="000000"/>
                <w:szCs w:val="21"/>
                <w:highlight w:val="none"/>
              </w:rPr>
              <w:t>必须在1小时内补齐，若无法补齐数量，则按缺货金额的10%在当月货款中进行扣罚。</w:t>
            </w:r>
          </w:p>
          <w:p w14:paraId="1CA3FAA6">
            <w:pPr>
              <w:spacing w:line="360" w:lineRule="auto"/>
              <w:rPr>
                <w:rFonts w:ascii="宋体" w:hAnsi="宋体"/>
                <w:color w:val="000000"/>
                <w:szCs w:val="21"/>
                <w:highlight w:val="none"/>
              </w:rPr>
            </w:pPr>
            <w:r>
              <w:rPr>
                <w:rFonts w:hint="eastAsia" w:ascii="宋体" w:hAnsi="宋体"/>
                <w:color w:val="000000"/>
                <w:szCs w:val="21"/>
                <w:highlight w:val="none"/>
              </w:rPr>
              <w:t>4</w:t>
            </w:r>
            <w:r>
              <w:rPr>
                <w:rFonts w:ascii="宋体" w:hAnsi="宋体"/>
                <w:color w:val="000000"/>
                <w:szCs w:val="21"/>
                <w:highlight w:val="none"/>
              </w:rPr>
              <w:t>、安全责任</w:t>
            </w:r>
          </w:p>
          <w:p w14:paraId="1DA9F424">
            <w:pPr>
              <w:spacing w:line="360" w:lineRule="auto"/>
              <w:ind w:firstLine="420" w:firstLineChars="200"/>
              <w:rPr>
                <w:rFonts w:ascii="宋体" w:hAnsi="宋体"/>
                <w:color w:val="000000"/>
                <w:szCs w:val="21"/>
              </w:rPr>
            </w:pPr>
            <w:r>
              <w:rPr>
                <w:rFonts w:ascii="宋体" w:hAnsi="宋体"/>
                <w:color w:val="000000"/>
                <w:szCs w:val="21"/>
                <w:highlight w:val="none"/>
              </w:rPr>
              <w:t>依据产品质量监督检验所提供的质量标准，</w:t>
            </w:r>
            <w:r>
              <w:rPr>
                <w:rFonts w:hint="eastAsia" w:ascii="宋体" w:hAnsi="宋体" w:cs="宋体"/>
                <w:color w:val="000000"/>
                <w:sz w:val="20"/>
                <w:szCs w:val="20"/>
                <w:highlight w:val="none"/>
              </w:rPr>
              <w:t>成交</w:t>
            </w:r>
            <w:r>
              <w:rPr>
                <w:rFonts w:ascii="宋体" w:hAnsi="宋体"/>
                <w:color w:val="000000"/>
                <w:szCs w:val="21"/>
                <w:highlight w:val="none"/>
              </w:rPr>
              <w:t>供应商提供的产品必须是经过质量监督管理部门检验并取得合格</w:t>
            </w:r>
            <w:r>
              <w:rPr>
                <w:rFonts w:ascii="宋体" w:hAnsi="宋体"/>
                <w:color w:val="000000"/>
                <w:szCs w:val="21"/>
              </w:rPr>
              <w:t>证明的产品，每批次产品提供时应交存货物质量合格证明或产品质量检测合格报告复印件。采购单位有权随时对产品进行抽样送检，检测费用由</w:t>
            </w:r>
            <w:r>
              <w:rPr>
                <w:rFonts w:hint="eastAsia" w:ascii="宋体" w:hAnsi="宋体" w:cs="宋体"/>
                <w:color w:val="000000"/>
                <w:sz w:val="20"/>
                <w:szCs w:val="20"/>
              </w:rPr>
              <w:t>成交</w:t>
            </w:r>
            <w:r>
              <w:rPr>
                <w:rFonts w:ascii="宋体" w:hAnsi="宋体"/>
                <w:color w:val="000000"/>
                <w:szCs w:val="21"/>
              </w:rPr>
              <w:t>供应商承担。</w:t>
            </w:r>
            <w:r>
              <w:rPr>
                <w:rFonts w:hint="eastAsia" w:ascii="宋体" w:hAnsi="宋体" w:cs="宋体"/>
                <w:color w:val="000000"/>
                <w:sz w:val="20"/>
                <w:szCs w:val="20"/>
              </w:rPr>
              <w:t>成交</w:t>
            </w:r>
            <w:r>
              <w:rPr>
                <w:rFonts w:ascii="宋体" w:hAnsi="宋体"/>
                <w:color w:val="000000"/>
                <w:szCs w:val="21"/>
              </w:rPr>
              <w:t>供应商必须依法接受质量技术监督、工商、卫生、食品药品监督等职能部门的监督管理，并接受、配合相关职能部门的检测。因产品卫生和质量不合格而发生安全事故，</w:t>
            </w:r>
            <w:r>
              <w:rPr>
                <w:rFonts w:hint="eastAsia" w:ascii="宋体" w:hAnsi="宋体" w:cs="宋体"/>
                <w:color w:val="000000"/>
                <w:sz w:val="20"/>
                <w:szCs w:val="20"/>
              </w:rPr>
              <w:t>成交</w:t>
            </w:r>
            <w:r>
              <w:rPr>
                <w:rFonts w:ascii="宋体" w:hAnsi="宋体"/>
                <w:color w:val="000000"/>
                <w:szCs w:val="21"/>
              </w:rPr>
              <w:t>供应商无条件承担全部责任，有关职能部门依法追究其责任，并取消</w:t>
            </w:r>
            <w:r>
              <w:rPr>
                <w:rFonts w:hint="eastAsia" w:ascii="宋体" w:hAnsi="宋体"/>
                <w:color w:val="000000"/>
                <w:szCs w:val="21"/>
              </w:rPr>
              <w:t>成交</w:t>
            </w:r>
            <w:r>
              <w:rPr>
                <w:rFonts w:ascii="宋体" w:hAnsi="宋体"/>
                <w:color w:val="000000"/>
                <w:szCs w:val="21"/>
              </w:rPr>
              <w:t>供应商配送资格。</w:t>
            </w:r>
          </w:p>
          <w:p w14:paraId="0A8138D6">
            <w:pPr>
              <w:spacing w:line="360" w:lineRule="auto"/>
              <w:ind w:firstLine="400" w:firstLineChars="200"/>
              <w:rPr>
                <w:rFonts w:ascii="宋体" w:hAnsi="宋体"/>
                <w:color w:val="000000"/>
                <w:szCs w:val="21"/>
              </w:rPr>
            </w:pPr>
            <w:r>
              <w:rPr>
                <w:rFonts w:hint="eastAsia" w:ascii="宋体" w:hAnsi="宋体" w:cs="宋体"/>
                <w:color w:val="000000"/>
                <w:sz w:val="20"/>
                <w:szCs w:val="20"/>
              </w:rPr>
              <w:t>成交</w:t>
            </w:r>
            <w:r>
              <w:rPr>
                <w:rFonts w:ascii="宋体" w:hAnsi="宋体"/>
                <w:color w:val="000000"/>
                <w:szCs w:val="21"/>
              </w:rPr>
              <w:t>供应商应严格遵守《食品安全法》等相关规定，所提供的产品是合格安全的产品，一经发现供应以下食品，</w:t>
            </w:r>
            <w:r>
              <w:rPr>
                <w:rFonts w:hint="eastAsia" w:ascii="宋体" w:hAnsi="宋体"/>
                <w:color w:val="000000"/>
                <w:szCs w:val="21"/>
              </w:rPr>
              <w:t>采购人</w:t>
            </w:r>
            <w:r>
              <w:rPr>
                <w:rFonts w:ascii="宋体" w:hAnsi="宋体"/>
                <w:color w:val="000000"/>
                <w:szCs w:val="21"/>
              </w:rPr>
              <w:t>除全部退货外，有权可取消供应商配送资格，没收全部质量保证金，</w:t>
            </w:r>
            <w:r>
              <w:rPr>
                <w:rFonts w:hint="eastAsia" w:ascii="宋体" w:hAnsi="宋体" w:cs="宋体"/>
                <w:color w:val="000000"/>
                <w:sz w:val="20"/>
                <w:szCs w:val="20"/>
              </w:rPr>
              <w:t>成交</w:t>
            </w:r>
            <w:r>
              <w:rPr>
                <w:rFonts w:ascii="宋体" w:hAnsi="宋体"/>
                <w:color w:val="000000"/>
                <w:szCs w:val="21"/>
              </w:rPr>
              <w:t>供应商并承担由此造成的经济责任和法律责任。</w:t>
            </w:r>
          </w:p>
          <w:p w14:paraId="1894784E">
            <w:pPr>
              <w:spacing w:line="360" w:lineRule="auto"/>
              <w:rPr>
                <w:rFonts w:ascii="宋体" w:hAnsi="宋体"/>
                <w:color w:val="000000"/>
                <w:szCs w:val="21"/>
              </w:rPr>
            </w:pPr>
            <w:r>
              <w:rPr>
                <w:rFonts w:ascii="宋体" w:hAnsi="宋体"/>
                <w:color w:val="000000"/>
                <w:szCs w:val="21"/>
              </w:rPr>
              <w:t>①腐败变质、油脂酸败、霉变、生虫、污秽不洁、混有异物或者其他感官性状异常，对人体健康有害的；</w:t>
            </w:r>
          </w:p>
          <w:p w14:paraId="55577112">
            <w:pPr>
              <w:spacing w:line="360" w:lineRule="auto"/>
              <w:rPr>
                <w:rFonts w:ascii="宋体" w:hAnsi="宋体"/>
                <w:color w:val="000000"/>
                <w:szCs w:val="21"/>
              </w:rPr>
            </w:pPr>
            <w:r>
              <w:rPr>
                <w:rFonts w:ascii="宋体" w:hAnsi="宋体"/>
                <w:color w:val="000000"/>
                <w:szCs w:val="21"/>
              </w:rPr>
              <w:t>②含有毒、有害物质或者被有害物质污染，对人体健康有害的；</w:t>
            </w:r>
          </w:p>
          <w:p w14:paraId="295BD013">
            <w:pPr>
              <w:spacing w:line="360" w:lineRule="auto"/>
              <w:rPr>
                <w:rFonts w:ascii="宋体" w:hAnsi="宋体"/>
                <w:color w:val="000000"/>
                <w:szCs w:val="21"/>
              </w:rPr>
            </w:pPr>
            <w:r>
              <w:rPr>
                <w:rFonts w:ascii="宋体" w:hAnsi="宋体"/>
                <w:color w:val="000000"/>
                <w:szCs w:val="21"/>
              </w:rPr>
              <w:t>③含有致病性寄生虫、微生物或者微生物含量超过国家限定标准的；</w:t>
            </w:r>
          </w:p>
          <w:p w14:paraId="62FA6168">
            <w:pPr>
              <w:spacing w:line="360" w:lineRule="auto"/>
              <w:rPr>
                <w:rFonts w:ascii="宋体" w:hAnsi="宋体"/>
                <w:color w:val="000000"/>
                <w:szCs w:val="21"/>
              </w:rPr>
            </w:pPr>
            <w:r>
              <w:rPr>
                <w:rFonts w:ascii="宋体" w:hAnsi="宋体"/>
                <w:color w:val="000000"/>
                <w:szCs w:val="21"/>
              </w:rPr>
              <w:t>④掺假、掺杂、伪造，影响营养、卫生的；</w:t>
            </w:r>
          </w:p>
          <w:p w14:paraId="05F9B2E3">
            <w:pPr>
              <w:spacing w:line="360" w:lineRule="auto"/>
              <w:rPr>
                <w:rFonts w:ascii="宋体" w:hAnsi="宋体"/>
                <w:color w:val="000000"/>
                <w:szCs w:val="21"/>
              </w:rPr>
            </w:pPr>
            <w:r>
              <w:rPr>
                <w:rFonts w:ascii="宋体" w:hAnsi="宋体"/>
                <w:color w:val="000000"/>
                <w:szCs w:val="21"/>
              </w:rPr>
              <w:t>⑤用非食品原料加工的，加入非食品用化学物质或者将非食品当作食品</w:t>
            </w:r>
          </w:p>
          <w:p w14:paraId="2884163C">
            <w:pPr>
              <w:spacing w:line="360" w:lineRule="auto"/>
              <w:rPr>
                <w:rFonts w:ascii="宋体" w:hAnsi="宋体"/>
                <w:color w:val="000000"/>
                <w:szCs w:val="21"/>
              </w:rPr>
            </w:pPr>
            <w:r>
              <w:rPr>
                <w:rFonts w:ascii="宋体" w:hAnsi="宋体"/>
                <w:color w:val="000000"/>
                <w:szCs w:val="21"/>
              </w:rPr>
              <w:t>的；</w:t>
            </w:r>
          </w:p>
          <w:p w14:paraId="3727B5EA">
            <w:pPr>
              <w:spacing w:line="360" w:lineRule="auto"/>
              <w:rPr>
                <w:rFonts w:ascii="宋体" w:hAnsi="宋体"/>
                <w:color w:val="000000"/>
                <w:szCs w:val="21"/>
              </w:rPr>
            </w:pPr>
            <w:r>
              <w:rPr>
                <w:rFonts w:ascii="宋体" w:hAnsi="宋体"/>
                <w:color w:val="000000"/>
                <w:szCs w:val="21"/>
              </w:rPr>
              <w:t>⑥超过保质期限的。</w:t>
            </w:r>
          </w:p>
          <w:p w14:paraId="53C399A1">
            <w:pPr>
              <w:spacing w:line="360" w:lineRule="auto"/>
              <w:rPr>
                <w:rFonts w:ascii="宋体" w:hAnsi="宋体"/>
                <w:color w:val="000000"/>
                <w:szCs w:val="21"/>
                <w:highlight w:val="none"/>
              </w:rPr>
            </w:pPr>
            <w:r>
              <w:rPr>
                <w:rFonts w:ascii="宋体" w:hAnsi="宋体"/>
                <w:color w:val="000000"/>
                <w:szCs w:val="21"/>
                <w:highlight w:val="none"/>
              </w:rPr>
              <w:t>⑦其他不符合食品卫生标准的情形。</w:t>
            </w:r>
          </w:p>
          <w:p w14:paraId="66842C06">
            <w:pPr>
              <w:numPr>
                <w:ilvl w:val="0"/>
                <w:numId w:val="2"/>
              </w:numPr>
              <w:spacing w:line="360" w:lineRule="auto"/>
              <w:rPr>
                <w:rFonts w:ascii="宋体" w:hAnsi="宋体"/>
                <w:color w:val="000000"/>
                <w:szCs w:val="21"/>
                <w:highlight w:val="none"/>
              </w:rPr>
            </w:pPr>
            <w:r>
              <w:rPr>
                <w:rFonts w:ascii="宋体" w:hAnsi="宋体"/>
                <w:color w:val="000000"/>
                <w:szCs w:val="21"/>
                <w:highlight w:val="none"/>
              </w:rPr>
              <w:t>基本要求</w:t>
            </w:r>
            <w:r>
              <w:rPr>
                <w:rFonts w:hint="eastAsia" w:ascii="宋体" w:hAnsi="宋体"/>
                <w:color w:val="000000"/>
                <w:szCs w:val="21"/>
                <w:highlight w:val="none"/>
              </w:rPr>
              <w:t>：</w:t>
            </w:r>
          </w:p>
          <w:p w14:paraId="75B97753">
            <w:pPr>
              <w:spacing w:line="360" w:lineRule="auto"/>
              <w:rPr>
                <w:rFonts w:ascii="宋体" w:hAnsi="宋体"/>
                <w:color w:val="000000"/>
                <w:szCs w:val="21"/>
                <w:highlight w:val="none"/>
              </w:rPr>
            </w:pPr>
            <w:r>
              <w:rPr>
                <w:rFonts w:hint="eastAsia" w:ascii="宋体" w:hAnsi="宋体"/>
                <w:color w:val="000000"/>
                <w:szCs w:val="21"/>
                <w:highlight w:val="none"/>
              </w:rPr>
              <w:t>（1）</w:t>
            </w:r>
            <w:r>
              <w:rPr>
                <w:rFonts w:ascii="宋体" w:hAnsi="宋体"/>
                <w:color w:val="000000"/>
                <w:szCs w:val="21"/>
                <w:highlight w:val="none"/>
              </w:rPr>
              <w:t>配送人员必须办理健康证。</w:t>
            </w:r>
          </w:p>
          <w:p w14:paraId="1586C7A9">
            <w:pPr>
              <w:spacing w:line="360" w:lineRule="auto"/>
              <w:rPr>
                <w:rFonts w:ascii="宋体" w:hAnsi="宋体"/>
                <w:color w:val="000000"/>
                <w:szCs w:val="21"/>
                <w:highlight w:val="none"/>
              </w:rPr>
            </w:pPr>
            <w:r>
              <w:rPr>
                <w:rFonts w:hint="eastAsia" w:ascii="宋体" w:hAnsi="宋体"/>
                <w:color w:val="000000"/>
                <w:szCs w:val="21"/>
                <w:highlight w:val="none"/>
              </w:rPr>
              <w:t>（2）</w:t>
            </w:r>
            <w:r>
              <w:rPr>
                <w:rFonts w:ascii="宋体" w:hAnsi="宋体"/>
                <w:color w:val="000000"/>
                <w:szCs w:val="21"/>
                <w:highlight w:val="none"/>
              </w:rPr>
              <w:t>用于配送的车辆必须干净、整洁且能按采购人规定的时间及地点一次完成该批次货物的供应。</w:t>
            </w:r>
          </w:p>
          <w:p w14:paraId="3750DEF4">
            <w:pPr>
              <w:spacing w:line="360" w:lineRule="auto"/>
              <w:rPr>
                <w:rFonts w:ascii="宋体" w:hAnsi="宋体" w:cs="宋体"/>
                <w:color w:val="000000"/>
                <w:szCs w:val="21"/>
                <w:highlight w:val="none"/>
              </w:rPr>
            </w:pPr>
            <w:r>
              <w:rPr>
                <w:rFonts w:hint="eastAsia" w:ascii="宋体" w:hAnsi="宋体" w:cs="宋体"/>
                <w:color w:val="000000"/>
                <w:szCs w:val="21"/>
                <w:highlight w:val="none"/>
              </w:rPr>
              <w:t>五、付款条件：</w:t>
            </w:r>
          </w:p>
          <w:p w14:paraId="0169EECF">
            <w:pPr>
              <w:spacing w:line="360" w:lineRule="auto"/>
              <w:rPr>
                <w:rFonts w:ascii="宋体" w:hAnsi="宋体" w:cs="宋体"/>
                <w:bCs/>
                <w:szCs w:val="21"/>
                <w:highlight w:val="none"/>
              </w:rPr>
            </w:pPr>
            <w:r>
              <w:rPr>
                <w:rFonts w:hint="eastAsia" w:ascii="宋体" w:hAnsi="宋体" w:cs="宋体"/>
                <w:bCs/>
                <w:szCs w:val="21"/>
                <w:highlight w:val="none"/>
              </w:rPr>
              <w:t>1、月采购的货款于次月30日前进行结算。采购人按月进行公对公账户转账，以采购人实际购买的种类及数量据实核算。</w:t>
            </w:r>
            <w:r>
              <w:rPr>
                <w:rFonts w:hint="eastAsia" w:ascii="宋体" w:hAnsi="宋体" w:cs="宋体"/>
                <w:color w:val="000000"/>
                <w:sz w:val="20"/>
                <w:szCs w:val="20"/>
                <w:highlight w:val="none"/>
              </w:rPr>
              <w:t>成交</w:t>
            </w:r>
            <w:r>
              <w:rPr>
                <w:rFonts w:hint="eastAsia" w:ascii="宋体" w:hAnsi="宋体" w:cs="宋体"/>
                <w:bCs/>
                <w:szCs w:val="21"/>
                <w:highlight w:val="none"/>
              </w:rPr>
              <w:t>供应商必须提供详细的物品销售清单与采购人的收货单核对无误后，由</w:t>
            </w:r>
            <w:r>
              <w:rPr>
                <w:rFonts w:hint="eastAsia" w:ascii="宋体" w:hAnsi="宋体" w:cs="宋体"/>
                <w:color w:val="000000"/>
                <w:sz w:val="20"/>
                <w:szCs w:val="20"/>
                <w:highlight w:val="none"/>
              </w:rPr>
              <w:t>成交</w:t>
            </w:r>
            <w:r>
              <w:rPr>
                <w:rFonts w:hint="eastAsia" w:ascii="宋体" w:hAnsi="宋体" w:cs="宋体"/>
                <w:bCs/>
                <w:szCs w:val="21"/>
                <w:highlight w:val="none"/>
              </w:rPr>
              <w:t>供应商按照采购人财务规定出具与</w:t>
            </w:r>
            <w:r>
              <w:rPr>
                <w:rFonts w:hint="eastAsia" w:ascii="宋体" w:hAnsi="宋体" w:cs="宋体"/>
                <w:color w:val="000000"/>
                <w:sz w:val="20"/>
                <w:szCs w:val="20"/>
                <w:highlight w:val="none"/>
              </w:rPr>
              <w:t>成交</w:t>
            </w:r>
            <w:r>
              <w:rPr>
                <w:rFonts w:hint="eastAsia" w:ascii="宋体" w:hAnsi="宋体" w:cs="宋体"/>
                <w:bCs/>
                <w:szCs w:val="21"/>
                <w:highlight w:val="none"/>
              </w:rPr>
              <w:t>供应商为名头的正式发票，采购人才予以付款，并于收到正式发票之日起30日内付清完毕。</w:t>
            </w:r>
          </w:p>
          <w:p w14:paraId="099BAE9F">
            <w:pPr>
              <w:spacing w:line="360" w:lineRule="auto"/>
              <w:rPr>
                <w:rFonts w:ascii="宋体" w:hAnsi="宋体" w:cs="宋体"/>
                <w:bCs/>
                <w:szCs w:val="21"/>
                <w:highlight w:val="none"/>
              </w:rPr>
            </w:pPr>
            <w:r>
              <w:rPr>
                <w:rFonts w:hint="eastAsia" w:ascii="宋体" w:hAnsi="宋体" w:cs="宋体"/>
                <w:bCs/>
                <w:szCs w:val="21"/>
                <w:highlight w:val="none"/>
              </w:rPr>
              <w:t>2、</w:t>
            </w:r>
            <w:r>
              <w:rPr>
                <w:rFonts w:hint="eastAsia" w:ascii="宋体" w:hAnsi="宋体" w:cs="宋体"/>
                <w:color w:val="000000"/>
                <w:sz w:val="20"/>
                <w:szCs w:val="20"/>
                <w:highlight w:val="none"/>
              </w:rPr>
              <w:t>成交</w:t>
            </w:r>
            <w:r>
              <w:rPr>
                <w:rFonts w:hint="eastAsia" w:ascii="宋体" w:hAnsi="宋体" w:cs="宋体"/>
                <w:bCs/>
                <w:szCs w:val="21"/>
                <w:highlight w:val="none"/>
              </w:rPr>
              <w:t>供应商的送货单必须详细注明商品的时间、品种、单价、数量、送货单不得涂改。标记不清的，采购人指定人员将拒绝签收。双方成交的物品对清后签字确认，结算期末</w:t>
            </w:r>
            <w:r>
              <w:rPr>
                <w:rFonts w:hint="eastAsia" w:ascii="宋体" w:hAnsi="宋体" w:cs="宋体"/>
                <w:color w:val="000000"/>
                <w:sz w:val="20"/>
                <w:szCs w:val="20"/>
                <w:highlight w:val="none"/>
              </w:rPr>
              <w:t>成交</w:t>
            </w:r>
            <w:r>
              <w:rPr>
                <w:rFonts w:hint="eastAsia" w:ascii="宋体" w:hAnsi="宋体" w:cs="宋体"/>
                <w:bCs/>
                <w:szCs w:val="21"/>
                <w:highlight w:val="none"/>
              </w:rPr>
              <w:t>供应商还应提供送货清单供采购人结算。结算期因</w:t>
            </w:r>
            <w:r>
              <w:rPr>
                <w:rFonts w:hint="eastAsia" w:ascii="宋体" w:hAnsi="宋体" w:cs="宋体"/>
                <w:color w:val="000000"/>
                <w:sz w:val="20"/>
                <w:szCs w:val="20"/>
                <w:highlight w:val="none"/>
              </w:rPr>
              <w:t>成交</w:t>
            </w:r>
            <w:r>
              <w:rPr>
                <w:rFonts w:hint="eastAsia" w:ascii="宋体" w:hAnsi="宋体" w:cs="宋体"/>
                <w:bCs/>
                <w:szCs w:val="21"/>
                <w:highlight w:val="none"/>
              </w:rPr>
              <w:t>供应商原因未及时提供结算的详细的物品销售清单、或与开具的正式发票存在差异的，采购人有权暂缓付款，由</w:t>
            </w:r>
            <w:r>
              <w:rPr>
                <w:rFonts w:hint="eastAsia" w:ascii="宋体" w:hAnsi="宋体" w:cs="宋体"/>
                <w:color w:val="000000"/>
                <w:sz w:val="20"/>
                <w:szCs w:val="20"/>
                <w:highlight w:val="none"/>
              </w:rPr>
              <w:t>成交</w:t>
            </w:r>
            <w:r>
              <w:rPr>
                <w:rFonts w:hint="eastAsia" w:ascii="宋体" w:hAnsi="宋体" w:cs="宋体"/>
                <w:bCs/>
                <w:szCs w:val="21"/>
                <w:highlight w:val="none"/>
              </w:rPr>
              <w:t>供应商无条件重开并承担全部损失，采购人不承担违约责任。</w:t>
            </w:r>
          </w:p>
          <w:p w14:paraId="46DA5255">
            <w:pPr>
              <w:widowControl/>
              <w:shd w:val="clear" w:color="auto" w:fill="FFFFFF"/>
              <w:spacing w:line="360" w:lineRule="auto"/>
              <w:rPr>
                <w:rFonts w:ascii="宋体" w:hAnsi="宋体" w:cs="宋体"/>
                <w:szCs w:val="21"/>
                <w:highlight w:val="none"/>
              </w:rPr>
            </w:pPr>
            <w:r>
              <w:rPr>
                <w:rFonts w:hint="eastAsia" w:ascii="宋体" w:hAnsi="宋体" w:cs="宋体"/>
                <w:szCs w:val="21"/>
                <w:highlight w:val="none"/>
              </w:rPr>
              <w:t>六、报价要求：</w:t>
            </w:r>
          </w:p>
          <w:p w14:paraId="651F3DCC">
            <w:pPr>
              <w:widowControl/>
              <w:shd w:val="clear" w:color="auto" w:fill="FFFFFF"/>
              <w:spacing w:line="360" w:lineRule="auto"/>
              <w:rPr>
                <w:rFonts w:ascii="宋体" w:hAnsi="宋体" w:cs="宋体"/>
                <w:szCs w:val="21"/>
                <w:highlight w:val="none"/>
              </w:rPr>
            </w:pPr>
            <w:r>
              <w:rPr>
                <w:rFonts w:hint="eastAsia" w:ascii="宋体" w:hAnsi="宋体" w:cs="宋体"/>
                <w:szCs w:val="21"/>
                <w:highlight w:val="none"/>
              </w:rPr>
              <w:t>1、竞标报价按折扣报价，结算单价=基准价×成交折扣，基准价以每月5日前，由采购人指定人员与</w:t>
            </w:r>
            <w:r>
              <w:rPr>
                <w:rFonts w:hint="eastAsia" w:ascii="宋体" w:hAnsi="宋体" w:cs="宋体"/>
                <w:color w:val="000000"/>
                <w:sz w:val="20"/>
                <w:szCs w:val="20"/>
                <w:highlight w:val="none"/>
              </w:rPr>
              <w:t>中标</w:t>
            </w:r>
            <w:r>
              <w:rPr>
                <w:rFonts w:hint="eastAsia" w:ascii="宋体" w:hAnsi="宋体" w:cs="宋体"/>
                <w:szCs w:val="21"/>
                <w:highlight w:val="none"/>
              </w:rPr>
              <w:t>供应商在梧州市内各市农贸市场、蔬菜批发市场、大型超市等选取三家(或以上)进行市场询价，双方根据市场询价的平均价为基准提出建议价，报采购人食品釆购小组审核批准，再由双方代表签字及单位盖章确定，结算单价=采购人食品釆购小组审核批准的价格乘以成交折扣，作为下一批次物品釆购价执行。结算价款按实际采购数量乘以结算单价。</w:t>
            </w:r>
          </w:p>
          <w:p w14:paraId="25B18486">
            <w:pPr>
              <w:widowControl/>
              <w:shd w:val="clear" w:color="auto" w:fill="FFFFFF"/>
              <w:spacing w:line="360" w:lineRule="auto"/>
              <w:rPr>
                <w:rFonts w:ascii="宋体" w:hAnsi="宋体" w:cs="宋体"/>
                <w:szCs w:val="21"/>
                <w:highlight w:val="none"/>
              </w:rPr>
            </w:pPr>
            <w:r>
              <w:rPr>
                <w:rFonts w:hint="eastAsia" w:ascii="宋体" w:hAnsi="宋体" w:cs="宋体"/>
                <w:szCs w:val="21"/>
                <w:highlight w:val="none"/>
              </w:rPr>
              <w:t>2、</w:t>
            </w:r>
            <w:r>
              <w:rPr>
                <w:rFonts w:hint="eastAsia" w:ascii="宋体" w:hAnsi="宋体" w:cs="宋体"/>
                <w:color w:val="000000"/>
                <w:szCs w:val="21"/>
                <w:highlight w:val="none"/>
              </w:rPr>
              <w:t>结算价是指</w:t>
            </w:r>
            <w:r>
              <w:rPr>
                <w:rFonts w:hint="eastAsia" w:ascii="宋体" w:hAnsi="宋体" w:cs="宋体"/>
                <w:color w:val="000000"/>
                <w:sz w:val="20"/>
                <w:szCs w:val="20"/>
                <w:highlight w:val="none"/>
              </w:rPr>
              <w:t>成交</w:t>
            </w:r>
            <w:r>
              <w:rPr>
                <w:rFonts w:hint="eastAsia" w:ascii="宋体" w:hAnsi="宋体" w:cs="宋体"/>
                <w:color w:val="000000"/>
                <w:szCs w:val="21"/>
                <w:highlight w:val="none"/>
              </w:rPr>
              <w:t>供应商送达食材到采购人指定地点的交货价，已包含</w:t>
            </w:r>
            <w:r>
              <w:rPr>
                <w:rFonts w:hint="eastAsia" w:ascii="宋体" w:hAnsi="宋体" w:cs="宋体"/>
                <w:szCs w:val="21"/>
                <w:highlight w:val="none"/>
              </w:rPr>
              <w:t>原料费、运输费、人工费、交货验收费、税费等一切相关费用</w:t>
            </w:r>
            <w:r>
              <w:rPr>
                <w:rFonts w:hint="eastAsia" w:ascii="宋体" w:hAnsi="宋体" w:cs="宋体"/>
                <w:color w:val="000000"/>
                <w:szCs w:val="21"/>
                <w:highlight w:val="none"/>
              </w:rPr>
              <w:t>。</w:t>
            </w:r>
          </w:p>
          <w:p w14:paraId="424B2CE2">
            <w:pPr>
              <w:tabs>
                <w:tab w:val="left" w:pos="180"/>
                <w:tab w:val="left" w:pos="1620"/>
              </w:tabs>
              <w:spacing w:line="360" w:lineRule="auto"/>
              <w:rPr>
                <w:rFonts w:ascii="宋体" w:hAnsi="宋体" w:cs="宋体"/>
                <w:szCs w:val="21"/>
                <w:highlight w:val="none"/>
              </w:rPr>
            </w:pPr>
            <w:r>
              <w:rPr>
                <w:rFonts w:hint="eastAsia" w:ascii="宋体" w:hAnsi="宋体" w:cs="宋体"/>
                <w:szCs w:val="21"/>
                <w:highlight w:val="none"/>
              </w:rPr>
              <w:t>3、</w:t>
            </w:r>
            <w:r>
              <w:rPr>
                <w:rFonts w:hint="eastAsia" w:ascii="宋体" w:hAnsi="宋体" w:cs="宋体"/>
                <w:color w:val="000000"/>
                <w:sz w:val="20"/>
                <w:szCs w:val="20"/>
                <w:highlight w:val="none"/>
              </w:rPr>
              <w:t>成交</w:t>
            </w:r>
            <w:r>
              <w:rPr>
                <w:rFonts w:hint="eastAsia" w:ascii="宋体" w:hAnsi="宋体" w:cs="宋体"/>
                <w:szCs w:val="21"/>
                <w:highlight w:val="none"/>
              </w:rPr>
              <w:t>供应商承诺给予采购人优惠，具体如下：</w:t>
            </w:r>
          </w:p>
          <w:p w14:paraId="07F32556">
            <w:pPr>
              <w:tabs>
                <w:tab w:val="left" w:pos="180"/>
                <w:tab w:val="left" w:pos="1620"/>
              </w:tabs>
              <w:spacing w:line="360" w:lineRule="auto"/>
              <w:rPr>
                <w:rFonts w:ascii="宋体" w:hAnsi="宋体" w:cs="宋体"/>
                <w:szCs w:val="21"/>
                <w:highlight w:val="none"/>
              </w:rPr>
            </w:pPr>
            <w:r>
              <w:rPr>
                <w:rFonts w:hint="eastAsia" w:ascii="宋体" w:hAnsi="宋体" w:cs="宋体"/>
                <w:szCs w:val="21"/>
                <w:highlight w:val="none"/>
              </w:rPr>
              <w:t>（1）保证产品是原装的同时，价格不得高于最终询价价格。</w:t>
            </w:r>
          </w:p>
          <w:p w14:paraId="35E66DEB">
            <w:pPr>
              <w:pStyle w:val="2"/>
              <w:spacing w:line="360" w:lineRule="auto"/>
              <w:ind w:firstLine="0"/>
              <w:rPr>
                <w:highlight w:val="none"/>
              </w:rPr>
            </w:pPr>
            <w:r>
              <w:rPr>
                <w:rFonts w:hint="eastAsia" w:ascii="宋体" w:hAnsi="宋体" w:cs="宋体"/>
                <w:szCs w:val="21"/>
                <w:highlight w:val="none"/>
              </w:rPr>
              <w:t>（2）一个月内出现质量问题，无条件更换。</w:t>
            </w:r>
          </w:p>
          <w:p w14:paraId="79D76AB3">
            <w:pPr>
              <w:widowControl/>
              <w:shd w:val="clear" w:color="auto" w:fill="FFFFFF"/>
              <w:spacing w:line="360" w:lineRule="auto"/>
              <w:rPr>
                <w:rFonts w:ascii="宋体" w:hAnsi="宋体" w:cs="宋体"/>
                <w:color w:val="000000"/>
                <w:szCs w:val="21"/>
                <w:highlight w:val="none"/>
              </w:rPr>
            </w:pPr>
            <w:r>
              <w:rPr>
                <w:rFonts w:hint="eastAsia" w:ascii="宋体" w:hAnsi="宋体" w:cs="宋体"/>
                <w:color w:val="000000"/>
                <w:szCs w:val="21"/>
                <w:highlight w:val="none"/>
              </w:rPr>
              <w:t>七、其他要求</w:t>
            </w:r>
          </w:p>
          <w:p w14:paraId="4F74621C">
            <w:pPr>
              <w:widowControl/>
              <w:shd w:val="clear" w:color="auto" w:fill="FFFFFF"/>
              <w:spacing w:line="360" w:lineRule="auto"/>
              <w:rPr>
                <w:rFonts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sz w:val="20"/>
                <w:szCs w:val="20"/>
                <w:highlight w:val="none"/>
              </w:rPr>
              <w:t>成交</w:t>
            </w:r>
            <w:r>
              <w:rPr>
                <w:rFonts w:hint="eastAsia" w:ascii="宋体" w:hAnsi="宋体" w:cs="宋体"/>
                <w:color w:val="000000"/>
                <w:szCs w:val="21"/>
                <w:highlight w:val="none"/>
              </w:rPr>
              <w:t>供应商不得将合同转让他人，也不得将中标的项目分解后转让他人，如有此类情况招标人有权单方面终止合同。</w:t>
            </w:r>
          </w:p>
          <w:p w14:paraId="519D16EA">
            <w:pPr>
              <w:tabs>
                <w:tab w:val="left" w:pos="180"/>
                <w:tab w:val="left" w:pos="1620"/>
              </w:tabs>
              <w:spacing w:line="360" w:lineRule="auto"/>
              <w:rPr>
                <w:rFonts w:ascii="宋体" w:hAnsi="宋体" w:cs="宋体"/>
                <w:color w:val="000000"/>
                <w:szCs w:val="21"/>
                <w:highlight w:val="none"/>
              </w:rPr>
            </w:pPr>
            <w:r>
              <w:rPr>
                <w:rFonts w:hint="eastAsia" w:ascii="宋体" w:hAnsi="宋体" w:cs="宋体"/>
                <w:color w:val="000000"/>
                <w:szCs w:val="21"/>
                <w:highlight w:val="none"/>
              </w:rPr>
              <w:t>2、若在配送服务期限内，</w:t>
            </w:r>
            <w:r>
              <w:rPr>
                <w:rFonts w:hint="eastAsia" w:ascii="宋体" w:hAnsi="宋体" w:cs="宋体"/>
                <w:szCs w:val="21"/>
                <w:highlight w:val="none"/>
              </w:rPr>
              <w:t>如某一期间内的某货物（食品）价格出现较大变动的，</w:t>
            </w:r>
            <w:r>
              <w:rPr>
                <w:rFonts w:hint="eastAsia" w:ascii="宋体" w:hAnsi="宋体" w:cs="宋体"/>
                <w:color w:val="000000"/>
                <w:sz w:val="20"/>
                <w:szCs w:val="20"/>
                <w:highlight w:val="none"/>
              </w:rPr>
              <w:t>成交</w:t>
            </w:r>
            <w:r>
              <w:rPr>
                <w:rFonts w:hint="eastAsia" w:ascii="宋体" w:hAnsi="宋体" w:cs="宋体"/>
                <w:szCs w:val="21"/>
                <w:highlight w:val="none"/>
              </w:rPr>
              <w:t>供应商应及时向采购人反映情况；由采购人核实后，作出相应调整措施，经双方单位同意后，按调整后的计划继续执行。</w:t>
            </w:r>
          </w:p>
          <w:p w14:paraId="65A66806">
            <w:pPr>
              <w:widowControl/>
              <w:shd w:val="clear" w:color="auto" w:fill="FFFFFF"/>
              <w:spacing w:line="360" w:lineRule="auto"/>
              <w:rPr>
                <w:rFonts w:ascii="宋体" w:hAnsi="宋体" w:cs="宋体"/>
                <w:color w:val="000000"/>
                <w:szCs w:val="21"/>
                <w:highlight w:val="none"/>
              </w:rPr>
            </w:pPr>
            <w:r>
              <w:rPr>
                <w:rFonts w:hint="eastAsia" w:ascii="宋体" w:hAnsi="宋体" w:cs="宋体"/>
                <w:color w:val="000000"/>
                <w:szCs w:val="21"/>
                <w:highlight w:val="none"/>
              </w:rPr>
              <w:t>3、若</w:t>
            </w:r>
            <w:r>
              <w:rPr>
                <w:rFonts w:hint="eastAsia" w:ascii="宋体" w:hAnsi="宋体" w:cs="宋体"/>
                <w:color w:val="000000"/>
                <w:sz w:val="20"/>
                <w:szCs w:val="20"/>
                <w:highlight w:val="none"/>
              </w:rPr>
              <w:t>成交</w:t>
            </w:r>
            <w:r>
              <w:rPr>
                <w:rFonts w:hint="eastAsia" w:ascii="宋体" w:hAnsi="宋体" w:cs="宋体"/>
                <w:color w:val="000000"/>
                <w:szCs w:val="21"/>
                <w:highlight w:val="none"/>
              </w:rPr>
              <w:t>供应商不能满足供货要求履行合同时，须提前不少于1个月书面通知招标人，招标人同意后方可终止合同。</w:t>
            </w:r>
          </w:p>
          <w:p w14:paraId="3E30176B">
            <w:pPr>
              <w:pStyle w:val="222"/>
              <w:spacing w:line="360" w:lineRule="auto"/>
              <w:ind w:firstLine="0"/>
              <w:rPr>
                <w:rFonts w:ascii="宋体" w:hAnsi="宋体" w:cs="宋体"/>
                <w:color w:val="000000"/>
                <w:szCs w:val="21"/>
                <w:highlight w:val="none"/>
              </w:rPr>
            </w:pPr>
            <w:r>
              <w:rPr>
                <w:rFonts w:hint="eastAsia" w:ascii="宋体" w:hAnsi="宋体" w:cs="宋体"/>
                <w:color w:val="000000"/>
                <w:szCs w:val="21"/>
                <w:highlight w:val="none"/>
                <w:lang w:val="en-US"/>
              </w:rPr>
              <w:t>4</w:t>
            </w:r>
            <w:r>
              <w:rPr>
                <w:rFonts w:hint="eastAsia" w:ascii="宋体" w:hAnsi="宋体" w:cs="宋体"/>
                <w:color w:val="000000"/>
                <w:szCs w:val="21"/>
                <w:highlight w:val="none"/>
              </w:rPr>
              <w:t>、</w:t>
            </w:r>
            <w:r>
              <w:rPr>
                <w:rFonts w:hint="eastAsia" w:ascii="宋体" w:hAnsi="宋体" w:cs="宋体"/>
                <w:color w:val="000000"/>
                <w:sz w:val="20"/>
                <w:szCs w:val="20"/>
                <w:highlight w:val="none"/>
                <w:lang w:val="en-US"/>
              </w:rPr>
              <w:t>成交</w:t>
            </w:r>
            <w:r>
              <w:rPr>
                <w:rFonts w:hint="eastAsia" w:ascii="宋体" w:hAnsi="宋体" w:cs="宋体"/>
                <w:color w:val="000000"/>
                <w:szCs w:val="21"/>
                <w:highlight w:val="none"/>
              </w:rPr>
              <w:t>供应商有下列行为之一的，采购人可根据其情节轻重不予结清相应货款或取消其定点采购供货资格：</w:t>
            </w:r>
          </w:p>
          <w:p w14:paraId="39DEA538">
            <w:pPr>
              <w:pStyle w:val="222"/>
              <w:spacing w:line="360" w:lineRule="auto"/>
              <w:ind w:firstLine="0"/>
              <w:rPr>
                <w:rFonts w:ascii="宋体" w:hAnsi="宋体" w:cs="宋体"/>
                <w:color w:val="000000"/>
                <w:szCs w:val="21"/>
                <w:highlight w:val="none"/>
              </w:rPr>
            </w:pPr>
            <w:r>
              <w:rPr>
                <w:rFonts w:hint="eastAsia" w:ascii="宋体" w:hAnsi="宋体" w:cs="宋体"/>
                <w:color w:val="000000"/>
                <w:szCs w:val="21"/>
                <w:highlight w:val="none"/>
              </w:rPr>
              <w:t>①无正当理由拒绝承接采购人业务 2 次以上（含 2 次）的；</w:t>
            </w:r>
          </w:p>
          <w:p w14:paraId="310BAB30">
            <w:pPr>
              <w:pStyle w:val="222"/>
              <w:spacing w:line="360" w:lineRule="auto"/>
              <w:ind w:firstLine="0"/>
              <w:rPr>
                <w:rFonts w:ascii="宋体" w:hAnsi="宋体" w:cs="宋体"/>
                <w:color w:val="000000"/>
                <w:szCs w:val="21"/>
                <w:highlight w:val="none"/>
              </w:rPr>
            </w:pPr>
            <w:r>
              <w:rPr>
                <w:rFonts w:hint="eastAsia" w:ascii="宋体" w:hAnsi="宋体" w:cs="宋体"/>
                <w:color w:val="000000"/>
                <w:szCs w:val="21"/>
                <w:highlight w:val="none"/>
              </w:rPr>
              <w:t>②擅自提高物料的价格或未按规定给予优惠的；</w:t>
            </w:r>
          </w:p>
          <w:p w14:paraId="1940C6A0">
            <w:pPr>
              <w:pStyle w:val="222"/>
              <w:spacing w:line="360" w:lineRule="auto"/>
              <w:ind w:firstLine="0"/>
              <w:rPr>
                <w:rFonts w:ascii="宋体" w:hAnsi="宋体" w:cs="宋体"/>
                <w:color w:val="000000"/>
                <w:szCs w:val="21"/>
                <w:highlight w:val="none"/>
              </w:rPr>
            </w:pPr>
            <w:r>
              <w:rPr>
                <w:rFonts w:hint="eastAsia" w:ascii="宋体" w:hAnsi="宋体" w:cs="宋体"/>
                <w:color w:val="000000"/>
                <w:szCs w:val="21"/>
                <w:highlight w:val="none"/>
              </w:rPr>
              <w:t>③达不到合同规定的质量标准，以次充好，提供假冒伪劣产品的；</w:t>
            </w:r>
          </w:p>
          <w:p w14:paraId="7011A18C">
            <w:pPr>
              <w:pStyle w:val="222"/>
              <w:spacing w:line="360" w:lineRule="auto"/>
              <w:ind w:firstLine="0"/>
              <w:rPr>
                <w:rFonts w:ascii="宋体" w:hAnsi="宋体" w:cs="宋体"/>
                <w:color w:val="000000"/>
                <w:szCs w:val="21"/>
              </w:rPr>
            </w:pPr>
            <w:r>
              <w:rPr>
                <w:rFonts w:hint="eastAsia" w:ascii="宋体" w:hAnsi="宋体" w:cs="宋体"/>
                <w:color w:val="000000"/>
                <w:szCs w:val="21"/>
              </w:rPr>
              <w:t>④出现重大责任事故的；</w:t>
            </w:r>
          </w:p>
          <w:p w14:paraId="3B7FC357">
            <w:pPr>
              <w:pStyle w:val="222"/>
              <w:spacing w:line="360" w:lineRule="auto"/>
              <w:ind w:firstLine="0"/>
              <w:rPr>
                <w:rFonts w:ascii="宋体" w:hAnsi="宋体" w:cs="宋体"/>
                <w:color w:val="000000"/>
                <w:szCs w:val="21"/>
              </w:rPr>
            </w:pPr>
            <w:r>
              <w:rPr>
                <w:rFonts w:hint="eastAsia" w:ascii="宋体" w:hAnsi="宋体" w:cs="宋体"/>
                <w:color w:val="000000"/>
                <w:szCs w:val="21"/>
              </w:rPr>
              <w:t>⑤拒绝接受监督、检查的；</w:t>
            </w:r>
          </w:p>
          <w:p w14:paraId="28994795">
            <w:pPr>
              <w:pStyle w:val="222"/>
              <w:spacing w:line="360" w:lineRule="auto"/>
              <w:ind w:firstLine="0"/>
              <w:rPr>
                <w:rFonts w:ascii="宋体" w:hAnsi="宋体" w:cs="宋体"/>
                <w:color w:val="000000"/>
                <w:szCs w:val="21"/>
              </w:rPr>
            </w:pPr>
            <w:r>
              <w:rPr>
                <w:rFonts w:hint="eastAsia" w:ascii="宋体" w:hAnsi="宋体" w:cs="宋体"/>
                <w:color w:val="000000"/>
                <w:szCs w:val="21"/>
              </w:rPr>
              <w:t>⑥不如实反映情况，提供虚假材料的；</w:t>
            </w:r>
          </w:p>
          <w:p w14:paraId="6BB952D1">
            <w:pPr>
              <w:pStyle w:val="222"/>
              <w:spacing w:line="360" w:lineRule="auto"/>
              <w:ind w:firstLine="0"/>
              <w:rPr>
                <w:rFonts w:ascii="宋体" w:hAnsi="宋体" w:cs="宋体"/>
                <w:color w:val="000000"/>
                <w:szCs w:val="21"/>
              </w:rPr>
            </w:pPr>
            <w:r>
              <w:rPr>
                <w:rFonts w:hint="eastAsia" w:ascii="宋体" w:hAnsi="宋体" w:cs="宋体"/>
                <w:color w:val="000000"/>
                <w:szCs w:val="21"/>
              </w:rPr>
              <w:t>⑦定点有效期内，被行业行政主管部门取消行业经营资格的；</w:t>
            </w:r>
          </w:p>
          <w:p w14:paraId="45D7FFC9">
            <w:pPr>
              <w:spacing w:line="360" w:lineRule="auto"/>
              <w:rPr>
                <w:rFonts w:ascii="宋体" w:hAnsi="宋体" w:cs="宋体"/>
                <w:color w:val="000000"/>
                <w:kern w:val="1"/>
                <w:szCs w:val="21"/>
              </w:rPr>
            </w:pPr>
            <w:r>
              <w:rPr>
                <w:rFonts w:hint="eastAsia" w:ascii="宋体" w:hAnsi="宋体" w:cs="宋体"/>
                <w:color w:val="000000"/>
                <w:szCs w:val="21"/>
              </w:rPr>
              <w:t>⑧其他违反法律、法规和采购合同的行为。</w:t>
            </w:r>
          </w:p>
        </w:tc>
      </w:tr>
      <w:tr w14:paraId="56C82C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1855" w:type="dxa"/>
            <w:gridSpan w:val="3"/>
            <w:tcBorders>
              <w:top w:val="single" w:color="auto" w:sz="4" w:space="0"/>
              <w:left w:val="single" w:color="auto" w:sz="4" w:space="0"/>
              <w:bottom w:val="single" w:color="auto" w:sz="4" w:space="0"/>
              <w:right w:val="single" w:color="auto" w:sz="4" w:space="0"/>
            </w:tcBorders>
            <w:vAlign w:val="center"/>
          </w:tcPr>
          <w:p w14:paraId="1C9B788C">
            <w:pPr>
              <w:spacing w:line="360" w:lineRule="auto"/>
              <w:jc w:val="center"/>
              <w:rPr>
                <w:rFonts w:ascii="宋体" w:hAnsi="宋体" w:cs="宋体"/>
                <w:color w:val="000000"/>
              </w:rPr>
            </w:pPr>
            <w:r>
              <w:rPr>
                <w:rFonts w:hint="eastAsia" w:ascii="宋体" w:hAnsi="宋体" w:cs="宋体"/>
                <w:color w:val="000000"/>
              </w:rPr>
              <w:t>其他说明</w:t>
            </w:r>
          </w:p>
        </w:tc>
        <w:tc>
          <w:tcPr>
            <w:tcW w:w="8313" w:type="dxa"/>
            <w:gridSpan w:val="3"/>
            <w:tcBorders>
              <w:top w:val="single" w:color="auto" w:sz="4" w:space="0"/>
              <w:left w:val="single" w:color="auto" w:sz="4" w:space="0"/>
              <w:bottom w:val="single" w:color="auto" w:sz="4" w:space="0"/>
              <w:right w:val="single" w:color="auto" w:sz="4" w:space="0"/>
            </w:tcBorders>
          </w:tcPr>
          <w:p w14:paraId="1B1C7603">
            <w:pPr>
              <w:widowControl/>
              <w:shd w:val="clear" w:color="auto" w:fill="FFFFFF"/>
              <w:spacing w:line="360" w:lineRule="auto"/>
              <w:rPr>
                <w:rFonts w:ascii="宋体" w:hAnsi="宋体" w:cs="宋体"/>
                <w:color w:val="000000"/>
              </w:rPr>
            </w:pPr>
            <w:r>
              <w:rPr>
                <w:rFonts w:hint="eastAsia" w:ascii="宋体" w:hAnsi="宋体" w:cs="宋体"/>
                <w:color w:val="000000"/>
              </w:rPr>
              <w:t>一、进口产品说明（根据项目实际情况选择）</w:t>
            </w:r>
          </w:p>
          <w:p w14:paraId="6F88F60E">
            <w:pPr>
              <w:spacing w:line="360" w:lineRule="auto"/>
              <w:ind w:firstLine="420" w:firstLineChars="200"/>
              <w:rPr>
                <w:rFonts w:ascii="宋体" w:hAnsi="宋体" w:cs="宋体"/>
                <w:color w:val="000000"/>
                <w:szCs w:val="21"/>
              </w:rPr>
            </w:pPr>
            <w:r>
              <w:rPr>
                <w:rFonts w:hint="eastAsia" w:ascii="宋体" w:hAnsi="宋体" w:cs="宋体"/>
                <w:color w:val="000000"/>
                <w:szCs w:val="21"/>
              </w:rPr>
              <w:t>□本表的第</w:t>
            </w:r>
            <w:r>
              <w:rPr>
                <w:rFonts w:hint="eastAsia" w:ascii="宋体" w:hAnsi="宋体" w:cs="宋体"/>
                <w:color w:val="000000"/>
                <w:szCs w:val="21"/>
                <w:u w:val="single"/>
              </w:rPr>
              <w:t xml:space="preserve">  </w:t>
            </w:r>
            <w:r>
              <w:rPr>
                <w:rFonts w:hint="eastAsia" w:ascii="宋体" w:hAnsi="宋体" w:cs="宋体"/>
                <w:color w:val="000000"/>
                <w:szCs w:val="21"/>
              </w:rPr>
              <w:t>项服务所涉及的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w:t>
            </w:r>
            <w:r>
              <w:rPr>
                <w:rFonts w:hint="eastAsia" w:ascii="宋体" w:hAnsi="宋体" w:cs="宋体"/>
                <w:b/>
                <w:bCs/>
                <w:color w:val="000000"/>
                <w:szCs w:val="21"/>
              </w:rPr>
              <w:t>其他货物不接受进口产品参与投标</w:t>
            </w:r>
            <w:r>
              <w:rPr>
                <w:rFonts w:hint="eastAsia" w:ascii="宋体" w:hAnsi="宋体" w:cs="宋体"/>
                <w:color w:val="000000"/>
                <w:szCs w:val="21"/>
              </w:rPr>
              <w:t>，</w:t>
            </w:r>
            <w:r>
              <w:rPr>
                <w:rFonts w:hint="eastAsia" w:ascii="宋体" w:hAnsi="宋体" w:cs="宋体"/>
                <w:b/>
                <w:color w:val="000000"/>
                <w:szCs w:val="21"/>
              </w:rPr>
              <w:t>否则作无效标处理。</w:t>
            </w:r>
          </w:p>
          <w:p w14:paraId="1A3C7F67">
            <w:pPr>
              <w:tabs>
                <w:tab w:val="left" w:pos="180"/>
                <w:tab w:val="left" w:pos="1620"/>
              </w:tabs>
              <w:spacing w:line="360" w:lineRule="auto"/>
              <w:ind w:firstLine="420" w:firstLineChars="200"/>
              <w:rPr>
                <w:rFonts w:ascii="宋体" w:hAnsi="宋体" w:cs="宋体"/>
                <w:color w:val="000000"/>
                <w:szCs w:val="21"/>
              </w:rPr>
            </w:pPr>
            <w:r>
              <w:rPr>
                <w:rFonts w:hint="eastAsia" w:ascii="宋体" w:hAnsi="宋体" w:cs="宋体"/>
                <w:color w:val="000000"/>
                <w:szCs w:val="21"/>
              </w:rPr>
              <w:sym w:font="Wingdings 2" w:char="0052"/>
            </w:r>
            <w:r>
              <w:rPr>
                <w:rFonts w:hint="eastAsia" w:ascii="宋体" w:hAnsi="宋体" w:cs="宋体"/>
                <w:color w:val="000000"/>
                <w:szCs w:val="21"/>
              </w:rPr>
              <w:t>本分标服务所涉及的货物不接受进口产品（即通过中国海关报关验进入中国境内且产自关境外的产品）参与投标，</w:t>
            </w:r>
            <w:r>
              <w:rPr>
                <w:rFonts w:hint="eastAsia" w:ascii="宋体" w:hAnsi="宋体" w:cs="宋体"/>
                <w:b/>
                <w:color w:val="000000"/>
                <w:szCs w:val="21"/>
              </w:rPr>
              <w:t>如有进口产品参与投标的作无效标处理</w:t>
            </w:r>
            <w:r>
              <w:rPr>
                <w:rFonts w:hint="eastAsia" w:ascii="宋体" w:hAnsi="宋体" w:cs="宋体"/>
                <w:color w:val="000000"/>
                <w:szCs w:val="21"/>
              </w:rPr>
              <w:t>。</w:t>
            </w:r>
          </w:p>
          <w:p w14:paraId="687340C1">
            <w:pPr>
              <w:widowControl/>
              <w:shd w:val="clear" w:color="auto" w:fill="FFFFFF"/>
              <w:spacing w:line="360" w:lineRule="auto"/>
              <w:rPr>
                <w:rFonts w:ascii="宋体" w:hAnsi="宋体" w:cs="宋体"/>
                <w:color w:val="000000"/>
              </w:rPr>
            </w:pPr>
            <w:r>
              <w:rPr>
                <w:rFonts w:hint="eastAsia" w:ascii="宋体" w:hAnsi="宋体" w:cs="宋体"/>
                <w:color w:val="000000"/>
              </w:rPr>
              <w:t>二、其他</w:t>
            </w:r>
          </w:p>
          <w:p w14:paraId="40C6A47F">
            <w:pPr>
              <w:widowControl/>
              <w:shd w:val="clear" w:color="auto" w:fill="FFFFFF"/>
              <w:spacing w:line="360" w:lineRule="auto"/>
              <w:rPr>
                <w:rFonts w:ascii="宋体" w:hAnsi="宋体" w:cs="宋体"/>
                <w:color w:val="000000"/>
              </w:rPr>
            </w:pPr>
            <w:r>
              <w:rPr>
                <w:rFonts w:hint="eastAsia" w:ascii="宋体" w:hAnsi="宋体" w:cs="宋体"/>
                <w:color w:val="000000"/>
              </w:rPr>
              <w:t>中小企业划分标准所属行业名称（行业名称及划分见本章附件1）</w:t>
            </w:r>
            <w:r>
              <w:rPr>
                <w:rFonts w:hint="eastAsia" w:ascii="宋体" w:hAnsi="宋体" w:cs="宋体"/>
                <w:color w:val="000000"/>
                <w:highlight w:val="none"/>
              </w:rPr>
              <w:t>：批发业。</w:t>
            </w:r>
          </w:p>
        </w:tc>
      </w:tr>
    </w:tbl>
    <w:p w14:paraId="1881A210">
      <w:pPr>
        <w:spacing w:line="360" w:lineRule="auto"/>
        <w:ind w:firstLine="308"/>
        <w:jc w:val="left"/>
        <w:rPr>
          <w:rFonts w:ascii="宋体" w:hAnsi="宋体" w:cs="宋体"/>
          <w:szCs w:val="21"/>
        </w:rPr>
        <w:sectPr>
          <w:pgSz w:w="11906" w:h="16838"/>
          <w:pgMar w:top="1327" w:right="1253" w:bottom="1327" w:left="1253" w:header="851" w:footer="992" w:gutter="0"/>
          <w:cols w:space="0" w:num="1"/>
        </w:sectPr>
      </w:pPr>
      <w:r>
        <w:rPr>
          <w:rFonts w:hint="eastAsia" w:ascii="宋体" w:hAnsi="宋体" w:cs="宋体"/>
          <w:szCs w:val="21"/>
        </w:rPr>
        <w:br w:type="page" w:clear="all"/>
      </w:r>
    </w:p>
    <w:p w14:paraId="70C769E4">
      <w:pPr>
        <w:rPr>
          <w:rFonts w:ascii="黑体" w:hAnsi="黑体" w:eastAsia="黑体" w:cs="黑体"/>
          <w:sz w:val="32"/>
          <w:szCs w:val="32"/>
        </w:rPr>
      </w:pPr>
    </w:p>
    <w:p w14:paraId="314D591A">
      <w:pPr>
        <w:spacing w:line="520" w:lineRule="exact"/>
        <w:rPr>
          <w:rFonts w:ascii="黑体" w:hAnsi="黑体" w:eastAsia="黑体" w:cs="黑体"/>
          <w:sz w:val="32"/>
          <w:szCs w:val="32"/>
        </w:rPr>
      </w:pPr>
      <w:r>
        <w:rPr>
          <w:rFonts w:hint="eastAsia" w:ascii="黑体" w:hAnsi="黑体" w:eastAsia="黑体" w:cs="黑体"/>
          <w:sz w:val="32"/>
          <w:szCs w:val="32"/>
        </w:rPr>
        <w:t>附件1：</w:t>
      </w:r>
    </w:p>
    <w:p w14:paraId="7085C10D">
      <w:pPr>
        <w:pStyle w:val="18"/>
        <w:jc w:val="center"/>
        <w:rPr>
          <w:b/>
          <w:sz w:val="28"/>
          <w:szCs w:val="28"/>
        </w:rPr>
      </w:pPr>
      <w:r>
        <w:rPr>
          <w:rFonts w:hint="eastAsia"/>
          <w:b/>
          <w:sz w:val="28"/>
          <w:szCs w:val="28"/>
        </w:rPr>
        <w:t>中小企业划型标准规定</w:t>
      </w:r>
    </w:p>
    <w:p w14:paraId="1E0943E0">
      <w:pPr>
        <w:pStyle w:val="18"/>
        <w:jc w:val="center"/>
        <w:rPr>
          <w:rFonts w:ascii="宋体" w:hAnsi="宋体"/>
          <w:szCs w:val="21"/>
        </w:rPr>
      </w:pPr>
      <w:r>
        <w:rPr>
          <w:rFonts w:hint="eastAsia" w:ascii="宋体" w:hAnsi="宋体"/>
          <w:szCs w:val="21"/>
        </w:rPr>
        <w:t>工信部联企业〔2011〕300号</w:t>
      </w:r>
    </w:p>
    <w:p w14:paraId="71B741C3">
      <w:pPr>
        <w:pStyle w:val="18"/>
        <w:rPr>
          <w:sz w:val="24"/>
          <w:szCs w:val="21"/>
        </w:rPr>
      </w:pPr>
    </w:p>
    <w:p w14:paraId="39B0D2FA">
      <w:pPr>
        <w:pStyle w:val="18"/>
        <w:rPr>
          <w:szCs w:val="21"/>
        </w:rPr>
      </w:pPr>
      <w:r>
        <w:rPr>
          <w:rFonts w:hint="eastAsia"/>
          <w:szCs w:val="21"/>
        </w:rPr>
        <w:t>　　一、根据《中华人民共和国中小企业促进法》和《国务院关于进一步促进中小企业发展的若干意见》</w:t>
      </w:r>
      <w:r>
        <w:rPr>
          <w:szCs w:val="21"/>
        </w:rPr>
        <w:t>(</w:t>
      </w:r>
      <w:r>
        <w:rPr>
          <w:rFonts w:hint="eastAsia"/>
          <w:szCs w:val="21"/>
        </w:rPr>
        <w:t>国发</w:t>
      </w:r>
      <w:r>
        <w:rPr>
          <w:rFonts w:hint="eastAsia" w:ascii="宋体" w:hAnsi="宋体"/>
          <w:szCs w:val="21"/>
        </w:rPr>
        <w:t>〔2009〕36号</w:t>
      </w:r>
      <w:r>
        <w:rPr>
          <w:szCs w:val="21"/>
        </w:rPr>
        <w:t>)</w:t>
      </w:r>
      <w:r>
        <w:rPr>
          <w:rFonts w:hint="eastAsia"/>
          <w:szCs w:val="21"/>
        </w:rPr>
        <w:t>，制定本规定。</w:t>
      </w:r>
    </w:p>
    <w:p w14:paraId="6F6C65B1">
      <w:pPr>
        <w:pStyle w:val="18"/>
        <w:rPr>
          <w:szCs w:val="21"/>
        </w:rPr>
      </w:pPr>
      <w:r>
        <w:rPr>
          <w:rFonts w:hint="eastAsia"/>
          <w:szCs w:val="21"/>
        </w:rPr>
        <w:t>　　二、中小企业划分为中型、小型、微型三种类型，具体标准根据企业从业人员、营业收入、资产总额等指标，结合行业特点制定。</w:t>
      </w:r>
    </w:p>
    <w:p w14:paraId="099240F3">
      <w:pPr>
        <w:pStyle w:val="18"/>
        <w:rPr>
          <w:szCs w:val="21"/>
        </w:rPr>
      </w:pPr>
      <w:r>
        <w:rPr>
          <w:rFonts w:hint="eastAsia"/>
          <w:szCs w:val="21"/>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2E656266">
      <w:pPr>
        <w:pStyle w:val="18"/>
        <w:rPr>
          <w:szCs w:val="21"/>
        </w:rPr>
      </w:pPr>
      <w:r>
        <w:rPr>
          <w:rFonts w:hint="eastAsia"/>
          <w:szCs w:val="21"/>
        </w:rPr>
        <w:t>　　四、各行业划型标准为：</w:t>
      </w:r>
    </w:p>
    <w:p w14:paraId="6A225EA3">
      <w:pPr>
        <w:pStyle w:val="18"/>
        <w:rPr>
          <w:szCs w:val="21"/>
        </w:rPr>
      </w:pPr>
      <w:r>
        <w:rPr>
          <w:rFonts w:hint="eastAsia"/>
          <w:szCs w:val="21"/>
        </w:rPr>
        <w:t>　　（一）农、林、牧、渔业。营业收入</w:t>
      </w:r>
      <w:r>
        <w:rPr>
          <w:szCs w:val="21"/>
        </w:rPr>
        <w:t>20000</w:t>
      </w:r>
      <w:r>
        <w:rPr>
          <w:rFonts w:hint="eastAsia"/>
          <w:szCs w:val="21"/>
        </w:rPr>
        <w:t>万元以下的为中小微型企业。其中，营业收入</w:t>
      </w:r>
      <w:r>
        <w:rPr>
          <w:szCs w:val="21"/>
        </w:rPr>
        <w:t>500</w:t>
      </w:r>
      <w:r>
        <w:rPr>
          <w:rFonts w:hint="eastAsia"/>
          <w:szCs w:val="21"/>
        </w:rPr>
        <w:t>万元及以上的为中型企业，营业收入</w:t>
      </w:r>
      <w:r>
        <w:rPr>
          <w:szCs w:val="21"/>
        </w:rPr>
        <w:t>50</w:t>
      </w:r>
      <w:r>
        <w:rPr>
          <w:rFonts w:hint="eastAsia"/>
          <w:szCs w:val="21"/>
        </w:rPr>
        <w:t>万元及以上的为小型企业，营业收入</w:t>
      </w:r>
      <w:r>
        <w:rPr>
          <w:szCs w:val="21"/>
        </w:rPr>
        <w:t>50</w:t>
      </w:r>
      <w:r>
        <w:rPr>
          <w:rFonts w:hint="eastAsia"/>
          <w:szCs w:val="21"/>
        </w:rPr>
        <w:t>万元以下的为微型企业。</w:t>
      </w:r>
    </w:p>
    <w:p w14:paraId="3B3EE3AC">
      <w:pPr>
        <w:pStyle w:val="18"/>
        <w:rPr>
          <w:szCs w:val="21"/>
        </w:rPr>
      </w:pPr>
      <w:r>
        <w:rPr>
          <w:rFonts w:hint="eastAsia"/>
          <w:szCs w:val="21"/>
        </w:rPr>
        <w:t>　　（二）工业。从业人员</w:t>
      </w:r>
      <w:r>
        <w:rPr>
          <w:szCs w:val="21"/>
        </w:rPr>
        <w:t>1000</w:t>
      </w:r>
      <w:r>
        <w:rPr>
          <w:rFonts w:hint="eastAsia"/>
          <w:szCs w:val="21"/>
        </w:rPr>
        <w:t>人以下或营业收入</w:t>
      </w:r>
      <w:r>
        <w:rPr>
          <w:szCs w:val="21"/>
        </w:rPr>
        <w:t>40000</w:t>
      </w:r>
      <w:r>
        <w:rPr>
          <w:rFonts w:hint="eastAsia"/>
          <w:szCs w:val="21"/>
        </w:rPr>
        <w:t>万元以下的为中小微型企业。其中，从业人员</w:t>
      </w:r>
      <w:r>
        <w:rPr>
          <w:szCs w:val="21"/>
        </w:rPr>
        <w:t>300</w:t>
      </w:r>
      <w:r>
        <w:rPr>
          <w:rFonts w:hint="eastAsia"/>
          <w:szCs w:val="21"/>
        </w:rPr>
        <w:t>人及以上，且营业收入</w:t>
      </w:r>
      <w:r>
        <w:rPr>
          <w:szCs w:val="21"/>
        </w:rPr>
        <w:t>2000</w:t>
      </w:r>
      <w:r>
        <w:rPr>
          <w:rFonts w:hint="eastAsia"/>
          <w:szCs w:val="21"/>
        </w:rPr>
        <w:t>万元及以上的为中型企业；从业人员</w:t>
      </w:r>
      <w:r>
        <w:rPr>
          <w:szCs w:val="21"/>
        </w:rPr>
        <w:t>20</w:t>
      </w:r>
      <w:r>
        <w:rPr>
          <w:rFonts w:hint="eastAsia"/>
          <w:szCs w:val="21"/>
        </w:rPr>
        <w:t>人及以上，且营业收入</w:t>
      </w:r>
      <w:r>
        <w:rPr>
          <w:szCs w:val="21"/>
        </w:rPr>
        <w:t>300</w:t>
      </w:r>
      <w:r>
        <w:rPr>
          <w:rFonts w:hint="eastAsia"/>
          <w:szCs w:val="21"/>
        </w:rPr>
        <w:t>万元及以上的为小型企业；从业人员</w:t>
      </w:r>
      <w:r>
        <w:rPr>
          <w:szCs w:val="21"/>
        </w:rPr>
        <w:t>20</w:t>
      </w:r>
      <w:r>
        <w:rPr>
          <w:rFonts w:hint="eastAsia"/>
          <w:szCs w:val="21"/>
        </w:rPr>
        <w:t>人以下或营业收入</w:t>
      </w:r>
      <w:r>
        <w:rPr>
          <w:szCs w:val="21"/>
        </w:rPr>
        <w:t>300</w:t>
      </w:r>
      <w:r>
        <w:rPr>
          <w:rFonts w:hint="eastAsia"/>
          <w:szCs w:val="21"/>
        </w:rPr>
        <w:t>万元以下的为微型企业。</w:t>
      </w:r>
    </w:p>
    <w:p w14:paraId="7AE70C58">
      <w:pPr>
        <w:pStyle w:val="18"/>
        <w:rPr>
          <w:szCs w:val="21"/>
        </w:rPr>
      </w:pPr>
      <w:r>
        <w:rPr>
          <w:rFonts w:hint="eastAsia"/>
          <w:szCs w:val="21"/>
        </w:rPr>
        <w:t>　　（三）建筑业。营业收入</w:t>
      </w:r>
      <w:r>
        <w:rPr>
          <w:szCs w:val="21"/>
        </w:rPr>
        <w:t>80000</w:t>
      </w:r>
      <w:r>
        <w:rPr>
          <w:rFonts w:hint="eastAsia"/>
          <w:szCs w:val="21"/>
        </w:rPr>
        <w:t>万元以下或资产总额</w:t>
      </w:r>
      <w:r>
        <w:rPr>
          <w:szCs w:val="21"/>
        </w:rPr>
        <w:t>80000</w:t>
      </w:r>
      <w:r>
        <w:rPr>
          <w:rFonts w:hint="eastAsia"/>
          <w:szCs w:val="21"/>
        </w:rPr>
        <w:t>万元以下的为中小微型企业。其中，营业收入</w:t>
      </w:r>
      <w:r>
        <w:rPr>
          <w:szCs w:val="21"/>
        </w:rPr>
        <w:t>6000</w:t>
      </w:r>
      <w:r>
        <w:rPr>
          <w:rFonts w:hint="eastAsia"/>
          <w:szCs w:val="21"/>
        </w:rPr>
        <w:t>万元及以上，且资产总额</w:t>
      </w:r>
      <w:r>
        <w:rPr>
          <w:szCs w:val="21"/>
        </w:rPr>
        <w:t>5000</w:t>
      </w:r>
      <w:r>
        <w:rPr>
          <w:rFonts w:hint="eastAsia"/>
          <w:szCs w:val="21"/>
        </w:rPr>
        <w:t>万元及以上的为中型企业；营业收入</w:t>
      </w:r>
      <w:r>
        <w:rPr>
          <w:szCs w:val="21"/>
        </w:rPr>
        <w:t>300</w:t>
      </w:r>
      <w:r>
        <w:rPr>
          <w:rFonts w:hint="eastAsia"/>
          <w:szCs w:val="21"/>
        </w:rPr>
        <w:t>万元及以上，且资产总额</w:t>
      </w:r>
      <w:r>
        <w:rPr>
          <w:szCs w:val="21"/>
        </w:rPr>
        <w:t>300</w:t>
      </w:r>
      <w:r>
        <w:rPr>
          <w:rFonts w:hint="eastAsia"/>
          <w:szCs w:val="21"/>
        </w:rPr>
        <w:t>万元及以上的为小型企业；营业收入</w:t>
      </w:r>
      <w:r>
        <w:rPr>
          <w:szCs w:val="21"/>
        </w:rPr>
        <w:t>300</w:t>
      </w:r>
      <w:r>
        <w:rPr>
          <w:rFonts w:hint="eastAsia"/>
          <w:szCs w:val="21"/>
        </w:rPr>
        <w:t>万元以下或资产总额</w:t>
      </w:r>
      <w:r>
        <w:rPr>
          <w:szCs w:val="21"/>
        </w:rPr>
        <w:t>300</w:t>
      </w:r>
      <w:r>
        <w:rPr>
          <w:rFonts w:hint="eastAsia"/>
          <w:szCs w:val="21"/>
        </w:rPr>
        <w:t>万元以下的为微型企业。</w:t>
      </w:r>
    </w:p>
    <w:p w14:paraId="72AFC7B9">
      <w:pPr>
        <w:pStyle w:val="18"/>
        <w:rPr>
          <w:szCs w:val="21"/>
        </w:rPr>
      </w:pPr>
      <w:r>
        <w:rPr>
          <w:rFonts w:hint="eastAsia"/>
          <w:szCs w:val="21"/>
        </w:rPr>
        <w:t>　　（四）批发业。从业人员</w:t>
      </w:r>
      <w:r>
        <w:rPr>
          <w:szCs w:val="21"/>
        </w:rPr>
        <w:t>200</w:t>
      </w:r>
      <w:r>
        <w:rPr>
          <w:rFonts w:hint="eastAsia"/>
          <w:szCs w:val="21"/>
        </w:rPr>
        <w:t>人以下或营业收入</w:t>
      </w:r>
      <w:r>
        <w:rPr>
          <w:szCs w:val="21"/>
        </w:rPr>
        <w:t>40000</w:t>
      </w:r>
      <w:r>
        <w:rPr>
          <w:rFonts w:hint="eastAsia"/>
          <w:szCs w:val="21"/>
        </w:rPr>
        <w:t>万元以下的为中小微型企业。其中，从业人员</w:t>
      </w:r>
      <w:r>
        <w:rPr>
          <w:szCs w:val="21"/>
        </w:rPr>
        <w:t>20</w:t>
      </w:r>
      <w:r>
        <w:rPr>
          <w:rFonts w:hint="eastAsia"/>
          <w:szCs w:val="21"/>
        </w:rPr>
        <w:t>人及以上，且营业收入</w:t>
      </w:r>
      <w:r>
        <w:rPr>
          <w:szCs w:val="21"/>
        </w:rPr>
        <w:t>5000</w:t>
      </w:r>
      <w:r>
        <w:rPr>
          <w:rFonts w:hint="eastAsia"/>
          <w:szCs w:val="21"/>
        </w:rPr>
        <w:t>万元及以上的为中型企业；从业人员</w:t>
      </w:r>
      <w:r>
        <w:rPr>
          <w:szCs w:val="21"/>
        </w:rPr>
        <w:t>5</w:t>
      </w:r>
      <w:r>
        <w:rPr>
          <w:rFonts w:hint="eastAsia"/>
          <w:szCs w:val="21"/>
        </w:rPr>
        <w:t>人及以上，且营业收入</w:t>
      </w:r>
      <w:r>
        <w:rPr>
          <w:szCs w:val="21"/>
        </w:rPr>
        <w:t>1000</w:t>
      </w:r>
      <w:r>
        <w:rPr>
          <w:rFonts w:hint="eastAsia"/>
          <w:szCs w:val="21"/>
        </w:rPr>
        <w:t>万元及以上的为小型企业；从业人员</w:t>
      </w:r>
      <w:r>
        <w:rPr>
          <w:szCs w:val="21"/>
        </w:rPr>
        <w:t>5</w:t>
      </w:r>
      <w:r>
        <w:rPr>
          <w:rFonts w:hint="eastAsia"/>
          <w:szCs w:val="21"/>
        </w:rPr>
        <w:t>人以下或营业收入</w:t>
      </w:r>
      <w:r>
        <w:rPr>
          <w:szCs w:val="21"/>
        </w:rPr>
        <w:t>1000</w:t>
      </w:r>
      <w:r>
        <w:rPr>
          <w:rFonts w:hint="eastAsia"/>
          <w:szCs w:val="21"/>
        </w:rPr>
        <w:t>万元以下的为微型企业。</w:t>
      </w:r>
    </w:p>
    <w:p w14:paraId="25AF5778">
      <w:pPr>
        <w:pStyle w:val="18"/>
        <w:rPr>
          <w:szCs w:val="21"/>
        </w:rPr>
      </w:pPr>
      <w:r>
        <w:rPr>
          <w:rFonts w:hint="eastAsia"/>
          <w:szCs w:val="21"/>
        </w:rPr>
        <w:t>　　（五）零售业。从业人员</w:t>
      </w:r>
      <w:r>
        <w:rPr>
          <w:szCs w:val="21"/>
        </w:rPr>
        <w:t>300</w:t>
      </w:r>
      <w:r>
        <w:rPr>
          <w:rFonts w:hint="eastAsia"/>
          <w:szCs w:val="21"/>
        </w:rPr>
        <w:t>人以下或营业收入</w:t>
      </w:r>
      <w:r>
        <w:rPr>
          <w:szCs w:val="21"/>
        </w:rPr>
        <w:t>20000</w:t>
      </w:r>
      <w:r>
        <w:rPr>
          <w:rFonts w:hint="eastAsia"/>
          <w:szCs w:val="21"/>
        </w:rPr>
        <w:t>万元以下的为中小微型企业。其中，从业人员</w:t>
      </w:r>
      <w:r>
        <w:rPr>
          <w:szCs w:val="21"/>
        </w:rPr>
        <w:t>50</w:t>
      </w:r>
      <w:r>
        <w:rPr>
          <w:rFonts w:hint="eastAsia"/>
          <w:szCs w:val="21"/>
        </w:rPr>
        <w:t>人及以上，且营业收入</w:t>
      </w:r>
      <w:r>
        <w:rPr>
          <w:szCs w:val="21"/>
        </w:rPr>
        <w:t>500</w:t>
      </w:r>
      <w:r>
        <w:rPr>
          <w:rFonts w:hint="eastAsia"/>
          <w:szCs w:val="21"/>
        </w:rPr>
        <w:t>万元及以上的为中型企业；从业人员</w:t>
      </w:r>
      <w:r>
        <w:rPr>
          <w:szCs w:val="21"/>
        </w:rPr>
        <w:t>10</w:t>
      </w:r>
      <w:r>
        <w:rPr>
          <w:rFonts w:hint="eastAsia"/>
          <w:szCs w:val="21"/>
        </w:rPr>
        <w:t>人及以上，且营业收入</w:t>
      </w:r>
      <w:r>
        <w:rPr>
          <w:szCs w:val="21"/>
        </w:rPr>
        <w:t>100</w:t>
      </w:r>
      <w:r>
        <w:rPr>
          <w:rFonts w:hint="eastAsia"/>
          <w:szCs w:val="21"/>
        </w:rPr>
        <w:t>万元及以上的为小型企业；从业人员</w:t>
      </w:r>
      <w:r>
        <w:rPr>
          <w:szCs w:val="21"/>
        </w:rPr>
        <w:t>10</w:t>
      </w:r>
      <w:r>
        <w:rPr>
          <w:rFonts w:hint="eastAsia"/>
          <w:szCs w:val="21"/>
        </w:rPr>
        <w:t>人以下或营业收入</w:t>
      </w:r>
      <w:r>
        <w:rPr>
          <w:szCs w:val="21"/>
        </w:rPr>
        <w:t>100</w:t>
      </w:r>
      <w:r>
        <w:rPr>
          <w:rFonts w:hint="eastAsia"/>
          <w:szCs w:val="21"/>
        </w:rPr>
        <w:t>万元以下的为微型企业。</w:t>
      </w:r>
    </w:p>
    <w:p w14:paraId="1A9250DC">
      <w:pPr>
        <w:pStyle w:val="18"/>
        <w:rPr>
          <w:szCs w:val="21"/>
        </w:rPr>
      </w:pPr>
      <w:r>
        <w:rPr>
          <w:rFonts w:hint="eastAsia"/>
          <w:szCs w:val="21"/>
        </w:rPr>
        <w:t>　　（六）交通运输业。从业人员</w:t>
      </w:r>
      <w:r>
        <w:rPr>
          <w:szCs w:val="21"/>
        </w:rPr>
        <w:t>1000</w:t>
      </w:r>
      <w:r>
        <w:rPr>
          <w:rFonts w:hint="eastAsia"/>
          <w:szCs w:val="21"/>
        </w:rPr>
        <w:t>人以下或营业收入</w:t>
      </w:r>
      <w:r>
        <w:rPr>
          <w:szCs w:val="21"/>
        </w:rPr>
        <w:t>30000</w:t>
      </w:r>
      <w:r>
        <w:rPr>
          <w:rFonts w:hint="eastAsia"/>
          <w:szCs w:val="21"/>
        </w:rPr>
        <w:t>万元以下的为中小微型企业。其中，从业人员</w:t>
      </w:r>
      <w:r>
        <w:rPr>
          <w:szCs w:val="21"/>
        </w:rPr>
        <w:t>300</w:t>
      </w:r>
      <w:r>
        <w:rPr>
          <w:rFonts w:hint="eastAsia"/>
          <w:szCs w:val="21"/>
        </w:rPr>
        <w:t>人及以上，且营业收入</w:t>
      </w:r>
      <w:r>
        <w:rPr>
          <w:szCs w:val="21"/>
        </w:rPr>
        <w:t>3000</w:t>
      </w:r>
      <w:r>
        <w:rPr>
          <w:rFonts w:hint="eastAsia"/>
          <w:szCs w:val="21"/>
        </w:rPr>
        <w:t>万元及以上的为中型企业；从业人员</w:t>
      </w:r>
      <w:r>
        <w:rPr>
          <w:szCs w:val="21"/>
        </w:rPr>
        <w:t>20</w:t>
      </w:r>
      <w:r>
        <w:rPr>
          <w:rFonts w:hint="eastAsia"/>
          <w:szCs w:val="21"/>
        </w:rPr>
        <w:t>人及以上，且营业收入</w:t>
      </w:r>
      <w:r>
        <w:rPr>
          <w:szCs w:val="21"/>
        </w:rPr>
        <w:t>200</w:t>
      </w:r>
      <w:r>
        <w:rPr>
          <w:rFonts w:hint="eastAsia"/>
          <w:szCs w:val="21"/>
        </w:rPr>
        <w:t>万元及以上的为小型企业；从业人员</w:t>
      </w:r>
      <w:r>
        <w:rPr>
          <w:szCs w:val="21"/>
        </w:rPr>
        <w:t>20</w:t>
      </w:r>
      <w:r>
        <w:rPr>
          <w:rFonts w:hint="eastAsia"/>
          <w:szCs w:val="21"/>
        </w:rPr>
        <w:t>人以下或营业收入</w:t>
      </w:r>
      <w:r>
        <w:rPr>
          <w:szCs w:val="21"/>
        </w:rPr>
        <w:t>200</w:t>
      </w:r>
      <w:r>
        <w:rPr>
          <w:rFonts w:hint="eastAsia"/>
          <w:szCs w:val="21"/>
        </w:rPr>
        <w:t>万元以下的为微型企业。</w:t>
      </w:r>
    </w:p>
    <w:p w14:paraId="49D274D5">
      <w:pPr>
        <w:pStyle w:val="18"/>
        <w:rPr>
          <w:szCs w:val="21"/>
        </w:rPr>
      </w:pPr>
      <w:r>
        <w:rPr>
          <w:rFonts w:hint="eastAsia"/>
          <w:szCs w:val="21"/>
        </w:rPr>
        <w:t>　　（七）仓储业。从业人员</w:t>
      </w:r>
      <w:r>
        <w:rPr>
          <w:szCs w:val="21"/>
        </w:rPr>
        <w:t>200</w:t>
      </w:r>
      <w:r>
        <w:rPr>
          <w:rFonts w:hint="eastAsia"/>
          <w:szCs w:val="21"/>
        </w:rPr>
        <w:t>人以下或营业收入</w:t>
      </w:r>
      <w:r>
        <w:rPr>
          <w:szCs w:val="21"/>
        </w:rPr>
        <w:t>30000</w:t>
      </w:r>
      <w:r>
        <w:rPr>
          <w:rFonts w:hint="eastAsia"/>
          <w:szCs w:val="21"/>
        </w:rPr>
        <w:t>万元以下的为中小微型企业。其中，从业人员</w:t>
      </w:r>
      <w:r>
        <w:rPr>
          <w:szCs w:val="21"/>
        </w:rPr>
        <w:t>100</w:t>
      </w:r>
      <w:r>
        <w:rPr>
          <w:rFonts w:hint="eastAsia"/>
          <w:szCs w:val="21"/>
        </w:rPr>
        <w:t>人及以上，且营业收入</w:t>
      </w:r>
      <w:r>
        <w:rPr>
          <w:szCs w:val="21"/>
        </w:rPr>
        <w:t>1000</w:t>
      </w:r>
      <w:r>
        <w:rPr>
          <w:rFonts w:hint="eastAsia"/>
          <w:szCs w:val="21"/>
        </w:rPr>
        <w:t>万元及以上的为中型企业；从业人员</w:t>
      </w:r>
      <w:r>
        <w:rPr>
          <w:szCs w:val="21"/>
        </w:rPr>
        <w:t>20</w:t>
      </w:r>
      <w:r>
        <w:rPr>
          <w:rFonts w:hint="eastAsia"/>
          <w:szCs w:val="21"/>
        </w:rPr>
        <w:t>人及以上，且营业收入</w:t>
      </w:r>
      <w:r>
        <w:rPr>
          <w:szCs w:val="21"/>
        </w:rPr>
        <w:t>100</w:t>
      </w:r>
      <w:r>
        <w:rPr>
          <w:rFonts w:hint="eastAsia"/>
          <w:szCs w:val="21"/>
        </w:rPr>
        <w:t>万元及以上的为小型企业；从业人员</w:t>
      </w:r>
      <w:r>
        <w:rPr>
          <w:szCs w:val="21"/>
        </w:rPr>
        <w:t>20</w:t>
      </w:r>
      <w:r>
        <w:rPr>
          <w:rFonts w:hint="eastAsia"/>
          <w:szCs w:val="21"/>
        </w:rPr>
        <w:t>人以下或营业收入</w:t>
      </w:r>
      <w:r>
        <w:rPr>
          <w:szCs w:val="21"/>
        </w:rPr>
        <w:t>100</w:t>
      </w:r>
      <w:r>
        <w:rPr>
          <w:rFonts w:hint="eastAsia"/>
          <w:szCs w:val="21"/>
        </w:rPr>
        <w:t>万元以下的为微型企业。</w:t>
      </w:r>
    </w:p>
    <w:p w14:paraId="43593669">
      <w:pPr>
        <w:pStyle w:val="18"/>
        <w:rPr>
          <w:szCs w:val="21"/>
        </w:rPr>
      </w:pPr>
      <w:r>
        <w:rPr>
          <w:rFonts w:hint="eastAsia"/>
          <w:szCs w:val="21"/>
        </w:rPr>
        <w:t>　　（八）邮政业。从业人员</w:t>
      </w:r>
      <w:r>
        <w:rPr>
          <w:szCs w:val="21"/>
        </w:rPr>
        <w:t>1000</w:t>
      </w:r>
      <w:r>
        <w:rPr>
          <w:rFonts w:hint="eastAsia"/>
          <w:szCs w:val="21"/>
        </w:rPr>
        <w:t>人以下或营业收入</w:t>
      </w:r>
      <w:r>
        <w:rPr>
          <w:szCs w:val="21"/>
        </w:rPr>
        <w:t>30000</w:t>
      </w:r>
      <w:r>
        <w:rPr>
          <w:rFonts w:hint="eastAsia"/>
          <w:szCs w:val="21"/>
        </w:rPr>
        <w:t>万元以下的为中小微型企业。其中，从业人员</w:t>
      </w:r>
      <w:r>
        <w:rPr>
          <w:szCs w:val="21"/>
        </w:rPr>
        <w:t>300</w:t>
      </w:r>
      <w:r>
        <w:rPr>
          <w:rFonts w:hint="eastAsia"/>
          <w:szCs w:val="21"/>
        </w:rPr>
        <w:t>人及以上，且营业收入</w:t>
      </w:r>
      <w:r>
        <w:rPr>
          <w:szCs w:val="21"/>
        </w:rPr>
        <w:t>2000</w:t>
      </w:r>
      <w:r>
        <w:rPr>
          <w:rFonts w:hint="eastAsia"/>
          <w:szCs w:val="21"/>
        </w:rPr>
        <w:t>万元及以上的为中型企业；从业人员</w:t>
      </w:r>
      <w:r>
        <w:rPr>
          <w:szCs w:val="21"/>
        </w:rPr>
        <w:t>20</w:t>
      </w:r>
      <w:r>
        <w:rPr>
          <w:rFonts w:hint="eastAsia"/>
          <w:szCs w:val="21"/>
        </w:rPr>
        <w:t>人及以上，且营业收入</w:t>
      </w:r>
      <w:r>
        <w:rPr>
          <w:szCs w:val="21"/>
        </w:rPr>
        <w:t>100</w:t>
      </w:r>
      <w:r>
        <w:rPr>
          <w:rFonts w:hint="eastAsia"/>
          <w:szCs w:val="21"/>
        </w:rPr>
        <w:t>万元及以上的为小型企业；从业人员</w:t>
      </w:r>
      <w:r>
        <w:rPr>
          <w:szCs w:val="21"/>
        </w:rPr>
        <w:t>20</w:t>
      </w:r>
      <w:r>
        <w:rPr>
          <w:rFonts w:hint="eastAsia"/>
          <w:szCs w:val="21"/>
        </w:rPr>
        <w:t>人以下或营业收入</w:t>
      </w:r>
      <w:r>
        <w:rPr>
          <w:szCs w:val="21"/>
        </w:rPr>
        <w:t>100</w:t>
      </w:r>
      <w:r>
        <w:rPr>
          <w:rFonts w:hint="eastAsia"/>
          <w:szCs w:val="21"/>
        </w:rPr>
        <w:t>万元以下的为微型企业。</w:t>
      </w:r>
    </w:p>
    <w:p w14:paraId="783AF7CC">
      <w:pPr>
        <w:pStyle w:val="18"/>
        <w:rPr>
          <w:szCs w:val="21"/>
        </w:rPr>
      </w:pPr>
      <w:r>
        <w:rPr>
          <w:rFonts w:hint="eastAsia"/>
          <w:szCs w:val="21"/>
        </w:rPr>
        <w:t>　　（九）住宿业。从业人员</w:t>
      </w:r>
      <w:r>
        <w:rPr>
          <w:szCs w:val="21"/>
        </w:rPr>
        <w:t>300</w:t>
      </w:r>
      <w:r>
        <w:rPr>
          <w:rFonts w:hint="eastAsia"/>
          <w:szCs w:val="21"/>
        </w:rPr>
        <w:t>人以下或营业收入</w:t>
      </w:r>
      <w:r>
        <w:rPr>
          <w:szCs w:val="21"/>
        </w:rPr>
        <w:t>10000</w:t>
      </w:r>
      <w:r>
        <w:rPr>
          <w:rFonts w:hint="eastAsia"/>
          <w:szCs w:val="21"/>
        </w:rPr>
        <w:t>万元以下的为中小微型企业。其中，从业人员</w:t>
      </w:r>
      <w:r>
        <w:rPr>
          <w:szCs w:val="21"/>
        </w:rPr>
        <w:t>100</w:t>
      </w:r>
      <w:r>
        <w:rPr>
          <w:rFonts w:hint="eastAsia"/>
          <w:szCs w:val="21"/>
        </w:rPr>
        <w:t>人及以上，且营业收入</w:t>
      </w:r>
      <w:r>
        <w:rPr>
          <w:szCs w:val="21"/>
        </w:rPr>
        <w:t>2000</w:t>
      </w:r>
      <w:r>
        <w:rPr>
          <w:rFonts w:hint="eastAsia"/>
          <w:szCs w:val="21"/>
        </w:rPr>
        <w:t>万元及以上的为中型企业；从业人员</w:t>
      </w:r>
      <w:r>
        <w:rPr>
          <w:szCs w:val="21"/>
        </w:rPr>
        <w:t>10</w:t>
      </w:r>
      <w:r>
        <w:rPr>
          <w:rFonts w:hint="eastAsia"/>
          <w:szCs w:val="21"/>
        </w:rPr>
        <w:t>人及以上，且营业收入</w:t>
      </w:r>
      <w:r>
        <w:rPr>
          <w:szCs w:val="21"/>
        </w:rPr>
        <w:t>100</w:t>
      </w:r>
      <w:r>
        <w:rPr>
          <w:rFonts w:hint="eastAsia"/>
          <w:szCs w:val="21"/>
        </w:rPr>
        <w:t>万元及以上的为小型企业；从业人员</w:t>
      </w:r>
      <w:r>
        <w:rPr>
          <w:szCs w:val="21"/>
        </w:rPr>
        <w:t>10</w:t>
      </w:r>
      <w:r>
        <w:rPr>
          <w:rFonts w:hint="eastAsia"/>
          <w:szCs w:val="21"/>
        </w:rPr>
        <w:t>人以下或营业收入</w:t>
      </w:r>
      <w:r>
        <w:rPr>
          <w:szCs w:val="21"/>
        </w:rPr>
        <w:t>100</w:t>
      </w:r>
      <w:r>
        <w:rPr>
          <w:rFonts w:hint="eastAsia"/>
          <w:szCs w:val="21"/>
        </w:rPr>
        <w:t>万元以下的为微型企业。</w:t>
      </w:r>
    </w:p>
    <w:p w14:paraId="0E48321C">
      <w:pPr>
        <w:pStyle w:val="18"/>
        <w:rPr>
          <w:szCs w:val="21"/>
        </w:rPr>
      </w:pPr>
      <w:r>
        <w:rPr>
          <w:rFonts w:hint="eastAsia"/>
          <w:szCs w:val="21"/>
        </w:rPr>
        <w:t>　　（十）餐饮业。从业人员</w:t>
      </w:r>
      <w:r>
        <w:rPr>
          <w:szCs w:val="21"/>
        </w:rPr>
        <w:t>300</w:t>
      </w:r>
      <w:r>
        <w:rPr>
          <w:rFonts w:hint="eastAsia"/>
          <w:szCs w:val="21"/>
        </w:rPr>
        <w:t>人以下或营业收入</w:t>
      </w:r>
      <w:r>
        <w:rPr>
          <w:szCs w:val="21"/>
        </w:rPr>
        <w:t>10000</w:t>
      </w:r>
      <w:r>
        <w:rPr>
          <w:rFonts w:hint="eastAsia"/>
          <w:szCs w:val="21"/>
        </w:rPr>
        <w:t>万元以下的为中小微型企业。其中，从业人员</w:t>
      </w:r>
      <w:r>
        <w:rPr>
          <w:szCs w:val="21"/>
        </w:rPr>
        <w:t>100</w:t>
      </w:r>
      <w:r>
        <w:rPr>
          <w:rFonts w:hint="eastAsia"/>
          <w:szCs w:val="21"/>
        </w:rPr>
        <w:t>人及以上，且营业收入</w:t>
      </w:r>
      <w:r>
        <w:rPr>
          <w:szCs w:val="21"/>
        </w:rPr>
        <w:t>2000</w:t>
      </w:r>
      <w:r>
        <w:rPr>
          <w:rFonts w:hint="eastAsia"/>
          <w:szCs w:val="21"/>
        </w:rPr>
        <w:t>万元及以上的为中型企业；从业人员</w:t>
      </w:r>
      <w:r>
        <w:rPr>
          <w:szCs w:val="21"/>
        </w:rPr>
        <w:t>10</w:t>
      </w:r>
      <w:r>
        <w:rPr>
          <w:rFonts w:hint="eastAsia"/>
          <w:szCs w:val="21"/>
        </w:rPr>
        <w:t>人及以上，且营业收入</w:t>
      </w:r>
      <w:r>
        <w:rPr>
          <w:szCs w:val="21"/>
        </w:rPr>
        <w:t>100</w:t>
      </w:r>
      <w:r>
        <w:rPr>
          <w:rFonts w:hint="eastAsia"/>
          <w:szCs w:val="21"/>
        </w:rPr>
        <w:t>万元及以上的为小型企业；从业人员</w:t>
      </w:r>
      <w:r>
        <w:rPr>
          <w:szCs w:val="21"/>
        </w:rPr>
        <w:t>10</w:t>
      </w:r>
      <w:r>
        <w:rPr>
          <w:rFonts w:hint="eastAsia"/>
          <w:szCs w:val="21"/>
        </w:rPr>
        <w:t>人以下或营业收入</w:t>
      </w:r>
      <w:r>
        <w:rPr>
          <w:szCs w:val="21"/>
        </w:rPr>
        <w:t>100</w:t>
      </w:r>
      <w:r>
        <w:rPr>
          <w:rFonts w:hint="eastAsia"/>
          <w:szCs w:val="21"/>
        </w:rPr>
        <w:t>万元以下的为微型企业。</w:t>
      </w:r>
    </w:p>
    <w:p w14:paraId="28849355">
      <w:pPr>
        <w:pStyle w:val="18"/>
        <w:rPr>
          <w:szCs w:val="21"/>
        </w:rPr>
      </w:pPr>
      <w:r>
        <w:rPr>
          <w:rFonts w:hint="eastAsia"/>
          <w:szCs w:val="21"/>
        </w:rPr>
        <w:t>　　（十一）信息传输业。从业人员</w:t>
      </w:r>
      <w:r>
        <w:rPr>
          <w:szCs w:val="21"/>
        </w:rPr>
        <w:t>2000</w:t>
      </w:r>
      <w:r>
        <w:rPr>
          <w:rFonts w:hint="eastAsia"/>
          <w:szCs w:val="21"/>
        </w:rPr>
        <w:t>人以下或营业收入</w:t>
      </w:r>
      <w:r>
        <w:rPr>
          <w:szCs w:val="21"/>
        </w:rPr>
        <w:t>100000</w:t>
      </w:r>
      <w:r>
        <w:rPr>
          <w:rFonts w:hint="eastAsia"/>
          <w:szCs w:val="21"/>
        </w:rPr>
        <w:t>万元以下的为中小微型企业。其中，从业人员</w:t>
      </w:r>
      <w:r>
        <w:rPr>
          <w:szCs w:val="21"/>
        </w:rPr>
        <w:t>100</w:t>
      </w:r>
      <w:r>
        <w:rPr>
          <w:rFonts w:hint="eastAsia"/>
          <w:szCs w:val="21"/>
        </w:rPr>
        <w:t>人及以上，且营业收入</w:t>
      </w:r>
      <w:r>
        <w:rPr>
          <w:szCs w:val="21"/>
        </w:rPr>
        <w:t>1000</w:t>
      </w:r>
      <w:r>
        <w:rPr>
          <w:rFonts w:hint="eastAsia"/>
          <w:szCs w:val="21"/>
        </w:rPr>
        <w:t>万元及以上的为中型企业；从业人员</w:t>
      </w:r>
      <w:r>
        <w:rPr>
          <w:szCs w:val="21"/>
        </w:rPr>
        <w:t>10</w:t>
      </w:r>
      <w:r>
        <w:rPr>
          <w:rFonts w:hint="eastAsia"/>
          <w:szCs w:val="21"/>
        </w:rPr>
        <w:t>人及以上，且营业收入</w:t>
      </w:r>
      <w:r>
        <w:rPr>
          <w:szCs w:val="21"/>
        </w:rPr>
        <w:t>100</w:t>
      </w:r>
      <w:r>
        <w:rPr>
          <w:rFonts w:hint="eastAsia"/>
          <w:szCs w:val="21"/>
        </w:rPr>
        <w:t>万元及以上的为小型企业；从业人员</w:t>
      </w:r>
      <w:r>
        <w:rPr>
          <w:szCs w:val="21"/>
        </w:rPr>
        <w:t>10</w:t>
      </w:r>
      <w:r>
        <w:rPr>
          <w:rFonts w:hint="eastAsia"/>
          <w:szCs w:val="21"/>
        </w:rPr>
        <w:t>人以下或营业收入</w:t>
      </w:r>
      <w:r>
        <w:rPr>
          <w:szCs w:val="21"/>
        </w:rPr>
        <w:t>100</w:t>
      </w:r>
      <w:r>
        <w:rPr>
          <w:rFonts w:hint="eastAsia"/>
          <w:szCs w:val="21"/>
        </w:rPr>
        <w:t>万元以下的为微型企业。</w:t>
      </w:r>
    </w:p>
    <w:p w14:paraId="4A6A5774">
      <w:pPr>
        <w:pStyle w:val="18"/>
        <w:rPr>
          <w:szCs w:val="21"/>
        </w:rPr>
      </w:pPr>
      <w:r>
        <w:rPr>
          <w:rFonts w:hint="eastAsia"/>
          <w:szCs w:val="21"/>
        </w:rPr>
        <w:t>　　（十二）软件和信息技术服务业。从业人员</w:t>
      </w:r>
      <w:r>
        <w:rPr>
          <w:szCs w:val="21"/>
        </w:rPr>
        <w:t>300</w:t>
      </w:r>
      <w:r>
        <w:rPr>
          <w:rFonts w:hint="eastAsia"/>
          <w:szCs w:val="21"/>
        </w:rPr>
        <w:t>人以下或营业收入</w:t>
      </w:r>
      <w:r>
        <w:rPr>
          <w:szCs w:val="21"/>
        </w:rPr>
        <w:t>10000</w:t>
      </w:r>
      <w:r>
        <w:rPr>
          <w:rFonts w:hint="eastAsia"/>
          <w:szCs w:val="21"/>
        </w:rPr>
        <w:t>万元以下的为中小微型企业。其中，从业人员</w:t>
      </w:r>
      <w:r>
        <w:rPr>
          <w:szCs w:val="21"/>
        </w:rPr>
        <w:t>100</w:t>
      </w:r>
      <w:r>
        <w:rPr>
          <w:rFonts w:hint="eastAsia"/>
          <w:szCs w:val="21"/>
        </w:rPr>
        <w:t>人及以上，且营业收入</w:t>
      </w:r>
      <w:r>
        <w:rPr>
          <w:szCs w:val="21"/>
        </w:rPr>
        <w:t>1000</w:t>
      </w:r>
      <w:r>
        <w:rPr>
          <w:rFonts w:hint="eastAsia"/>
          <w:szCs w:val="21"/>
        </w:rPr>
        <w:t>万元及以上的为中型企业；从业人员</w:t>
      </w:r>
      <w:r>
        <w:rPr>
          <w:szCs w:val="21"/>
        </w:rPr>
        <w:t>10</w:t>
      </w:r>
      <w:r>
        <w:rPr>
          <w:rFonts w:hint="eastAsia"/>
          <w:szCs w:val="21"/>
        </w:rPr>
        <w:t>人及以上，且营业收入</w:t>
      </w:r>
      <w:r>
        <w:rPr>
          <w:szCs w:val="21"/>
        </w:rPr>
        <w:t>50</w:t>
      </w:r>
      <w:r>
        <w:rPr>
          <w:rFonts w:hint="eastAsia"/>
          <w:szCs w:val="21"/>
        </w:rPr>
        <w:t>万元及以上的为小型企业；从业人员</w:t>
      </w:r>
      <w:r>
        <w:rPr>
          <w:szCs w:val="21"/>
        </w:rPr>
        <w:t>10</w:t>
      </w:r>
      <w:r>
        <w:rPr>
          <w:rFonts w:hint="eastAsia"/>
          <w:szCs w:val="21"/>
        </w:rPr>
        <w:t>人以下或营业收入</w:t>
      </w:r>
      <w:r>
        <w:rPr>
          <w:szCs w:val="21"/>
        </w:rPr>
        <w:t>50</w:t>
      </w:r>
      <w:r>
        <w:rPr>
          <w:rFonts w:hint="eastAsia"/>
          <w:szCs w:val="21"/>
        </w:rPr>
        <w:t>万元以下的为微型企业。</w:t>
      </w:r>
    </w:p>
    <w:p w14:paraId="5E5C70EC">
      <w:pPr>
        <w:pStyle w:val="18"/>
        <w:rPr>
          <w:szCs w:val="21"/>
        </w:rPr>
      </w:pPr>
      <w:r>
        <w:rPr>
          <w:rFonts w:hint="eastAsia"/>
          <w:szCs w:val="21"/>
        </w:rPr>
        <w:t>　　（十三）房地产开发经营。营业收入</w:t>
      </w:r>
      <w:r>
        <w:rPr>
          <w:szCs w:val="21"/>
        </w:rPr>
        <w:t>200000</w:t>
      </w:r>
      <w:r>
        <w:rPr>
          <w:rFonts w:hint="eastAsia"/>
          <w:szCs w:val="21"/>
        </w:rPr>
        <w:t>万元以下或资产总额</w:t>
      </w:r>
      <w:r>
        <w:rPr>
          <w:szCs w:val="21"/>
        </w:rPr>
        <w:t>10000</w:t>
      </w:r>
      <w:r>
        <w:rPr>
          <w:rFonts w:hint="eastAsia"/>
          <w:szCs w:val="21"/>
        </w:rPr>
        <w:t>万元以下的为中小微型企业。其中，营业收入</w:t>
      </w:r>
      <w:r>
        <w:rPr>
          <w:szCs w:val="21"/>
        </w:rPr>
        <w:t>1000</w:t>
      </w:r>
      <w:r>
        <w:rPr>
          <w:rFonts w:hint="eastAsia"/>
          <w:szCs w:val="21"/>
        </w:rPr>
        <w:t>万元及以上，且资产总额</w:t>
      </w:r>
      <w:r>
        <w:rPr>
          <w:szCs w:val="21"/>
        </w:rPr>
        <w:t>5000</w:t>
      </w:r>
      <w:r>
        <w:rPr>
          <w:rFonts w:hint="eastAsia"/>
          <w:szCs w:val="21"/>
        </w:rPr>
        <w:t>万元及以上的为中型企业；营业收入</w:t>
      </w:r>
      <w:r>
        <w:rPr>
          <w:szCs w:val="21"/>
        </w:rPr>
        <w:t>100</w:t>
      </w:r>
      <w:r>
        <w:rPr>
          <w:rFonts w:hint="eastAsia"/>
          <w:szCs w:val="21"/>
        </w:rPr>
        <w:t>万元及以上，且资产总额</w:t>
      </w:r>
      <w:r>
        <w:rPr>
          <w:szCs w:val="21"/>
        </w:rPr>
        <w:t>2000</w:t>
      </w:r>
      <w:r>
        <w:rPr>
          <w:rFonts w:hint="eastAsia"/>
          <w:szCs w:val="21"/>
        </w:rPr>
        <w:t>万元及以上的为小型企业；营业收入</w:t>
      </w:r>
      <w:r>
        <w:rPr>
          <w:szCs w:val="21"/>
        </w:rPr>
        <w:t>100</w:t>
      </w:r>
      <w:r>
        <w:rPr>
          <w:rFonts w:hint="eastAsia"/>
          <w:szCs w:val="21"/>
        </w:rPr>
        <w:t>万元以下或资产总额</w:t>
      </w:r>
      <w:r>
        <w:rPr>
          <w:szCs w:val="21"/>
        </w:rPr>
        <w:t>2000</w:t>
      </w:r>
      <w:r>
        <w:rPr>
          <w:rFonts w:hint="eastAsia"/>
          <w:szCs w:val="21"/>
        </w:rPr>
        <w:t>万元以下的为微型企业。</w:t>
      </w:r>
    </w:p>
    <w:p w14:paraId="36B3F564">
      <w:pPr>
        <w:pStyle w:val="18"/>
        <w:rPr>
          <w:szCs w:val="21"/>
        </w:rPr>
      </w:pPr>
      <w:r>
        <w:rPr>
          <w:rFonts w:hint="eastAsia"/>
          <w:szCs w:val="21"/>
        </w:rPr>
        <w:t>　　（十四）物业管理。从业人员</w:t>
      </w:r>
      <w:r>
        <w:rPr>
          <w:szCs w:val="21"/>
        </w:rPr>
        <w:t>1000</w:t>
      </w:r>
      <w:r>
        <w:rPr>
          <w:rFonts w:hint="eastAsia"/>
          <w:szCs w:val="21"/>
        </w:rPr>
        <w:t>人以下或营业收入</w:t>
      </w:r>
      <w:r>
        <w:rPr>
          <w:szCs w:val="21"/>
        </w:rPr>
        <w:t>5000</w:t>
      </w:r>
      <w:r>
        <w:rPr>
          <w:rFonts w:hint="eastAsia"/>
          <w:szCs w:val="21"/>
        </w:rPr>
        <w:t>万元以下的为中小微型企业。其中，从业人员</w:t>
      </w:r>
      <w:r>
        <w:rPr>
          <w:szCs w:val="21"/>
        </w:rPr>
        <w:t>300</w:t>
      </w:r>
      <w:r>
        <w:rPr>
          <w:rFonts w:hint="eastAsia"/>
          <w:szCs w:val="21"/>
        </w:rPr>
        <w:t>人及以上，且营业收入</w:t>
      </w:r>
      <w:r>
        <w:rPr>
          <w:szCs w:val="21"/>
        </w:rPr>
        <w:t>1000</w:t>
      </w:r>
      <w:r>
        <w:rPr>
          <w:rFonts w:hint="eastAsia"/>
          <w:szCs w:val="21"/>
        </w:rPr>
        <w:t>万元及以上的为中型企业；从业人员</w:t>
      </w:r>
      <w:r>
        <w:rPr>
          <w:szCs w:val="21"/>
        </w:rPr>
        <w:t>100</w:t>
      </w:r>
      <w:r>
        <w:rPr>
          <w:rFonts w:hint="eastAsia"/>
          <w:szCs w:val="21"/>
        </w:rPr>
        <w:t>人及以上，且营业收入</w:t>
      </w:r>
      <w:r>
        <w:rPr>
          <w:szCs w:val="21"/>
        </w:rPr>
        <w:t>500</w:t>
      </w:r>
      <w:r>
        <w:rPr>
          <w:rFonts w:hint="eastAsia"/>
          <w:szCs w:val="21"/>
        </w:rPr>
        <w:t>万元及以上的为小型企业；从业人员</w:t>
      </w:r>
      <w:r>
        <w:rPr>
          <w:szCs w:val="21"/>
        </w:rPr>
        <w:t>100</w:t>
      </w:r>
      <w:r>
        <w:rPr>
          <w:rFonts w:hint="eastAsia"/>
          <w:szCs w:val="21"/>
        </w:rPr>
        <w:t>人以下或营业收入</w:t>
      </w:r>
      <w:r>
        <w:rPr>
          <w:szCs w:val="21"/>
        </w:rPr>
        <w:t>500</w:t>
      </w:r>
      <w:r>
        <w:rPr>
          <w:rFonts w:hint="eastAsia"/>
          <w:szCs w:val="21"/>
        </w:rPr>
        <w:t>万元以下的为微型企业。</w:t>
      </w:r>
    </w:p>
    <w:p w14:paraId="076F97E8">
      <w:pPr>
        <w:pStyle w:val="18"/>
        <w:rPr>
          <w:szCs w:val="21"/>
        </w:rPr>
      </w:pPr>
      <w:r>
        <w:rPr>
          <w:rFonts w:hint="eastAsia"/>
          <w:szCs w:val="21"/>
        </w:rPr>
        <w:t>　　（十五）租赁和商务服务业。从业人员</w:t>
      </w:r>
      <w:r>
        <w:rPr>
          <w:szCs w:val="21"/>
        </w:rPr>
        <w:t>300</w:t>
      </w:r>
      <w:r>
        <w:rPr>
          <w:rFonts w:hint="eastAsia"/>
          <w:szCs w:val="21"/>
        </w:rPr>
        <w:t>人以下或资产总额</w:t>
      </w:r>
      <w:r>
        <w:rPr>
          <w:szCs w:val="21"/>
        </w:rPr>
        <w:t>120000</w:t>
      </w:r>
      <w:r>
        <w:rPr>
          <w:rFonts w:hint="eastAsia"/>
          <w:szCs w:val="21"/>
        </w:rPr>
        <w:t>万元以下的为中小微型企业。其中，从业人员</w:t>
      </w:r>
      <w:r>
        <w:rPr>
          <w:szCs w:val="21"/>
        </w:rPr>
        <w:t>100</w:t>
      </w:r>
      <w:r>
        <w:rPr>
          <w:rFonts w:hint="eastAsia"/>
          <w:szCs w:val="21"/>
        </w:rPr>
        <w:t>人及以上，且资产总额</w:t>
      </w:r>
      <w:r>
        <w:rPr>
          <w:szCs w:val="21"/>
        </w:rPr>
        <w:t>8000</w:t>
      </w:r>
      <w:r>
        <w:rPr>
          <w:rFonts w:hint="eastAsia"/>
          <w:szCs w:val="21"/>
        </w:rPr>
        <w:t>万元及以上的为中型企业；从业人员</w:t>
      </w:r>
      <w:r>
        <w:rPr>
          <w:szCs w:val="21"/>
        </w:rPr>
        <w:t>10</w:t>
      </w:r>
      <w:r>
        <w:rPr>
          <w:rFonts w:hint="eastAsia"/>
          <w:szCs w:val="21"/>
        </w:rPr>
        <w:t>人及以上，且资产总额</w:t>
      </w:r>
      <w:r>
        <w:rPr>
          <w:szCs w:val="21"/>
        </w:rPr>
        <w:t>100</w:t>
      </w:r>
      <w:r>
        <w:rPr>
          <w:rFonts w:hint="eastAsia"/>
          <w:szCs w:val="21"/>
        </w:rPr>
        <w:t>万元及以上的为小型企业；从业人员</w:t>
      </w:r>
      <w:r>
        <w:rPr>
          <w:szCs w:val="21"/>
        </w:rPr>
        <w:t>10</w:t>
      </w:r>
      <w:r>
        <w:rPr>
          <w:rFonts w:hint="eastAsia"/>
          <w:szCs w:val="21"/>
        </w:rPr>
        <w:t>人以下或资产总额</w:t>
      </w:r>
      <w:r>
        <w:rPr>
          <w:szCs w:val="21"/>
        </w:rPr>
        <w:t>100</w:t>
      </w:r>
      <w:r>
        <w:rPr>
          <w:rFonts w:hint="eastAsia"/>
          <w:szCs w:val="21"/>
        </w:rPr>
        <w:t>万元以下的为微型企业。</w:t>
      </w:r>
    </w:p>
    <w:p w14:paraId="4888C453">
      <w:pPr>
        <w:pStyle w:val="18"/>
        <w:rPr>
          <w:szCs w:val="21"/>
        </w:rPr>
      </w:pPr>
      <w:r>
        <w:rPr>
          <w:rFonts w:hint="eastAsia"/>
          <w:szCs w:val="21"/>
        </w:rPr>
        <w:t>　　（十六）其他未列明行业。从业人员</w:t>
      </w:r>
      <w:r>
        <w:rPr>
          <w:szCs w:val="21"/>
        </w:rPr>
        <w:t>300</w:t>
      </w:r>
      <w:r>
        <w:rPr>
          <w:rFonts w:hint="eastAsia"/>
          <w:szCs w:val="21"/>
        </w:rPr>
        <w:t>人以下的为中小微型企业。其中，从业人员</w:t>
      </w:r>
      <w:r>
        <w:rPr>
          <w:szCs w:val="21"/>
        </w:rPr>
        <w:t>100</w:t>
      </w:r>
      <w:r>
        <w:rPr>
          <w:rFonts w:hint="eastAsia"/>
          <w:szCs w:val="21"/>
        </w:rPr>
        <w:t>人及以上的为中型企业；从业人员</w:t>
      </w:r>
      <w:r>
        <w:rPr>
          <w:szCs w:val="21"/>
        </w:rPr>
        <w:t>10</w:t>
      </w:r>
      <w:r>
        <w:rPr>
          <w:rFonts w:hint="eastAsia"/>
          <w:szCs w:val="21"/>
        </w:rPr>
        <w:t>人及以上的为小型企业；从业人员</w:t>
      </w:r>
      <w:r>
        <w:rPr>
          <w:szCs w:val="21"/>
        </w:rPr>
        <w:t>10</w:t>
      </w:r>
      <w:r>
        <w:rPr>
          <w:rFonts w:hint="eastAsia"/>
          <w:szCs w:val="21"/>
        </w:rPr>
        <w:t>人以下的为微型企业。</w:t>
      </w:r>
    </w:p>
    <w:p w14:paraId="46C1C484">
      <w:pPr>
        <w:pStyle w:val="18"/>
        <w:rPr>
          <w:szCs w:val="21"/>
        </w:rPr>
      </w:pPr>
      <w:r>
        <w:rPr>
          <w:rFonts w:hint="eastAsia"/>
          <w:szCs w:val="21"/>
        </w:rPr>
        <w:t>　　五、企业类型的划分以统计部门的统计数据为依据。</w:t>
      </w:r>
    </w:p>
    <w:p w14:paraId="51682C07">
      <w:pPr>
        <w:pStyle w:val="18"/>
        <w:rPr>
          <w:szCs w:val="21"/>
        </w:rPr>
      </w:pPr>
      <w:r>
        <w:rPr>
          <w:rFonts w:hint="eastAsia"/>
          <w:szCs w:val="21"/>
        </w:rPr>
        <w:t>　　六、本规定适用于在中华人民共和国境内依法设立的各类所有制和各种组织形式的企业。个体工商户和本规定以外的行业，参照本规定进行划型。</w:t>
      </w:r>
    </w:p>
    <w:p w14:paraId="0E027675">
      <w:pPr>
        <w:pStyle w:val="18"/>
        <w:rPr>
          <w:szCs w:val="21"/>
        </w:rPr>
      </w:pPr>
      <w:r>
        <w:rPr>
          <w:rFonts w:hint="eastAsia"/>
          <w:szCs w:val="21"/>
        </w:rPr>
        <w:t>　　七、本规定的中型企业标准上限即为大型企业标准的下限，国家统计部门据此制定大中小微型企业的统计分类。国务院有关部门据此进行相关数据分析，不得制定与本规定不一致的企业划型标准。</w:t>
      </w:r>
    </w:p>
    <w:p w14:paraId="2E204192">
      <w:pPr>
        <w:pStyle w:val="18"/>
        <w:rPr>
          <w:szCs w:val="21"/>
        </w:rPr>
      </w:pPr>
      <w:r>
        <w:rPr>
          <w:rFonts w:hint="eastAsia"/>
          <w:szCs w:val="21"/>
        </w:rPr>
        <w:t>　　八、本规定由工业和信息化部、国家统计局会同有关部门根据《国民经济行业分类》修订情况和企业发展变化情况适时修订。</w:t>
      </w:r>
    </w:p>
    <w:p w14:paraId="1F23D010">
      <w:pPr>
        <w:pStyle w:val="18"/>
        <w:rPr>
          <w:szCs w:val="21"/>
        </w:rPr>
      </w:pPr>
      <w:r>
        <w:rPr>
          <w:rFonts w:hint="eastAsia"/>
          <w:szCs w:val="21"/>
        </w:rPr>
        <w:t>　　九、本规定由工业和信息化部、国家统计局会同有关部门负责解释。</w:t>
      </w:r>
    </w:p>
    <w:p w14:paraId="6F65D2E7">
      <w:pPr>
        <w:pStyle w:val="18"/>
        <w:ind w:firstLine="420"/>
        <w:rPr>
          <w:szCs w:val="21"/>
        </w:rPr>
      </w:pPr>
      <w:r>
        <w:rPr>
          <w:rFonts w:hint="eastAsia"/>
          <w:szCs w:val="21"/>
        </w:rPr>
        <w:t>十、本规定自发布之日起执行，原国家经贸委、原国家计委、财政部和国家统计局</w:t>
      </w:r>
      <w:r>
        <w:rPr>
          <w:szCs w:val="21"/>
        </w:rPr>
        <w:t>2003</w:t>
      </w:r>
      <w:r>
        <w:rPr>
          <w:rFonts w:hint="eastAsia"/>
          <w:szCs w:val="21"/>
        </w:rPr>
        <w:t>年颁布的《中小企业标准暂行规定》同时废止。</w:t>
      </w:r>
    </w:p>
    <w:p w14:paraId="56B68245">
      <w:pPr>
        <w:tabs>
          <w:tab w:val="left" w:pos="180"/>
          <w:tab w:val="left" w:pos="1620"/>
        </w:tabs>
        <w:spacing w:line="360" w:lineRule="auto"/>
        <w:ind w:firstLine="422"/>
        <w:rPr>
          <w:rFonts w:ascii="宋体" w:hAnsi="宋体" w:cs="宋体"/>
          <w:b/>
          <w:bCs/>
          <w:szCs w:val="21"/>
        </w:rPr>
      </w:pPr>
    </w:p>
    <w:p w14:paraId="6DDA1A13">
      <w:bookmarkStart w:id="50" w:name="_Toc74323459"/>
      <w:r>
        <w:rPr>
          <w:rFonts w:hint="eastAsia"/>
        </w:rPr>
        <w:br w:type="page" w:clear="all"/>
      </w:r>
    </w:p>
    <w:p w14:paraId="3F1BCFB3">
      <w:pPr>
        <w:pStyle w:val="3"/>
        <w:jc w:val="center"/>
      </w:pPr>
      <w:r>
        <w:rPr>
          <w:rFonts w:hint="eastAsia"/>
        </w:rPr>
        <w:t>第四章  评审程序、评审方法和评审标准</w:t>
      </w:r>
      <w:bookmarkEnd w:id="50"/>
    </w:p>
    <w:p w14:paraId="506DE1FD">
      <w:pPr>
        <w:spacing w:line="360" w:lineRule="auto"/>
        <w:jc w:val="center"/>
        <w:rPr>
          <w:rFonts w:ascii="宋体" w:hAnsi="宋体"/>
          <w:b/>
          <w:sz w:val="32"/>
          <w:szCs w:val="32"/>
        </w:rPr>
      </w:pPr>
      <w:r>
        <w:rPr>
          <w:rFonts w:hint="eastAsia" w:ascii="宋体" w:hAnsi="宋体"/>
          <w:b/>
          <w:sz w:val="32"/>
          <w:szCs w:val="32"/>
        </w:rPr>
        <w:t>一、评审程序和评审方法</w:t>
      </w:r>
    </w:p>
    <w:p w14:paraId="45FF5AE4">
      <w:pPr>
        <w:spacing w:line="360" w:lineRule="auto"/>
        <w:ind w:firstLine="482"/>
        <w:rPr>
          <w:rFonts w:ascii="黑体" w:hAnsi="黑体" w:eastAsia="黑体" w:cs="宋体"/>
          <w:b/>
          <w:bCs/>
          <w:sz w:val="24"/>
        </w:rPr>
      </w:pPr>
      <w:r>
        <w:rPr>
          <w:rFonts w:ascii="黑体" w:hAnsi="黑体" w:eastAsia="黑体" w:cs="宋体"/>
          <w:b/>
          <w:bCs/>
          <w:sz w:val="24"/>
        </w:rPr>
        <w:t>1</w:t>
      </w:r>
      <w:r>
        <w:rPr>
          <w:rFonts w:hint="eastAsia" w:ascii="黑体" w:hAnsi="黑体" w:eastAsia="黑体" w:cs="宋体"/>
          <w:b/>
          <w:bCs/>
          <w:sz w:val="24"/>
        </w:rPr>
        <w:t>.资格审查</w:t>
      </w:r>
    </w:p>
    <w:p w14:paraId="16036ED2">
      <w:pPr>
        <w:spacing w:line="360" w:lineRule="auto"/>
        <w:ind w:firstLine="420"/>
        <w:rPr>
          <w:rFonts w:ascii="宋体" w:hAnsi="宋体"/>
          <w:szCs w:val="21"/>
        </w:rPr>
      </w:pPr>
      <w:r>
        <w:rPr>
          <w:rFonts w:ascii="宋体" w:hAnsi="宋体" w:cs="宋体"/>
          <w:szCs w:val="21"/>
        </w:rPr>
        <w:t>1</w:t>
      </w:r>
      <w:r>
        <w:rPr>
          <w:rFonts w:hint="eastAsia" w:ascii="宋体" w:hAnsi="宋体" w:cs="宋体"/>
          <w:szCs w:val="21"/>
        </w:rPr>
        <w:t>.1</w:t>
      </w:r>
      <w:r>
        <w:rPr>
          <w:rFonts w:hint="eastAsia" w:ascii="宋体" w:hAnsi="宋体"/>
          <w:szCs w:val="21"/>
        </w:rPr>
        <w:t>响应文件开启后，磋商小组依法对供应商的资格证明文件进行审查。</w:t>
      </w:r>
    </w:p>
    <w:p w14:paraId="335A6841">
      <w:pPr>
        <w:spacing w:line="360" w:lineRule="auto"/>
        <w:ind w:firstLine="420"/>
        <w:rPr>
          <w:rFonts w:ascii="宋体" w:hAnsi="宋体" w:cs="宋体"/>
          <w:szCs w:val="21"/>
        </w:rPr>
      </w:pPr>
      <w:r>
        <w:rPr>
          <w:rFonts w:hint="eastAsia" w:ascii="宋体" w:hAnsi="宋体" w:cs="宋体"/>
          <w:szCs w:val="21"/>
        </w:rPr>
        <w:t>注：</w:t>
      </w:r>
      <w:r>
        <w:rPr>
          <w:rFonts w:hint="eastAsia"/>
        </w:rPr>
        <w:t>磋商小组</w:t>
      </w:r>
      <w:r>
        <w:rPr>
          <w:rFonts w:hint="eastAsia" w:ascii="宋体" w:hAnsi="宋体" w:cs="宋体"/>
          <w:szCs w:val="21"/>
        </w:rPr>
        <w:t>在资格审查结束前，对供应商进行信用查询。</w:t>
      </w:r>
    </w:p>
    <w:p w14:paraId="200F480C">
      <w:pPr>
        <w:spacing w:line="360" w:lineRule="auto"/>
        <w:ind w:firstLine="420"/>
        <w:rPr>
          <w:rFonts w:ascii="宋体" w:hAnsi="宋体" w:cs="宋体"/>
          <w:szCs w:val="21"/>
        </w:rPr>
      </w:pPr>
      <w:r>
        <w:rPr>
          <w:rFonts w:hint="eastAsia" w:ascii="宋体" w:hAnsi="宋体" w:cs="宋体"/>
          <w:szCs w:val="21"/>
        </w:rPr>
        <w:t>（1）查询渠道： “信用中国”网站(www.creditchina.gov.cn)、中国政府采购网(www.ccgp.gov.cn)。</w:t>
      </w:r>
    </w:p>
    <w:p w14:paraId="76A910FD">
      <w:pPr>
        <w:spacing w:line="360" w:lineRule="auto"/>
        <w:ind w:firstLine="420"/>
        <w:rPr>
          <w:rFonts w:ascii="宋体" w:hAnsi="宋体" w:cs="宋体"/>
          <w:szCs w:val="21"/>
        </w:rPr>
      </w:pPr>
      <w:r>
        <w:rPr>
          <w:rFonts w:hint="eastAsia" w:ascii="宋体" w:hAnsi="宋体" w:cs="宋体"/>
          <w:szCs w:val="21"/>
        </w:rPr>
        <w:t>（2）信用查询截止时点：资格审查结束前。</w:t>
      </w:r>
    </w:p>
    <w:p w14:paraId="37F1C855">
      <w:pPr>
        <w:spacing w:line="360" w:lineRule="auto"/>
        <w:ind w:firstLine="420"/>
        <w:rPr>
          <w:rFonts w:ascii="宋体" w:hAnsi="宋体" w:cs="宋体"/>
          <w:szCs w:val="21"/>
        </w:rPr>
      </w:pPr>
      <w:r>
        <w:rPr>
          <w:rFonts w:hint="eastAsia" w:ascii="宋体" w:hAnsi="宋体" w:cs="宋体"/>
          <w:szCs w:val="21"/>
        </w:rPr>
        <w:t>（3）查询记录和证据留存方式：在查询网站中直接查询，截图另存为电子文档作为评审资料保存。</w:t>
      </w:r>
    </w:p>
    <w:p w14:paraId="258BE9B0">
      <w:pPr>
        <w:spacing w:line="360" w:lineRule="auto"/>
        <w:ind w:firstLine="420"/>
        <w:rPr>
          <w:rFonts w:ascii="宋体" w:hAnsi="宋体" w:cs="宋体"/>
          <w:szCs w:val="21"/>
        </w:rPr>
      </w:pPr>
      <w:r>
        <w:rPr>
          <w:rFonts w:hint="eastAsia" w:ascii="宋体" w:hAnsi="宋体" w:cs="宋体"/>
          <w:szCs w:val="21"/>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szCs w:val="21"/>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szCs w:val="21"/>
        </w:rPr>
        <w:t>。</w:t>
      </w:r>
    </w:p>
    <w:p w14:paraId="2759890A">
      <w:pPr>
        <w:spacing w:line="360" w:lineRule="auto"/>
        <w:ind w:firstLine="420"/>
        <w:rPr>
          <w:rFonts w:ascii="宋体" w:hAnsi="宋体" w:cs="宋体"/>
          <w:szCs w:val="21"/>
        </w:rPr>
      </w:pPr>
      <w:r>
        <w:rPr>
          <w:rFonts w:ascii="宋体" w:hAnsi="宋体" w:cs="宋体"/>
          <w:szCs w:val="21"/>
        </w:rPr>
        <w:t>1</w:t>
      </w:r>
      <w:r>
        <w:rPr>
          <w:rFonts w:hint="eastAsia" w:ascii="宋体" w:hAnsi="宋体" w:cs="宋体"/>
          <w:szCs w:val="21"/>
        </w:rPr>
        <w:t>.2资格审查标准为本磋商文件中载明对供应商资格要求的条件。资格审查采用合格制，凡符合磋商文件规定的供应商资格要求的响应文件均通过资格审查。</w:t>
      </w:r>
    </w:p>
    <w:p w14:paraId="20628665">
      <w:pPr>
        <w:spacing w:line="360" w:lineRule="auto"/>
        <w:ind w:firstLine="420"/>
        <w:rPr>
          <w:rFonts w:ascii="宋体" w:hAnsi="宋体" w:cs="宋体"/>
          <w:szCs w:val="21"/>
        </w:rPr>
      </w:pPr>
      <w:r>
        <w:rPr>
          <w:rFonts w:ascii="宋体" w:hAnsi="宋体" w:cs="宋体"/>
          <w:szCs w:val="21"/>
        </w:rPr>
        <w:t>1</w:t>
      </w:r>
      <w:r>
        <w:rPr>
          <w:rFonts w:hint="eastAsia" w:ascii="宋体" w:hAnsi="宋体" w:cs="宋体"/>
          <w:szCs w:val="21"/>
        </w:rPr>
        <w:t>.3供应商有下列情形之一的，资格审查不通过，其响应文件按无效响应处理：</w:t>
      </w:r>
    </w:p>
    <w:p w14:paraId="029199E6">
      <w:pPr>
        <w:spacing w:line="360" w:lineRule="auto"/>
        <w:ind w:firstLine="420"/>
        <w:rPr>
          <w:rFonts w:ascii="宋体" w:hAns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）不具备磋商文件中规定的资格要求的；</w:t>
      </w:r>
    </w:p>
    <w:p w14:paraId="6B7D3FF3">
      <w:pPr>
        <w:spacing w:line="360" w:lineRule="auto"/>
        <w:ind w:firstLine="420"/>
        <w:rPr>
          <w:rFonts w:ascii="宋体" w:hAnsi="宋体" w:cs="宋体"/>
          <w:szCs w:val="21"/>
        </w:rPr>
      </w:pPr>
      <w:r>
        <w:rPr>
          <w:rFonts w:hint="eastAsia" w:ascii="宋体" w:hAnsi="宋体" w:cs="宋体"/>
          <w:szCs w:val="21"/>
        </w:rPr>
        <w:t>（2）未按磋商文件规定的方式获取本磋商文件的供应商；</w:t>
      </w:r>
    </w:p>
    <w:p w14:paraId="0D42CA65">
      <w:pPr>
        <w:spacing w:line="360" w:lineRule="auto"/>
        <w:ind w:firstLine="420"/>
        <w:rPr>
          <w:rFonts w:ascii="宋体" w:hAns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）响应文件的资格证明文件缺少任一项“供应商须知前附表”资格证明文件规定的“必须提供”的文件资料的；</w:t>
      </w:r>
    </w:p>
    <w:p w14:paraId="20DFBD0E">
      <w:pPr>
        <w:spacing w:line="360" w:lineRule="auto"/>
        <w:ind w:firstLine="420"/>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）响应文件中的资格证明文件出现任一项不符合“供应商须知前附表”资格证明文件规定的“必须提供”的文件资料要求或者无效的；</w:t>
      </w:r>
    </w:p>
    <w:p w14:paraId="691E9A11">
      <w:pPr>
        <w:spacing w:line="360" w:lineRule="auto"/>
        <w:ind w:firstLine="420"/>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）同一合同项下的不同供应商，单位负责人为同一人或者存在直接控股、管理关系的；为本项目提供过整体设计、规范编制或者项目管理、监理、检测等服务的供应商，再参加该采购项目的其他采购活动的。</w:t>
      </w:r>
    </w:p>
    <w:p w14:paraId="160ACF8E">
      <w:pPr>
        <w:spacing w:line="360" w:lineRule="auto"/>
        <w:ind w:firstLine="420"/>
        <w:rPr>
          <w:rFonts w:ascii="宋体" w:hAnsi="宋体" w:cs="宋体"/>
          <w:szCs w:val="21"/>
        </w:rPr>
      </w:pPr>
      <w:r>
        <w:rPr>
          <w:rFonts w:ascii="宋体" w:hAnsi="宋体" w:cs="宋体"/>
          <w:szCs w:val="21"/>
        </w:rPr>
        <w:t>1</w:t>
      </w:r>
      <w:r>
        <w:rPr>
          <w:rFonts w:hint="eastAsia" w:ascii="宋体" w:hAnsi="宋体" w:cs="宋体"/>
          <w:szCs w:val="21"/>
        </w:rPr>
        <w:t>.4通过资格审查的合格供应商不足3家的，不得进入符合性审查环节，</w:t>
      </w:r>
      <w:r>
        <w:rPr>
          <w:rFonts w:hint="eastAsia" w:ascii="宋体" w:hAnsi="宋体"/>
          <w:szCs w:val="21"/>
        </w:rPr>
        <w:t>采购人或者采购代理机构应当重新开展采购活动。</w:t>
      </w:r>
    </w:p>
    <w:p w14:paraId="003450C7">
      <w:pPr>
        <w:spacing w:line="360" w:lineRule="auto"/>
        <w:ind w:firstLine="482"/>
        <w:rPr>
          <w:rFonts w:ascii="黑体" w:hAnsi="黑体" w:eastAsia="黑体" w:cs="宋体"/>
          <w:b/>
          <w:bCs/>
          <w:sz w:val="24"/>
        </w:rPr>
      </w:pPr>
      <w:r>
        <w:rPr>
          <w:rFonts w:ascii="黑体" w:hAnsi="黑体" w:eastAsia="黑体" w:cs="宋体"/>
          <w:b/>
          <w:bCs/>
          <w:sz w:val="24"/>
        </w:rPr>
        <w:t>2</w:t>
      </w:r>
      <w:r>
        <w:rPr>
          <w:rFonts w:hint="eastAsia" w:ascii="黑体" w:hAnsi="黑体" w:eastAsia="黑体" w:cs="宋体"/>
          <w:b/>
          <w:bCs/>
          <w:sz w:val="24"/>
        </w:rPr>
        <w:t>.符合性审查</w:t>
      </w:r>
    </w:p>
    <w:p w14:paraId="7EB676F4">
      <w:pPr>
        <w:spacing w:line="360" w:lineRule="auto"/>
        <w:ind w:firstLine="420"/>
        <w:rPr>
          <w:rFonts w:ascii="宋体" w:hAnsi="宋体" w:cs="宋体"/>
          <w:szCs w:val="21"/>
        </w:rPr>
      </w:pPr>
      <w:bookmarkStart w:id="51" w:name="_Hlk42528882"/>
      <w:r>
        <w:rPr>
          <w:rFonts w:ascii="宋体" w:hAnsi="宋体" w:cs="宋体"/>
          <w:szCs w:val="21"/>
        </w:rPr>
        <w:t>2.1</w:t>
      </w:r>
      <w:r>
        <w:rPr>
          <w:rFonts w:hint="eastAsia" w:ascii="宋体" w:hAnsi="宋体" w:cs="宋体"/>
          <w:szCs w:val="21"/>
        </w:rPr>
        <w:t>由磋商小组对</w:t>
      </w:r>
      <w:r>
        <w:rPr>
          <w:rFonts w:hint="eastAsia" w:ascii="宋体" w:hAnsi="宋体"/>
          <w:szCs w:val="21"/>
        </w:rPr>
        <w:t>通过资格审查的合格供应商</w:t>
      </w:r>
      <w:r>
        <w:rPr>
          <w:rFonts w:hint="eastAsia" w:ascii="宋体" w:hAnsi="宋体" w:cs="宋体"/>
          <w:szCs w:val="21"/>
        </w:rPr>
        <w:t>的响应文件的竞标报价、商务、技术等实质性要求进行符合性审查，以确定其是否满足磋商文件的实质性要求。</w:t>
      </w:r>
      <w:bookmarkEnd w:id="51"/>
    </w:p>
    <w:p w14:paraId="6DFA5E6C">
      <w:pPr>
        <w:spacing w:line="360" w:lineRule="auto"/>
        <w:ind w:firstLine="420"/>
        <w:rPr>
          <w:rFonts w:ascii="宋体" w:hAnsi="宋体" w:cs="宋体"/>
          <w:szCs w:val="21"/>
        </w:rPr>
      </w:pPr>
      <w:r>
        <w:rPr>
          <w:rFonts w:ascii="宋体" w:hAnsi="宋体" w:cs="宋体"/>
          <w:szCs w:val="21"/>
        </w:rPr>
        <w:t>2.2</w:t>
      </w:r>
      <w:r>
        <w:rPr>
          <w:rFonts w:hint="eastAsia" w:ascii="宋体" w:hAnsi="宋体" w:cs="宋体"/>
          <w:szCs w:val="21"/>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54D126F">
      <w:pPr>
        <w:spacing w:line="360" w:lineRule="auto"/>
        <w:ind w:firstLine="420"/>
        <w:rPr>
          <w:rFonts w:ascii="宋体" w:hAnsi="宋体" w:cs="宋体"/>
          <w:spacing w:val="-6"/>
          <w:szCs w:val="21"/>
        </w:rPr>
      </w:pPr>
      <w:r>
        <w:rPr>
          <w:rFonts w:ascii="宋体" w:hAnsi="宋体" w:cs="宋体"/>
          <w:szCs w:val="21"/>
        </w:rPr>
        <w:t>2</w:t>
      </w:r>
      <w:r>
        <w:rPr>
          <w:rFonts w:hint="eastAsia" w:ascii="宋体" w:hAnsi="宋体" w:cs="宋体"/>
          <w:szCs w:val="21"/>
        </w:rPr>
        <w:t>.</w:t>
      </w:r>
      <w:r>
        <w:rPr>
          <w:rFonts w:ascii="宋体" w:hAnsi="宋体" w:cs="宋体"/>
          <w:szCs w:val="21"/>
        </w:rPr>
        <w:t>3</w:t>
      </w:r>
      <w:r>
        <w:rPr>
          <w:rFonts w:hint="eastAsia" w:ascii="宋体" w:hAnsi="宋体" w:cs="宋体"/>
          <w:szCs w:val="21"/>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rPr>
        <w:t>签章</w:t>
      </w:r>
      <w:r>
        <w:rPr>
          <w:rFonts w:hint="eastAsia" w:ascii="宋体" w:hAnsi="宋体" w:cs="宋体"/>
          <w:spacing w:val="-6"/>
          <w:szCs w:val="21"/>
        </w:rPr>
        <w:t>。</w:t>
      </w:r>
    </w:p>
    <w:p w14:paraId="77F85718">
      <w:pPr>
        <w:spacing w:line="360" w:lineRule="auto"/>
        <w:ind w:firstLine="420"/>
        <w:rPr>
          <w:rFonts w:ascii="宋体" w:hAnsi="宋体" w:cs="宋体"/>
          <w:spacing w:val="-6"/>
          <w:szCs w:val="21"/>
        </w:rPr>
      </w:pPr>
      <w:r>
        <w:rPr>
          <w:rFonts w:hint="eastAsia" w:ascii="宋体" w:hAnsi="宋体" w:cs="Courier New"/>
          <w:szCs w:val="21"/>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0ADB940A">
      <w:pPr>
        <w:spacing w:line="360" w:lineRule="auto"/>
        <w:ind w:firstLine="396"/>
        <w:rPr>
          <w:rFonts w:ascii="宋体" w:hAnsi="宋体" w:cs="宋体"/>
          <w:szCs w:val="21"/>
        </w:rPr>
      </w:pPr>
      <w:r>
        <w:rPr>
          <w:rFonts w:ascii="宋体" w:hAnsi="宋体" w:cs="宋体"/>
          <w:spacing w:val="-6"/>
          <w:szCs w:val="21"/>
        </w:rPr>
        <w:t>2.4</w:t>
      </w:r>
      <w:r>
        <w:rPr>
          <w:rFonts w:hint="eastAsia" w:ascii="宋体" w:hAnsi="宋体" w:cs="宋体"/>
          <w:szCs w:val="21"/>
        </w:rPr>
        <w:t xml:space="preserve">首次响应文件报价出现前后不一致的，按照下列规定修正： </w:t>
      </w:r>
    </w:p>
    <w:p w14:paraId="4EC1984B">
      <w:pPr>
        <w:spacing w:line="360" w:lineRule="auto"/>
        <w:ind w:firstLine="420"/>
        <w:rPr>
          <w:rFonts w:ascii="宋体" w:hAnsi="宋体" w:cs="宋体"/>
          <w:szCs w:val="21"/>
        </w:rPr>
      </w:pPr>
      <w:r>
        <w:rPr>
          <w:rFonts w:hint="eastAsia" w:ascii="宋体" w:hAnsi="宋体" w:cs="宋体"/>
          <w:szCs w:val="21"/>
        </w:rPr>
        <w:t>（1）响应文件中报价表内容与响应文件中相应内容不一致的，以报价表为准；</w:t>
      </w:r>
    </w:p>
    <w:p w14:paraId="6A8EC5C6">
      <w:pPr>
        <w:spacing w:line="360" w:lineRule="auto"/>
        <w:ind w:firstLine="420"/>
        <w:rPr>
          <w:rFonts w:ascii="宋体" w:hAnsi="宋体" w:cs="宋体"/>
          <w:szCs w:val="21"/>
        </w:rPr>
      </w:pPr>
      <w:r>
        <w:rPr>
          <w:rFonts w:hint="eastAsia" w:ascii="宋体" w:hAnsi="宋体" w:cs="宋体"/>
          <w:szCs w:val="21"/>
        </w:rPr>
        <w:t>（2）大写金额和小写金额不一致的，以大写金额为准；</w:t>
      </w:r>
    </w:p>
    <w:p w14:paraId="116297D1">
      <w:pPr>
        <w:spacing w:line="360" w:lineRule="auto"/>
        <w:ind w:firstLine="420"/>
        <w:rPr>
          <w:rFonts w:ascii="宋体" w:hAnsi="宋体" w:cs="宋体"/>
          <w:szCs w:val="21"/>
        </w:rPr>
      </w:pPr>
      <w:r>
        <w:rPr>
          <w:rFonts w:hint="eastAsia" w:ascii="宋体" w:hAnsi="宋体" w:cs="宋体"/>
          <w:szCs w:val="21"/>
        </w:rPr>
        <w:t>（3）单价金额小数点或者百分比有明显错位的，以报价表的总价为准，并修改单价；</w:t>
      </w:r>
    </w:p>
    <w:p w14:paraId="017DD5C6">
      <w:pPr>
        <w:spacing w:line="360" w:lineRule="auto"/>
        <w:ind w:firstLine="420"/>
        <w:rPr>
          <w:rFonts w:ascii="宋体" w:hAnsi="宋体" w:cs="宋体"/>
          <w:szCs w:val="21"/>
        </w:rPr>
      </w:pPr>
      <w:r>
        <w:rPr>
          <w:rFonts w:hint="eastAsia" w:ascii="宋体" w:hAnsi="宋体" w:cs="宋体"/>
          <w:szCs w:val="21"/>
        </w:rPr>
        <w:t>（4）总价金额与按单价汇总金额不一致的，以单价金额计算结果为准。</w:t>
      </w:r>
    </w:p>
    <w:p w14:paraId="3634FAB8">
      <w:pPr>
        <w:spacing w:line="360" w:lineRule="auto"/>
        <w:ind w:firstLine="420"/>
        <w:rPr>
          <w:rFonts w:ascii="宋体" w:hAnsi="宋体" w:cs="宋体"/>
          <w:szCs w:val="21"/>
        </w:rPr>
      </w:pPr>
      <w:r>
        <w:rPr>
          <w:rFonts w:hint="eastAsia" w:ascii="宋体" w:hAnsi="宋体" w:cs="宋体"/>
          <w:szCs w:val="21"/>
        </w:rPr>
        <w:t>同时出现两种以上不一致的，按照以上（1）-（4）规定的顺序逐条进行修正。修正后的报价经供应商确认后产生约束力，供应商不确认的，其响应文件按无效响应处理。</w:t>
      </w:r>
    </w:p>
    <w:p w14:paraId="057B2950">
      <w:pPr>
        <w:spacing w:line="360" w:lineRule="auto"/>
        <w:ind w:firstLine="420"/>
        <w:rPr>
          <w:rFonts w:ascii="宋体" w:hAnsi="宋体" w:cs="宋体"/>
          <w:szCs w:val="21"/>
        </w:rPr>
      </w:pPr>
      <w:r>
        <w:rPr>
          <w:rFonts w:ascii="宋体" w:hAnsi="宋体" w:cs="宋体"/>
          <w:szCs w:val="21"/>
        </w:rPr>
        <w:t>2</w:t>
      </w:r>
      <w:r>
        <w:rPr>
          <w:rFonts w:hint="eastAsia" w:ascii="宋体" w:hAnsi="宋体" w:cs="宋体"/>
          <w:szCs w:val="21"/>
        </w:rPr>
        <w:t>.</w:t>
      </w:r>
      <w:r>
        <w:rPr>
          <w:rFonts w:ascii="宋体" w:hAnsi="宋体" w:cs="宋体"/>
          <w:szCs w:val="21"/>
        </w:rPr>
        <w:t>5</w:t>
      </w:r>
      <w:r>
        <w:rPr>
          <w:rFonts w:hint="eastAsia" w:ascii="宋体" w:hAnsi="宋体" w:cs="宋体"/>
          <w:szCs w:val="21"/>
        </w:rPr>
        <w:t>商务技术报价评审</w:t>
      </w:r>
    </w:p>
    <w:p w14:paraId="7C7A348E">
      <w:pPr>
        <w:spacing w:line="360" w:lineRule="auto"/>
        <w:ind w:firstLine="420"/>
        <w:rPr>
          <w:rFonts w:ascii="宋体" w:hAnsi="宋体" w:cs="宋体"/>
          <w:szCs w:val="21"/>
        </w:rPr>
      </w:pPr>
      <w:r>
        <w:rPr>
          <w:rFonts w:hint="eastAsia" w:ascii="宋体" w:hAnsi="宋体" w:cs="宋体"/>
          <w:szCs w:val="21"/>
        </w:rPr>
        <w:t>在评审时，如发现下列情形之一的，将被视为响应文件无效处理：</w:t>
      </w:r>
    </w:p>
    <w:p w14:paraId="610A2D69">
      <w:pPr>
        <w:spacing w:line="360" w:lineRule="auto"/>
        <w:ind w:firstLine="420"/>
        <w:rPr>
          <w:rFonts w:ascii="宋体" w:hAnsi="宋体" w:cs="宋体"/>
          <w:szCs w:val="21"/>
        </w:rPr>
      </w:pPr>
      <w:r>
        <w:rPr>
          <w:rFonts w:hint="eastAsia" w:ascii="宋体" w:hAnsi="宋体" w:cs="宋体"/>
          <w:szCs w:val="21"/>
        </w:rPr>
        <w:t>（1）商务技术评审</w:t>
      </w:r>
    </w:p>
    <w:p w14:paraId="553469FB">
      <w:pPr>
        <w:spacing w:line="360" w:lineRule="auto"/>
        <w:ind w:firstLine="420"/>
        <w:rPr>
          <w:rFonts w:ascii="宋体" w:hAnsi="宋体" w:cs="宋体"/>
          <w:szCs w:val="21"/>
        </w:rPr>
      </w:pPr>
      <w:r>
        <w:rPr>
          <w:rFonts w:hint="eastAsia" w:ascii="宋体" w:hAnsi="宋体" w:cs="宋体"/>
          <w:szCs w:val="21"/>
        </w:rPr>
        <w:t>1）响应文件未按磋商文件要求签署、盖章；</w:t>
      </w:r>
    </w:p>
    <w:p w14:paraId="31A3B422">
      <w:pPr>
        <w:spacing w:line="360" w:lineRule="auto"/>
        <w:ind w:firstLine="420"/>
        <w:rPr>
          <w:rFonts w:ascii="宋体" w:hAnsi="宋体" w:cs="宋体"/>
          <w:szCs w:val="21"/>
        </w:rPr>
      </w:pPr>
      <w:r>
        <w:rPr>
          <w:rFonts w:hint="eastAsia" w:ascii="宋体" w:hAnsi="宋体" w:cs="宋体"/>
          <w:szCs w:val="21"/>
        </w:rPr>
        <w:t xml:space="preserve">2）委托代理人未能出具有效身份证或者出具的身份证与授权委托书中的信息不符的； </w:t>
      </w:r>
    </w:p>
    <w:p w14:paraId="3D1D2020">
      <w:pPr>
        <w:spacing w:line="360" w:lineRule="auto"/>
        <w:ind w:firstLine="420"/>
        <w:rPr>
          <w:rFonts w:ascii="宋体" w:hAnsi="宋体" w:cs="宋体"/>
          <w:szCs w:val="21"/>
        </w:rPr>
      </w:pPr>
      <w:r>
        <w:rPr>
          <w:rFonts w:hint="eastAsia" w:ascii="宋体" w:hAnsi="宋体" w:cs="宋体"/>
          <w:szCs w:val="21"/>
        </w:rPr>
        <w:t>3）提交的磋商保证金无效的或者未按照磋商文件的规定提交磋商保证金；</w:t>
      </w:r>
    </w:p>
    <w:p w14:paraId="175207F6">
      <w:pPr>
        <w:spacing w:line="360" w:lineRule="auto"/>
        <w:ind w:firstLine="420"/>
        <w:rPr>
          <w:rFonts w:ascii="宋体" w:hAnsi="宋体" w:cs="宋体"/>
          <w:szCs w:val="21"/>
        </w:rPr>
      </w:pPr>
      <w:r>
        <w:rPr>
          <w:rFonts w:hint="eastAsia" w:ascii="宋体" w:hAnsi="宋体" w:cs="宋体"/>
          <w:szCs w:val="21"/>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00588F3B">
      <w:pPr>
        <w:spacing w:line="360" w:lineRule="auto"/>
        <w:ind w:firstLine="420"/>
        <w:rPr>
          <w:rFonts w:ascii="宋体" w:hAnsi="宋体" w:cs="宋体"/>
          <w:szCs w:val="21"/>
        </w:rPr>
      </w:pPr>
      <w:r>
        <w:rPr>
          <w:rFonts w:hint="eastAsia" w:ascii="宋体" w:hAnsi="宋体" w:cs="宋体"/>
          <w:szCs w:val="21"/>
        </w:rPr>
        <w:t>5）商务、技术要求允许负偏离的条款数超过“供应商须知前附表”规定项数的；</w:t>
      </w:r>
    </w:p>
    <w:p w14:paraId="5947107D">
      <w:pPr>
        <w:spacing w:line="360" w:lineRule="auto"/>
        <w:ind w:firstLine="420"/>
        <w:rPr>
          <w:rFonts w:ascii="宋体" w:hAnsi="宋体" w:cs="宋体"/>
          <w:szCs w:val="21"/>
        </w:rPr>
      </w:pPr>
      <w:r>
        <w:rPr>
          <w:rFonts w:hint="eastAsia" w:ascii="宋体" w:hAnsi="宋体" w:cs="宋体"/>
          <w:szCs w:val="21"/>
        </w:rPr>
        <w:t>6）未对竞标有效期作出响应或者响应文件承诺的竞标有效期不满足磋商文件要求；</w:t>
      </w:r>
    </w:p>
    <w:p w14:paraId="7BD2C050">
      <w:pPr>
        <w:spacing w:line="360" w:lineRule="auto"/>
        <w:ind w:firstLine="420"/>
        <w:rPr>
          <w:rFonts w:ascii="宋体" w:hAnsi="宋体" w:cs="宋体"/>
          <w:szCs w:val="21"/>
        </w:rPr>
      </w:pPr>
      <w:r>
        <w:rPr>
          <w:rFonts w:hint="eastAsia" w:ascii="宋体" w:hAnsi="宋体" w:cs="宋体"/>
          <w:szCs w:val="21"/>
        </w:rPr>
        <w:t>7）响应文件的实质性内容未使用中文表述、使用计量单位不符合磋商文件要求；</w:t>
      </w:r>
    </w:p>
    <w:p w14:paraId="636B549F">
      <w:pPr>
        <w:spacing w:line="360" w:lineRule="auto"/>
        <w:ind w:firstLine="420"/>
        <w:rPr>
          <w:rFonts w:ascii="宋体" w:hAnsi="宋体" w:cs="宋体"/>
          <w:szCs w:val="21"/>
        </w:rPr>
      </w:pPr>
      <w:r>
        <w:rPr>
          <w:rFonts w:hint="eastAsia" w:ascii="宋体" w:hAnsi="宋体" w:cs="宋体"/>
          <w:szCs w:val="21"/>
        </w:rPr>
        <w:t>8）响应文件中的文件资料因填写不齐全或者内容虚假或者出现其他情形而导致被磋商小组认定无效；</w:t>
      </w:r>
    </w:p>
    <w:p w14:paraId="69496B96">
      <w:pPr>
        <w:spacing w:line="360" w:lineRule="auto"/>
        <w:ind w:firstLine="420"/>
        <w:rPr>
          <w:rFonts w:ascii="宋体" w:hAnsi="宋体" w:cs="宋体"/>
          <w:szCs w:val="21"/>
        </w:rPr>
      </w:pPr>
      <w:r>
        <w:rPr>
          <w:rFonts w:hint="eastAsia" w:ascii="宋体" w:hAnsi="宋体" w:cs="宋体"/>
          <w:szCs w:val="21"/>
        </w:rPr>
        <w:t>9）响应文件含有采购人不能接受的附加条件；</w:t>
      </w:r>
    </w:p>
    <w:p w14:paraId="6115CE97">
      <w:pPr>
        <w:spacing w:line="360" w:lineRule="auto"/>
        <w:ind w:firstLine="420"/>
        <w:rPr>
          <w:rFonts w:ascii="宋体" w:hAnsi="宋体" w:cs="宋体"/>
          <w:szCs w:val="21"/>
        </w:rPr>
      </w:pPr>
      <w:r>
        <w:rPr>
          <w:rFonts w:hint="eastAsia" w:ascii="宋体" w:hAnsi="宋体" w:cs="宋体"/>
          <w:szCs w:val="21"/>
        </w:rPr>
        <w:t>10）属于“供应商须知正文”第7.</w:t>
      </w:r>
      <w:r>
        <w:rPr>
          <w:rFonts w:ascii="宋体" w:hAnsi="宋体" w:cs="宋体"/>
          <w:szCs w:val="21"/>
        </w:rPr>
        <w:t>5</w:t>
      </w:r>
      <w:r>
        <w:rPr>
          <w:rFonts w:hint="eastAsia" w:ascii="宋体" w:hAnsi="宋体" w:cs="宋体"/>
          <w:szCs w:val="21"/>
        </w:rPr>
        <w:t>条情形；</w:t>
      </w:r>
    </w:p>
    <w:p w14:paraId="2251F9DB">
      <w:pPr>
        <w:spacing w:line="360" w:lineRule="auto"/>
        <w:ind w:firstLine="420"/>
        <w:rPr>
          <w:rFonts w:ascii="宋体" w:hAnsi="宋体" w:cs="宋体"/>
          <w:szCs w:val="21"/>
        </w:rPr>
      </w:pPr>
      <w:r>
        <w:rPr>
          <w:rFonts w:ascii="宋体" w:hAnsi="宋体" w:cs="宋体"/>
          <w:szCs w:val="21"/>
        </w:rPr>
        <w:t>1</w:t>
      </w:r>
      <w:r>
        <w:rPr>
          <w:rFonts w:hint="eastAsia" w:ascii="宋体" w:hAnsi="宋体" w:cs="宋体"/>
          <w:szCs w:val="21"/>
        </w:rPr>
        <w:t>1）虚假竞标，或者出现其他情形而导致被磋商小组认定无效；</w:t>
      </w:r>
    </w:p>
    <w:p w14:paraId="786902AC">
      <w:pPr>
        <w:spacing w:line="360" w:lineRule="auto"/>
        <w:ind w:firstLine="420"/>
        <w:rPr>
          <w:rFonts w:ascii="宋体" w:hAnsi="宋体" w:cs="宋体"/>
          <w:szCs w:val="21"/>
        </w:rPr>
      </w:pPr>
      <w:r>
        <w:rPr>
          <w:rFonts w:hint="eastAsia" w:ascii="宋体" w:hAnsi="宋体" w:cs="宋体"/>
          <w:szCs w:val="21"/>
        </w:rPr>
        <w:t>12）</w:t>
      </w:r>
      <w:bookmarkStart w:id="52" w:name="_Hlk71704147"/>
      <w:r>
        <w:rPr>
          <w:rFonts w:hint="eastAsia" w:ascii="宋体" w:hAnsi="宋体" w:cs="宋体"/>
          <w:szCs w:val="21"/>
        </w:rPr>
        <w:t>磋商文件未载明允许提供备选（替代）竞标方案或明确不允许提供备选（替代）竞标方案时，供应商提供了备选（替代）竞标方案的；</w:t>
      </w:r>
      <w:bookmarkEnd w:id="52"/>
    </w:p>
    <w:p w14:paraId="58C58A78">
      <w:pPr>
        <w:spacing w:line="360" w:lineRule="auto"/>
        <w:ind w:firstLine="420"/>
        <w:rPr>
          <w:rFonts w:ascii="宋体" w:hAnsi="宋体" w:cs="宋体"/>
          <w:szCs w:val="21"/>
        </w:rPr>
      </w:pPr>
      <w:r>
        <w:rPr>
          <w:rFonts w:ascii="宋体" w:hAnsi="宋体" w:cs="宋体"/>
          <w:szCs w:val="21"/>
        </w:rPr>
        <w:t>1</w:t>
      </w:r>
      <w:r>
        <w:rPr>
          <w:rFonts w:hint="eastAsia" w:ascii="宋体" w:hAnsi="宋体" w:cs="宋体"/>
          <w:szCs w:val="21"/>
        </w:rPr>
        <w:t>3）响应文件标注的项目名称或者项目编号与磋商文件标注的项目名称或者项目编号不一致的；</w:t>
      </w:r>
    </w:p>
    <w:p w14:paraId="6C2D6E5B">
      <w:pPr>
        <w:spacing w:line="360" w:lineRule="auto"/>
        <w:ind w:firstLine="420"/>
        <w:rPr>
          <w:rFonts w:ascii="宋体" w:hAnsi="宋体" w:cs="宋体"/>
          <w:szCs w:val="21"/>
        </w:rPr>
      </w:pPr>
      <w:r>
        <w:rPr>
          <w:rFonts w:hint="eastAsia" w:ascii="宋体" w:hAnsi="宋体" w:cs="宋体"/>
          <w:szCs w:val="21"/>
        </w:rPr>
        <w:t>14）</w:t>
      </w:r>
      <w:r>
        <w:rPr>
          <w:rFonts w:hint="eastAsia" w:ascii="宋体" w:hAnsi="宋体"/>
          <w:szCs w:val="21"/>
        </w:rPr>
        <w:t>竞争性磋商文件明确不允许分包，响应文件拟分包的；</w:t>
      </w:r>
    </w:p>
    <w:p w14:paraId="0D7C1E31">
      <w:pPr>
        <w:spacing w:line="360" w:lineRule="auto"/>
        <w:ind w:firstLine="420"/>
        <w:rPr>
          <w:rFonts w:ascii="宋体" w:hAnsi="宋体" w:cs="宋体"/>
          <w:szCs w:val="21"/>
        </w:rPr>
      </w:pPr>
      <w:r>
        <w:rPr>
          <w:rFonts w:ascii="宋体" w:hAnsi="宋体" w:cs="宋体"/>
          <w:szCs w:val="21"/>
        </w:rPr>
        <w:t>1</w:t>
      </w:r>
      <w:r>
        <w:rPr>
          <w:rFonts w:hint="eastAsia" w:ascii="宋体" w:hAnsi="宋体" w:cs="宋体"/>
          <w:szCs w:val="21"/>
        </w:rPr>
        <w:t>5）未响应磋商文件实质性要求；</w:t>
      </w:r>
    </w:p>
    <w:p w14:paraId="08FA636C">
      <w:pPr>
        <w:spacing w:line="360" w:lineRule="auto"/>
        <w:ind w:firstLine="420"/>
        <w:rPr>
          <w:rFonts w:ascii="宋体" w:hAnsi="宋体" w:cs="宋体"/>
          <w:szCs w:val="21"/>
        </w:rPr>
      </w:pPr>
      <w:r>
        <w:rPr>
          <w:rFonts w:hint="eastAsia" w:ascii="宋体" w:hAnsi="宋体" w:cs="宋体"/>
          <w:szCs w:val="21"/>
        </w:rPr>
        <w:t>16）法律、法规和磋商文件规定的其他无效情形。</w:t>
      </w:r>
    </w:p>
    <w:p w14:paraId="73D7FED8">
      <w:pPr>
        <w:spacing w:line="360" w:lineRule="auto"/>
        <w:ind w:firstLine="420"/>
        <w:rPr>
          <w:rFonts w:ascii="宋体" w:hAns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）报价评审</w:t>
      </w:r>
    </w:p>
    <w:p w14:paraId="42B8E48C">
      <w:pPr>
        <w:spacing w:line="360" w:lineRule="auto"/>
        <w:ind w:firstLine="420"/>
        <w:rPr>
          <w:rFonts w:ascii="宋体" w:hAnsi="宋体" w:cs="宋体"/>
          <w:szCs w:val="21"/>
        </w:rPr>
      </w:pPr>
      <w:r>
        <w:rPr>
          <w:rFonts w:hint="eastAsia" w:ascii="宋体" w:hAnsi="宋体" w:cs="宋体"/>
          <w:szCs w:val="21"/>
        </w:rPr>
        <w:t>1）响应文件未提供“供应商须知前附表” 报价文件中规定的“竞标报价表”；</w:t>
      </w:r>
    </w:p>
    <w:p w14:paraId="5BA3F87C">
      <w:pPr>
        <w:spacing w:line="360" w:lineRule="auto"/>
        <w:ind w:firstLine="420"/>
        <w:rPr>
          <w:rFonts w:ascii="宋体" w:hAnsi="宋体" w:cs="宋体"/>
          <w:szCs w:val="21"/>
        </w:rPr>
      </w:pPr>
      <w:r>
        <w:rPr>
          <w:rFonts w:hint="eastAsia" w:ascii="宋体" w:hAnsi="宋体" w:cs="宋体"/>
          <w:szCs w:val="21"/>
        </w:rPr>
        <w:t>2）未采用人民币报价或者未按照磋商文件标明的币种报价；</w:t>
      </w:r>
    </w:p>
    <w:p w14:paraId="213E5141">
      <w:pPr>
        <w:spacing w:line="360" w:lineRule="auto"/>
        <w:ind w:firstLine="420"/>
        <w:rPr>
          <w:rFonts w:ascii="宋体" w:hAnsi="宋体" w:cs="宋体"/>
          <w:szCs w:val="21"/>
        </w:rPr>
      </w:pPr>
      <w:r>
        <w:rPr>
          <w:rFonts w:hint="eastAsia" w:ascii="宋体" w:hAnsi="宋体" w:cs="宋体"/>
          <w:szCs w:val="21"/>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6E1C6ED9">
      <w:pPr>
        <w:spacing w:line="360" w:lineRule="auto"/>
        <w:ind w:firstLine="420"/>
        <w:rPr>
          <w:rFonts w:ascii="宋体" w:hAnsi="宋体" w:cs="宋体"/>
          <w:szCs w:val="21"/>
        </w:rPr>
      </w:pPr>
      <w:r>
        <w:rPr>
          <w:rFonts w:hint="eastAsia" w:ascii="宋体" w:hAnsi="宋体" w:cs="宋体"/>
          <w:szCs w:val="21"/>
        </w:rPr>
        <w:t>4）竞标报价（包含首次报价、最后报价）超过所竞标分标规定的采购预算金额或者最高限价的（如本项目公布了最高限价）；</w:t>
      </w:r>
      <w:bookmarkStart w:id="53" w:name="_Hlk42596405"/>
      <w:r>
        <w:rPr>
          <w:rFonts w:hint="eastAsia" w:ascii="宋体" w:hAnsi="宋体" w:cs="宋体"/>
          <w:szCs w:val="21"/>
        </w:rPr>
        <w:t>分项竞标报价（包含首次报价、最后报价）</w:t>
      </w:r>
      <w:bookmarkEnd w:id="53"/>
      <w:bookmarkStart w:id="54" w:name="_Hlk42596276"/>
      <w:r>
        <w:rPr>
          <w:rFonts w:hint="eastAsia" w:ascii="宋体" w:hAnsi="宋体" w:cs="宋体"/>
          <w:szCs w:val="21"/>
        </w:rPr>
        <w:t>超过磋商文件分项采购预算金额或者最高限价的</w:t>
      </w:r>
      <w:bookmarkEnd w:id="54"/>
      <w:r>
        <w:rPr>
          <w:rFonts w:hint="eastAsia" w:ascii="宋体" w:hAnsi="宋体" w:cs="宋体"/>
          <w:szCs w:val="21"/>
        </w:rPr>
        <w:t>（如本项目公布了最高限价）；</w:t>
      </w:r>
    </w:p>
    <w:p w14:paraId="0BE5BD5A">
      <w:pPr>
        <w:spacing w:line="360" w:lineRule="auto"/>
        <w:ind w:firstLine="420"/>
        <w:rPr>
          <w:rFonts w:ascii="宋体" w:hAnsi="宋体" w:cs="宋体"/>
          <w:szCs w:val="21"/>
        </w:rPr>
      </w:pPr>
      <w:r>
        <w:rPr>
          <w:rFonts w:hint="eastAsia" w:ascii="宋体" w:hAnsi="宋体" w:cs="宋体"/>
          <w:szCs w:val="21"/>
        </w:rPr>
        <w:t>5）修正后的报价，供应商不确认的；或者经供应商确认修正后的竞标报价（包含首次报价、最后报价）超过所竞标分标规定的采购预算金额或者最高限价（如本项目公布了最高限价）；或者经供应商确认修正后分项竞标报价（包含首次报价、最后报价）超过磋商文件分项采购预算金额或者最高限价的（如本项目公布了最高限价）。</w:t>
      </w:r>
    </w:p>
    <w:p w14:paraId="61CB6C4E">
      <w:pPr>
        <w:spacing w:line="360" w:lineRule="auto"/>
        <w:ind w:firstLine="420"/>
        <w:rPr>
          <w:rFonts w:ascii="宋体" w:hAnsi="宋体" w:cs="宋体"/>
          <w:szCs w:val="21"/>
        </w:rPr>
      </w:pPr>
      <w:r>
        <w:rPr>
          <w:rFonts w:hint="eastAsia" w:ascii="宋体" w:hAnsi="宋体" w:cs="宋体"/>
          <w:szCs w:val="21"/>
        </w:rPr>
        <w:t>6）</w:t>
      </w:r>
      <w:r>
        <w:rPr>
          <w:rFonts w:hint="eastAsia" w:ascii="宋体" w:hAnsi="宋体"/>
          <w:szCs w:val="21"/>
        </w:rPr>
        <w:t>响应文件响应的标的数量及单位与竞争性磋商采购文件要求实质性不一致的。</w:t>
      </w:r>
    </w:p>
    <w:p w14:paraId="575DFBDF">
      <w:pPr>
        <w:spacing w:line="360" w:lineRule="auto"/>
        <w:ind w:firstLine="420"/>
        <w:rPr>
          <w:rFonts w:ascii="宋体" w:hAnsi="宋体" w:cs="宋体"/>
          <w:szCs w:val="21"/>
        </w:rPr>
      </w:pPr>
      <w:r>
        <w:rPr>
          <w:rFonts w:ascii="宋体" w:hAnsi="宋体" w:cs="宋体"/>
          <w:szCs w:val="21"/>
        </w:rPr>
        <w:t>2.6</w:t>
      </w:r>
      <w:r>
        <w:rPr>
          <w:rFonts w:hint="eastAsia" w:ascii="宋体" w:hAnsi="宋体" w:cs="宋体"/>
          <w:szCs w:val="21"/>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122AD417">
      <w:pPr>
        <w:spacing w:line="360" w:lineRule="auto"/>
        <w:ind w:firstLine="420"/>
        <w:rPr>
          <w:rFonts w:ascii="宋体" w:hAnsi="宋体" w:cs="宋体"/>
          <w:szCs w:val="21"/>
        </w:rPr>
      </w:pPr>
      <w:r>
        <w:rPr>
          <w:rFonts w:ascii="宋体" w:hAnsi="宋体" w:cs="宋体"/>
          <w:szCs w:val="21"/>
        </w:rPr>
        <w:t>2.7</w:t>
      </w:r>
      <w:r>
        <w:rPr>
          <w:rFonts w:hint="eastAsia" w:ascii="宋体" w:hAnsi="宋体"/>
          <w:szCs w:val="21"/>
        </w:rPr>
        <w:t>通过符合性审查的合格供应商不足3家的，不得进入磋商环节，采购人或者采购代理机构应当重新开展采购活动。</w:t>
      </w:r>
    </w:p>
    <w:p w14:paraId="1B06E1B8">
      <w:pPr>
        <w:spacing w:line="360" w:lineRule="auto"/>
        <w:ind w:firstLine="482"/>
        <w:rPr>
          <w:rFonts w:ascii="黑体" w:hAnsi="黑体" w:eastAsia="黑体" w:cs="宋体"/>
          <w:b/>
          <w:bCs/>
          <w:sz w:val="24"/>
        </w:rPr>
      </w:pPr>
      <w:r>
        <w:rPr>
          <w:rFonts w:ascii="黑体" w:hAnsi="黑体" w:eastAsia="黑体" w:cs="宋体"/>
          <w:b/>
          <w:bCs/>
          <w:sz w:val="24"/>
        </w:rPr>
        <w:t>3</w:t>
      </w:r>
      <w:r>
        <w:rPr>
          <w:rFonts w:hint="eastAsia" w:ascii="黑体" w:hAnsi="黑体" w:eastAsia="黑体" w:cs="宋体"/>
          <w:b/>
          <w:bCs/>
          <w:sz w:val="24"/>
        </w:rPr>
        <w:t>.磋商程序</w:t>
      </w:r>
    </w:p>
    <w:p w14:paraId="07E5E9FF">
      <w:pPr>
        <w:spacing w:line="360" w:lineRule="auto"/>
        <w:ind w:firstLine="420"/>
        <w:rPr>
          <w:rFonts w:ascii="宋体" w:hAnsi="宋体" w:cs="宋体"/>
          <w:szCs w:val="21"/>
        </w:rPr>
      </w:pPr>
      <w:r>
        <w:rPr>
          <w:rFonts w:hint="eastAsia" w:ascii="宋体" w:hAnsi="宋体" w:cs="宋体"/>
          <w:szCs w:val="21"/>
        </w:rPr>
        <w:t>3</w:t>
      </w:r>
      <w:r>
        <w:rPr>
          <w:rFonts w:ascii="宋体" w:hAnsi="宋体" w:cs="宋体"/>
          <w:szCs w:val="21"/>
        </w:rPr>
        <w:t>.1</w:t>
      </w:r>
      <w:r>
        <w:rPr>
          <w:rFonts w:hint="eastAsia" w:ascii="宋体" w:hAnsi="宋体" w:cs="宋体"/>
          <w:szCs w:val="21"/>
        </w:rPr>
        <w:t>磋商小组集中与单一供应商分别进行磋商，并给予所有参加磋商的供应商平等的磋商机会。符合磋商资格的供应商必须在接到磋商通知后</w:t>
      </w:r>
      <w:r>
        <w:t>在规定时间内在广西政府采购云平台上参加</w:t>
      </w:r>
      <w:r>
        <w:rPr>
          <w:rFonts w:hint="eastAsia"/>
        </w:rPr>
        <w:t>磋商</w:t>
      </w:r>
      <w:r>
        <w:rPr>
          <w:rFonts w:hint="eastAsia" w:ascii="宋体" w:hAnsi="宋体" w:cs="宋体"/>
          <w:szCs w:val="21"/>
        </w:rPr>
        <w:t>，未在规定时间内参加磋商的视同放弃参加磋商权利，其响应文件按无效响应处理。</w:t>
      </w:r>
    </w:p>
    <w:p w14:paraId="31E98C52">
      <w:pPr>
        <w:spacing w:line="360" w:lineRule="auto"/>
        <w:ind w:firstLine="420"/>
        <w:rPr>
          <w:rFonts w:ascii="宋体" w:hAnsi="宋体" w:cs="宋体"/>
          <w:szCs w:val="21"/>
        </w:rPr>
      </w:pPr>
      <w:r>
        <w:rPr>
          <w:rFonts w:ascii="宋体" w:hAnsi="宋体" w:cs="宋体"/>
          <w:szCs w:val="21"/>
        </w:rPr>
        <w:t>3.2</w:t>
      </w:r>
      <w:r>
        <w:rPr>
          <w:rFonts w:hint="eastAsia" w:ascii="宋体" w:hAnsi="宋体" w:cs="宋体"/>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3CAD6A4F">
      <w:pPr>
        <w:spacing w:line="360" w:lineRule="auto"/>
        <w:ind w:firstLine="420"/>
        <w:rPr>
          <w:rFonts w:ascii="宋体" w:hAnsi="宋体" w:cs="宋体"/>
          <w:szCs w:val="21"/>
        </w:rPr>
      </w:pPr>
      <w:r>
        <w:rPr>
          <w:rFonts w:ascii="宋体" w:hAnsi="宋体" w:cs="宋体"/>
          <w:szCs w:val="21"/>
        </w:rPr>
        <w:t>3.3</w:t>
      </w:r>
      <w:r>
        <w:rPr>
          <w:rFonts w:hint="eastAsia" w:ascii="宋体" w:hAnsi="宋体" w:cs="宋体"/>
          <w:szCs w:val="21"/>
        </w:rPr>
        <w:t>对磋商文件作出的实质性变动是磋商文件的有效组成部分，由磋商小组及时以电子澄清函形式同时通知所有参加磋商的供应商。</w:t>
      </w:r>
    </w:p>
    <w:p w14:paraId="0C915E54">
      <w:pPr>
        <w:spacing w:line="360" w:lineRule="auto"/>
        <w:ind w:firstLine="420"/>
        <w:rPr>
          <w:rFonts w:ascii="宋体" w:hAnsi="宋体" w:cs="宋体"/>
          <w:szCs w:val="21"/>
        </w:rPr>
      </w:pPr>
      <w:r>
        <w:rPr>
          <w:rFonts w:ascii="宋体" w:hAnsi="宋体" w:cs="宋体"/>
          <w:szCs w:val="21"/>
        </w:rPr>
        <w:t>3.4</w:t>
      </w:r>
      <w:r>
        <w:rPr>
          <w:rFonts w:hint="eastAsia" w:ascii="宋体" w:hAnsi="宋体" w:cs="宋体"/>
          <w:szCs w:val="21"/>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2ACCBD87">
      <w:pPr>
        <w:spacing w:line="360" w:lineRule="auto"/>
        <w:ind w:firstLine="420"/>
        <w:rPr>
          <w:rFonts w:ascii="宋体" w:hAnsi="宋体" w:cs="宋体"/>
          <w:szCs w:val="21"/>
        </w:rPr>
      </w:pPr>
      <w:r>
        <w:rPr>
          <w:rFonts w:ascii="宋体" w:hAnsi="宋体" w:cs="宋体"/>
          <w:szCs w:val="21"/>
        </w:rPr>
        <w:t>3.5</w:t>
      </w:r>
      <w:r>
        <w:rPr>
          <w:rFonts w:hint="eastAsia" w:ascii="宋体" w:hAnsi="宋体" w:cs="宋体"/>
          <w:szCs w:val="21"/>
        </w:rPr>
        <w:t>磋商中，</w:t>
      </w:r>
      <w:r>
        <w:rPr>
          <w:rFonts w:hint="eastAsia" w:ascii="宋体" w:hAnsi="宋体" w:cs="宋体"/>
          <w:spacing w:val="-6"/>
          <w:szCs w:val="21"/>
        </w:rPr>
        <w:t>磋商的任何一方不得透露与磋商有关的其他供应商的技术资料、价格和其他信息。</w:t>
      </w:r>
    </w:p>
    <w:p w14:paraId="2DFC53D3">
      <w:pPr>
        <w:widowControl/>
        <w:tabs>
          <w:tab w:val="left" w:pos="540"/>
        </w:tabs>
        <w:spacing w:line="360" w:lineRule="auto"/>
        <w:ind w:firstLine="420"/>
        <w:jc w:val="left"/>
        <w:rPr>
          <w:rFonts w:ascii="宋体" w:hAnsi="宋体" w:cs="宋体"/>
          <w:szCs w:val="21"/>
        </w:rPr>
      </w:pPr>
      <w:r>
        <w:rPr>
          <w:rFonts w:ascii="宋体" w:hAnsi="宋体" w:cs="宋体"/>
          <w:szCs w:val="21"/>
        </w:rPr>
        <w:t>3.6</w:t>
      </w:r>
      <w:r>
        <w:rPr>
          <w:rFonts w:hint="eastAsia" w:ascii="宋体" w:hAnsi="宋体" w:cs="宋体"/>
          <w:szCs w:val="21"/>
        </w:rPr>
        <w:t>采购代理机构对磋商过程和重要磋商内容进行记录。</w:t>
      </w:r>
    </w:p>
    <w:p w14:paraId="2B6D2D6F">
      <w:pPr>
        <w:tabs>
          <w:tab w:val="left" w:pos="2835"/>
        </w:tabs>
        <w:spacing w:line="360" w:lineRule="auto"/>
        <w:ind w:firstLine="420"/>
      </w:pPr>
      <w:r>
        <w:rPr>
          <w:rFonts w:hint="eastAsia" w:ascii="宋体" w:hAnsi="宋体" w:cs="宋体"/>
          <w:szCs w:val="21"/>
        </w:rPr>
        <w:t>3</w:t>
      </w:r>
      <w:r>
        <w:rPr>
          <w:rFonts w:ascii="宋体" w:hAnsi="宋体" w:cs="宋体"/>
          <w:szCs w:val="21"/>
        </w:rPr>
        <w:t>.7</w:t>
      </w:r>
      <w: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B765FAE">
      <w:pPr>
        <w:tabs>
          <w:tab w:val="left" w:pos="2835"/>
        </w:tabs>
        <w:spacing w:line="360" w:lineRule="auto"/>
        <w:ind w:firstLine="420"/>
        <w:rPr>
          <w:rFonts w:ascii="宋体" w:hAnsi="宋体" w:cs="宋体"/>
          <w:szCs w:val="21"/>
        </w:rPr>
      </w:pPr>
      <w:r>
        <w:t>3.8除本章第3.7条情形</w:t>
      </w:r>
      <w:r>
        <w:rPr>
          <w:rFonts w:hint="eastAsia"/>
        </w:rPr>
        <w:t>外，</w:t>
      </w:r>
      <w:r>
        <w:rPr>
          <w:rFonts w:hint="eastAsia" w:ascii="宋体" w:hAnsi="宋体"/>
          <w:szCs w:val="21"/>
        </w:rPr>
        <w:t>对磋商过程提交的响应文件进行有效性、完整性和响应程度审查，通过审查的合格供应商不足3家的，采购人或者采购代理机构应当重新开展采购活动。</w:t>
      </w:r>
    </w:p>
    <w:p w14:paraId="7A423B2C">
      <w:pPr>
        <w:spacing w:line="360" w:lineRule="auto"/>
        <w:ind w:firstLine="482"/>
        <w:rPr>
          <w:rFonts w:ascii="宋体" w:hAnsi="宋体" w:cs="宋体"/>
          <w:szCs w:val="21"/>
        </w:rPr>
      </w:pPr>
      <w:r>
        <w:rPr>
          <w:rFonts w:ascii="黑体" w:hAnsi="黑体" w:eastAsia="黑体" w:cs="宋体"/>
          <w:b/>
          <w:bCs/>
          <w:sz w:val="24"/>
        </w:rPr>
        <w:t>4.</w:t>
      </w:r>
      <w:r>
        <w:rPr>
          <w:rFonts w:hint="eastAsia" w:ascii="黑体" w:hAnsi="黑体" w:eastAsia="黑体" w:cs="宋体"/>
          <w:b/>
          <w:bCs/>
          <w:sz w:val="24"/>
        </w:rPr>
        <w:t xml:space="preserve"> 最后报价</w:t>
      </w:r>
    </w:p>
    <w:p w14:paraId="3C1BCF81">
      <w:pPr>
        <w:spacing w:line="360" w:lineRule="auto"/>
        <w:ind w:firstLine="420"/>
        <w:rPr>
          <w:rFonts w:ascii="宋体" w:hAnsi="宋体" w:cs="宋体"/>
          <w:szCs w:val="21"/>
        </w:rPr>
      </w:pPr>
      <w:r>
        <w:rPr>
          <w:rFonts w:hint="eastAsia" w:ascii="宋体" w:hAnsi="宋体" w:cs="宋体"/>
          <w:szCs w:val="21"/>
        </w:rPr>
        <w:t>4</w:t>
      </w:r>
      <w:r>
        <w:rPr>
          <w:rFonts w:ascii="宋体" w:hAnsi="宋体" w:cs="宋体"/>
          <w:szCs w:val="21"/>
        </w:rPr>
        <w:t>.1</w:t>
      </w:r>
      <w:r>
        <w:rPr>
          <w:rFonts w:hint="eastAsia" w:ascii="宋体" w:hAnsi="宋体" w:cs="宋体"/>
          <w:szCs w:val="21"/>
        </w:rPr>
        <w:t>磋商文件能够详细列明采购标的的技术、服务要求的，磋商结束后，磋商小组应当要求所有继续参加磋商的供应商在规定时间内在广西政府采购云平台开标大厅提交最后报价，除本章第</w:t>
      </w:r>
      <w:r>
        <w:rPr>
          <w:rFonts w:ascii="宋体" w:hAnsi="宋体" w:cs="宋体"/>
          <w:szCs w:val="21"/>
        </w:rPr>
        <w:t>4.3</w:t>
      </w:r>
      <w:r>
        <w:rPr>
          <w:rFonts w:hint="eastAsia" w:ascii="宋体" w:hAnsi="宋体" w:cs="宋体"/>
          <w:szCs w:val="21"/>
        </w:rPr>
        <w:t>条外，提交最后报价的供应商不得少于3家，否则必须重新采购。</w:t>
      </w:r>
    </w:p>
    <w:p w14:paraId="7BAF8421">
      <w:pPr>
        <w:spacing w:line="360" w:lineRule="auto"/>
        <w:ind w:firstLine="420"/>
        <w:rPr>
          <w:rFonts w:ascii="宋体" w:hAnsi="宋体" w:cs="宋体"/>
          <w:szCs w:val="21"/>
        </w:rPr>
      </w:pPr>
      <w:r>
        <w:rPr>
          <w:rFonts w:hint="eastAsia" w:ascii="宋体" w:hAnsi="宋体" w:cs="宋体"/>
          <w:szCs w:val="21"/>
        </w:rPr>
        <w:t>4</w:t>
      </w:r>
      <w:r>
        <w:rPr>
          <w:rFonts w:ascii="宋体" w:hAnsi="宋体" w:cs="宋体"/>
          <w:szCs w:val="21"/>
        </w:rPr>
        <w:t>.2</w:t>
      </w:r>
      <w:r>
        <w:rPr>
          <w:rFonts w:hint="eastAsia" w:ascii="宋体" w:hAnsi="宋体" w:cs="宋体"/>
          <w:szCs w:val="21"/>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2E6F5D49">
      <w:pPr>
        <w:spacing w:line="360" w:lineRule="auto"/>
        <w:ind w:firstLine="420"/>
        <w:rPr>
          <w:rFonts w:ascii="宋体" w:hAnsi="宋体" w:cs="宋体"/>
          <w:szCs w:val="21"/>
        </w:rPr>
      </w:pPr>
      <w:r>
        <w:rPr>
          <w:rFonts w:ascii="宋体" w:hAnsi="宋体" w:cs="宋体"/>
          <w:szCs w:val="21"/>
        </w:rPr>
        <w:t>4.3</w:t>
      </w:r>
      <w:r>
        <w:rPr>
          <w:rFonts w:hint="eastAsia" w:ascii="宋体" w:hAnsi="宋体" w:cs="宋体"/>
          <w:szCs w:val="21"/>
        </w:rPr>
        <w:t xml:space="preserve"> 最后报价是供应商响应文件的有效组成部分。符合《政府采购竞争性磋商采购方式管理暂行办法》（财库〔2014〕214号）第三条第四项“市场竞争不充分的科研项目，以及需要扶持的科技成果转化项目”和</w:t>
      </w:r>
      <w:r>
        <w:t>本</w:t>
      </w:r>
      <w:r>
        <w:rPr>
          <w:rFonts w:ascii="宋体" w:hAnsi="宋体" w:cs="宋体"/>
          <w:szCs w:val="21"/>
        </w:rPr>
        <w:t>章第3.7条情</w:t>
      </w:r>
      <w:r>
        <w:t>形的，</w:t>
      </w:r>
      <w:r>
        <w:rPr>
          <w:rFonts w:hint="eastAsia" w:ascii="宋体" w:hAnsi="宋体" w:cs="宋体"/>
          <w:szCs w:val="21"/>
        </w:rPr>
        <w:t>提交最后报价的供应商可以为2家。</w:t>
      </w:r>
    </w:p>
    <w:p w14:paraId="5C4290C3">
      <w:pPr>
        <w:spacing w:line="360" w:lineRule="auto"/>
        <w:ind w:firstLine="420"/>
        <w:rPr>
          <w:rFonts w:ascii="宋体" w:hAnsi="宋体" w:cs="宋体"/>
          <w:szCs w:val="21"/>
        </w:rPr>
      </w:pPr>
      <w:r>
        <w:rPr>
          <w:rFonts w:ascii="宋体" w:hAnsi="宋体" w:cs="宋体"/>
          <w:szCs w:val="21"/>
        </w:rPr>
        <w:t>4.4</w:t>
      </w:r>
      <w:r>
        <w:rPr>
          <w:rFonts w:hint="eastAsia" w:ascii="宋体" w:hAnsi="宋体" w:cs="宋体"/>
          <w:szCs w:val="21"/>
        </w:rPr>
        <w:t>已经提交响应文件的供应商，在提交最后报价之前，可以根据磋商情况退出磋商，退出磋商的供应商的响应文件按无效响应处理。采购人、采购代理机构将退还退出磋商的供应商的保证金。</w:t>
      </w:r>
    </w:p>
    <w:p w14:paraId="52D7DF5E">
      <w:pPr>
        <w:spacing w:line="360" w:lineRule="auto"/>
        <w:ind w:firstLine="420"/>
        <w:rPr>
          <w:rFonts w:ascii="宋体" w:hAnsi="宋体" w:cs="宋体"/>
          <w:szCs w:val="21"/>
        </w:rPr>
      </w:pPr>
      <w:r>
        <w:rPr>
          <w:rFonts w:ascii="宋体" w:hAnsi="宋体" w:cs="宋体"/>
          <w:szCs w:val="21"/>
        </w:rPr>
        <w:t>4.5</w:t>
      </w:r>
      <w:r>
        <w:rPr>
          <w:rFonts w:hint="eastAsia" w:ascii="宋体" w:hAnsi="宋体" w:cs="宋体"/>
          <w:szCs w:val="21"/>
        </w:rPr>
        <w:t>供应商未在规定时间内提交最后报价的，视同退出磋商，其响应文件按无效处理。</w:t>
      </w:r>
    </w:p>
    <w:p w14:paraId="5972B8C4">
      <w:pPr>
        <w:spacing w:line="360" w:lineRule="auto"/>
        <w:ind w:firstLine="420"/>
        <w:rPr>
          <w:rFonts w:ascii="宋体" w:hAnsi="宋体" w:cs="宋体"/>
          <w:szCs w:val="21"/>
        </w:rPr>
      </w:pPr>
      <w:r>
        <w:rPr>
          <w:rFonts w:ascii="宋体" w:hAnsi="宋体" w:cs="宋体"/>
          <w:szCs w:val="21"/>
        </w:rPr>
        <w:t>4.6</w:t>
      </w:r>
      <w:r>
        <w:rPr>
          <w:rFonts w:hint="eastAsia" w:ascii="宋体" w:hAnsi="宋体" w:cs="宋体"/>
          <w:szCs w:val="21"/>
        </w:rPr>
        <w:t>最后报价统一开启后，磋商小组对最后报价进行有效性、完整性和响应程度的审查。</w:t>
      </w:r>
    </w:p>
    <w:p w14:paraId="680DCDDB">
      <w:pPr>
        <w:spacing w:line="360" w:lineRule="auto"/>
        <w:ind w:firstLine="420"/>
        <w:rPr>
          <w:rFonts w:ascii="宋体" w:hAnsi="宋体" w:cs="宋体"/>
          <w:szCs w:val="21"/>
        </w:rPr>
      </w:pPr>
      <w:r>
        <w:rPr>
          <w:rFonts w:ascii="宋体" w:hAnsi="宋体" w:cs="宋体"/>
          <w:szCs w:val="21"/>
        </w:rPr>
        <w:t>4.7</w:t>
      </w:r>
      <w:r>
        <w:rPr>
          <w:rFonts w:hint="eastAsia" w:ascii="宋体" w:hAnsi="宋体" w:cs="宋体"/>
          <w:szCs w:val="21"/>
        </w:rPr>
        <w:t>最后报价出现前后不一致的，按照本章第</w:t>
      </w:r>
      <w:r>
        <w:rPr>
          <w:rFonts w:ascii="宋体" w:hAnsi="宋体" w:cs="宋体"/>
          <w:szCs w:val="21"/>
        </w:rPr>
        <w:t>2.4</w:t>
      </w:r>
      <w:r>
        <w:rPr>
          <w:rFonts w:hint="eastAsia" w:ascii="宋体" w:hAnsi="宋体" w:cs="宋体"/>
          <w:szCs w:val="21"/>
        </w:rPr>
        <w:t xml:space="preserve">条的规定修正。 </w:t>
      </w:r>
    </w:p>
    <w:p w14:paraId="4DBDB65E">
      <w:pPr>
        <w:spacing w:line="360" w:lineRule="auto"/>
        <w:ind w:firstLine="420"/>
        <w:rPr>
          <w:rFonts w:ascii="宋体" w:hAnsi="宋体" w:cs="宋体"/>
          <w:szCs w:val="21"/>
        </w:rPr>
      </w:pPr>
      <w:r>
        <w:rPr>
          <w:rFonts w:ascii="宋体" w:hAnsi="宋体" w:cs="宋体"/>
          <w:szCs w:val="21"/>
        </w:rPr>
        <w:t>4.8</w:t>
      </w:r>
      <w:r>
        <w:rPr>
          <w:rFonts w:hint="eastAsia" w:ascii="宋体" w:hAnsi="宋体" w:cs="宋体"/>
          <w:szCs w:val="21"/>
        </w:rPr>
        <w:t>修正后的报价出现下列情形的，按无效响应处理：</w:t>
      </w:r>
    </w:p>
    <w:p w14:paraId="0B5935B2">
      <w:pPr>
        <w:spacing w:line="360" w:lineRule="auto"/>
        <w:ind w:firstLine="420"/>
        <w:rPr>
          <w:rFonts w:ascii="宋体" w:hAnsi="宋体" w:cs="宋体"/>
          <w:szCs w:val="21"/>
        </w:rPr>
      </w:pPr>
      <w:r>
        <w:rPr>
          <w:rFonts w:hint="eastAsia" w:ascii="宋体" w:hAnsi="宋体" w:cs="宋体"/>
          <w:szCs w:val="21"/>
        </w:rPr>
        <w:t>（1）供应商不确认的（全流程电子化评审采取在线确认）；</w:t>
      </w:r>
    </w:p>
    <w:p w14:paraId="34C96E32">
      <w:pPr>
        <w:spacing w:line="360" w:lineRule="auto"/>
        <w:ind w:firstLine="420"/>
        <w:rPr>
          <w:rFonts w:ascii="宋体" w:hAnsi="宋体" w:cs="宋体"/>
          <w:szCs w:val="21"/>
        </w:rPr>
      </w:pPr>
      <w:r>
        <w:rPr>
          <w:rFonts w:hint="eastAsia" w:ascii="宋体" w:hAnsi="宋体" w:cs="宋体"/>
          <w:szCs w:val="21"/>
        </w:rPr>
        <w:t>（2）经供应商确认修正后的竞标报价（包含首次报价、最后报价）超过所竞标分标规定的采购预算金额或者最高限价的（如本项目公布了最高限价）；</w:t>
      </w:r>
    </w:p>
    <w:p w14:paraId="53F21AF5">
      <w:pPr>
        <w:spacing w:line="360" w:lineRule="auto"/>
        <w:ind w:firstLine="420"/>
        <w:rPr>
          <w:rFonts w:ascii="宋体" w:hAnsi="宋体" w:cs="宋体"/>
          <w:szCs w:val="21"/>
        </w:rPr>
      </w:pPr>
      <w:r>
        <w:rPr>
          <w:rFonts w:hint="eastAsia" w:ascii="宋体" w:hAnsi="宋体" w:cs="宋体"/>
          <w:szCs w:val="21"/>
        </w:rPr>
        <w:t>（3）经供应商确认修正后的竞标报价（包含首次报价、最后报价）超过分项采购预算金额或者最高限价的（如本项目公布了最高限价）。</w:t>
      </w:r>
    </w:p>
    <w:p w14:paraId="0D4E150F">
      <w:pPr>
        <w:spacing w:line="360" w:lineRule="auto"/>
        <w:ind w:firstLine="420"/>
        <w:rPr>
          <w:rFonts w:ascii="宋体" w:hAnsi="宋体" w:cs="宋体"/>
          <w:szCs w:val="21"/>
        </w:rPr>
      </w:pPr>
      <w:r>
        <w:rPr>
          <w:rFonts w:ascii="宋体" w:hAnsi="宋体" w:cs="宋体"/>
          <w:szCs w:val="21"/>
        </w:rPr>
        <w:t>4.9</w:t>
      </w:r>
      <w:r>
        <w:rPr>
          <w:rFonts w:hint="eastAsia" w:ascii="宋体" w:hAnsi="宋体" w:cs="宋体"/>
          <w:szCs w:val="21"/>
        </w:rPr>
        <w:t>经供应商确认修正后的最后报价作为评审及签订合同的依据。</w:t>
      </w:r>
    </w:p>
    <w:p w14:paraId="1A4E0870">
      <w:pPr>
        <w:spacing w:line="360" w:lineRule="auto"/>
        <w:ind w:firstLine="420"/>
        <w:rPr>
          <w:rFonts w:ascii="宋体" w:hAnsi="宋体" w:cs="宋体"/>
          <w:szCs w:val="21"/>
        </w:rPr>
      </w:pPr>
      <w:r>
        <w:rPr>
          <w:rFonts w:hint="eastAsia" w:ascii="宋体" w:hAnsi="宋体" w:cs="宋体"/>
          <w:szCs w:val="21"/>
        </w:rPr>
        <w:t>4.10供应商出现最后报价按无效响应处理或者响应文件按无效处理时</w:t>
      </w:r>
      <w:r>
        <w:rPr>
          <w:rFonts w:hint="eastAsia" w:ascii="宋体" w:hAnsi="宋体"/>
          <w:sz w:val="22"/>
          <w:szCs w:val="22"/>
        </w:rPr>
        <w:t>，磋商小组应当告知有关供应商</w:t>
      </w:r>
      <w:r>
        <w:rPr>
          <w:rFonts w:hint="eastAsia" w:ascii="宋体" w:hAnsi="宋体" w:cs="宋体"/>
          <w:szCs w:val="21"/>
        </w:rPr>
        <w:t>。</w:t>
      </w:r>
    </w:p>
    <w:p w14:paraId="38BDE8AA">
      <w:pPr>
        <w:spacing w:line="360" w:lineRule="auto"/>
        <w:ind w:firstLine="420"/>
        <w:rPr>
          <w:rFonts w:ascii="宋体" w:hAnsi="宋体" w:cs="宋体"/>
          <w:szCs w:val="21"/>
        </w:rPr>
      </w:pPr>
      <w:r>
        <w:rPr>
          <w:rFonts w:hint="eastAsia" w:ascii="宋体" w:hAnsi="宋体" w:cs="宋体"/>
          <w:szCs w:val="21"/>
        </w:rPr>
        <w:t>4</w:t>
      </w:r>
      <w:r>
        <w:rPr>
          <w:rFonts w:ascii="宋体" w:hAnsi="宋体" w:cs="宋体"/>
          <w:szCs w:val="21"/>
        </w:rPr>
        <w:t>.1</w:t>
      </w:r>
      <w:r>
        <w:rPr>
          <w:rFonts w:hint="eastAsia" w:ascii="宋体" w:hAnsi="宋体" w:cs="宋体"/>
          <w:szCs w:val="21"/>
        </w:rPr>
        <w:t>1最后报价结束后，磋商小组不得再与供应商进行任何形式的商谈。</w:t>
      </w:r>
    </w:p>
    <w:p w14:paraId="6AA93CF3">
      <w:pPr>
        <w:spacing w:line="360" w:lineRule="auto"/>
        <w:ind w:firstLine="482"/>
        <w:rPr>
          <w:rFonts w:ascii="黑体" w:hAnsi="黑体" w:eastAsia="黑体" w:cs="宋体"/>
          <w:b/>
          <w:bCs/>
          <w:sz w:val="24"/>
        </w:rPr>
      </w:pPr>
      <w:r>
        <w:rPr>
          <w:rFonts w:hint="eastAsia" w:ascii="黑体" w:hAnsi="黑体" w:eastAsia="黑体" w:cs="宋体"/>
          <w:b/>
          <w:bCs/>
          <w:sz w:val="24"/>
        </w:rPr>
        <w:t>5</w:t>
      </w:r>
      <w:r>
        <w:rPr>
          <w:rFonts w:ascii="黑体" w:hAnsi="黑体" w:eastAsia="黑体" w:cs="宋体"/>
          <w:b/>
          <w:bCs/>
          <w:sz w:val="24"/>
        </w:rPr>
        <w:t>.</w:t>
      </w:r>
      <w:r>
        <w:rPr>
          <w:rFonts w:hint="eastAsia" w:ascii="黑体" w:hAnsi="黑体" w:eastAsia="黑体" w:cs="宋体"/>
          <w:b/>
          <w:bCs/>
          <w:sz w:val="24"/>
        </w:rPr>
        <w:t>比较与评价</w:t>
      </w:r>
    </w:p>
    <w:p w14:paraId="73004901">
      <w:pPr>
        <w:spacing w:line="360" w:lineRule="auto"/>
        <w:ind w:firstLine="420"/>
        <w:rPr>
          <w:rFonts w:ascii="宋体" w:hAnsi="宋体" w:cs="宋体"/>
          <w:szCs w:val="21"/>
        </w:rPr>
      </w:pPr>
      <w:r>
        <w:rPr>
          <w:rFonts w:ascii="宋体" w:hAnsi="宋体" w:cs="宋体"/>
          <w:szCs w:val="21"/>
        </w:rPr>
        <w:t>5.1</w:t>
      </w:r>
      <w:r>
        <w:rPr>
          <w:rFonts w:hint="eastAsia" w:ascii="宋体" w:hAnsi="宋体" w:cs="宋体"/>
          <w:szCs w:val="21"/>
        </w:rPr>
        <w:t>评审方法：综合评分法。</w:t>
      </w:r>
    </w:p>
    <w:p w14:paraId="510760F1">
      <w:pPr>
        <w:spacing w:line="360" w:lineRule="auto"/>
        <w:ind w:firstLine="420"/>
        <w:rPr>
          <w:rFonts w:ascii="宋体" w:hAnsi="宋体" w:cs="宋体"/>
          <w:szCs w:val="21"/>
        </w:rPr>
      </w:pPr>
      <w:r>
        <w:rPr>
          <w:rFonts w:ascii="宋体" w:hAnsi="宋体" w:cs="宋体"/>
          <w:szCs w:val="21"/>
        </w:rPr>
        <w:t>5.2</w:t>
      </w:r>
      <w:r>
        <w:rPr>
          <w:rFonts w:hint="eastAsia" w:ascii="宋体" w:hAnsi="宋体" w:cs="宋体"/>
          <w:szCs w:val="21"/>
        </w:rPr>
        <w:t>经磋商确定最终采购需求和提交最后报价的供应商后，由磋商小组采用综合评分法对提交最后报价的供应商的响应文件和最后报价进行综合评分。</w:t>
      </w:r>
    </w:p>
    <w:p w14:paraId="3A0B4BBF">
      <w:pPr>
        <w:spacing w:line="360" w:lineRule="auto"/>
        <w:ind w:firstLine="420"/>
        <w:rPr>
          <w:rFonts w:ascii="宋体" w:hAnsi="宋体" w:cs="宋体"/>
          <w:szCs w:val="21"/>
        </w:rPr>
      </w:pPr>
      <w:r>
        <w:rPr>
          <w:rFonts w:ascii="宋体" w:hAnsi="宋体" w:cs="宋体"/>
          <w:szCs w:val="21"/>
        </w:rPr>
        <w:t>5.3</w:t>
      </w:r>
      <w:r>
        <w:rPr>
          <w:rFonts w:hint="eastAsia" w:ascii="宋体" w:hAnsi="宋体" w:cs="宋体"/>
          <w:szCs w:val="21"/>
        </w:rPr>
        <w:t>评审时，磋商小组各成员应当独立对每个有效响应的文件进行评价、打分，然后汇总每个供应商每项评分因素的得分。</w:t>
      </w:r>
    </w:p>
    <w:p w14:paraId="3E34BC10">
      <w:pPr>
        <w:spacing w:line="360" w:lineRule="auto"/>
        <w:ind w:firstLine="420"/>
        <w:rPr>
          <w:rFonts w:ascii="宋体" w:hAnsi="宋体" w:cs="宋体"/>
          <w:szCs w:val="21"/>
        </w:rPr>
      </w:pPr>
      <w:r>
        <w:rPr>
          <w:rFonts w:hint="eastAsia" w:ascii="宋体" w:hAnsi="宋体" w:cs="宋体"/>
          <w:szCs w:val="21"/>
        </w:rPr>
        <w:t>（1）磋商小组按照磋商文件中规定的评审标准计算各供应商的报价得分。项目评审过程中，不得去掉最后报价中的最高报价和最低报价。</w:t>
      </w:r>
    </w:p>
    <w:p w14:paraId="37423F50">
      <w:pPr>
        <w:spacing w:line="360" w:lineRule="auto"/>
        <w:ind w:firstLine="420"/>
        <w:rPr>
          <w:rFonts w:ascii="宋体" w:hAnsi="宋体" w:cs="宋体"/>
          <w:szCs w:val="21"/>
        </w:rPr>
      </w:pPr>
      <w:r>
        <w:rPr>
          <w:rFonts w:hint="eastAsia" w:ascii="宋体" w:hAnsi="宋体" w:cs="宋体"/>
          <w:szCs w:val="21"/>
        </w:rPr>
        <w:t>（2）各供应商的得分为磋商小组所有成员的有效评分的算术平均数。</w:t>
      </w:r>
    </w:p>
    <w:p w14:paraId="19755DEF">
      <w:pPr>
        <w:spacing w:line="360" w:lineRule="auto"/>
        <w:ind w:firstLine="420"/>
        <w:rPr>
          <w:rFonts w:ascii="宋体" w:hAnsi="宋体" w:cs="宋体"/>
          <w:szCs w:val="21"/>
        </w:rPr>
      </w:pPr>
      <w:r>
        <w:rPr>
          <w:rFonts w:ascii="宋体" w:hAnsi="宋体" w:cs="宋体"/>
          <w:szCs w:val="21"/>
        </w:rPr>
        <w:t>5.4</w:t>
      </w:r>
      <w:r>
        <w:rPr>
          <w:rFonts w:hint="eastAsia" w:ascii="宋体" w:hAnsi="宋体" w:cs="宋体"/>
          <w:szCs w:val="21"/>
        </w:rPr>
        <w:t>评审价为供应商的最后报价进行政策性扣除后的价格，评审价只是作为评审时使用。最终成交供应商的成交金额等于最后报价（如有修正，以确认修正后的最后报价为准）。</w:t>
      </w:r>
    </w:p>
    <w:p w14:paraId="47FEAF92">
      <w:pPr>
        <w:spacing w:line="360" w:lineRule="auto"/>
        <w:ind w:firstLine="424"/>
        <w:jc w:val="left"/>
        <w:rPr>
          <w:rFonts w:ascii="宋体" w:hAnsi="宋体"/>
          <w:spacing w:val="-6"/>
          <w:szCs w:val="21"/>
          <w:highlight w:val="none"/>
        </w:rPr>
      </w:pPr>
      <w:r>
        <w:rPr>
          <w:rFonts w:ascii="宋体" w:hAnsi="宋体" w:cs="宋体"/>
          <w:szCs w:val="21"/>
          <w:highlight w:val="none"/>
        </w:rPr>
        <w:t>5.5</w:t>
      </w:r>
      <w:r>
        <w:rPr>
          <w:rFonts w:hint="eastAsia" w:ascii="宋体" w:hAnsi="宋体"/>
          <w:szCs w:val="21"/>
          <w:highlight w:val="none"/>
        </w:rPr>
        <w:t>异常低价响应审查</w:t>
      </w:r>
    </w:p>
    <w:p w14:paraId="28D29287">
      <w:pPr>
        <w:spacing w:line="360" w:lineRule="auto"/>
        <w:ind w:firstLine="420"/>
        <w:rPr>
          <w:rFonts w:ascii="宋体" w:hAnsi="宋体"/>
          <w:szCs w:val="21"/>
          <w:highlight w:val="none"/>
        </w:rPr>
      </w:pPr>
      <w:r>
        <w:rPr>
          <w:rFonts w:hint="eastAsia" w:ascii="宋体" w:hAnsi="宋体"/>
          <w:szCs w:val="21"/>
          <w:highlight w:val="none"/>
        </w:rPr>
        <w:t>（1）磋商小组在评审中发现下列情形之一的，应当启动异常低价响应审查程序：</w:t>
      </w:r>
    </w:p>
    <w:p w14:paraId="68712D55">
      <w:pPr>
        <w:spacing w:line="360" w:lineRule="auto"/>
        <w:ind w:firstLine="420"/>
        <w:rPr>
          <w:rFonts w:ascii="宋体" w:hAnsi="宋体"/>
          <w:szCs w:val="21"/>
          <w:highlight w:val="none"/>
        </w:rPr>
      </w:pPr>
      <w:r>
        <w:rPr>
          <w:rFonts w:hint="eastAsia" w:ascii="宋体" w:hAnsi="宋体"/>
          <w:szCs w:val="21"/>
          <w:highlight w:val="none"/>
        </w:rPr>
        <w:t>①响应报价低于全部通过符合性审查供应商响应报价平均值</w:t>
      </w:r>
      <w:r>
        <w:rPr>
          <w:rFonts w:hint="eastAsia" w:ascii="宋体" w:hAnsi="宋体"/>
          <w:szCs w:val="21"/>
          <w:highlight w:val="none"/>
          <w:u w:val="single"/>
        </w:rPr>
        <w:t>65%</w:t>
      </w:r>
      <w:r>
        <w:rPr>
          <w:rFonts w:hint="eastAsia" w:ascii="宋体" w:hAnsi="宋体"/>
          <w:szCs w:val="21"/>
          <w:highlight w:val="none"/>
        </w:rPr>
        <w:t>的，即响应报价＜全部通过符合性审查供应商响应报价平均值×</w:t>
      </w:r>
      <w:r>
        <w:rPr>
          <w:rFonts w:ascii="宋体" w:hAnsi="宋体"/>
          <w:szCs w:val="21"/>
          <w:highlight w:val="none"/>
          <w:u w:val="single"/>
        </w:rPr>
        <w:t xml:space="preserve"> </w:t>
      </w:r>
      <w:r>
        <w:rPr>
          <w:rFonts w:hint="eastAsia" w:ascii="宋体" w:hAnsi="宋体"/>
          <w:szCs w:val="21"/>
          <w:highlight w:val="none"/>
          <w:u w:val="single"/>
        </w:rPr>
        <w:t>65%</w:t>
      </w:r>
      <w:r>
        <w:rPr>
          <w:rFonts w:hint="eastAsia" w:ascii="宋体" w:hAnsi="宋体"/>
          <w:szCs w:val="21"/>
          <w:highlight w:val="none"/>
        </w:rPr>
        <w:t>；</w:t>
      </w:r>
    </w:p>
    <w:p w14:paraId="6C8B545B">
      <w:pPr>
        <w:spacing w:line="360" w:lineRule="auto"/>
        <w:ind w:firstLine="420"/>
        <w:rPr>
          <w:rFonts w:ascii="宋体" w:hAnsi="宋体"/>
          <w:szCs w:val="21"/>
          <w:highlight w:val="none"/>
        </w:rPr>
      </w:pPr>
      <w:r>
        <w:rPr>
          <w:rFonts w:hint="eastAsia" w:ascii="宋体" w:hAnsi="宋体"/>
          <w:szCs w:val="21"/>
          <w:highlight w:val="none"/>
        </w:rPr>
        <w:t>②响应报价低于通过符合性审查的次低报价供应商响应报价</w:t>
      </w:r>
      <w:r>
        <w:rPr>
          <w:rFonts w:hint="eastAsia" w:ascii="宋体" w:hAnsi="宋体"/>
          <w:szCs w:val="21"/>
          <w:highlight w:val="none"/>
          <w:u w:val="single"/>
        </w:rPr>
        <w:t>65%</w:t>
      </w:r>
      <w:r>
        <w:rPr>
          <w:rFonts w:hint="eastAsia" w:ascii="宋体" w:hAnsi="宋体"/>
          <w:szCs w:val="21"/>
          <w:highlight w:val="none"/>
        </w:rPr>
        <w:t>的，即响应报价＜通过符合性审查的次低报价供应商响应报价×</w:t>
      </w:r>
      <w:r>
        <w:rPr>
          <w:rFonts w:hint="eastAsia" w:ascii="宋体" w:hAnsi="宋体"/>
          <w:szCs w:val="21"/>
          <w:highlight w:val="none"/>
          <w:u w:val="single"/>
        </w:rPr>
        <w:t>65%</w:t>
      </w:r>
      <w:r>
        <w:rPr>
          <w:rFonts w:hint="eastAsia" w:ascii="宋体" w:hAnsi="宋体"/>
          <w:szCs w:val="21"/>
          <w:highlight w:val="none"/>
        </w:rPr>
        <w:t>；</w:t>
      </w:r>
    </w:p>
    <w:p w14:paraId="4ED051C2">
      <w:pPr>
        <w:spacing w:line="360" w:lineRule="auto"/>
        <w:ind w:firstLine="420"/>
        <w:rPr>
          <w:rFonts w:ascii="宋体" w:hAnsi="宋体"/>
          <w:szCs w:val="21"/>
          <w:highlight w:val="none"/>
        </w:rPr>
      </w:pPr>
      <w:r>
        <w:rPr>
          <w:rFonts w:hint="eastAsia" w:ascii="宋体" w:hAnsi="宋体"/>
          <w:szCs w:val="21"/>
          <w:highlight w:val="none"/>
        </w:rPr>
        <w:t>③响应报价低于采购项目最高限价</w:t>
      </w:r>
      <w:r>
        <w:rPr>
          <w:rFonts w:hint="eastAsia" w:ascii="宋体" w:hAnsi="宋体"/>
          <w:szCs w:val="21"/>
          <w:highlight w:val="none"/>
          <w:u w:val="single"/>
        </w:rPr>
        <w:t>65%</w:t>
      </w:r>
      <w:r>
        <w:rPr>
          <w:rFonts w:hint="eastAsia" w:ascii="宋体" w:hAnsi="宋体"/>
          <w:szCs w:val="21"/>
          <w:highlight w:val="none"/>
        </w:rPr>
        <w:t>的，即响应报价＜采购项目最高限价×</w:t>
      </w:r>
      <w:r>
        <w:rPr>
          <w:rFonts w:hint="eastAsia" w:ascii="宋体" w:hAnsi="宋体"/>
          <w:szCs w:val="21"/>
          <w:highlight w:val="none"/>
          <w:u w:val="single"/>
        </w:rPr>
        <w:t>65%</w:t>
      </w:r>
      <w:r>
        <w:rPr>
          <w:rFonts w:hint="eastAsia" w:ascii="宋体" w:hAnsi="宋体"/>
          <w:szCs w:val="21"/>
          <w:highlight w:val="none"/>
        </w:rPr>
        <w:t>；</w:t>
      </w:r>
    </w:p>
    <w:p w14:paraId="61A7BC13">
      <w:pPr>
        <w:spacing w:line="360" w:lineRule="auto"/>
        <w:ind w:firstLine="420"/>
        <w:rPr>
          <w:rFonts w:ascii="宋体" w:hAnsi="宋体"/>
          <w:szCs w:val="21"/>
        </w:rPr>
      </w:pPr>
      <w:r>
        <w:rPr>
          <w:rFonts w:hint="eastAsia" w:ascii="宋体" w:hAnsi="宋体"/>
          <w:szCs w:val="21"/>
        </w:rPr>
        <w:t>④磋商小组基于专业判断，认为供应商报价过低，有可能影响产品质量或者不能诚信履约的其他情形。</w:t>
      </w:r>
    </w:p>
    <w:p w14:paraId="6BAD1C29">
      <w:pPr>
        <w:spacing w:line="360" w:lineRule="auto"/>
        <w:ind w:firstLine="420"/>
        <w:rPr>
          <w:rFonts w:ascii="宋体" w:hAnsi="宋体"/>
          <w:szCs w:val="21"/>
        </w:rPr>
      </w:pPr>
      <w:r>
        <w:rPr>
          <w:rFonts w:hint="eastAsia" w:ascii="宋体" w:hAnsi="宋体"/>
          <w:szCs w:val="21"/>
        </w:rPr>
        <w:t>（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5348F900">
      <w:pPr>
        <w:spacing w:line="360" w:lineRule="auto"/>
        <w:ind w:firstLine="420"/>
        <w:rPr>
          <w:rFonts w:ascii="宋体" w:hAnsi="宋体"/>
          <w:szCs w:val="21"/>
        </w:rPr>
      </w:pPr>
      <w:r>
        <w:rPr>
          <w:rFonts w:hint="eastAsia" w:ascii="宋体" w:hAnsi="宋体"/>
          <w:szCs w:val="21"/>
        </w:rPr>
        <w:t>磋商小组依据专业经验，参考同类项目中标（成交）价格、类似产品市场价格水平、行业人工费用标准、国家有关部门指导行业协会发布的行业平均成本等情况，对报价合理性进行判断。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szCs w:val="21"/>
        </w:rPr>
        <w:t>相关供应商不能提供书面说明、证明材料，或者提供的书面说明、证明材料不能证明其报价合理性的，磋商小组应当将其作为无效响应处理。</w:t>
      </w:r>
    </w:p>
    <w:p w14:paraId="2113C821">
      <w:pPr>
        <w:spacing w:line="360" w:lineRule="auto"/>
        <w:ind w:firstLine="420"/>
        <w:rPr>
          <w:rFonts w:ascii="宋体" w:hAnsi="宋体"/>
          <w:szCs w:val="21"/>
        </w:rPr>
      </w:pPr>
      <w:r>
        <w:rPr>
          <w:rFonts w:hint="eastAsia" w:ascii="宋体" w:hAnsi="宋体"/>
          <w:szCs w:val="21"/>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0CE0ABC7">
      <w:pPr>
        <w:spacing w:line="360" w:lineRule="auto"/>
        <w:ind w:firstLine="420"/>
        <w:rPr>
          <w:rFonts w:ascii="宋体" w:hAnsi="宋体" w:cs="宋体"/>
          <w:szCs w:val="21"/>
        </w:rPr>
      </w:pPr>
      <w:r>
        <w:rPr>
          <w:rFonts w:hint="eastAsia" w:ascii="宋体" w:hAnsi="宋体"/>
          <w:szCs w:val="21"/>
        </w:rPr>
        <w:t>异常低价响应审查的启动原因、审查意见和审查结果应当在评审报告中记录，并随供应商提供的相关书面说明及证明材料，以及磋商小组有关互联网浏览、查询历史一并归档。</w:t>
      </w:r>
    </w:p>
    <w:p w14:paraId="1048DF08">
      <w:pPr>
        <w:spacing w:line="360" w:lineRule="auto"/>
        <w:ind w:firstLine="420"/>
        <w:rPr>
          <w:rFonts w:ascii="宋体" w:hAnsi="宋体"/>
          <w:szCs w:val="21"/>
        </w:rPr>
      </w:pPr>
      <w:r>
        <w:rPr>
          <w:rFonts w:ascii="宋体" w:hAnsi="宋体" w:cs="宋体"/>
          <w:szCs w:val="21"/>
        </w:rPr>
        <w:t>5.</w:t>
      </w:r>
      <w:r>
        <w:rPr>
          <w:rFonts w:hint="eastAsia" w:ascii="宋体" w:hAnsi="宋体" w:cs="宋体"/>
          <w:szCs w:val="21"/>
        </w:rPr>
        <w:t>6由磋商小组根据综合评分情况，按照评审得分由高到低顺序推荐3名以上成交候选供应商，并编写评</w:t>
      </w:r>
      <w:r>
        <w:rPr>
          <w:rFonts w:hint="eastAsia" w:ascii="宋体" w:hAnsi="宋体"/>
          <w:szCs w:val="21"/>
        </w:rPr>
        <w:t>审报告。符合本章第</w:t>
      </w:r>
      <w:r>
        <w:rPr>
          <w:rFonts w:ascii="宋体" w:hAnsi="宋体"/>
          <w:szCs w:val="21"/>
        </w:rPr>
        <w:t>4.3</w:t>
      </w:r>
      <w:r>
        <w:rPr>
          <w:rFonts w:hint="eastAsia" w:ascii="宋体" w:hAnsi="宋体"/>
          <w:szCs w:val="21"/>
        </w:rPr>
        <w:t>条情形的，可以推荐2家成交候选供应商。评审得分相同的，按照最后报价由低到高的顺序推荐。评审得分且最后报价相同的，按照技术指标优劣顺序推荐。</w:t>
      </w:r>
    </w:p>
    <w:p w14:paraId="06CD3FB6">
      <w:pPr>
        <w:spacing w:line="360" w:lineRule="auto"/>
        <w:ind w:firstLine="420"/>
        <w:rPr>
          <w:rFonts w:ascii="宋体" w:hAnsi="宋体" w:cs="宋体"/>
          <w:szCs w:val="21"/>
        </w:rPr>
      </w:pPr>
      <w:r>
        <w:rPr>
          <w:rFonts w:ascii="宋体" w:hAnsi="宋体"/>
          <w:szCs w:val="21"/>
        </w:rPr>
        <w:t>5.</w:t>
      </w:r>
      <w:r>
        <w:rPr>
          <w:rFonts w:hint="eastAsia" w:ascii="宋体" w:hAnsi="宋体"/>
          <w:szCs w:val="21"/>
        </w:rPr>
        <w:t>7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3354BDFE">
      <w:pPr>
        <w:spacing w:line="360" w:lineRule="auto"/>
        <w:jc w:val="center"/>
        <w:rPr>
          <w:rFonts w:ascii="宋体" w:hAnsi="宋体"/>
          <w:b/>
          <w:sz w:val="32"/>
          <w:szCs w:val="32"/>
        </w:rPr>
      </w:pPr>
      <w:r>
        <w:rPr>
          <w:rFonts w:hint="eastAsia" w:ascii="宋体" w:hAnsi="宋体"/>
          <w:b/>
          <w:sz w:val="32"/>
          <w:szCs w:val="32"/>
        </w:rPr>
        <w:t>二、评审标准</w:t>
      </w:r>
    </w:p>
    <w:p w14:paraId="405E50B3">
      <w:pPr>
        <w:spacing w:line="360" w:lineRule="auto"/>
        <w:ind w:firstLine="420"/>
        <w:rPr>
          <w:rFonts w:ascii="宋体" w:hAnsi="宋体"/>
          <w:bCs/>
          <w:szCs w:val="21"/>
        </w:rPr>
      </w:pPr>
      <w:r>
        <w:rPr>
          <w:rFonts w:hint="eastAsia" w:ascii="宋体" w:hAnsi="宋体"/>
          <w:bCs/>
          <w:szCs w:val="21"/>
        </w:rPr>
        <w:t>6</w:t>
      </w:r>
      <w:r>
        <w:rPr>
          <w:rFonts w:ascii="宋体" w:hAnsi="宋体"/>
          <w:bCs/>
          <w:szCs w:val="21"/>
        </w:rPr>
        <w:t>.</w:t>
      </w:r>
      <w:r>
        <w:rPr>
          <w:rFonts w:hint="eastAsia" w:ascii="宋体" w:hAnsi="宋体"/>
          <w:bCs/>
          <w:szCs w:val="21"/>
        </w:rPr>
        <w:t>评审依据：磋商小组将以磋商响应文件为评审依据，对供应商的报价、技术、商务等方面内容按百分制打分。（计分方法按四舍五入取至百分位）</w:t>
      </w:r>
    </w:p>
    <w:p w14:paraId="067D9360">
      <w:pPr>
        <w:spacing w:line="560" w:lineRule="exact"/>
        <w:ind w:firstLine="643"/>
        <w:jc w:val="center"/>
        <w:rPr>
          <w:rFonts w:ascii="宋体" w:hAnsi="宋体" w:cs="宋体"/>
          <w:b/>
          <w:bCs/>
          <w:sz w:val="32"/>
          <w:szCs w:val="32"/>
        </w:rPr>
      </w:pPr>
    </w:p>
    <w:tbl>
      <w:tblPr>
        <w:tblStyle w:val="44"/>
        <w:tblW w:w="9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85"/>
        <w:gridCol w:w="1701"/>
        <w:gridCol w:w="5660"/>
      </w:tblGrid>
      <w:tr w14:paraId="7EB1A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7" w:type="dxa"/>
            <w:gridSpan w:val="2"/>
            <w:vAlign w:val="center"/>
          </w:tcPr>
          <w:p w14:paraId="1D454398">
            <w:pPr>
              <w:spacing w:line="360" w:lineRule="auto"/>
              <w:jc w:val="center"/>
              <w:rPr>
                <w:rFonts w:ascii="宋体" w:hAnsi="宋体" w:cs="宋体"/>
                <w:b/>
                <w:szCs w:val="21"/>
              </w:rPr>
            </w:pPr>
            <w:r>
              <w:rPr>
                <w:rFonts w:hint="eastAsia" w:ascii="宋体" w:hAnsi="宋体" w:cs="宋体"/>
                <w:b/>
                <w:szCs w:val="21"/>
              </w:rPr>
              <w:t>序号</w:t>
            </w:r>
          </w:p>
        </w:tc>
        <w:tc>
          <w:tcPr>
            <w:tcW w:w="1701" w:type="dxa"/>
            <w:vAlign w:val="center"/>
          </w:tcPr>
          <w:p w14:paraId="24DB79E7">
            <w:pPr>
              <w:spacing w:line="360" w:lineRule="auto"/>
              <w:jc w:val="center"/>
              <w:rPr>
                <w:rFonts w:ascii="宋体" w:hAnsi="宋体" w:cs="宋体"/>
                <w:b/>
                <w:szCs w:val="21"/>
              </w:rPr>
            </w:pPr>
            <w:r>
              <w:rPr>
                <w:rFonts w:hint="eastAsia" w:ascii="宋体" w:hAnsi="宋体" w:cs="宋体"/>
                <w:b/>
                <w:szCs w:val="21"/>
              </w:rPr>
              <w:t>评审因素</w:t>
            </w:r>
          </w:p>
        </w:tc>
        <w:tc>
          <w:tcPr>
            <w:tcW w:w="5660" w:type="dxa"/>
            <w:vAlign w:val="center"/>
          </w:tcPr>
          <w:p w14:paraId="05ED8A97">
            <w:pPr>
              <w:spacing w:line="360" w:lineRule="auto"/>
              <w:jc w:val="center"/>
              <w:rPr>
                <w:rFonts w:ascii="宋体" w:hAnsi="宋体" w:cs="宋体"/>
                <w:b/>
                <w:szCs w:val="21"/>
              </w:rPr>
            </w:pPr>
            <w:r>
              <w:rPr>
                <w:rFonts w:hint="eastAsia" w:ascii="宋体" w:hAnsi="宋体" w:cs="宋体"/>
                <w:b/>
                <w:szCs w:val="21"/>
              </w:rPr>
              <w:t>评标标准</w:t>
            </w:r>
          </w:p>
        </w:tc>
      </w:tr>
      <w:tr w14:paraId="27A43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614B421D">
            <w:pPr>
              <w:spacing w:line="360" w:lineRule="auto"/>
              <w:jc w:val="center"/>
              <w:rPr>
                <w:rFonts w:ascii="宋体" w:hAnsi="宋体" w:cs="宋体"/>
                <w:szCs w:val="21"/>
              </w:rPr>
            </w:pPr>
            <w:r>
              <w:rPr>
                <w:rFonts w:hint="eastAsia" w:ascii="宋体" w:hAnsi="宋体" w:cs="宋体"/>
                <w:szCs w:val="21"/>
              </w:rPr>
              <w:t>1</w:t>
            </w:r>
          </w:p>
        </w:tc>
        <w:tc>
          <w:tcPr>
            <w:tcW w:w="1585" w:type="dxa"/>
            <w:vAlign w:val="center"/>
          </w:tcPr>
          <w:p w14:paraId="1715A3B5">
            <w:pPr>
              <w:spacing w:line="360" w:lineRule="auto"/>
              <w:jc w:val="center"/>
              <w:rPr>
                <w:rFonts w:ascii="宋体" w:hAnsi="宋体" w:cs="宋体"/>
                <w:b/>
                <w:bCs/>
                <w:szCs w:val="21"/>
              </w:rPr>
            </w:pPr>
            <w:r>
              <w:rPr>
                <w:rFonts w:hint="eastAsia" w:ascii="宋体" w:hAnsi="宋体" w:cs="宋体"/>
                <w:b/>
                <w:bCs/>
                <w:szCs w:val="21"/>
              </w:rPr>
              <w:t>价格分</w:t>
            </w:r>
          </w:p>
          <w:p w14:paraId="65160CC5">
            <w:pPr>
              <w:spacing w:line="360" w:lineRule="auto"/>
              <w:jc w:val="center"/>
              <w:rPr>
                <w:rFonts w:ascii="宋体" w:hAnsi="宋体" w:cs="宋体"/>
                <w:b/>
                <w:bCs/>
                <w:szCs w:val="21"/>
              </w:rPr>
            </w:pPr>
            <w:r>
              <w:rPr>
                <w:rFonts w:hint="eastAsia" w:ascii="宋体" w:hAnsi="宋体" w:cs="宋体"/>
                <w:b/>
                <w:bCs/>
                <w:szCs w:val="21"/>
              </w:rPr>
              <w:t>（满分</w:t>
            </w:r>
            <w:r>
              <w:rPr>
                <w:rFonts w:hint="eastAsia" w:ascii="宋体" w:hAnsi="宋体" w:cs="宋体"/>
                <w:b/>
                <w:bCs/>
                <w:szCs w:val="21"/>
                <w:u w:val="single"/>
              </w:rPr>
              <w:t>20</w:t>
            </w:r>
            <w:r>
              <w:rPr>
                <w:rFonts w:hint="eastAsia" w:ascii="宋体" w:hAnsi="宋体" w:cs="宋体"/>
                <w:b/>
                <w:bCs/>
                <w:szCs w:val="21"/>
              </w:rPr>
              <w:t>分）</w:t>
            </w:r>
          </w:p>
        </w:tc>
        <w:tc>
          <w:tcPr>
            <w:tcW w:w="1701" w:type="dxa"/>
            <w:vAlign w:val="center"/>
          </w:tcPr>
          <w:p w14:paraId="456C611D">
            <w:pPr>
              <w:spacing w:line="360" w:lineRule="auto"/>
              <w:jc w:val="center"/>
              <w:rPr>
                <w:rFonts w:ascii="宋体" w:hAnsi="宋体" w:cs="宋体"/>
                <w:b/>
                <w:bCs/>
                <w:szCs w:val="21"/>
              </w:rPr>
            </w:pPr>
            <w:r>
              <w:rPr>
                <w:rFonts w:hint="eastAsia" w:ascii="宋体" w:hAnsi="宋体" w:cs="宋体"/>
                <w:b/>
                <w:bCs/>
                <w:szCs w:val="21"/>
              </w:rPr>
              <w:t>竞标报价</w:t>
            </w:r>
          </w:p>
        </w:tc>
        <w:tc>
          <w:tcPr>
            <w:tcW w:w="5660" w:type="dxa"/>
            <w:vAlign w:val="center"/>
          </w:tcPr>
          <w:p w14:paraId="7FC338C1">
            <w:pPr>
              <w:spacing w:line="360" w:lineRule="auto"/>
              <w:rPr>
                <w:rFonts w:ascii="宋体" w:hAnsi="宋体" w:cs="宋体"/>
                <w:bCs/>
                <w:szCs w:val="21"/>
              </w:rPr>
            </w:pPr>
            <w:r>
              <w:rPr>
                <w:rFonts w:hint="eastAsia" w:ascii="宋体" w:hAnsi="宋体" w:cs="宋体"/>
                <w:bCs/>
                <w:szCs w:val="21"/>
              </w:rPr>
              <w:t>1.满足竞争性磋商文件要求且最后报价最低的为评审基准价，其价格分为满分。</w:t>
            </w:r>
          </w:p>
          <w:p w14:paraId="3C0C9CC6">
            <w:pPr>
              <w:spacing w:line="360" w:lineRule="auto"/>
              <w:rPr>
                <w:rFonts w:ascii="宋体" w:hAnsi="宋体" w:cs="宋体"/>
                <w:bCs/>
                <w:szCs w:val="21"/>
              </w:rPr>
            </w:pPr>
            <w:r>
              <w:rPr>
                <w:rFonts w:hint="eastAsia" w:ascii="宋体" w:hAnsi="宋体" w:cs="宋体"/>
                <w:bCs/>
                <w:szCs w:val="21"/>
              </w:rPr>
              <w:t xml:space="preserve">2.价格分计算公式：        </w:t>
            </w:r>
          </w:p>
          <w:p w14:paraId="5FE81249">
            <w:pPr>
              <w:widowControl/>
              <w:spacing w:line="360" w:lineRule="auto"/>
              <w:jc w:val="left"/>
              <w:rPr>
                <w:rFonts w:ascii="宋体" w:hAnsi="宋体" w:cs="宋体"/>
                <w:bCs/>
                <w:szCs w:val="21"/>
              </w:rPr>
            </w:pPr>
            <w:r>
              <w:rPr>
                <w:rFonts w:hint="eastAsia" w:ascii="宋体" w:hAnsi="宋体" w:cs="宋体"/>
                <w:bCs/>
                <w:szCs w:val="21"/>
              </w:rPr>
              <w:t>价格分=（评审基准价／</w:t>
            </w:r>
            <w:r>
              <w:rPr>
                <w:rFonts w:hint="eastAsia" w:ascii="宋体" w:hAnsi="宋体" w:cs="宋体"/>
                <w:color w:val="000000"/>
                <w:szCs w:val="21"/>
              </w:rPr>
              <w:t>投标人报价</w:t>
            </w:r>
            <w:r>
              <w:rPr>
                <w:rFonts w:hint="eastAsia" w:ascii="宋体" w:hAnsi="宋体" w:cs="宋体"/>
                <w:bCs/>
                <w:szCs w:val="21"/>
              </w:rPr>
              <w:t>）×20分</w:t>
            </w:r>
          </w:p>
          <w:p w14:paraId="2F74D349">
            <w:pPr>
              <w:pStyle w:val="54"/>
              <w:spacing w:line="360" w:lineRule="auto"/>
              <w:rPr>
                <w:rFonts w:hint="default"/>
              </w:rPr>
            </w:pPr>
            <w:r>
              <w:rPr>
                <w:rFonts w:ascii="宋体" w:hAnsi="宋体" w:cs="宋体"/>
                <w:bCs/>
                <w:sz w:val="21"/>
                <w:szCs w:val="21"/>
              </w:rPr>
              <w:t>3.本项目</w:t>
            </w:r>
            <w:r>
              <w:rPr>
                <w:rFonts w:ascii="宋体" w:hAnsi="宋体"/>
                <w:bCs/>
                <w:color w:val="000000"/>
                <w:sz w:val="21"/>
                <w:szCs w:val="21"/>
              </w:rPr>
              <w:t>面向中小企业采购，因此价格分部</w:t>
            </w:r>
            <w:r>
              <w:rPr>
                <w:rFonts w:hint="eastAsia" w:ascii="宋体" w:hAnsi="宋体"/>
                <w:bCs/>
                <w:color w:val="000000"/>
                <w:sz w:val="21"/>
                <w:szCs w:val="21"/>
                <w:lang w:eastAsia="zh-CN"/>
              </w:rPr>
              <w:t>份</w:t>
            </w:r>
            <w:r>
              <w:rPr>
                <w:rFonts w:ascii="宋体" w:hAnsi="宋体"/>
                <w:bCs/>
                <w:color w:val="000000"/>
                <w:sz w:val="21"/>
                <w:szCs w:val="21"/>
              </w:rPr>
              <w:t>不再进行政策性扣除。</w:t>
            </w:r>
          </w:p>
        </w:tc>
      </w:tr>
      <w:tr w14:paraId="2DD7E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restart"/>
            <w:vAlign w:val="center"/>
          </w:tcPr>
          <w:p w14:paraId="6D740763">
            <w:pPr>
              <w:spacing w:line="360" w:lineRule="auto"/>
              <w:jc w:val="center"/>
              <w:rPr>
                <w:rFonts w:ascii="宋体" w:hAnsi="宋体" w:cs="宋体"/>
                <w:szCs w:val="21"/>
              </w:rPr>
            </w:pPr>
            <w:r>
              <w:rPr>
                <w:rFonts w:hint="eastAsia" w:ascii="宋体" w:hAnsi="宋体" w:cs="宋体"/>
                <w:szCs w:val="21"/>
              </w:rPr>
              <w:t>2</w:t>
            </w:r>
          </w:p>
        </w:tc>
        <w:tc>
          <w:tcPr>
            <w:tcW w:w="1585" w:type="dxa"/>
            <w:vMerge w:val="restart"/>
            <w:vAlign w:val="center"/>
          </w:tcPr>
          <w:p w14:paraId="7D9BADC3">
            <w:pPr>
              <w:spacing w:line="360" w:lineRule="auto"/>
              <w:ind w:left="-105" w:right="-105"/>
              <w:jc w:val="center"/>
              <w:rPr>
                <w:rFonts w:ascii="宋体" w:hAnsi="宋体" w:cs="宋体"/>
                <w:b/>
                <w:szCs w:val="21"/>
              </w:rPr>
            </w:pPr>
            <w:r>
              <w:rPr>
                <w:rFonts w:hint="eastAsia" w:ascii="宋体" w:hAnsi="宋体" w:cs="宋体"/>
                <w:b/>
                <w:szCs w:val="21"/>
              </w:rPr>
              <w:t>技术分</w:t>
            </w:r>
          </w:p>
          <w:p w14:paraId="2BF4C5E3">
            <w:pPr>
              <w:spacing w:line="360" w:lineRule="auto"/>
              <w:ind w:left="-105" w:right="-105"/>
              <w:jc w:val="center"/>
              <w:rPr>
                <w:rFonts w:ascii="宋体" w:hAnsi="宋体" w:cs="宋体"/>
                <w:b/>
                <w:szCs w:val="21"/>
              </w:rPr>
            </w:pPr>
            <w:r>
              <w:rPr>
                <w:rFonts w:hint="eastAsia" w:ascii="宋体" w:hAnsi="宋体" w:cs="宋体"/>
                <w:b/>
                <w:szCs w:val="21"/>
              </w:rPr>
              <w:t>（实施方案及服务承诺分）</w:t>
            </w:r>
          </w:p>
          <w:p w14:paraId="5D8DFE2F">
            <w:pPr>
              <w:spacing w:line="360" w:lineRule="auto"/>
              <w:ind w:left="-105" w:right="-105"/>
              <w:jc w:val="center"/>
              <w:rPr>
                <w:rFonts w:ascii="宋体" w:hAnsi="宋体" w:cs="宋体"/>
                <w:spacing w:val="-18"/>
                <w:szCs w:val="21"/>
              </w:rPr>
            </w:pPr>
            <w:r>
              <w:rPr>
                <w:rFonts w:hint="eastAsia" w:ascii="宋体" w:hAnsi="宋体" w:cs="宋体"/>
                <w:b/>
                <w:szCs w:val="21"/>
              </w:rPr>
              <w:t>（满分</w:t>
            </w:r>
            <w:r>
              <w:rPr>
                <w:rFonts w:hint="eastAsia" w:ascii="宋体" w:hAnsi="宋体" w:cs="宋体"/>
                <w:b/>
                <w:szCs w:val="21"/>
                <w:u w:val="single"/>
              </w:rPr>
              <w:t>50</w:t>
            </w:r>
            <w:r>
              <w:rPr>
                <w:rFonts w:hint="eastAsia" w:ascii="宋体" w:hAnsi="宋体" w:cs="宋体"/>
                <w:b/>
                <w:szCs w:val="21"/>
              </w:rPr>
              <w:t>分</w:t>
            </w:r>
            <w:r>
              <w:rPr>
                <w:rFonts w:hint="eastAsia" w:ascii="宋体" w:hAnsi="宋体" w:cs="宋体"/>
                <w:bCs/>
                <w:szCs w:val="21"/>
              </w:rPr>
              <w:t>）</w:t>
            </w:r>
          </w:p>
        </w:tc>
        <w:tc>
          <w:tcPr>
            <w:tcW w:w="1701" w:type="dxa"/>
            <w:vAlign w:val="center"/>
          </w:tcPr>
          <w:p w14:paraId="17DF263C">
            <w:pPr>
              <w:spacing w:line="360" w:lineRule="auto"/>
              <w:jc w:val="center"/>
              <w:rPr>
                <w:rFonts w:ascii="宋体" w:hAnsi="宋体" w:cs="宋体"/>
                <w:szCs w:val="21"/>
              </w:rPr>
            </w:pPr>
            <w:r>
              <w:rPr>
                <w:rFonts w:hint="eastAsia" w:ascii="宋体" w:hAnsi="宋体" w:cs="宋体"/>
                <w:b/>
                <w:szCs w:val="21"/>
              </w:rPr>
              <w:t>2.1管理制度（满分12分）</w:t>
            </w:r>
          </w:p>
        </w:tc>
        <w:tc>
          <w:tcPr>
            <w:tcW w:w="5660" w:type="dxa"/>
            <w:vAlign w:val="center"/>
          </w:tcPr>
          <w:p w14:paraId="4D76E46B">
            <w:pPr>
              <w:spacing w:line="360" w:lineRule="auto"/>
              <w:ind w:firstLine="480"/>
              <w:rPr>
                <w:rFonts w:ascii="宋体" w:hAnsi="宋体" w:cs="宋体"/>
                <w:bCs/>
                <w:szCs w:val="21"/>
              </w:rPr>
            </w:pPr>
            <w:r>
              <w:rPr>
                <w:rFonts w:hint="eastAsia" w:ascii="宋体" w:hAnsi="宋体" w:cs="宋体"/>
                <w:bCs/>
                <w:szCs w:val="21"/>
              </w:rPr>
              <w:t>1.组织构架、岗位设置；</w:t>
            </w:r>
          </w:p>
          <w:p w14:paraId="605114CC">
            <w:pPr>
              <w:spacing w:line="360" w:lineRule="auto"/>
              <w:ind w:firstLine="480"/>
              <w:rPr>
                <w:rFonts w:ascii="宋体" w:hAnsi="宋体" w:cs="宋体"/>
                <w:bCs/>
                <w:szCs w:val="21"/>
              </w:rPr>
            </w:pPr>
            <w:r>
              <w:rPr>
                <w:rFonts w:hint="eastAsia" w:ascii="宋体" w:hAnsi="宋体" w:cs="宋体"/>
                <w:bCs/>
                <w:szCs w:val="21"/>
              </w:rPr>
              <w:t>2.管理制度（职责分工，健康管理，食品协议准入，进货检查，食品质量自检，实验室管理，食品存储、运输，不合格食品退市、召回，购销台账，财务管理）；</w:t>
            </w:r>
          </w:p>
          <w:p w14:paraId="01E03C60">
            <w:pPr>
              <w:spacing w:line="360" w:lineRule="auto"/>
              <w:ind w:firstLine="480"/>
              <w:rPr>
                <w:rFonts w:ascii="宋体" w:hAnsi="宋体" w:cs="宋体"/>
                <w:bCs/>
                <w:szCs w:val="21"/>
              </w:rPr>
            </w:pPr>
            <w:r>
              <w:rPr>
                <w:rFonts w:hint="eastAsia" w:ascii="宋体" w:hAnsi="宋体" w:cs="宋体"/>
                <w:bCs/>
                <w:szCs w:val="21"/>
              </w:rPr>
              <w:t>3.食品安全事故应急处置；</w:t>
            </w:r>
          </w:p>
          <w:p w14:paraId="4E27B9A8">
            <w:pPr>
              <w:spacing w:line="360" w:lineRule="auto"/>
              <w:ind w:firstLine="480"/>
              <w:rPr>
                <w:rFonts w:ascii="宋体" w:hAnsi="宋体" w:cs="宋体"/>
                <w:bCs/>
                <w:szCs w:val="21"/>
              </w:rPr>
            </w:pPr>
            <w:r>
              <w:rPr>
                <w:rFonts w:hint="eastAsia" w:ascii="宋体" w:hAnsi="宋体" w:cs="宋体"/>
                <w:bCs/>
                <w:szCs w:val="21"/>
              </w:rPr>
              <w:t>4.员工食品安全培训；</w:t>
            </w:r>
          </w:p>
          <w:p w14:paraId="283C222A">
            <w:pPr>
              <w:spacing w:line="360" w:lineRule="auto"/>
              <w:ind w:firstLine="480"/>
              <w:rPr>
                <w:rFonts w:ascii="宋体" w:hAnsi="宋体" w:cs="宋体"/>
                <w:bCs/>
                <w:szCs w:val="21"/>
              </w:rPr>
            </w:pPr>
            <w:r>
              <w:rPr>
                <w:rFonts w:hint="eastAsia" w:ascii="宋体" w:hAnsi="宋体" w:cs="宋体"/>
                <w:bCs/>
                <w:szCs w:val="21"/>
              </w:rPr>
              <w:t>5.配送人员培训</w:t>
            </w:r>
            <w:r>
              <w:rPr>
                <w:rFonts w:hint="eastAsia" w:ascii="宋体" w:hAnsi="宋体" w:cs="宋体"/>
                <w:szCs w:val="21"/>
              </w:rPr>
              <w:t>；</w:t>
            </w:r>
          </w:p>
          <w:p w14:paraId="6EFA6913">
            <w:pPr>
              <w:spacing w:line="360" w:lineRule="auto"/>
              <w:ind w:firstLine="480"/>
              <w:rPr>
                <w:rFonts w:ascii="宋体" w:hAnsi="宋体" w:cs="宋体"/>
                <w:bCs/>
                <w:szCs w:val="21"/>
              </w:rPr>
            </w:pPr>
            <w:r>
              <w:rPr>
                <w:rFonts w:hint="eastAsia" w:ascii="宋体" w:hAnsi="宋体" w:cs="宋体"/>
                <w:bCs/>
                <w:szCs w:val="21"/>
              </w:rPr>
              <w:t>6.考核等制度；</w:t>
            </w:r>
          </w:p>
          <w:p w14:paraId="5BFF5B3A">
            <w:pPr>
              <w:spacing w:line="360" w:lineRule="auto"/>
              <w:ind w:firstLine="480"/>
              <w:rPr>
                <w:rFonts w:ascii="宋体" w:hAnsi="宋体" w:cs="宋体"/>
                <w:szCs w:val="21"/>
              </w:rPr>
            </w:pPr>
            <w:r>
              <w:rPr>
                <w:rFonts w:hint="eastAsia" w:ascii="宋体" w:hAnsi="宋体" w:cs="宋体"/>
                <w:bCs/>
                <w:szCs w:val="21"/>
              </w:rPr>
              <w:t>以上1~6项评分标准（每项最高得2分，各项合计满分12分），其中 ：缺项（0分）、内容全面充分（1分）、有针对性，符合采购需求、有利于项目实施（1分）。</w:t>
            </w:r>
          </w:p>
        </w:tc>
      </w:tr>
      <w:tr w14:paraId="4538B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490CFD09">
            <w:pPr>
              <w:spacing w:line="360" w:lineRule="auto"/>
              <w:jc w:val="center"/>
              <w:rPr>
                <w:rFonts w:ascii="宋体" w:hAnsi="宋体" w:cs="宋体"/>
                <w:szCs w:val="21"/>
              </w:rPr>
            </w:pPr>
          </w:p>
        </w:tc>
        <w:tc>
          <w:tcPr>
            <w:tcW w:w="1585" w:type="dxa"/>
            <w:vMerge w:val="continue"/>
            <w:vAlign w:val="center"/>
          </w:tcPr>
          <w:p w14:paraId="22ED10F2">
            <w:pPr>
              <w:spacing w:line="360" w:lineRule="auto"/>
              <w:ind w:left="-105" w:right="-105"/>
              <w:jc w:val="center"/>
              <w:rPr>
                <w:rFonts w:ascii="宋体" w:hAnsi="宋体" w:cs="宋体"/>
                <w:bCs/>
                <w:szCs w:val="21"/>
              </w:rPr>
            </w:pPr>
          </w:p>
        </w:tc>
        <w:tc>
          <w:tcPr>
            <w:tcW w:w="1701" w:type="dxa"/>
            <w:vAlign w:val="center"/>
          </w:tcPr>
          <w:p w14:paraId="4A97E515">
            <w:pPr>
              <w:spacing w:line="360" w:lineRule="auto"/>
              <w:rPr>
                <w:rFonts w:ascii="宋体" w:hAnsi="宋体" w:cs="宋体"/>
                <w:b/>
                <w:szCs w:val="21"/>
              </w:rPr>
            </w:pPr>
            <w:r>
              <w:rPr>
                <w:rFonts w:hint="eastAsia" w:ascii="宋体" w:hAnsi="宋体" w:cs="宋体"/>
                <w:b/>
                <w:szCs w:val="21"/>
              </w:rPr>
              <w:t>2.2食材安全管理（满分 10 分）</w:t>
            </w:r>
          </w:p>
          <w:p w14:paraId="47297722">
            <w:pPr>
              <w:spacing w:line="360" w:lineRule="auto"/>
              <w:jc w:val="center"/>
              <w:rPr>
                <w:rFonts w:ascii="宋体" w:hAnsi="宋体" w:cs="宋体"/>
                <w:b/>
                <w:bCs/>
                <w:szCs w:val="21"/>
              </w:rPr>
            </w:pPr>
          </w:p>
        </w:tc>
        <w:tc>
          <w:tcPr>
            <w:tcW w:w="5660" w:type="dxa"/>
            <w:vAlign w:val="center"/>
          </w:tcPr>
          <w:p w14:paraId="4AD3ADA6">
            <w:pPr>
              <w:spacing w:line="360" w:lineRule="auto"/>
              <w:ind w:firstLine="480"/>
              <w:rPr>
                <w:rFonts w:ascii="宋体" w:hAnsi="宋体" w:cs="宋体"/>
                <w:bCs/>
                <w:szCs w:val="21"/>
              </w:rPr>
            </w:pPr>
            <w:r>
              <w:rPr>
                <w:rFonts w:hint="eastAsia" w:ascii="宋体" w:hAnsi="宋体" w:cs="宋体"/>
                <w:bCs/>
                <w:szCs w:val="21"/>
              </w:rPr>
              <w:t>1.进货采购渠道；</w:t>
            </w:r>
          </w:p>
          <w:p w14:paraId="42028575">
            <w:pPr>
              <w:spacing w:line="360" w:lineRule="auto"/>
              <w:ind w:firstLine="480"/>
              <w:rPr>
                <w:rFonts w:ascii="宋体" w:hAnsi="宋体" w:cs="宋体"/>
                <w:bCs/>
                <w:szCs w:val="21"/>
              </w:rPr>
            </w:pPr>
            <w:r>
              <w:rPr>
                <w:rFonts w:hint="eastAsia" w:ascii="宋体" w:hAnsi="宋体" w:cs="宋体"/>
                <w:bCs/>
                <w:szCs w:val="21"/>
              </w:rPr>
              <w:t>2.食材控制管理措施；</w:t>
            </w:r>
          </w:p>
          <w:p w14:paraId="427CCA1E">
            <w:pPr>
              <w:spacing w:line="360" w:lineRule="auto"/>
              <w:ind w:firstLine="480"/>
              <w:rPr>
                <w:rFonts w:ascii="宋体" w:hAnsi="宋体" w:cs="宋体"/>
                <w:bCs/>
                <w:szCs w:val="21"/>
              </w:rPr>
            </w:pPr>
            <w:r>
              <w:rPr>
                <w:rFonts w:hint="eastAsia" w:ascii="宋体" w:hAnsi="宋体" w:cs="宋体"/>
                <w:bCs/>
                <w:szCs w:val="21"/>
              </w:rPr>
              <w:t>3.检验检疫措施；</w:t>
            </w:r>
          </w:p>
          <w:p w14:paraId="111EF390">
            <w:pPr>
              <w:spacing w:line="360" w:lineRule="auto"/>
              <w:ind w:firstLine="480"/>
              <w:rPr>
                <w:rFonts w:ascii="宋体" w:hAnsi="宋体" w:cs="宋体"/>
                <w:bCs/>
                <w:szCs w:val="21"/>
              </w:rPr>
            </w:pPr>
            <w:r>
              <w:rPr>
                <w:rFonts w:hint="eastAsia" w:ascii="宋体" w:hAnsi="宋体" w:cs="宋体"/>
                <w:bCs/>
                <w:szCs w:val="21"/>
              </w:rPr>
              <w:t>4.食材质量标准；</w:t>
            </w:r>
          </w:p>
          <w:p w14:paraId="2232CDC1">
            <w:pPr>
              <w:spacing w:line="360" w:lineRule="auto"/>
              <w:ind w:firstLine="480"/>
              <w:rPr>
                <w:rFonts w:ascii="宋体" w:hAnsi="宋体" w:cs="宋体"/>
                <w:bCs/>
                <w:szCs w:val="21"/>
              </w:rPr>
            </w:pPr>
            <w:r>
              <w:rPr>
                <w:rFonts w:hint="eastAsia" w:ascii="宋体" w:hAnsi="宋体" w:cs="宋体"/>
                <w:bCs/>
                <w:szCs w:val="21"/>
              </w:rPr>
              <w:t>5.追溯方式；</w:t>
            </w:r>
          </w:p>
          <w:p w14:paraId="50CC939D">
            <w:pPr>
              <w:spacing w:line="360" w:lineRule="auto"/>
              <w:ind w:firstLine="480"/>
              <w:rPr>
                <w:rFonts w:ascii="宋体" w:hAnsi="宋体" w:cs="宋体"/>
                <w:bCs/>
                <w:szCs w:val="21"/>
              </w:rPr>
            </w:pPr>
            <w:r>
              <w:rPr>
                <w:rFonts w:hint="eastAsia" w:ascii="宋体" w:hAnsi="宋体" w:cs="宋体"/>
                <w:bCs/>
                <w:szCs w:val="21"/>
              </w:rPr>
              <w:t>以上1~5项评分标准（每项最高得2分，各项合计满分10分），其中 ：缺项（0分）、内容全面充分（1分）、有针对性，符合采购需求、有利于项目实施（1分）。</w:t>
            </w:r>
          </w:p>
        </w:tc>
      </w:tr>
      <w:tr w14:paraId="68EE6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3" w:hRule="atLeast"/>
          <w:jc w:val="center"/>
        </w:trPr>
        <w:tc>
          <w:tcPr>
            <w:tcW w:w="562" w:type="dxa"/>
            <w:vMerge w:val="continue"/>
            <w:vAlign w:val="center"/>
          </w:tcPr>
          <w:p w14:paraId="3F47D18F">
            <w:pPr>
              <w:spacing w:line="360" w:lineRule="auto"/>
              <w:jc w:val="center"/>
              <w:rPr>
                <w:rFonts w:ascii="宋体" w:hAnsi="宋体" w:cs="宋体"/>
                <w:szCs w:val="21"/>
              </w:rPr>
            </w:pPr>
          </w:p>
        </w:tc>
        <w:tc>
          <w:tcPr>
            <w:tcW w:w="1585" w:type="dxa"/>
            <w:vMerge w:val="continue"/>
            <w:vAlign w:val="center"/>
          </w:tcPr>
          <w:p w14:paraId="4A545768">
            <w:pPr>
              <w:spacing w:line="360" w:lineRule="auto"/>
              <w:ind w:left="-105" w:right="-105"/>
              <w:jc w:val="center"/>
              <w:rPr>
                <w:rFonts w:ascii="宋体" w:hAnsi="宋体" w:cs="宋体"/>
                <w:bCs/>
                <w:szCs w:val="21"/>
              </w:rPr>
            </w:pPr>
          </w:p>
        </w:tc>
        <w:tc>
          <w:tcPr>
            <w:tcW w:w="1701" w:type="dxa"/>
            <w:vAlign w:val="center"/>
          </w:tcPr>
          <w:p w14:paraId="6434AAF0">
            <w:pPr>
              <w:spacing w:line="360" w:lineRule="auto"/>
              <w:jc w:val="center"/>
              <w:rPr>
                <w:rFonts w:ascii="宋体" w:hAnsi="宋体" w:cs="宋体"/>
                <w:b/>
                <w:bCs/>
                <w:szCs w:val="21"/>
              </w:rPr>
            </w:pPr>
            <w:r>
              <w:rPr>
                <w:rFonts w:hint="eastAsia" w:ascii="宋体" w:hAnsi="宋体" w:cs="宋体"/>
                <w:b/>
                <w:szCs w:val="21"/>
              </w:rPr>
              <w:t>2.3配送服务方案（满分8分）</w:t>
            </w:r>
          </w:p>
        </w:tc>
        <w:tc>
          <w:tcPr>
            <w:tcW w:w="5660" w:type="dxa"/>
            <w:vAlign w:val="center"/>
          </w:tcPr>
          <w:p w14:paraId="5DF77F03">
            <w:pPr>
              <w:spacing w:line="360" w:lineRule="auto"/>
              <w:ind w:firstLine="420" w:firstLineChars="200"/>
              <w:rPr>
                <w:rFonts w:ascii="宋体" w:hAnsi="宋体" w:cs="宋体"/>
                <w:bCs/>
                <w:szCs w:val="21"/>
              </w:rPr>
            </w:pPr>
            <w:r>
              <w:rPr>
                <w:rFonts w:hint="eastAsia" w:ascii="宋体" w:hAnsi="宋体" w:cs="宋体"/>
                <w:bCs/>
                <w:szCs w:val="21"/>
              </w:rPr>
              <w:t>1.配送流程规范；</w:t>
            </w:r>
          </w:p>
          <w:p w14:paraId="2DA4EE68">
            <w:pPr>
              <w:spacing w:line="360" w:lineRule="auto"/>
              <w:ind w:firstLine="480"/>
              <w:rPr>
                <w:rFonts w:ascii="宋体" w:hAnsi="宋体" w:cs="宋体"/>
                <w:bCs/>
                <w:szCs w:val="21"/>
              </w:rPr>
            </w:pPr>
            <w:r>
              <w:rPr>
                <w:rFonts w:hint="eastAsia" w:ascii="宋体" w:hAnsi="宋体" w:cs="宋体"/>
                <w:bCs/>
                <w:szCs w:val="21"/>
              </w:rPr>
              <w:t>2.配送计划合理且完善，包含配送点的配送路线图；</w:t>
            </w:r>
          </w:p>
          <w:p w14:paraId="70F873EE">
            <w:pPr>
              <w:spacing w:line="360" w:lineRule="auto"/>
              <w:ind w:firstLine="480"/>
              <w:rPr>
                <w:rFonts w:ascii="宋体" w:hAnsi="宋体" w:cs="宋体"/>
                <w:bCs/>
                <w:szCs w:val="21"/>
              </w:rPr>
            </w:pPr>
            <w:r>
              <w:rPr>
                <w:rFonts w:hint="eastAsia" w:ascii="宋体" w:hAnsi="宋体" w:cs="宋体"/>
                <w:bCs/>
                <w:szCs w:val="21"/>
              </w:rPr>
              <w:t>3.针对配送路线中的事故易发地点、易堵塞地点有充分认识及现场照片，有解决方案；</w:t>
            </w:r>
          </w:p>
          <w:p w14:paraId="7FB0D858">
            <w:pPr>
              <w:spacing w:line="360" w:lineRule="auto"/>
              <w:ind w:firstLine="480"/>
              <w:rPr>
                <w:rFonts w:ascii="宋体" w:hAnsi="宋体" w:cs="宋体"/>
                <w:bCs/>
                <w:szCs w:val="21"/>
              </w:rPr>
            </w:pPr>
            <w:r>
              <w:rPr>
                <w:rFonts w:hint="eastAsia" w:ascii="宋体" w:hAnsi="宋体" w:cs="宋体"/>
                <w:bCs/>
                <w:szCs w:val="21"/>
              </w:rPr>
              <w:t>4.配送时效合理及跟踪服务，包含配送点的配送时效承诺；</w:t>
            </w:r>
          </w:p>
          <w:p w14:paraId="3C7D07A8">
            <w:pPr>
              <w:spacing w:line="360" w:lineRule="auto"/>
              <w:ind w:firstLine="480"/>
              <w:rPr>
                <w:rFonts w:ascii="宋体" w:hAnsi="宋体" w:cs="宋体"/>
                <w:bCs/>
                <w:szCs w:val="21"/>
              </w:rPr>
            </w:pPr>
            <w:r>
              <w:rPr>
                <w:rFonts w:hint="eastAsia" w:ascii="宋体" w:hAnsi="宋体" w:cs="宋体"/>
                <w:bCs/>
                <w:szCs w:val="21"/>
              </w:rPr>
              <w:t>以上1~4项评分标准（每项最高得2分，各项合计满分8分），其中 ：缺项（0分）、内容全面充分（1分）、有针对性，符合采购需求、有利于项目实施（1分）。</w:t>
            </w:r>
          </w:p>
        </w:tc>
      </w:tr>
      <w:tr w14:paraId="32E44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38063E2B">
            <w:pPr>
              <w:spacing w:line="360" w:lineRule="auto"/>
              <w:jc w:val="center"/>
              <w:rPr>
                <w:rFonts w:ascii="宋体" w:hAnsi="宋体" w:cs="宋体"/>
                <w:szCs w:val="21"/>
              </w:rPr>
            </w:pPr>
          </w:p>
        </w:tc>
        <w:tc>
          <w:tcPr>
            <w:tcW w:w="1585" w:type="dxa"/>
            <w:vMerge w:val="continue"/>
            <w:vAlign w:val="center"/>
          </w:tcPr>
          <w:p w14:paraId="3EB4FCC2">
            <w:pPr>
              <w:spacing w:line="360" w:lineRule="auto"/>
              <w:ind w:left="-105" w:right="-105"/>
              <w:jc w:val="center"/>
              <w:rPr>
                <w:rFonts w:ascii="宋体" w:hAnsi="宋体" w:cs="宋体"/>
                <w:bCs/>
                <w:szCs w:val="21"/>
              </w:rPr>
            </w:pPr>
          </w:p>
        </w:tc>
        <w:tc>
          <w:tcPr>
            <w:tcW w:w="1701" w:type="dxa"/>
            <w:vAlign w:val="center"/>
          </w:tcPr>
          <w:p w14:paraId="76870858">
            <w:pPr>
              <w:spacing w:line="360" w:lineRule="auto"/>
              <w:jc w:val="center"/>
              <w:rPr>
                <w:rFonts w:ascii="宋体" w:hAnsi="宋体" w:cs="宋体"/>
                <w:b/>
                <w:bCs/>
                <w:szCs w:val="21"/>
              </w:rPr>
            </w:pPr>
            <w:r>
              <w:rPr>
                <w:rFonts w:hint="eastAsia" w:ascii="宋体" w:hAnsi="宋体" w:cs="宋体"/>
                <w:b/>
                <w:bCs/>
                <w:szCs w:val="21"/>
              </w:rPr>
              <w:t>2.4服务承诺（满分10分）</w:t>
            </w:r>
          </w:p>
        </w:tc>
        <w:tc>
          <w:tcPr>
            <w:tcW w:w="5660" w:type="dxa"/>
            <w:vAlign w:val="center"/>
          </w:tcPr>
          <w:p w14:paraId="162A1CB2">
            <w:pPr>
              <w:spacing w:line="360" w:lineRule="auto"/>
              <w:ind w:firstLine="480"/>
              <w:rPr>
                <w:rFonts w:ascii="宋体" w:hAnsi="宋体" w:cs="宋体"/>
                <w:bCs/>
                <w:szCs w:val="21"/>
              </w:rPr>
            </w:pPr>
            <w:r>
              <w:rPr>
                <w:rFonts w:hint="eastAsia" w:ascii="宋体" w:hAnsi="宋体" w:cs="宋体"/>
                <w:bCs/>
                <w:szCs w:val="21"/>
              </w:rPr>
              <w:t>1.食品配送质量安全标准的承诺；</w:t>
            </w:r>
          </w:p>
          <w:p w14:paraId="5F54EDE8">
            <w:pPr>
              <w:spacing w:line="360" w:lineRule="auto"/>
              <w:ind w:firstLine="480"/>
              <w:rPr>
                <w:rFonts w:ascii="宋体" w:hAnsi="宋体" w:cs="宋体"/>
                <w:bCs/>
                <w:szCs w:val="21"/>
              </w:rPr>
            </w:pPr>
            <w:r>
              <w:rPr>
                <w:rFonts w:hint="eastAsia" w:ascii="宋体" w:hAnsi="宋体" w:cs="宋体"/>
                <w:bCs/>
                <w:szCs w:val="21"/>
              </w:rPr>
              <w:t>2.产品出现的质量及安全问题；</w:t>
            </w:r>
          </w:p>
          <w:p w14:paraId="79BC9D3F">
            <w:pPr>
              <w:spacing w:line="360" w:lineRule="auto"/>
              <w:ind w:firstLine="480"/>
              <w:rPr>
                <w:rFonts w:ascii="宋体" w:hAnsi="宋体" w:cs="宋体"/>
                <w:bCs/>
                <w:szCs w:val="21"/>
              </w:rPr>
            </w:pPr>
            <w:r>
              <w:rPr>
                <w:rFonts w:hint="eastAsia" w:ascii="宋体" w:hAnsi="宋体" w:cs="宋体"/>
                <w:bCs/>
                <w:szCs w:val="21"/>
              </w:rPr>
              <w:t>3.退货处理；</w:t>
            </w:r>
          </w:p>
          <w:p w14:paraId="0E34C922">
            <w:pPr>
              <w:spacing w:line="360" w:lineRule="auto"/>
              <w:ind w:firstLine="480"/>
              <w:rPr>
                <w:rFonts w:ascii="宋体" w:hAnsi="宋体" w:cs="宋体"/>
                <w:bCs/>
                <w:szCs w:val="21"/>
              </w:rPr>
            </w:pPr>
            <w:r>
              <w:rPr>
                <w:rFonts w:hint="eastAsia" w:ascii="宋体" w:hAnsi="宋体" w:cs="宋体"/>
                <w:bCs/>
                <w:szCs w:val="21"/>
              </w:rPr>
              <w:t>4.配送人员健康管理；</w:t>
            </w:r>
          </w:p>
          <w:p w14:paraId="5FB23CF1">
            <w:pPr>
              <w:spacing w:line="360" w:lineRule="auto"/>
              <w:ind w:firstLine="480"/>
              <w:rPr>
                <w:rFonts w:ascii="宋体" w:hAnsi="宋体" w:cs="宋体"/>
                <w:bCs/>
                <w:szCs w:val="21"/>
              </w:rPr>
            </w:pPr>
            <w:r>
              <w:rPr>
                <w:rFonts w:hint="eastAsia" w:ascii="宋体" w:hAnsi="宋体" w:cs="宋体"/>
                <w:bCs/>
                <w:szCs w:val="21"/>
              </w:rPr>
              <w:t>5.本地化服务承诺。</w:t>
            </w:r>
          </w:p>
          <w:p w14:paraId="7B5E4ADC">
            <w:pPr>
              <w:spacing w:line="360" w:lineRule="auto"/>
              <w:ind w:firstLine="480"/>
              <w:rPr>
                <w:rFonts w:ascii="宋体" w:hAnsi="宋体" w:cs="宋体"/>
                <w:bCs/>
                <w:szCs w:val="21"/>
              </w:rPr>
            </w:pPr>
            <w:r>
              <w:rPr>
                <w:rFonts w:hint="eastAsia" w:ascii="宋体" w:hAnsi="宋体" w:cs="宋体"/>
                <w:bCs/>
                <w:szCs w:val="21"/>
              </w:rPr>
              <w:t>以上1~5项评分标准（每项最高得1分，各项合计满分10分），其中 ：缺项（0分）、内容全面充分（1分）、有针对性，符合采购需求、有利于项目实施（1分）。</w:t>
            </w:r>
          </w:p>
        </w:tc>
      </w:tr>
      <w:tr w14:paraId="17A34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1DDEBCF9">
            <w:pPr>
              <w:spacing w:line="360" w:lineRule="auto"/>
              <w:jc w:val="center"/>
              <w:rPr>
                <w:rFonts w:ascii="宋体" w:hAnsi="宋体" w:cs="宋体"/>
                <w:szCs w:val="21"/>
              </w:rPr>
            </w:pPr>
          </w:p>
        </w:tc>
        <w:tc>
          <w:tcPr>
            <w:tcW w:w="1585" w:type="dxa"/>
            <w:vMerge w:val="continue"/>
            <w:vAlign w:val="center"/>
          </w:tcPr>
          <w:p w14:paraId="7481D9A5">
            <w:pPr>
              <w:spacing w:line="360" w:lineRule="auto"/>
              <w:ind w:left="-105" w:right="-105"/>
              <w:jc w:val="center"/>
              <w:rPr>
                <w:rFonts w:ascii="宋体" w:hAnsi="宋体" w:cs="宋体"/>
                <w:bCs/>
                <w:szCs w:val="21"/>
              </w:rPr>
            </w:pPr>
          </w:p>
        </w:tc>
        <w:tc>
          <w:tcPr>
            <w:tcW w:w="1701" w:type="dxa"/>
            <w:vAlign w:val="center"/>
          </w:tcPr>
          <w:p w14:paraId="249510CF">
            <w:pPr>
              <w:spacing w:line="360" w:lineRule="auto"/>
              <w:jc w:val="center"/>
              <w:rPr>
                <w:rFonts w:ascii="宋体" w:hAnsi="宋体" w:cs="宋体"/>
                <w:b/>
                <w:bCs/>
                <w:szCs w:val="21"/>
              </w:rPr>
            </w:pPr>
            <w:r>
              <w:rPr>
                <w:rFonts w:hint="eastAsia" w:ascii="宋体" w:hAnsi="宋体" w:cs="宋体"/>
                <w:b/>
                <w:bCs/>
                <w:szCs w:val="21"/>
              </w:rPr>
              <w:t>2.5应急预案（满分</w:t>
            </w:r>
          </w:p>
          <w:p w14:paraId="3EB5AD2E">
            <w:pPr>
              <w:spacing w:line="360" w:lineRule="auto"/>
              <w:jc w:val="center"/>
              <w:rPr>
                <w:rFonts w:ascii="宋体" w:hAnsi="宋体" w:cs="宋体"/>
                <w:b/>
                <w:bCs/>
                <w:szCs w:val="21"/>
              </w:rPr>
            </w:pPr>
            <w:r>
              <w:rPr>
                <w:rFonts w:hint="eastAsia" w:ascii="宋体" w:hAnsi="宋体" w:cs="宋体"/>
                <w:b/>
                <w:bCs/>
                <w:szCs w:val="21"/>
              </w:rPr>
              <w:t>10分）</w:t>
            </w:r>
          </w:p>
        </w:tc>
        <w:tc>
          <w:tcPr>
            <w:tcW w:w="5660" w:type="dxa"/>
            <w:vAlign w:val="center"/>
          </w:tcPr>
          <w:p w14:paraId="0ABF1573">
            <w:pPr>
              <w:spacing w:line="360" w:lineRule="auto"/>
              <w:ind w:firstLine="480"/>
              <w:rPr>
                <w:rFonts w:ascii="宋体" w:hAnsi="宋体" w:cs="宋体"/>
                <w:bCs/>
                <w:szCs w:val="21"/>
              </w:rPr>
            </w:pPr>
            <w:r>
              <w:rPr>
                <w:rFonts w:hint="eastAsia" w:ascii="宋体" w:hAnsi="宋体" w:cs="宋体"/>
                <w:bCs/>
                <w:szCs w:val="21"/>
              </w:rPr>
              <w:t>1.发生食物中毒事件预案；</w:t>
            </w:r>
          </w:p>
          <w:p w14:paraId="7B159310">
            <w:pPr>
              <w:spacing w:line="360" w:lineRule="auto"/>
              <w:ind w:firstLine="480"/>
              <w:rPr>
                <w:rFonts w:ascii="宋体" w:hAnsi="宋体" w:cs="宋体"/>
                <w:bCs/>
                <w:szCs w:val="21"/>
              </w:rPr>
            </w:pPr>
            <w:r>
              <w:rPr>
                <w:rFonts w:hint="eastAsia" w:ascii="宋体" w:hAnsi="宋体" w:cs="宋体"/>
                <w:bCs/>
                <w:szCs w:val="21"/>
              </w:rPr>
              <w:t>2.运输途中发生的突发事件预案；</w:t>
            </w:r>
          </w:p>
          <w:p w14:paraId="7B014B39">
            <w:pPr>
              <w:spacing w:line="360" w:lineRule="auto"/>
              <w:ind w:firstLine="480"/>
              <w:rPr>
                <w:rFonts w:ascii="宋体" w:hAnsi="宋体" w:cs="宋体"/>
                <w:bCs/>
                <w:szCs w:val="21"/>
              </w:rPr>
            </w:pPr>
            <w:r>
              <w:rPr>
                <w:rFonts w:hint="eastAsia" w:ascii="宋体" w:hAnsi="宋体" w:cs="宋体"/>
                <w:bCs/>
                <w:szCs w:val="21"/>
              </w:rPr>
              <w:t>3.运送货物出错后的处理；</w:t>
            </w:r>
          </w:p>
          <w:p w14:paraId="33314A05">
            <w:pPr>
              <w:spacing w:line="360" w:lineRule="auto"/>
              <w:ind w:firstLine="480"/>
              <w:rPr>
                <w:rFonts w:ascii="宋体" w:hAnsi="宋体" w:cs="宋体"/>
                <w:bCs/>
                <w:szCs w:val="21"/>
              </w:rPr>
            </w:pPr>
            <w:r>
              <w:rPr>
                <w:rFonts w:hint="eastAsia" w:ascii="宋体" w:hAnsi="宋体" w:cs="宋体"/>
                <w:bCs/>
                <w:szCs w:val="21"/>
              </w:rPr>
              <w:t>4.接到采购人紧急采购计划预案；</w:t>
            </w:r>
          </w:p>
          <w:p w14:paraId="616DDF33">
            <w:pPr>
              <w:spacing w:line="360" w:lineRule="auto"/>
              <w:ind w:firstLine="480"/>
              <w:rPr>
                <w:rFonts w:ascii="宋体" w:hAnsi="宋体" w:cs="宋体"/>
                <w:bCs/>
                <w:szCs w:val="21"/>
              </w:rPr>
            </w:pPr>
            <w:r>
              <w:rPr>
                <w:rFonts w:hint="eastAsia" w:ascii="宋体" w:hAnsi="宋体" w:cs="宋体"/>
                <w:bCs/>
                <w:szCs w:val="21"/>
              </w:rPr>
              <w:t>5.发生公共关系事件预案；</w:t>
            </w:r>
          </w:p>
          <w:p w14:paraId="4FD19335">
            <w:pPr>
              <w:spacing w:line="360" w:lineRule="auto"/>
              <w:ind w:firstLine="480"/>
              <w:rPr>
                <w:rFonts w:ascii="宋体" w:hAnsi="宋体" w:cs="宋体"/>
                <w:szCs w:val="21"/>
              </w:rPr>
            </w:pPr>
            <w:r>
              <w:rPr>
                <w:rFonts w:hint="eastAsia" w:ascii="宋体" w:hAnsi="宋体" w:cs="宋体"/>
                <w:bCs/>
                <w:szCs w:val="21"/>
              </w:rPr>
              <w:t>以上1~5项评分标准（每项最高得1分，各项合计满分10分），其中 ：缺项（0分）、内容全面充分（1分）、有针对性，符合采购需求、有利于项目实施（1分）。</w:t>
            </w:r>
          </w:p>
        </w:tc>
      </w:tr>
      <w:tr w14:paraId="22643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562" w:type="dxa"/>
            <w:vMerge w:val="restart"/>
            <w:vAlign w:val="center"/>
          </w:tcPr>
          <w:p w14:paraId="35262D86">
            <w:pPr>
              <w:spacing w:line="360" w:lineRule="auto"/>
              <w:jc w:val="center"/>
              <w:rPr>
                <w:rFonts w:ascii="宋体" w:hAnsi="宋体" w:cs="宋体"/>
                <w:szCs w:val="21"/>
              </w:rPr>
            </w:pPr>
            <w:r>
              <w:rPr>
                <w:rFonts w:hint="eastAsia" w:ascii="宋体" w:hAnsi="宋体" w:cs="宋体"/>
                <w:szCs w:val="21"/>
              </w:rPr>
              <w:t>3</w:t>
            </w:r>
          </w:p>
        </w:tc>
        <w:tc>
          <w:tcPr>
            <w:tcW w:w="1585" w:type="dxa"/>
            <w:vMerge w:val="restart"/>
            <w:vAlign w:val="center"/>
          </w:tcPr>
          <w:p w14:paraId="026FEE76">
            <w:pPr>
              <w:spacing w:line="360" w:lineRule="auto"/>
              <w:jc w:val="center"/>
              <w:rPr>
                <w:rFonts w:ascii="宋体" w:hAnsi="宋体" w:cs="宋体"/>
                <w:b/>
                <w:bCs/>
                <w:szCs w:val="21"/>
              </w:rPr>
            </w:pPr>
            <w:r>
              <w:rPr>
                <w:rFonts w:hint="eastAsia" w:ascii="宋体" w:hAnsi="宋体" w:cs="宋体"/>
                <w:b/>
                <w:bCs/>
                <w:szCs w:val="21"/>
              </w:rPr>
              <w:t>商务分</w:t>
            </w:r>
          </w:p>
          <w:p w14:paraId="00DEB431">
            <w:pPr>
              <w:spacing w:line="360" w:lineRule="auto"/>
              <w:jc w:val="center"/>
              <w:rPr>
                <w:rFonts w:ascii="宋体" w:hAnsi="宋体" w:cs="宋体"/>
                <w:szCs w:val="21"/>
              </w:rPr>
            </w:pPr>
            <w:r>
              <w:rPr>
                <w:rFonts w:hint="eastAsia" w:ascii="宋体" w:hAnsi="宋体" w:cs="宋体"/>
                <w:b/>
                <w:bCs/>
                <w:szCs w:val="21"/>
              </w:rPr>
              <w:t>（满分</w:t>
            </w:r>
            <w:r>
              <w:rPr>
                <w:rFonts w:hint="eastAsia" w:ascii="宋体" w:hAnsi="宋体" w:cs="宋体"/>
                <w:b/>
                <w:bCs/>
                <w:szCs w:val="21"/>
                <w:u w:val="single"/>
              </w:rPr>
              <w:t>30</w:t>
            </w:r>
            <w:r>
              <w:rPr>
                <w:rFonts w:hint="eastAsia" w:ascii="宋体" w:hAnsi="宋体" w:cs="宋体"/>
                <w:b/>
                <w:bCs/>
                <w:szCs w:val="21"/>
              </w:rPr>
              <w:t>分）</w:t>
            </w:r>
          </w:p>
        </w:tc>
        <w:tc>
          <w:tcPr>
            <w:tcW w:w="1701" w:type="dxa"/>
            <w:vAlign w:val="center"/>
          </w:tcPr>
          <w:p w14:paraId="160CD255">
            <w:pPr>
              <w:spacing w:line="360" w:lineRule="auto"/>
              <w:jc w:val="center"/>
              <w:rPr>
                <w:rFonts w:ascii="宋体" w:hAnsi="宋体" w:cs="宋体"/>
                <w:b/>
                <w:bCs/>
                <w:szCs w:val="21"/>
              </w:rPr>
            </w:pPr>
            <w:r>
              <w:rPr>
                <w:rFonts w:hint="eastAsia" w:ascii="宋体" w:hAnsi="宋体" w:cs="宋体"/>
                <w:b/>
                <w:bCs/>
                <w:szCs w:val="21"/>
              </w:rPr>
              <w:t>3.1业绩分</w:t>
            </w:r>
          </w:p>
          <w:p w14:paraId="217E8EE8">
            <w:pPr>
              <w:spacing w:line="360" w:lineRule="auto"/>
              <w:jc w:val="center"/>
              <w:rPr>
                <w:rFonts w:ascii="宋体" w:hAnsi="宋体" w:cs="宋体"/>
                <w:b/>
                <w:bCs/>
                <w:szCs w:val="21"/>
              </w:rPr>
            </w:pPr>
            <w:r>
              <w:rPr>
                <w:rFonts w:hint="eastAsia" w:ascii="宋体" w:hAnsi="宋体" w:cs="宋体"/>
                <w:b/>
                <w:bCs/>
                <w:szCs w:val="21"/>
              </w:rPr>
              <w:t>（满分5分）</w:t>
            </w:r>
          </w:p>
        </w:tc>
        <w:tc>
          <w:tcPr>
            <w:tcW w:w="5660" w:type="dxa"/>
            <w:vAlign w:val="center"/>
          </w:tcPr>
          <w:p w14:paraId="262F7819">
            <w:pPr>
              <w:spacing w:line="360" w:lineRule="auto"/>
              <w:jc w:val="left"/>
              <w:rPr>
                <w:rFonts w:ascii="宋体" w:hAnsi="宋体" w:cs="宋体"/>
                <w:szCs w:val="21"/>
              </w:rPr>
            </w:pPr>
            <w:r>
              <w:rPr>
                <w:rFonts w:hint="eastAsia" w:ascii="宋体" w:hAnsi="宋体" w:cs="宋体"/>
                <w:szCs w:val="21"/>
              </w:rPr>
              <w:t>2023年1月1日至今（以合同签订时间为准）已完成或正在实施的同类项目业绩,提供一个得1分,最高得5分。</w:t>
            </w:r>
          </w:p>
          <w:p w14:paraId="57EDD1C0">
            <w:pPr>
              <w:spacing w:line="360" w:lineRule="auto"/>
              <w:jc w:val="left"/>
              <w:rPr>
                <w:rFonts w:ascii="宋体" w:hAnsi="宋体" w:cs="宋体"/>
                <w:szCs w:val="21"/>
              </w:rPr>
            </w:pPr>
            <w:r>
              <w:rPr>
                <w:rFonts w:hint="eastAsia" w:ascii="宋体" w:hAnsi="宋体" w:cs="宋体"/>
                <w:szCs w:val="21"/>
              </w:rPr>
              <w:t>注：</w:t>
            </w:r>
          </w:p>
          <w:p w14:paraId="6927AD76">
            <w:pPr>
              <w:spacing w:line="360" w:lineRule="auto"/>
              <w:jc w:val="left"/>
              <w:rPr>
                <w:rFonts w:ascii="宋体" w:hAnsi="宋体" w:cs="宋体"/>
                <w:szCs w:val="21"/>
              </w:rPr>
            </w:pPr>
            <w:r>
              <w:rPr>
                <w:rFonts w:hint="eastAsia" w:ascii="宋体" w:hAnsi="宋体" w:cs="宋体"/>
                <w:szCs w:val="21"/>
              </w:rPr>
              <w:t>①须提供相关合同关键页（包括但不限于项目名称、服务内容、合同签订日期及双方盖章页）的复印件，未提供或信息显示不完整的，不得分。</w:t>
            </w:r>
          </w:p>
          <w:p w14:paraId="72C8ADCC">
            <w:pPr>
              <w:spacing w:line="360" w:lineRule="auto"/>
              <w:jc w:val="left"/>
              <w:rPr>
                <w:rFonts w:ascii="宋体" w:hAnsi="宋体" w:cs="宋体"/>
                <w:szCs w:val="21"/>
              </w:rPr>
            </w:pPr>
            <w:r>
              <w:rPr>
                <w:rFonts w:hint="eastAsia" w:ascii="宋体" w:hAnsi="宋体" w:cs="宋体"/>
                <w:szCs w:val="21"/>
              </w:rPr>
              <w:t>②同一项目分年签订或续签的合同只当一个业绩计算，不能重复得分。</w:t>
            </w:r>
          </w:p>
        </w:tc>
      </w:tr>
      <w:tr w14:paraId="42B13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210935B4">
            <w:pPr>
              <w:spacing w:line="360" w:lineRule="auto"/>
              <w:jc w:val="center"/>
              <w:rPr>
                <w:rFonts w:ascii="宋体" w:hAnsi="宋体" w:cs="宋体"/>
                <w:szCs w:val="21"/>
              </w:rPr>
            </w:pPr>
          </w:p>
        </w:tc>
        <w:tc>
          <w:tcPr>
            <w:tcW w:w="1585" w:type="dxa"/>
            <w:vMerge w:val="continue"/>
            <w:vAlign w:val="center"/>
          </w:tcPr>
          <w:p w14:paraId="15516690">
            <w:pPr>
              <w:spacing w:line="360" w:lineRule="auto"/>
              <w:jc w:val="center"/>
              <w:rPr>
                <w:rFonts w:ascii="宋体" w:hAnsi="宋体" w:cs="宋体"/>
                <w:szCs w:val="21"/>
              </w:rPr>
            </w:pPr>
          </w:p>
        </w:tc>
        <w:tc>
          <w:tcPr>
            <w:tcW w:w="1701" w:type="dxa"/>
            <w:vAlign w:val="center"/>
          </w:tcPr>
          <w:p w14:paraId="6F348595">
            <w:pPr>
              <w:widowControl/>
              <w:jc w:val="center"/>
              <w:rPr>
                <w:rFonts w:ascii="宋体" w:hAnsi="宋体" w:cs="宋体"/>
                <w:szCs w:val="21"/>
              </w:rPr>
            </w:pPr>
            <w:r>
              <w:rPr>
                <w:rFonts w:hint="eastAsia" w:ascii="宋体" w:hAnsi="宋体" w:cs="宋体"/>
                <w:b/>
                <w:bCs/>
                <w:szCs w:val="21"/>
              </w:rPr>
              <w:t>3.2配送能力（满分8分）</w:t>
            </w:r>
          </w:p>
          <w:p w14:paraId="41E326A4">
            <w:pPr>
              <w:spacing w:line="360" w:lineRule="auto"/>
              <w:jc w:val="center"/>
              <w:rPr>
                <w:rFonts w:ascii="宋体" w:hAnsi="宋体" w:cs="宋体"/>
                <w:szCs w:val="21"/>
              </w:rPr>
            </w:pPr>
          </w:p>
        </w:tc>
        <w:tc>
          <w:tcPr>
            <w:tcW w:w="5660" w:type="dxa"/>
            <w:vAlign w:val="center"/>
          </w:tcPr>
          <w:p w14:paraId="19D33186">
            <w:pPr>
              <w:spacing w:line="360" w:lineRule="auto"/>
              <w:rPr>
                <w:rFonts w:ascii="宋体" w:hAnsi="宋体"/>
                <w:color w:val="000000"/>
                <w:szCs w:val="21"/>
              </w:rPr>
            </w:pPr>
            <w:r>
              <w:rPr>
                <w:rFonts w:hint="eastAsia" w:ascii="宋体" w:hAnsi="宋体" w:cs="宋体"/>
                <w:kern w:val="2"/>
              </w:rPr>
              <w:t>1.</w:t>
            </w:r>
            <w:r>
              <w:rPr>
                <w:rFonts w:hint="eastAsia" w:hAnsi="宋体" w:cs="宋体"/>
                <w:kern w:val="2"/>
              </w:rPr>
              <w:t>供应商拟在本项目投入的配送采购小组至少需由项目负责人、采购员、运输配送员三个岗位人员组成，得1分；此外每增加一人得1分（有兼任的不得重复计分），本项满分4分。（需在“项目实施人员一览表”中列明，还需要附上相关人员在有效期内的健康证，以及相关人员在本单位的近6个月中任意1个月的社保缴费证明（如是退休返聘人员需要提供退休证明材料及劳动合同），</w:t>
            </w:r>
            <w:r>
              <w:rPr>
                <w:rFonts w:hint="eastAsia" w:ascii="宋体" w:hAnsi="宋体"/>
                <w:bCs/>
                <w:color w:val="000000"/>
                <w:szCs w:val="21"/>
              </w:rPr>
              <w:t>否则不得分</w:t>
            </w:r>
            <w:r>
              <w:rPr>
                <w:rFonts w:hint="eastAsia" w:hAnsi="宋体" w:cs="宋体"/>
                <w:kern w:val="2"/>
              </w:rPr>
              <w:t>）</w:t>
            </w:r>
          </w:p>
          <w:p w14:paraId="5B5536B7">
            <w:pPr>
              <w:spacing w:line="360" w:lineRule="auto"/>
              <w:jc w:val="left"/>
              <w:rPr>
                <w:rFonts w:ascii="宋体" w:hAnsi="宋体" w:cs="宋体"/>
                <w:szCs w:val="21"/>
              </w:rPr>
            </w:pPr>
            <w:r>
              <w:rPr>
                <w:rFonts w:hint="eastAsia" w:ascii="宋体" w:hAnsi="宋体"/>
                <w:bCs/>
                <w:color w:val="000000"/>
                <w:szCs w:val="21"/>
              </w:rPr>
              <w:t>2.供应商拟投入本项目的食材配送车辆，每投入1辆得0.5分，满4分（含3辆以上冷藏车）。（提供车辆的行驶证、车辆照片，若为租赁的车辆还需提供有效的租赁合同等证明材料，否则不得分）</w:t>
            </w:r>
          </w:p>
        </w:tc>
      </w:tr>
      <w:tr w14:paraId="51907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562" w:type="dxa"/>
            <w:vMerge w:val="continue"/>
            <w:vAlign w:val="center"/>
          </w:tcPr>
          <w:p w14:paraId="66597A67">
            <w:pPr>
              <w:spacing w:line="360" w:lineRule="auto"/>
              <w:jc w:val="center"/>
              <w:rPr>
                <w:rFonts w:ascii="宋体" w:hAnsi="宋体" w:cs="宋体"/>
                <w:szCs w:val="21"/>
              </w:rPr>
            </w:pPr>
          </w:p>
        </w:tc>
        <w:tc>
          <w:tcPr>
            <w:tcW w:w="1585" w:type="dxa"/>
            <w:vMerge w:val="continue"/>
            <w:vAlign w:val="center"/>
          </w:tcPr>
          <w:p w14:paraId="43F5D933">
            <w:pPr>
              <w:spacing w:line="360" w:lineRule="auto"/>
              <w:jc w:val="center"/>
              <w:rPr>
                <w:rFonts w:ascii="宋体" w:hAnsi="宋体" w:cs="宋体"/>
                <w:szCs w:val="21"/>
              </w:rPr>
            </w:pPr>
          </w:p>
        </w:tc>
        <w:tc>
          <w:tcPr>
            <w:tcW w:w="1701" w:type="dxa"/>
            <w:vAlign w:val="center"/>
          </w:tcPr>
          <w:p w14:paraId="2E68AD63">
            <w:pPr>
              <w:widowControl/>
              <w:jc w:val="center"/>
              <w:rPr>
                <w:rFonts w:ascii="宋体" w:hAnsi="宋体" w:cs="宋体"/>
                <w:szCs w:val="21"/>
              </w:rPr>
            </w:pPr>
            <w:r>
              <w:rPr>
                <w:rFonts w:hint="eastAsia" w:ascii="宋体" w:hAnsi="宋体" w:cs="宋体"/>
                <w:b/>
                <w:bCs/>
                <w:szCs w:val="21"/>
              </w:rPr>
              <w:t>3.3食品安全及保障（满分7分）</w:t>
            </w:r>
          </w:p>
          <w:p w14:paraId="45405EE7">
            <w:pPr>
              <w:spacing w:line="360" w:lineRule="auto"/>
              <w:jc w:val="center"/>
              <w:rPr>
                <w:rFonts w:ascii="宋体" w:hAnsi="宋体" w:cs="宋体"/>
                <w:szCs w:val="21"/>
              </w:rPr>
            </w:pPr>
          </w:p>
        </w:tc>
        <w:tc>
          <w:tcPr>
            <w:tcW w:w="5660" w:type="dxa"/>
            <w:vAlign w:val="center"/>
          </w:tcPr>
          <w:p w14:paraId="74416A0A">
            <w:pPr>
              <w:numPr>
                <w:ilvl w:val="0"/>
                <w:numId w:val="3"/>
              </w:numPr>
              <w:spacing w:line="360" w:lineRule="auto"/>
              <w:rPr>
                <w:rFonts w:ascii="宋体" w:hAnsi="宋体" w:cs="宋体"/>
                <w:bCs/>
                <w:color w:val="000000"/>
                <w:kern w:val="2"/>
                <w:szCs w:val="21"/>
              </w:rPr>
            </w:pPr>
            <w:r>
              <w:rPr>
                <w:rFonts w:hint="eastAsia" w:ascii="宋体" w:hAnsi="宋体" w:cs="宋体"/>
                <w:bCs/>
                <w:color w:val="000000"/>
                <w:kern w:val="2"/>
                <w:szCs w:val="21"/>
              </w:rPr>
              <w:t>供应商购买有《食品安全责任保险》（有效期内）保险额度C</w:t>
            </w:r>
            <w:r>
              <w:rPr>
                <w:rFonts w:hint="eastAsia" w:ascii="宋体" w:hAnsi="宋体" w:cs="宋体"/>
                <w:szCs w:val="21"/>
                <w:lang w:val="en-GB"/>
              </w:rPr>
              <w:t>≥</w:t>
            </w:r>
            <w:r>
              <w:rPr>
                <w:rFonts w:hint="eastAsia" w:ascii="宋体" w:hAnsi="宋体" w:cs="宋体"/>
                <w:szCs w:val="21"/>
              </w:rPr>
              <w:t>5000</w:t>
            </w:r>
            <w:r>
              <w:rPr>
                <w:rFonts w:hint="eastAsia" w:ascii="宋体" w:hAnsi="宋体" w:cs="宋体"/>
                <w:szCs w:val="21"/>
                <w:lang w:val="en-GB"/>
              </w:rPr>
              <w:t>万元，得</w:t>
            </w:r>
            <w:r>
              <w:rPr>
                <w:rFonts w:hint="eastAsia" w:ascii="宋体" w:hAnsi="宋体" w:cs="宋体"/>
                <w:szCs w:val="21"/>
              </w:rPr>
              <w:t>3分；30</w:t>
            </w:r>
            <w:r>
              <w:rPr>
                <w:rFonts w:hint="eastAsia" w:ascii="宋体" w:hAnsi="宋体" w:cs="宋体"/>
                <w:szCs w:val="21"/>
                <w:lang w:val="en-GB"/>
              </w:rPr>
              <w:t>00万元≤</w:t>
            </w:r>
            <w:r>
              <w:rPr>
                <w:rFonts w:hint="eastAsia" w:ascii="宋体" w:hAnsi="宋体" w:cs="宋体"/>
                <w:bCs/>
                <w:color w:val="000000"/>
                <w:kern w:val="2"/>
                <w:szCs w:val="21"/>
              </w:rPr>
              <w:t>C</w:t>
            </w:r>
            <w:r>
              <w:rPr>
                <w:rFonts w:hint="eastAsia" w:ascii="宋体" w:hAnsi="宋体" w:cs="宋体"/>
                <w:szCs w:val="21"/>
                <w:lang w:val="en-GB"/>
              </w:rPr>
              <w:t>＜</w:t>
            </w:r>
            <w:r>
              <w:rPr>
                <w:rFonts w:hint="eastAsia" w:ascii="宋体" w:hAnsi="宋体" w:cs="宋体"/>
                <w:szCs w:val="21"/>
              </w:rPr>
              <w:t>50</w:t>
            </w:r>
            <w:r>
              <w:rPr>
                <w:rFonts w:hint="eastAsia" w:ascii="宋体" w:hAnsi="宋体" w:cs="宋体"/>
                <w:szCs w:val="21"/>
                <w:lang w:val="en-GB"/>
              </w:rPr>
              <w:t>00万元的，得</w:t>
            </w:r>
            <w:r>
              <w:rPr>
                <w:rFonts w:hint="eastAsia" w:ascii="宋体" w:hAnsi="宋体" w:cs="宋体"/>
                <w:szCs w:val="21"/>
              </w:rPr>
              <w:t>2</w:t>
            </w:r>
            <w:r>
              <w:rPr>
                <w:rFonts w:hint="eastAsia" w:ascii="宋体" w:hAnsi="宋体" w:cs="宋体"/>
                <w:szCs w:val="21"/>
                <w:lang w:val="en-GB"/>
              </w:rPr>
              <w:t>分；</w:t>
            </w:r>
            <w:r>
              <w:rPr>
                <w:rFonts w:hint="eastAsia" w:ascii="宋体" w:hAnsi="宋体" w:cs="宋体"/>
                <w:szCs w:val="21"/>
              </w:rPr>
              <w:t>10</w:t>
            </w:r>
            <w:r>
              <w:rPr>
                <w:rFonts w:hint="eastAsia" w:ascii="宋体" w:hAnsi="宋体" w:cs="宋体"/>
                <w:szCs w:val="21"/>
                <w:lang w:val="en-GB"/>
              </w:rPr>
              <w:t>00万元≤</w:t>
            </w:r>
            <w:r>
              <w:rPr>
                <w:rFonts w:hint="eastAsia" w:ascii="宋体" w:hAnsi="宋体" w:cs="宋体"/>
                <w:bCs/>
                <w:color w:val="000000"/>
                <w:kern w:val="2"/>
                <w:szCs w:val="21"/>
              </w:rPr>
              <w:t>C</w:t>
            </w:r>
            <w:r>
              <w:rPr>
                <w:rFonts w:hint="eastAsia" w:ascii="宋体" w:hAnsi="宋体" w:cs="宋体"/>
                <w:szCs w:val="21"/>
              </w:rPr>
              <w:t>＜30</w:t>
            </w:r>
            <w:r>
              <w:rPr>
                <w:rFonts w:hint="eastAsia" w:ascii="宋体" w:hAnsi="宋体" w:cs="宋体"/>
                <w:szCs w:val="21"/>
                <w:lang w:val="en-GB"/>
              </w:rPr>
              <w:t>00万元的，得1分。</w:t>
            </w:r>
            <w:r>
              <w:rPr>
                <w:rFonts w:hint="eastAsia" w:ascii="宋体" w:hAnsi="宋体" w:cs="宋体"/>
                <w:bCs/>
                <w:color w:val="000000"/>
                <w:kern w:val="2"/>
                <w:szCs w:val="21"/>
              </w:rPr>
              <w:t>（已购买的提供保单、发票以及凭证复印件等，承诺中标后购买需提供承诺函，</w:t>
            </w:r>
            <w:r>
              <w:rPr>
                <w:rFonts w:hint="eastAsia" w:ascii="宋体" w:hAnsi="宋体" w:cs="宋体"/>
                <w:bCs/>
                <w:color w:val="000000"/>
                <w:kern w:val="2"/>
                <w:szCs w:val="21"/>
                <w:highlight w:val="none"/>
              </w:rPr>
              <w:t>并</w:t>
            </w:r>
            <w:r>
              <w:rPr>
                <w:rFonts w:hint="eastAsia" w:ascii="宋体" w:hAnsi="宋体" w:cs="宋体"/>
                <w:bCs/>
                <w:color w:val="000000"/>
                <w:szCs w:val="21"/>
                <w:highlight w:val="none"/>
              </w:rPr>
              <w:t>加盖</w:t>
            </w:r>
            <w:r>
              <w:rPr>
                <w:rFonts w:hint="eastAsia" w:ascii="宋体" w:hAnsi="宋体" w:cs="宋体"/>
                <w:bCs/>
                <w:color w:val="000000"/>
                <w:kern w:val="2"/>
                <w:highlight w:val="none"/>
              </w:rPr>
              <w:t>供应商CA</w:t>
            </w:r>
            <w:r>
              <w:rPr>
                <w:rFonts w:hint="eastAsia" w:ascii="宋体" w:hAnsi="宋体" w:cs="宋体"/>
                <w:bCs/>
                <w:color w:val="000000"/>
                <w:szCs w:val="21"/>
                <w:highlight w:val="none"/>
              </w:rPr>
              <w:t>公章，</w:t>
            </w:r>
            <w:r>
              <w:rPr>
                <w:rFonts w:hint="eastAsia" w:ascii="宋体" w:hAnsi="宋体"/>
                <w:bCs/>
                <w:color w:val="000000"/>
                <w:szCs w:val="21"/>
              </w:rPr>
              <w:t>否则不得分</w:t>
            </w:r>
            <w:r>
              <w:rPr>
                <w:rFonts w:hint="eastAsia" w:ascii="宋体" w:hAnsi="宋体" w:cs="宋体"/>
                <w:bCs/>
                <w:color w:val="000000"/>
                <w:kern w:val="2"/>
                <w:szCs w:val="21"/>
              </w:rPr>
              <w:t>）。</w:t>
            </w:r>
          </w:p>
          <w:p w14:paraId="676B9FD6">
            <w:pPr>
              <w:spacing w:line="360" w:lineRule="auto"/>
              <w:rPr>
                <w:rFonts w:ascii="宋体" w:hAnsi="宋体" w:cs="宋体"/>
                <w:bCs/>
                <w:color w:val="000000"/>
                <w:kern w:val="2"/>
                <w:szCs w:val="21"/>
              </w:rPr>
            </w:pPr>
            <w:r>
              <w:rPr>
                <w:rFonts w:hint="eastAsia" w:ascii="宋体" w:hAnsi="宋体" w:cs="宋体"/>
                <w:bCs/>
                <w:color w:val="000000"/>
                <w:kern w:val="2"/>
                <w:szCs w:val="21"/>
              </w:rPr>
              <w:t>2.供应商具有食品安全检验检测实验室，并配备有食品安全检测设备以及2名以上专业检测技术人员，得2分。</w:t>
            </w:r>
          </w:p>
          <w:p w14:paraId="734EEDB7">
            <w:pPr>
              <w:spacing w:line="360" w:lineRule="auto"/>
              <w:rPr>
                <w:rFonts w:ascii="宋体" w:hAnsi="宋体" w:cs="宋体"/>
                <w:bCs/>
                <w:color w:val="000000"/>
                <w:kern w:val="2"/>
                <w:szCs w:val="21"/>
              </w:rPr>
            </w:pPr>
            <w:r>
              <w:rPr>
                <w:rFonts w:hint="eastAsia" w:ascii="宋体" w:hAnsi="宋体" w:cs="宋体"/>
                <w:bCs/>
                <w:color w:val="000000"/>
                <w:kern w:val="2"/>
                <w:szCs w:val="21"/>
              </w:rPr>
              <w:t>（提供设备购买发票或凭证、检测设备及食材检验室现场图片及人员相应证件或参加相关培训的佐证材料，以及近6个月内任意1个月投标人为其缴纳的社保证明复印件，</w:t>
            </w:r>
            <w:r>
              <w:rPr>
                <w:rFonts w:hint="eastAsia" w:ascii="宋体" w:hAnsi="宋体"/>
                <w:bCs/>
                <w:color w:val="000000"/>
                <w:szCs w:val="21"/>
              </w:rPr>
              <w:t>否则不得分</w:t>
            </w:r>
            <w:r>
              <w:rPr>
                <w:rFonts w:hint="eastAsia" w:ascii="宋体" w:hAnsi="宋体" w:cs="宋体"/>
                <w:bCs/>
                <w:color w:val="000000"/>
                <w:kern w:val="2"/>
                <w:szCs w:val="21"/>
              </w:rPr>
              <w:t>）。</w:t>
            </w:r>
          </w:p>
          <w:p w14:paraId="4C3645A7">
            <w:pPr>
              <w:spacing w:line="360" w:lineRule="auto"/>
              <w:jc w:val="left"/>
              <w:rPr>
                <w:rFonts w:ascii="宋体" w:hAnsi="宋体" w:cs="宋体"/>
                <w:szCs w:val="21"/>
              </w:rPr>
            </w:pPr>
            <w:r>
              <w:rPr>
                <w:rFonts w:hint="eastAsia" w:ascii="宋体" w:hAnsi="宋体" w:cs="宋体"/>
                <w:bCs/>
                <w:color w:val="000000"/>
                <w:kern w:val="2"/>
                <w:szCs w:val="21"/>
              </w:rPr>
              <w:t>3.供应商与第三方检测机构签订有合作协议（有效期内），得2分。（提供检测机构CMA资质证明、检测报告及发票</w:t>
            </w:r>
            <w:r>
              <w:rPr>
                <w:rFonts w:hint="eastAsia" w:ascii="宋体" w:hAnsi="宋体" w:cs="宋体"/>
                <w:bCs/>
                <w:color w:val="000000"/>
                <w:szCs w:val="21"/>
              </w:rPr>
              <w:t>，</w:t>
            </w:r>
            <w:r>
              <w:rPr>
                <w:rFonts w:hint="eastAsia" w:ascii="宋体" w:hAnsi="宋体"/>
                <w:bCs/>
                <w:color w:val="000000"/>
                <w:szCs w:val="21"/>
              </w:rPr>
              <w:t>否则不得分</w:t>
            </w:r>
            <w:r>
              <w:rPr>
                <w:rFonts w:hint="eastAsia" w:ascii="宋体" w:hAnsi="宋体" w:cs="宋体"/>
                <w:bCs/>
                <w:color w:val="000000"/>
                <w:kern w:val="2"/>
                <w:szCs w:val="21"/>
              </w:rPr>
              <w:t>）</w:t>
            </w:r>
          </w:p>
        </w:tc>
      </w:tr>
      <w:tr w14:paraId="42626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562" w:type="dxa"/>
            <w:vMerge w:val="continue"/>
            <w:vAlign w:val="center"/>
          </w:tcPr>
          <w:p w14:paraId="4D9A3BEA">
            <w:pPr>
              <w:spacing w:line="360" w:lineRule="auto"/>
              <w:ind w:firstLine="422"/>
              <w:jc w:val="left"/>
            </w:pPr>
          </w:p>
        </w:tc>
        <w:tc>
          <w:tcPr>
            <w:tcW w:w="1585" w:type="dxa"/>
            <w:vMerge w:val="continue"/>
            <w:vAlign w:val="center"/>
          </w:tcPr>
          <w:p w14:paraId="2D924830">
            <w:pPr>
              <w:spacing w:line="360" w:lineRule="auto"/>
              <w:ind w:firstLine="422"/>
              <w:jc w:val="left"/>
            </w:pPr>
          </w:p>
        </w:tc>
        <w:tc>
          <w:tcPr>
            <w:tcW w:w="1701" w:type="dxa"/>
            <w:vAlign w:val="center"/>
          </w:tcPr>
          <w:p w14:paraId="6FE96F88">
            <w:pPr>
              <w:spacing w:line="360" w:lineRule="auto"/>
              <w:jc w:val="left"/>
              <w:rPr>
                <w:rFonts w:ascii="宋体" w:hAnsi="宋体" w:cs="宋体"/>
                <w:szCs w:val="21"/>
              </w:rPr>
            </w:pPr>
            <w:r>
              <w:rPr>
                <w:rFonts w:hint="eastAsia" w:ascii="宋体" w:hAnsi="宋体" w:cs="宋体"/>
                <w:b/>
                <w:color w:val="000000"/>
                <w:szCs w:val="21"/>
              </w:rPr>
              <w:t>3.4企业管理体系认证（满分4分</w:t>
            </w:r>
            <w:r>
              <w:rPr>
                <w:rFonts w:hint="eastAsia" w:ascii="宋体" w:hAnsi="宋体" w:cs="宋体"/>
                <w:bCs/>
                <w:color w:val="000000"/>
                <w:szCs w:val="21"/>
              </w:rPr>
              <w:t>）</w:t>
            </w:r>
          </w:p>
        </w:tc>
        <w:tc>
          <w:tcPr>
            <w:tcW w:w="5660" w:type="dxa"/>
            <w:vAlign w:val="center"/>
          </w:tcPr>
          <w:p w14:paraId="2986A726">
            <w:pPr>
              <w:spacing w:line="360" w:lineRule="auto"/>
              <w:rPr>
                <w:rFonts w:ascii="宋体" w:hAnsi="宋体" w:cs="宋体"/>
                <w:bCs/>
                <w:color w:val="000000"/>
                <w:szCs w:val="21"/>
              </w:rPr>
            </w:pPr>
            <w:r>
              <w:rPr>
                <w:rFonts w:hint="eastAsia" w:ascii="宋体" w:hAnsi="宋体" w:cs="宋体"/>
                <w:bCs/>
                <w:color w:val="000000"/>
                <w:szCs w:val="21"/>
              </w:rPr>
              <w:t>1.质量管理体系认证证书</w:t>
            </w:r>
          </w:p>
          <w:p w14:paraId="2B0103FC">
            <w:pPr>
              <w:spacing w:line="360" w:lineRule="auto"/>
              <w:rPr>
                <w:rFonts w:ascii="宋体" w:hAnsi="宋体" w:cs="宋体"/>
                <w:bCs/>
                <w:color w:val="000000"/>
                <w:szCs w:val="21"/>
              </w:rPr>
            </w:pPr>
            <w:r>
              <w:rPr>
                <w:rFonts w:hint="eastAsia" w:ascii="宋体" w:hAnsi="宋体" w:cs="宋体"/>
                <w:bCs/>
                <w:color w:val="000000"/>
                <w:szCs w:val="21"/>
              </w:rPr>
              <w:t>2.环境管理体系认证证书</w:t>
            </w:r>
          </w:p>
          <w:p w14:paraId="4EB4BB36">
            <w:pPr>
              <w:spacing w:line="360" w:lineRule="auto"/>
              <w:rPr>
                <w:rFonts w:ascii="宋体" w:hAnsi="宋体" w:cs="宋体"/>
                <w:bCs/>
                <w:color w:val="000000"/>
                <w:szCs w:val="21"/>
              </w:rPr>
            </w:pPr>
            <w:r>
              <w:rPr>
                <w:rFonts w:hint="eastAsia" w:ascii="宋体" w:hAnsi="宋体" w:cs="宋体"/>
                <w:bCs/>
                <w:color w:val="000000"/>
                <w:szCs w:val="21"/>
              </w:rPr>
              <w:t>3.职业健康安全管理体系认证证书</w:t>
            </w:r>
          </w:p>
          <w:p w14:paraId="76EF622B">
            <w:pPr>
              <w:spacing w:line="360" w:lineRule="auto"/>
              <w:rPr>
                <w:rFonts w:ascii="宋体" w:hAnsi="宋体" w:cs="宋体"/>
                <w:bCs/>
                <w:color w:val="000000"/>
                <w:szCs w:val="21"/>
              </w:rPr>
            </w:pPr>
            <w:r>
              <w:rPr>
                <w:rFonts w:hint="eastAsia" w:ascii="宋体" w:hAnsi="宋体" w:cs="宋体"/>
                <w:bCs/>
                <w:color w:val="000000"/>
                <w:szCs w:val="21"/>
              </w:rPr>
              <w:t>4.危害分析与关键控制点（HACCP）体系认证证书</w:t>
            </w:r>
          </w:p>
          <w:p w14:paraId="2FCDC3D2">
            <w:pPr>
              <w:spacing w:line="360" w:lineRule="auto"/>
              <w:rPr>
                <w:rFonts w:ascii="宋体" w:hAnsi="宋体" w:cs="宋体"/>
                <w:bCs/>
                <w:color w:val="000000"/>
                <w:szCs w:val="21"/>
                <w:highlight w:val="none"/>
              </w:rPr>
            </w:pPr>
            <w:r>
              <w:rPr>
                <w:rFonts w:hint="eastAsia" w:ascii="宋体" w:hAnsi="宋体"/>
                <w:bCs/>
                <w:color w:val="000000"/>
                <w:szCs w:val="21"/>
              </w:rPr>
              <w:t>每提供1个得1分，满分4</w:t>
            </w:r>
            <w:r>
              <w:rPr>
                <w:rFonts w:hint="eastAsia" w:ascii="宋体" w:hAnsi="宋体"/>
                <w:bCs/>
                <w:color w:val="000000"/>
                <w:szCs w:val="21"/>
                <w:highlight w:val="none"/>
              </w:rPr>
              <w:t>分。</w:t>
            </w:r>
          </w:p>
          <w:p w14:paraId="321278B2">
            <w:pPr>
              <w:spacing w:line="360" w:lineRule="auto"/>
              <w:jc w:val="left"/>
              <w:rPr>
                <w:rFonts w:ascii="宋体" w:hAnsi="宋体" w:cs="宋体"/>
                <w:szCs w:val="21"/>
              </w:rPr>
            </w:pPr>
            <w:r>
              <w:rPr>
                <w:rFonts w:hint="eastAsia" w:ascii="宋体" w:hAnsi="宋体" w:cs="宋体"/>
                <w:bCs/>
                <w:color w:val="000000"/>
                <w:szCs w:val="21"/>
                <w:highlight w:val="none"/>
              </w:rPr>
              <w:t>注：须提供有效期内的证书复印件，认证范围包括与本项目相关食品或食材生产、销售、加工等，</w:t>
            </w:r>
            <w:r>
              <w:rPr>
                <w:rFonts w:hint="eastAsia" w:ascii="宋体" w:hAnsi="宋体" w:cs="宋体"/>
                <w:bCs/>
                <w:color w:val="000000"/>
                <w:szCs w:val="21"/>
              </w:rPr>
              <w:t>否则不得分。</w:t>
            </w:r>
          </w:p>
        </w:tc>
      </w:tr>
      <w:tr w14:paraId="6702A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7" w:hRule="atLeast"/>
          <w:jc w:val="center"/>
        </w:trPr>
        <w:tc>
          <w:tcPr>
            <w:tcW w:w="562" w:type="dxa"/>
            <w:vMerge w:val="continue"/>
            <w:vAlign w:val="center"/>
          </w:tcPr>
          <w:p w14:paraId="211A4670">
            <w:pPr>
              <w:spacing w:line="360" w:lineRule="auto"/>
              <w:ind w:firstLine="422"/>
              <w:jc w:val="left"/>
              <w:rPr>
                <w:rFonts w:ascii="宋体" w:hAnsi="宋体" w:cs="宋体"/>
                <w:szCs w:val="21"/>
              </w:rPr>
            </w:pPr>
          </w:p>
        </w:tc>
        <w:tc>
          <w:tcPr>
            <w:tcW w:w="1585" w:type="dxa"/>
            <w:vMerge w:val="continue"/>
            <w:vAlign w:val="center"/>
          </w:tcPr>
          <w:p w14:paraId="2C2D17BF">
            <w:pPr>
              <w:spacing w:line="360" w:lineRule="auto"/>
              <w:ind w:firstLine="422"/>
              <w:jc w:val="left"/>
              <w:rPr>
                <w:rFonts w:ascii="宋体" w:hAnsi="宋体" w:cs="宋体"/>
                <w:szCs w:val="21"/>
              </w:rPr>
            </w:pPr>
          </w:p>
        </w:tc>
        <w:tc>
          <w:tcPr>
            <w:tcW w:w="1701" w:type="dxa"/>
            <w:shd w:val="clear" w:color="auto" w:fill="auto"/>
            <w:vAlign w:val="center"/>
          </w:tcPr>
          <w:p w14:paraId="29627E2E">
            <w:pPr>
              <w:spacing w:line="360" w:lineRule="auto"/>
              <w:jc w:val="left"/>
              <w:rPr>
                <w:rFonts w:ascii="宋体" w:hAnsi="宋体" w:cs="宋体"/>
                <w:szCs w:val="21"/>
              </w:rPr>
            </w:pPr>
            <w:r>
              <w:rPr>
                <w:rFonts w:hint="eastAsia" w:ascii="宋体" w:hAnsi="宋体" w:cs="宋体"/>
                <w:b/>
                <w:bCs/>
                <w:szCs w:val="21"/>
              </w:rPr>
              <w:t>3.5仓储能力</w:t>
            </w:r>
            <w:r>
              <w:rPr>
                <w:rFonts w:hint="eastAsia" w:ascii="宋体" w:hAnsi="宋体" w:cs="宋体"/>
                <w:b/>
                <w:bCs/>
                <w:color w:val="000000"/>
                <w:szCs w:val="21"/>
              </w:rPr>
              <w:t>（满分6分</w:t>
            </w:r>
            <w:r>
              <w:rPr>
                <w:rFonts w:hint="eastAsia" w:ascii="宋体" w:hAnsi="宋体" w:cs="宋体"/>
                <w:bCs/>
                <w:color w:val="000000"/>
                <w:szCs w:val="21"/>
              </w:rPr>
              <w:t>）</w:t>
            </w:r>
          </w:p>
        </w:tc>
        <w:tc>
          <w:tcPr>
            <w:tcW w:w="5660" w:type="dxa"/>
            <w:shd w:val="clear" w:color="auto" w:fill="auto"/>
            <w:vAlign w:val="center"/>
          </w:tcPr>
          <w:p w14:paraId="0F4FB06F">
            <w:pPr>
              <w:numPr>
                <w:ilvl w:val="0"/>
                <w:numId w:val="4"/>
              </w:numPr>
              <w:spacing w:line="360" w:lineRule="auto"/>
              <w:jc w:val="left"/>
              <w:rPr>
                <w:rFonts w:ascii="宋体" w:hAnsi="宋体" w:cs="宋体"/>
                <w:bCs/>
                <w:szCs w:val="21"/>
              </w:rPr>
            </w:pPr>
            <w:r>
              <w:rPr>
                <w:rFonts w:hint="eastAsia" w:ascii="宋体" w:hAnsi="宋体" w:cs="宋体"/>
                <w:szCs w:val="21"/>
              </w:rPr>
              <w:t>拟投入本项目的冷藏用房（冷库）</w:t>
            </w:r>
            <w:r>
              <w:rPr>
                <w:rFonts w:hint="eastAsia" w:ascii="宋体" w:hAnsi="宋体" w:cs="宋体"/>
                <w:bCs/>
                <w:szCs w:val="21"/>
              </w:rPr>
              <w:t>A≥1000立方米的，得3分；500立方米≤A＜1000立方米的，得2分；A＜500立方米的，得1分。不提供不得分。</w:t>
            </w:r>
          </w:p>
          <w:p w14:paraId="05995490">
            <w:pPr>
              <w:pStyle w:val="54"/>
              <w:numPr>
                <w:ilvl w:val="0"/>
                <w:numId w:val="4"/>
              </w:numPr>
              <w:spacing w:line="360" w:lineRule="auto"/>
              <w:rPr>
                <w:rFonts w:hint="default" w:ascii="宋体" w:hAnsi="宋体" w:cs="宋体"/>
                <w:sz w:val="21"/>
                <w:szCs w:val="21"/>
              </w:rPr>
            </w:pPr>
            <w:r>
              <w:rPr>
                <w:rFonts w:ascii="宋体" w:hAnsi="宋体" w:cs="宋体"/>
                <w:sz w:val="21"/>
                <w:szCs w:val="21"/>
              </w:rPr>
              <w:t>投入本项目的经营场地B＞500平方米，得3分；500平方米≤B≤300平方米，得2分；B＜300平方米，得1分。</w:t>
            </w:r>
            <w:r>
              <w:rPr>
                <w:rFonts w:ascii="宋体" w:hAnsi="宋体" w:cs="宋体"/>
                <w:bCs/>
                <w:sz w:val="21"/>
                <w:szCs w:val="21"/>
              </w:rPr>
              <w:t>不提供不得分。</w:t>
            </w:r>
          </w:p>
          <w:p w14:paraId="0B7682F7">
            <w:pPr>
              <w:pStyle w:val="54"/>
              <w:spacing w:line="360" w:lineRule="auto"/>
              <w:rPr>
                <w:rFonts w:hint="default"/>
              </w:rPr>
            </w:pPr>
            <w:r>
              <w:rPr>
                <w:rFonts w:ascii="宋体" w:hAnsi="宋体" w:cs="宋体"/>
                <w:bCs/>
                <w:sz w:val="21"/>
                <w:szCs w:val="21"/>
              </w:rPr>
              <w:t>注：上述证明材料包括但不限于：经营场地证明材料、经营场地图片、冷库场地证明材料、冷库图片等，否则不得分。（自有房屋提供房产证明或其它有效证明材料复印件，租赁的房屋提供房产证明复印件或其它有效证明材料复印件、租赁合同复印件等，）</w:t>
            </w:r>
          </w:p>
        </w:tc>
      </w:tr>
      <w:tr w14:paraId="0FD7E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08" w:type="dxa"/>
            <w:gridSpan w:val="4"/>
            <w:vAlign w:val="center"/>
          </w:tcPr>
          <w:p w14:paraId="56A25E59">
            <w:pPr>
              <w:pStyle w:val="24"/>
              <w:spacing w:line="360" w:lineRule="auto"/>
              <w:rPr>
                <w:rFonts w:hAnsi="宋体" w:cs="宋体"/>
                <w:b/>
                <w:bCs/>
                <w:sz w:val="21"/>
              </w:rPr>
            </w:pPr>
            <w:r>
              <w:rPr>
                <w:rFonts w:hint="eastAsia" w:hAnsi="宋体" w:cs="宋体"/>
                <w:b/>
                <w:bCs/>
                <w:sz w:val="21"/>
              </w:rPr>
              <w:t>总得分为以上各项评审因素得分合计</w:t>
            </w:r>
          </w:p>
        </w:tc>
      </w:tr>
    </w:tbl>
    <w:p w14:paraId="5AF27EC7">
      <w:pPr>
        <w:rPr>
          <w:rFonts w:ascii="宋体" w:hAnsi="宋体"/>
          <w:bCs/>
          <w:szCs w:val="21"/>
        </w:rPr>
      </w:pPr>
    </w:p>
    <w:p w14:paraId="65926DF5">
      <w:pPr>
        <w:spacing w:line="360" w:lineRule="auto"/>
        <w:ind w:firstLine="420"/>
      </w:pPr>
      <w:r>
        <w:rPr>
          <w:rFonts w:ascii="宋体" w:hAnsi="宋体"/>
          <w:bCs/>
          <w:szCs w:val="21"/>
        </w:rPr>
        <w:t>7.</w:t>
      </w:r>
      <w:r>
        <w:rPr>
          <w:rFonts w:hint="eastAsia" w:ascii="宋体" w:hAnsi="宋体"/>
          <w:bCs/>
          <w:szCs w:val="21"/>
        </w:rPr>
        <w:t>由磋商小组根据综合评分情况，按照评审得分由高到低顺序推荐3名</w:t>
      </w:r>
      <w:r>
        <w:rPr>
          <w:rFonts w:hint="eastAsia"/>
        </w:rPr>
        <w:t>及</w:t>
      </w:r>
      <w:r>
        <w:rPr>
          <w:rFonts w:hint="eastAsia" w:ascii="宋体" w:hAnsi="宋体"/>
          <w:bCs/>
          <w:szCs w:val="21"/>
        </w:rPr>
        <w:t>以上成交候选供应商，并编写评审报告，</w:t>
      </w:r>
      <w:r>
        <w:rPr>
          <w:rFonts w:hint="eastAsia" w:ascii="宋体" w:hAnsi="宋体" w:cs="宋体"/>
        </w:rPr>
        <w:t>评审报告</w:t>
      </w:r>
      <w:r>
        <w:rPr>
          <w:rFonts w:hint="eastAsia" w:hAnsi="宋体"/>
        </w:rPr>
        <w:t>通过电子交易平台向采购人、采购代理机构提交。</w:t>
      </w:r>
      <w:r>
        <w:rPr>
          <w:rFonts w:hint="eastAsia" w:ascii="宋体" w:hAnsi="宋体"/>
          <w:bCs/>
          <w:szCs w:val="21"/>
        </w:rPr>
        <w:t>符合本章第</w:t>
      </w:r>
      <w:r>
        <w:rPr>
          <w:rFonts w:ascii="宋体" w:hAnsi="宋体"/>
          <w:bCs/>
          <w:szCs w:val="21"/>
        </w:rPr>
        <w:t>4.3</w:t>
      </w:r>
      <w:r>
        <w:rPr>
          <w:rFonts w:hint="eastAsia" w:ascii="宋体" w:hAnsi="宋体"/>
          <w:bCs/>
          <w:szCs w:val="21"/>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bookmarkStart w:id="55" w:name="_Toc74323460"/>
    </w:p>
    <w:p w14:paraId="50A53108"/>
    <w:p w14:paraId="339B98DD">
      <w:pPr>
        <w:pStyle w:val="2"/>
      </w:pPr>
    </w:p>
    <w:p w14:paraId="03999E0F">
      <w:pPr>
        <w:pStyle w:val="2"/>
      </w:pPr>
    </w:p>
    <w:p w14:paraId="00102B2B">
      <w:pPr>
        <w:pStyle w:val="2"/>
      </w:pPr>
    </w:p>
    <w:p w14:paraId="44A6D106">
      <w:pPr>
        <w:pStyle w:val="2"/>
      </w:pPr>
    </w:p>
    <w:p w14:paraId="099BBA42">
      <w:pPr>
        <w:pStyle w:val="2"/>
      </w:pPr>
    </w:p>
    <w:p w14:paraId="36E09625">
      <w:pPr>
        <w:pStyle w:val="2"/>
      </w:pPr>
    </w:p>
    <w:p w14:paraId="4A32A0B2">
      <w:pPr>
        <w:pStyle w:val="2"/>
      </w:pPr>
    </w:p>
    <w:p w14:paraId="51E1CB20">
      <w:pPr>
        <w:pStyle w:val="2"/>
      </w:pPr>
    </w:p>
    <w:p w14:paraId="0901D8F1">
      <w:pPr>
        <w:pStyle w:val="3"/>
        <w:jc w:val="both"/>
      </w:pPr>
    </w:p>
    <w:p w14:paraId="554F4607"/>
    <w:p w14:paraId="2AC789E9">
      <w:pPr>
        <w:pStyle w:val="2"/>
      </w:pPr>
    </w:p>
    <w:p w14:paraId="6D7D1AEC">
      <w:pPr>
        <w:pStyle w:val="3"/>
        <w:jc w:val="center"/>
      </w:pPr>
      <w:r>
        <w:rPr>
          <w:rFonts w:hint="eastAsia"/>
        </w:rPr>
        <w:t>第五章 响应文件格式</w:t>
      </w:r>
      <w:bookmarkEnd w:id="55"/>
    </w:p>
    <w:p w14:paraId="1133CE36">
      <w:pPr>
        <w:spacing w:line="240" w:lineRule="atLeast"/>
        <w:rPr>
          <w:rFonts w:ascii="宋体" w:hAnsi="宋体"/>
          <w:b/>
          <w:sz w:val="32"/>
          <w:szCs w:val="32"/>
        </w:rPr>
      </w:pPr>
    </w:p>
    <w:p w14:paraId="4F849B3B">
      <w:pPr>
        <w:spacing w:line="240" w:lineRule="atLeast"/>
        <w:rPr>
          <w:rFonts w:ascii="宋体" w:hAnsi="宋体"/>
          <w:b/>
          <w:sz w:val="32"/>
          <w:szCs w:val="32"/>
        </w:rPr>
      </w:pPr>
    </w:p>
    <w:p w14:paraId="68A9C782">
      <w:pPr>
        <w:spacing w:line="240" w:lineRule="atLeast"/>
        <w:rPr>
          <w:rFonts w:ascii="宋体" w:hAnsi="宋体"/>
          <w:b/>
          <w:sz w:val="32"/>
          <w:szCs w:val="32"/>
        </w:rPr>
      </w:pPr>
    </w:p>
    <w:p w14:paraId="24523FCE">
      <w:pPr>
        <w:spacing w:line="240" w:lineRule="atLeast"/>
        <w:rPr>
          <w:rFonts w:ascii="宋体" w:hAnsi="宋体"/>
          <w:b/>
          <w:sz w:val="32"/>
          <w:szCs w:val="32"/>
        </w:rPr>
      </w:pPr>
    </w:p>
    <w:p w14:paraId="7177817E">
      <w:pPr>
        <w:spacing w:line="240" w:lineRule="atLeast"/>
        <w:rPr>
          <w:rFonts w:ascii="宋体" w:hAnsi="宋体"/>
          <w:b/>
          <w:sz w:val="32"/>
          <w:szCs w:val="32"/>
        </w:rPr>
      </w:pPr>
    </w:p>
    <w:p w14:paraId="6CD8E2EC">
      <w:pPr>
        <w:spacing w:line="240" w:lineRule="atLeast"/>
        <w:rPr>
          <w:rFonts w:ascii="宋体" w:hAnsi="宋体"/>
          <w:b/>
          <w:sz w:val="32"/>
          <w:szCs w:val="32"/>
        </w:rPr>
      </w:pPr>
    </w:p>
    <w:p w14:paraId="4337B0E8">
      <w:pPr>
        <w:spacing w:line="240" w:lineRule="atLeast"/>
        <w:rPr>
          <w:rFonts w:ascii="宋体" w:hAnsi="宋体"/>
          <w:b/>
          <w:sz w:val="32"/>
          <w:szCs w:val="32"/>
        </w:rPr>
      </w:pPr>
    </w:p>
    <w:p w14:paraId="210932CF">
      <w:pPr>
        <w:spacing w:line="240" w:lineRule="atLeast"/>
        <w:rPr>
          <w:rFonts w:ascii="宋体" w:hAnsi="宋体"/>
          <w:b/>
          <w:sz w:val="32"/>
          <w:szCs w:val="32"/>
        </w:rPr>
      </w:pPr>
    </w:p>
    <w:p w14:paraId="6FE5D6A9">
      <w:pPr>
        <w:spacing w:line="240" w:lineRule="atLeast"/>
        <w:rPr>
          <w:rFonts w:ascii="宋体" w:hAnsi="宋体"/>
          <w:b/>
          <w:sz w:val="32"/>
          <w:szCs w:val="32"/>
        </w:rPr>
      </w:pPr>
    </w:p>
    <w:p w14:paraId="24EEF2FB">
      <w:pPr>
        <w:spacing w:line="240" w:lineRule="atLeast"/>
        <w:rPr>
          <w:rFonts w:ascii="宋体" w:hAnsi="宋体"/>
          <w:b/>
          <w:sz w:val="32"/>
          <w:szCs w:val="32"/>
        </w:rPr>
      </w:pPr>
    </w:p>
    <w:p w14:paraId="0C313403">
      <w:pPr>
        <w:spacing w:line="240" w:lineRule="atLeast"/>
        <w:rPr>
          <w:rFonts w:ascii="宋体" w:hAnsi="宋体"/>
          <w:b/>
          <w:sz w:val="32"/>
          <w:szCs w:val="32"/>
        </w:rPr>
      </w:pPr>
    </w:p>
    <w:p w14:paraId="3C99388B">
      <w:pPr>
        <w:spacing w:before="50" w:after="50"/>
        <w:outlineLvl w:val="1"/>
        <w:rPr>
          <w:rFonts w:ascii="宋体" w:hAnsi="宋体"/>
          <w:b/>
          <w:bCs/>
          <w:sz w:val="24"/>
        </w:rPr>
      </w:pPr>
    </w:p>
    <w:p w14:paraId="0E9F3909">
      <w:pPr>
        <w:spacing w:before="156" w:after="50"/>
        <w:jc w:val="center"/>
        <w:rPr>
          <w:rFonts w:ascii="仿宋_GB2312" w:hAnsi="仿宋_GB2312" w:eastAsia="仿宋_GB2312" w:cs="仿宋_GB2312"/>
          <w:bCs/>
          <w:sz w:val="32"/>
          <w:szCs w:val="32"/>
        </w:rPr>
      </w:pPr>
    </w:p>
    <w:p w14:paraId="5DC1E12C">
      <w:pPr>
        <w:rPr>
          <w:b/>
          <w:sz w:val="32"/>
          <w:szCs w:val="32"/>
        </w:rPr>
      </w:pPr>
      <w:bookmarkStart w:id="56" w:name="_Toc31728084"/>
      <w:bookmarkStart w:id="57" w:name="_Toc35611438"/>
      <w:bookmarkStart w:id="58" w:name="_Toc31723070"/>
      <w:bookmarkStart w:id="59" w:name="_Toc44229899"/>
      <w:bookmarkStart w:id="60" w:name="_Toc71366186"/>
      <w:bookmarkStart w:id="61" w:name="_Toc35611516"/>
      <w:r>
        <w:rPr>
          <w:b/>
          <w:sz w:val="32"/>
          <w:szCs w:val="32"/>
        </w:rPr>
        <w:br w:type="page" w:clear="all"/>
      </w:r>
      <w:r>
        <w:rPr>
          <w:rFonts w:hint="eastAsia"/>
          <w:b/>
          <w:sz w:val="32"/>
          <w:szCs w:val="32"/>
        </w:rPr>
        <w:t>一、资格证明文件格式</w:t>
      </w:r>
      <w:bookmarkEnd w:id="56"/>
      <w:bookmarkEnd w:id="57"/>
      <w:bookmarkEnd w:id="58"/>
      <w:bookmarkEnd w:id="59"/>
      <w:bookmarkEnd w:id="60"/>
      <w:bookmarkEnd w:id="61"/>
    </w:p>
    <w:p w14:paraId="3CD53C8B">
      <w:pPr>
        <w:spacing w:before="156" w:after="50" w:line="360" w:lineRule="auto"/>
        <w:jc w:val="left"/>
        <w:rPr>
          <w:rFonts w:ascii="宋体" w:hAnsi="宋体"/>
          <w:b/>
          <w:sz w:val="24"/>
        </w:rPr>
      </w:pPr>
      <w:r>
        <w:rPr>
          <w:rFonts w:hint="eastAsia" w:ascii="宋体" w:hAnsi="宋体"/>
          <w:b/>
          <w:sz w:val="32"/>
          <w:szCs w:val="32"/>
        </w:rPr>
        <w:t>1.资格证明文件封面格式：</w:t>
      </w:r>
    </w:p>
    <w:p w14:paraId="2CEC42C7">
      <w:pPr>
        <w:spacing w:before="156" w:after="50"/>
        <w:jc w:val="center"/>
        <w:rPr>
          <w:rFonts w:ascii="宋体" w:hAnsi="宋体"/>
          <w:sz w:val="44"/>
          <w:szCs w:val="44"/>
        </w:rPr>
      </w:pPr>
    </w:p>
    <w:p w14:paraId="6F9A6391">
      <w:pPr>
        <w:spacing w:before="156" w:after="50"/>
        <w:jc w:val="center"/>
        <w:rPr>
          <w:rFonts w:ascii="宋体" w:hAnsi="宋体"/>
          <w:sz w:val="44"/>
          <w:szCs w:val="44"/>
        </w:rPr>
      </w:pPr>
      <w:r>
        <w:rPr>
          <w:rFonts w:hint="eastAsia" w:ascii="宋体" w:hAnsi="宋体"/>
          <w:sz w:val="44"/>
          <w:szCs w:val="44"/>
        </w:rPr>
        <w:t>电 子 响 应 文 件</w:t>
      </w:r>
    </w:p>
    <w:p w14:paraId="4AB13042">
      <w:pPr>
        <w:spacing w:before="156" w:after="50"/>
        <w:rPr>
          <w:rFonts w:ascii="宋体" w:hAnsi="宋体"/>
          <w:sz w:val="24"/>
          <w:szCs w:val="20"/>
        </w:rPr>
      </w:pPr>
    </w:p>
    <w:p w14:paraId="1FF0927D">
      <w:pPr>
        <w:spacing w:before="156" w:after="5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资  格  证  明  文  件</w:t>
      </w:r>
    </w:p>
    <w:p w14:paraId="1B0E4732">
      <w:pPr>
        <w:spacing w:before="156" w:after="50"/>
        <w:rPr>
          <w:rFonts w:ascii="宋体" w:hAnsi="宋体"/>
          <w:bCs/>
          <w:sz w:val="24"/>
          <w:szCs w:val="20"/>
        </w:rPr>
      </w:pPr>
    </w:p>
    <w:p w14:paraId="616DD1B5">
      <w:pPr>
        <w:spacing w:before="156" w:after="50"/>
        <w:rPr>
          <w:rFonts w:ascii="宋体" w:hAnsi="宋体"/>
          <w:bCs/>
          <w:sz w:val="24"/>
          <w:szCs w:val="20"/>
        </w:rPr>
      </w:pPr>
    </w:p>
    <w:p w14:paraId="7388BD09">
      <w:pPr>
        <w:spacing w:before="156" w:after="50"/>
        <w:rPr>
          <w:rFonts w:ascii="宋体" w:hAnsi="宋体"/>
          <w:bCs/>
          <w:sz w:val="24"/>
          <w:szCs w:val="20"/>
        </w:rPr>
      </w:pPr>
    </w:p>
    <w:p w14:paraId="5CE3B10B">
      <w:pPr>
        <w:spacing w:before="156" w:after="50"/>
        <w:rPr>
          <w:rFonts w:ascii="宋体" w:hAnsi="宋体"/>
          <w:bCs/>
          <w:sz w:val="24"/>
          <w:szCs w:val="20"/>
        </w:rPr>
      </w:pPr>
    </w:p>
    <w:p w14:paraId="6ADAA174">
      <w:pPr>
        <w:spacing w:before="156" w:after="50"/>
        <w:rPr>
          <w:rFonts w:ascii="宋体" w:hAnsi="宋体"/>
          <w:bCs/>
          <w:sz w:val="24"/>
          <w:szCs w:val="20"/>
        </w:rPr>
      </w:pPr>
    </w:p>
    <w:p w14:paraId="79C71784">
      <w:pPr>
        <w:spacing w:before="156" w:after="50"/>
        <w:ind w:firstLine="640"/>
        <w:rPr>
          <w:rFonts w:ascii="宋体" w:hAnsi="宋体" w:cs="仿宋_GB2312"/>
          <w:bCs/>
          <w:sz w:val="32"/>
          <w:szCs w:val="32"/>
        </w:rPr>
      </w:pPr>
      <w:r>
        <w:rPr>
          <w:rFonts w:hint="eastAsia" w:ascii="宋体" w:hAnsi="宋体" w:cs="仿宋_GB2312"/>
          <w:bCs/>
          <w:sz w:val="32"/>
          <w:szCs w:val="32"/>
        </w:rPr>
        <w:t>项目名称：</w:t>
      </w:r>
    </w:p>
    <w:p w14:paraId="4F7D66C7">
      <w:pPr>
        <w:spacing w:before="156" w:after="50"/>
        <w:ind w:firstLine="720"/>
        <w:rPr>
          <w:rFonts w:ascii="宋体" w:hAnsi="宋体" w:cs="仿宋_GB2312"/>
          <w:bCs/>
          <w:sz w:val="32"/>
          <w:szCs w:val="32"/>
        </w:rPr>
      </w:pPr>
    </w:p>
    <w:p w14:paraId="7C7A8545">
      <w:pPr>
        <w:spacing w:before="156" w:after="50"/>
        <w:ind w:firstLine="720"/>
        <w:rPr>
          <w:rFonts w:ascii="宋体" w:hAnsi="宋体" w:cs="仿宋_GB2312"/>
          <w:bCs/>
          <w:sz w:val="32"/>
          <w:szCs w:val="32"/>
        </w:rPr>
      </w:pPr>
      <w:r>
        <w:rPr>
          <w:rFonts w:hint="eastAsia" w:ascii="宋体" w:hAnsi="宋体" w:cs="仿宋_GB2312"/>
          <w:bCs/>
          <w:sz w:val="32"/>
          <w:szCs w:val="32"/>
        </w:rPr>
        <w:t>项目编号：</w:t>
      </w:r>
    </w:p>
    <w:p w14:paraId="1CCF6C87">
      <w:pPr>
        <w:spacing w:before="156" w:after="50"/>
        <w:ind w:firstLine="720"/>
        <w:rPr>
          <w:rFonts w:ascii="宋体" w:hAnsi="宋体" w:cs="仿宋_GB2312"/>
          <w:bCs/>
          <w:sz w:val="32"/>
          <w:szCs w:val="32"/>
        </w:rPr>
      </w:pPr>
    </w:p>
    <w:p w14:paraId="58D02572">
      <w:pPr>
        <w:spacing w:before="156" w:after="50"/>
        <w:ind w:firstLine="720"/>
        <w:rPr>
          <w:rFonts w:ascii="宋体" w:hAnsi="宋体" w:cs="仿宋_GB2312"/>
          <w:bCs/>
          <w:sz w:val="32"/>
          <w:szCs w:val="32"/>
        </w:rPr>
      </w:pPr>
      <w:r>
        <w:rPr>
          <w:rFonts w:hint="eastAsia" w:ascii="宋体" w:hAnsi="宋体" w:cs="仿宋_GB2312"/>
          <w:bCs/>
          <w:sz w:val="32"/>
          <w:szCs w:val="32"/>
        </w:rPr>
        <w:t>所竞分标（如有则填写，无分标时填写“无”或者留空）：</w:t>
      </w:r>
    </w:p>
    <w:p w14:paraId="4FBAAE5B">
      <w:pPr>
        <w:spacing w:before="156" w:after="50"/>
        <w:ind w:firstLine="720"/>
        <w:rPr>
          <w:rFonts w:ascii="宋体" w:hAnsi="宋体" w:cs="仿宋_GB2312"/>
          <w:bCs/>
          <w:sz w:val="32"/>
          <w:szCs w:val="32"/>
        </w:rPr>
      </w:pPr>
    </w:p>
    <w:p w14:paraId="33C91059">
      <w:pPr>
        <w:pStyle w:val="2"/>
        <w:spacing w:before="50" w:after="50"/>
        <w:ind w:firstLine="720"/>
        <w:rPr>
          <w:rFonts w:ascii="宋体" w:hAnsi="宋体" w:cs="仿宋_GB2312"/>
          <w:bCs/>
          <w:sz w:val="32"/>
          <w:szCs w:val="32"/>
        </w:rPr>
      </w:pPr>
      <w:r>
        <w:rPr>
          <w:rFonts w:hint="eastAsia" w:ascii="宋体" w:hAnsi="宋体" w:cs="仿宋_GB2312"/>
          <w:bCs/>
          <w:sz w:val="32"/>
          <w:szCs w:val="32"/>
        </w:rPr>
        <w:t>供应商名称：</w:t>
      </w:r>
    </w:p>
    <w:p w14:paraId="5D83E769">
      <w:pPr>
        <w:spacing w:before="156" w:after="50"/>
        <w:ind w:firstLine="640"/>
        <w:rPr>
          <w:rFonts w:ascii="宋体" w:hAnsi="宋体" w:cs="仿宋_GB2312"/>
          <w:bCs/>
          <w:sz w:val="32"/>
          <w:szCs w:val="32"/>
        </w:rPr>
      </w:pPr>
    </w:p>
    <w:p w14:paraId="6DD62FB6">
      <w:pPr>
        <w:pStyle w:val="2"/>
        <w:spacing w:before="50" w:after="50"/>
        <w:ind w:firstLine="720"/>
        <w:rPr>
          <w:rFonts w:ascii="宋体" w:hAnsi="宋体" w:cs="仿宋_GB2312"/>
          <w:bCs/>
          <w:sz w:val="32"/>
          <w:szCs w:val="32"/>
        </w:rPr>
      </w:pPr>
    </w:p>
    <w:p w14:paraId="50E03EC3">
      <w:pPr>
        <w:pStyle w:val="2"/>
        <w:spacing w:before="50" w:after="50"/>
        <w:ind w:firstLine="720"/>
        <w:rPr>
          <w:rFonts w:ascii="宋体" w:hAnsi="宋体" w:cs="仿宋_GB2312"/>
          <w:bCs/>
          <w:sz w:val="32"/>
          <w:szCs w:val="32"/>
        </w:rPr>
      </w:pPr>
    </w:p>
    <w:p w14:paraId="05ACCBE6">
      <w:pPr>
        <w:pStyle w:val="2"/>
        <w:spacing w:before="50" w:after="50"/>
        <w:ind w:firstLine="1280"/>
        <w:rPr>
          <w:rFonts w:ascii="宋体" w:hAnsi="宋体" w:cs="仿宋_GB2312"/>
          <w:bCs/>
          <w:sz w:val="32"/>
          <w:szCs w:val="32"/>
        </w:rPr>
      </w:pPr>
    </w:p>
    <w:p w14:paraId="11EE19F3">
      <w:pPr>
        <w:spacing w:before="156" w:after="50"/>
        <w:jc w:val="center"/>
        <w:rPr>
          <w:rFonts w:ascii="宋体" w:hAnsi="宋体" w:cs="仿宋_GB2312"/>
          <w:sz w:val="32"/>
          <w:szCs w:val="32"/>
        </w:rPr>
      </w:pPr>
      <w:r>
        <w:rPr>
          <w:rFonts w:hint="eastAsia" w:ascii="宋体" w:hAnsi="宋体" w:cs="仿宋_GB2312"/>
          <w:sz w:val="32"/>
          <w:szCs w:val="32"/>
        </w:rPr>
        <w:t>年    月    日</w:t>
      </w:r>
    </w:p>
    <w:p w14:paraId="5303D98D">
      <w:pPr>
        <w:spacing w:before="156" w:after="50" w:line="360" w:lineRule="auto"/>
        <w:ind w:left="142"/>
        <w:jc w:val="left"/>
        <w:rPr>
          <w:rFonts w:ascii="宋体" w:hAnsi="宋体"/>
          <w:b/>
          <w:bCs/>
          <w:sz w:val="32"/>
          <w:szCs w:val="32"/>
        </w:rPr>
      </w:pPr>
      <w:r>
        <w:rPr>
          <w:rFonts w:ascii="宋体" w:hAnsi="宋体"/>
          <w:sz w:val="24"/>
        </w:rPr>
        <w:br w:type="page" w:clear="all"/>
      </w:r>
      <w:r>
        <w:rPr>
          <w:rFonts w:hint="eastAsia" w:ascii="宋体" w:hAnsi="宋体"/>
          <w:b/>
          <w:bCs/>
          <w:sz w:val="32"/>
          <w:szCs w:val="32"/>
        </w:rPr>
        <w:t>2.资格证明文件目录</w:t>
      </w:r>
    </w:p>
    <w:p w14:paraId="1ADD5F4D">
      <w:pPr>
        <w:spacing w:before="156" w:after="50" w:line="360" w:lineRule="auto"/>
        <w:ind w:firstLine="645"/>
        <w:rPr>
          <w:rFonts w:ascii="宋体" w:hAnsi="宋体"/>
          <w:sz w:val="32"/>
          <w:szCs w:val="32"/>
        </w:rPr>
      </w:pPr>
      <w:r>
        <w:rPr>
          <w:rFonts w:hint="eastAsia" w:ascii="宋体" w:hAnsi="宋体"/>
          <w:sz w:val="32"/>
          <w:szCs w:val="32"/>
        </w:rPr>
        <w:t>根据磋商文件规定及供应商提供的材料自行编写目录（部分格式后附）。</w:t>
      </w:r>
    </w:p>
    <w:p w14:paraId="5BB5546B">
      <w:pPr>
        <w:spacing w:before="156" w:after="50"/>
        <w:rPr>
          <w:rFonts w:ascii="宋体" w:hAnsi="宋体"/>
          <w:sz w:val="24"/>
          <w:szCs w:val="20"/>
        </w:rPr>
      </w:pPr>
    </w:p>
    <w:p w14:paraId="351C2B37">
      <w:pPr>
        <w:spacing w:line="300" w:lineRule="auto"/>
        <w:rPr>
          <w:rFonts w:ascii="宋体" w:hAnsi="宋体"/>
          <w:szCs w:val="21"/>
        </w:rPr>
      </w:pPr>
    </w:p>
    <w:p w14:paraId="08F4F535">
      <w:pPr>
        <w:spacing w:line="300" w:lineRule="auto"/>
        <w:rPr>
          <w:rFonts w:ascii="宋体" w:hAnsi="宋体"/>
          <w:szCs w:val="21"/>
        </w:rPr>
      </w:pPr>
    </w:p>
    <w:p w14:paraId="6887A48F">
      <w:pPr>
        <w:spacing w:line="300" w:lineRule="auto"/>
        <w:rPr>
          <w:rFonts w:ascii="宋体" w:hAnsi="宋体"/>
          <w:szCs w:val="21"/>
        </w:rPr>
      </w:pPr>
    </w:p>
    <w:p w14:paraId="7969D9DD">
      <w:pPr>
        <w:spacing w:line="300" w:lineRule="auto"/>
        <w:rPr>
          <w:rFonts w:ascii="宋体" w:hAnsi="宋体"/>
          <w:szCs w:val="21"/>
        </w:rPr>
      </w:pPr>
    </w:p>
    <w:p w14:paraId="55879FA9">
      <w:pPr>
        <w:spacing w:line="300" w:lineRule="auto"/>
        <w:rPr>
          <w:rFonts w:ascii="宋体" w:hAnsi="宋体"/>
          <w:szCs w:val="21"/>
        </w:rPr>
      </w:pPr>
    </w:p>
    <w:p w14:paraId="7E7AA8D4">
      <w:pPr>
        <w:spacing w:line="300" w:lineRule="auto"/>
        <w:rPr>
          <w:rFonts w:ascii="宋体" w:hAnsi="宋体"/>
          <w:szCs w:val="21"/>
        </w:rPr>
      </w:pPr>
    </w:p>
    <w:p w14:paraId="5FA6592B">
      <w:pPr>
        <w:spacing w:line="300" w:lineRule="auto"/>
        <w:rPr>
          <w:rFonts w:ascii="宋体" w:hAnsi="宋体"/>
          <w:szCs w:val="21"/>
        </w:rPr>
      </w:pPr>
    </w:p>
    <w:p w14:paraId="5B1B3DBE">
      <w:pPr>
        <w:spacing w:line="300" w:lineRule="auto"/>
        <w:rPr>
          <w:rFonts w:ascii="宋体" w:hAnsi="宋体"/>
          <w:szCs w:val="21"/>
        </w:rPr>
      </w:pPr>
    </w:p>
    <w:p w14:paraId="47A810A7">
      <w:pPr>
        <w:spacing w:line="300" w:lineRule="auto"/>
        <w:rPr>
          <w:rFonts w:ascii="宋体" w:hAnsi="宋体"/>
          <w:szCs w:val="21"/>
        </w:rPr>
      </w:pPr>
    </w:p>
    <w:p w14:paraId="6F25B6CA">
      <w:pPr>
        <w:spacing w:line="300" w:lineRule="auto"/>
        <w:rPr>
          <w:rFonts w:ascii="宋体" w:hAnsi="宋体"/>
          <w:szCs w:val="21"/>
        </w:rPr>
      </w:pPr>
    </w:p>
    <w:p w14:paraId="6E03BE0A">
      <w:pPr>
        <w:spacing w:line="300" w:lineRule="auto"/>
        <w:rPr>
          <w:rFonts w:ascii="宋体" w:hAnsi="宋体"/>
          <w:szCs w:val="21"/>
        </w:rPr>
      </w:pPr>
    </w:p>
    <w:p w14:paraId="7201435F">
      <w:pPr>
        <w:spacing w:line="300" w:lineRule="auto"/>
        <w:rPr>
          <w:rFonts w:ascii="宋体" w:hAnsi="宋体"/>
          <w:szCs w:val="21"/>
        </w:rPr>
      </w:pPr>
    </w:p>
    <w:p w14:paraId="14D84653">
      <w:pPr>
        <w:spacing w:line="300" w:lineRule="auto"/>
        <w:rPr>
          <w:rFonts w:ascii="宋体" w:hAnsi="宋体"/>
          <w:szCs w:val="21"/>
        </w:rPr>
      </w:pPr>
    </w:p>
    <w:p w14:paraId="21209BB2">
      <w:pPr>
        <w:spacing w:line="300" w:lineRule="auto"/>
        <w:rPr>
          <w:rFonts w:ascii="宋体" w:hAnsi="宋体"/>
          <w:szCs w:val="21"/>
        </w:rPr>
      </w:pPr>
    </w:p>
    <w:p w14:paraId="176A9A7E">
      <w:pPr>
        <w:spacing w:line="300" w:lineRule="auto"/>
        <w:rPr>
          <w:rFonts w:ascii="宋体" w:hAnsi="宋体"/>
          <w:szCs w:val="21"/>
        </w:rPr>
      </w:pPr>
    </w:p>
    <w:p w14:paraId="24660356">
      <w:pPr>
        <w:spacing w:line="320" w:lineRule="exact"/>
        <w:jc w:val="left"/>
        <w:rPr>
          <w:rFonts w:ascii="宋体" w:hAnsi="宋体"/>
          <w:b/>
          <w:sz w:val="24"/>
        </w:rPr>
      </w:pPr>
      <w:r>
        <w:rPr>
          <w:rFonts w:ascii="宋体" w:hAnsi="宋体"/>
          <w:szCs w:val="21"/>
        </w:rPr>
        <w:br w:type="page" w:clear="all"/>
      </w:r>
      <w:r>
        <w:rPr>
          <w:rFonts w:hint="eastAsia" w:ascii="宋体" w:hAnsi="宋体"/>
          <w:b/>
          <w:sz w:val="24"/>
        </w:rPr>
        <w:t>3.</w:t>
      </w:r>
      <w:r>
        <w:rPr>
          <w:rFonts w:hint="eastAsia" w:ascii="宋体" w:hAnsi="宋体"/>
          <w:b/>
          <w:sz w:val="28"/>
          <w:szCs w:val="28"/>
        </w:rPr>
        <w:t>供应商直接控股股东信息表</w:t>
      </w:r>
    </w:p>
    <w:p w14:paraId="486DE077">
      <w:pPr>
        <w:spacing w:before="50" w:after="156"/>
        <w:jc w:val="center"/>
        <w:rPr>
          <w:rFonts w:ascii="宋体" w:hAnsi="宋体"/>
          <w:b/>
          <w:sz w:val="28"/>
          <w:szCs w:val="28"/>
        </w:rPr>
      </w:pPr>
    </w:p>
    <w:p w14:paraId="7E81ABD5">
      <w:pPr>
        <w:spacing w:before="50" w:after="156" w:line="360" w:lineRule="auto"/>
        <w:jc w:val="center"/>
        <w:rPr>
          <w:rFonts w:ascii="宋体" w:hAnsi="宋体"/>
          <w:b/>
          <w:sz w:val="32"/>
          <w:szCs w:val="32"/>
        </w:rPr>
      </w:pPr>
      <w:r>
        <w:rPr>
          <w:rFonts w:hint="eastAsia" w:ascii="宋体" w:hAnsi="宋体"/>
          <w:b/>
          <w:sz w:val="32"/>
          <w:szCs w:val="32"/>
        </w:rPr>
        <w:t>供应商直接控股股东信息表</w:t>
      </w:r>
    </w:p>
    <w:tbl>
      <w:tblPr>
        <w:tblStyle w:val="44"/>
        <w:tblW w:w="9476" w:type="dxa"/>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5C33F9DB">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520BDB61">
            <w:pPr>
              <w:spacing w:line="360" w:lineRule="auto"/>
              <w:jc w:val="center"/>
              <w:rPr>
                <w:rFonts w:ascii="宋体" w:hAnsi="宋体" w:cs="宋体"/>
                <w:b/>
                <w:bCs/>
                <w:sz w:val="24"/>
              </w:rPr>
            </w:pPr>
            <w:r>
              <w:rPr>
                <w:rFonts w:hint="eastAsia" w:ascii="宋体" w:hAnsi="宋体" w:cs="宋体"/>
                <w:b/>
                <w:bCs/>
                <w:sz w:val="24"/>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703C5233">
            <w:pPr>
              <w:spacing w:line="360" w:lineRule="auto"/>
              <w:jc w:val="center"/>
              <w:rPr>
                <w:rFonts w:ascii="宋体" w:hAnsi="宋体" w:cs="宋体"/>
                <w:b/>
                <w:bCs/>
                <w:sz w:val="24"/>
              </w:rPr>
            </w:pPr>
            <w:r>
              <w:rPr>
                <w:rFonts w:hint="eastAsia" w:ascii="宋体" w:hAnsi="宋体" w:cs="宋体"/>
                <w:b/>
                <w:bCs/>
                <w:sz w:val="24"/>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0FBA6ABB">
            <w:pPr>
              <w:spacing w:line="360" w:lineRule="auto"/>
              <w:jc w:val="center"/>
              <w:rPr>
                <w:rFonts w:ascii="宋体" w:hAnsi="宋体" w:cs="宋体"/>
                <w:b/>
                <w:bCs/>
                <w:sz w:val="24"/>
              </w:rPr>
            </w:pPr>
            <w:r>
              <w:rPr>
                <w:rFonts w:hint="eastAsia" w:ascii="宋体" w:hAnsi="宋体" w:cs="宋体"/>
                <w:b/>
                <w:bCs/>
                <w:sz w:val="24"/>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6BED1794">
            <w:pPr>
              <w:spacing w:line="360" w:lineRule="auto"/>
              <w:jc w:val="center"/>
              <w:rPr>
                <w:rFonts w:ascii="宋体" w:hAnsi="宋体" w:cs="宋体"/>
                <w:b/>
                <w:bCs/>
                <w:sz w:val="24"/>
              </w:rPr>
            </w:pPr>
            <w:r>
              <w:rPr>
                <w:rFonts w:hint="eastAsia" w:ascii="宋体" w:hAnsi="宋体" w:cs="宋体"/>
                <w:b/>
                <w:bCs/>
                <w:sz w:val="24"/>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7757968B">
            <w:pPr>
              <w:spacing w:line="360" w:lineRule="auto"/>
              <w:jc w:val="center"/>
              <w:rPr>
                <w:rFonts w:ascii="宋体" w:hAnsi="宋体" w:cs="宋体"/>
                <w:b/>
                <w:bCs/>
                <w:sz w:val="24"/>
              </w:rPr>
            </w:pPr>
            <w:r>
              <w:rPr>
                <w:rFonts w:hint="eastAsia" w:ascii="宋体" w:hAnsi="宋体" w:cs="宋体"/>
                <w:b/>
                <w:bCs/>
                <w:sz w:val="24"/>
              </w:rPr>
              <w:t>备注</w:t>
            </w:r>
          </w:p>
        </w:tc>
      </w:tr>
      <w:tr w14:paraId="3D43517F">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8444330">
            <w:pPr>
              <w:spacing w:line="360" w:lineRule="auto"/>
              <w:jc w:val="center"/>
              <w:rPr>
                <w:rFonts w:ascii="宋体" w:hAnsi="宋体" w:cs="宋体"/>
                <w:sz w:val="24"/>
              </w:rPr>
            </w:pPr>
            <w:r>
              <w:rPr>
                <w:rFonts w:hint="eastAsia" w:ascii="宋体" w:hAnsi="宋体" w:cs="宋体"/>
                <w:sz w:val="24"/>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B4A32F5">
            <w:pPr>
              <w:spacing w:line="360" w:lineRule="auto"/>
              <w:jc w:val="center"/>
              <w:rPr>
                <w:rFonts w:ascii="宋体" w:hAnsi="宋体" w:cs="宋体"/>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0952073">
            <w:pPr>
              <w:spacing w:line="360" w:lineRule="auto"/>
              <w:jc w:val="center"/>
              <w:rPr>
                <w:rFonts w:ascii="宋体" w:hAnsi="宋体" w:cs="宋体"/>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F55D2AA">
            <w:pPr>
              <w:spacing w:line="360" w:lineRule="auto"/>
              <w:jc w:val="center"/>
              <w:rPr>
                <w:rFonts w:ascii="宋体" w:hAnsi="宋体" w:cs="宋体"/>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8C2CC48">
            <w:pPr>
              <w:spacing w:line="360" w:lineRule="auto"/>
              <w:jc w:val="center"/>
              <w:rPr>
                <w:rFonts w:ascii="宋体" w:hAnsi="宋体" w:cs="宋体"/>
                <w:sz w:val="24"/>
              </w:rPr>
            </w:pPr>
          </w:p>
        </w:tc>
      </w:tr>
      <w:tr w14:paraId="7ED03AE0">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A3A8275">
            <w:pPr>
              <w:spacing w:line="360" w:lineRule="auto"/>
              <w:jc w:val="center"/>
              <w:rPr>
                <w:rFonts w:ascii="宋体" w:hAnsi="宋体" w:cs="宋体"/>
                <w:sz w:val="24"/>
              </w:rPr>
            </w:pPr>
            <w:r>
              <w:rPr>
                <w:rFonts w:hint="eastAsia" w:ascii="宋体" w:hAnsi="宋体" w:cs="宋体"/>
                <w:sz w:val="24"/>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ABDBF58">
            <w:pPr>
              <w:spacing w:line="360" w:lineRule="auto"/>
              <w:jc w:val="center"/>
              <w:rPr>
                <w:rFonts w:ascii="宋体" w:hAnsi="宋体" w:cs="宋体"/>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94D0F09">
            <w:pPr>
              <w:spacing w:line="360" w:lineRule="auto"/>
              <w:jc w:val="center"/>
              <w:rPr>
                <w:rFonts w:ascii="宋体" w:hAnsi="宋体" w:cs="宋体"/>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234EDDB">
            <w:pPr>
              <w:spacing w:line="360" w:lineRule="auto"/>
              <w:jc w:val="center"/>
              <w:rPr>
                <w:rFonts w:ascii="宋体" w:hAnsi="宋体" w:cs="宋体"/>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C714151">
            <w:pPr>
              <w:spacing w:line="360" w:lineRule="auto"/>
              <w:jc w:val="center"/>
              <w:rPr>
                <w:rFonts w:ascii="宋体" w:hAnsi="宋体" w:cs="宋体"/>
                <w:sz w:val="24"/>
              </w:rPr>
            </w:pPr>
          </w:p>
        </w:tc>
      </w:tr>
      <w:tr w14:paraId="29BAAD6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0849887">
            <w:pPr>
              <w:spacing w:line="360" w:lineRule="auto"/>
              <w:jc w:val="center"/>
              <w:rPr>
                <w:rFonts w:ascii="宋体" w:hAnsi="宋体" w:cs="宋体"/>
                <w:sz w:val="24"/>
              </w:rPr>
            </w:pPr>
            <w:r>
              <w:rPr>
                <w:rFonts w:hint="eastAsia" w:ascii="宋体" w:hAnsi="宋体" w:cs="宋体"/>
                <w:sz w:val="24"/>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F1FD93A">
            <w:pPr>
              <w:spacing w:line="360" w:lineRule="auto"/>
              <w:jc w:val="center"/>
              <w:rPr>
                <w:rFonts w:ascii="宋体" w:hAnsi="宋体" w:cs="宋体"/>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4B8D198">
            <w:pPr>
              <w:spacing w:line="360" w:lineRule="auto"/>
              <w:jc w:val="center"/>
              <w:rPr>
                <w:rFonts w:ascii="宋体" w:hAnsi="宋体" w:cs="宋体"/>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3088D6B">
            <w:pPr>
              <w:spacing w:line="360" w:lineRule="auto"/>
              <w:jc w:val="center"/>
              <w:rPr>
                <w:rFonts w:ascii="宋体" w:hAnsi="宋体" w:cs="宋体"/>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50FBC02">
            <w:pPr>
              <w:spacing w:line="360" w:lineRule="auto"/>
              <w:jc w:val="center"/>
              <w:rPr>
                <w:rFonts w:ascii="宋体" w:hAnsi="宋体" w:cs="宋体"/>
                <w:sz w:val="24"/>
              </w:rPr>
            </w:pPr>
          </w:p>
        </w:tc>
      </w:tr>
      <w:tr w14:paraId="5DC112AE">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B25C3AE">
            <w:pPr>
              <w:spacing w:line="360" w:lineRule="auto"/>
              <w:jc w:val="center"/>
              <w:rPr>
                <w:rFonts w:ascii="宋体" w:hAnsi="宋体" w:cs="宋体"/>
                <w:sz w:val="24"/>
              </w:rPr>
            </w:pPr>
            <w:r>
              <w:rPr>
                <w:rFonts w:hint="eastAsia" w:ascii="宋体" w:hAnsi="宋体" w:cs="宋体"/>
                <w:sz w:val="24"/>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7E8F4B1">
            <w:pPr>
              <w:spacing w:line="360" w:lineRule="auto"/>
              <w:jc w:val="center"/>
              <w:rPr>
                <w:rFonts w:ascii="宋体" w:hAnsi="宋体" w:cs="宋体"/>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870EAFA">
            <w:pPr>
              <w:spacing w:line="360" w:lineRule="auto"/>
              <w:jc w:val="center"/>
              <w:rPr>
                <w:rFonts w:ascii="宋体" w:hAnsi="宋体" w:cs="宋体"/>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047B89D">
            <w:pPr>
              <w:spacing w:line="360" w:lineRule="auto"/>
              <w:jc w:val="center"/>
              <w:rPr>
                <w:rFonts w:ascii="宋体" w:hAnsi="宋体" w:cs="宋体"/>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B99EB3B">
            <w:pPr>
              <w:spacing w:line="360" w:lineRule="auto"/>
              <w:jc w:val="center"/>
              <w:rPr>
                <w:rFonts w:ascii="宋体" w:hAnsi="宋体" w:cs="宋体"/>
                <w:sz w:val="24"/>
              </w:rPr>
            </w:pPr>
          </w:p>
        </w:tc>
      </w:tr>
    </w:tbl>
    <w:p w14:paraId="4207F0D1">
      <w:pPr>
        <w:spacing w:line="360" w:lineRule="auto"/>
        <w:jc w:val="left"/>
        <w:rPr>
          <w:rFonts w:ascii="宋体" w:hAnsi="宋体"/>
          <w:sz w:val="24"/>
        </w:rPr>
      </w:pPr>
      <w:r>
        <w:rPr>
          <w:rFonts w:hint="eastAsia" w:ascii="宋体" w:hAnsi="宋体"/>
          <w:sz w:val="24"/>
        </w:rPr>
        <w:t>注：</w:t>
      </w:r>
    </w:p>
    <w:p w14:paraId="35B1A084">
      <w:pPr>
        <w:spacing w:line="360" w:lineRule="auto"/>
        <w:jc w:val="left"/>
        <w:rPr>
          <w:rFonts w:ascii="宋体" w:hAnsi="宋体"/>
          <w:sz w:val="24"/>
        </w:rPr>
      </w:pPr>
      <w:r>
        <w:rPr>
          <w:rFonts w:hint="eastAsia" w:ascii="宋体" w:hAnsi="宋体"/>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237A1D7">
      <w:pPr>
        <w:spacing w:line="360" w:lineRule="auto"/>
        <w:jc w:val="left"/>
        <w:rPr>
          <w:rFonts w:ascii="宋体" w:hAnsi="宋体"/>
          <w:sz w:val="24"/>
        </w:rPr>
      </w:pPr>
      <w:r>
        <w:rPr>
          <w:rFonts w:hint="eastAsia" w:ascii="宋体" w:hAnsi="宋体"/>
          <w:sz w:val="24"/>
        </w:rPr>
        <w:t>2.本表所指的控股关系仅限于直接控股关系，不包括间接的控股关系。公司实际控制人与公司之间的关系不属于本表所指的直接控股关系。</w:t>
      </w:r>
    </w:p>
    <w:p w14:paraId="37F4E87F">
      <w:pPr>
        <w:spacing w:line="360" w:lineRule="auto"/>
        <w:jc w:val="left"/>
        <w:rPr>
          <w:rFonts w:ascii="宋体" w:hAnsi="宋体"/>
          <w:sz w:val="24"/>
        </w:rPr>
      </w:pPr>
      <w:r>
        <w:rPr>
          <w:rFonts w:hint="eastAsia" w:ascii="宋体" w:hAnsi="宋体"/>
          <w:sz w:val="24"/>
        </w:rPr>
        <w:t>3.供应商不存在直接控股股东的，则在“</w:t>
      </w:r>
      <w:r>
        <w:rPr>
          <w:rFonts w:hint="eastAsia" w:ascii="宋体" w:hAnsi="宋体" w:cs="宋体"/>
          <w:b/>
          <w:bCs/>
          <w:sz w:val="24"/>
        </w:rPr>
        <w:t>直接控股股东名称</w:t>
      </w:r>
      <w:r>
        <w:rPr>
          <w:rFonts w:hint="eastAsia" w:ascii="宋体" w:hAnsi="宋体"/>
          <w:sz w:val="24"/>
        </w:rPr>
        <w:t>”中填“无”。</w:t>
      </w:r>
    </w:p>
    <w:p w14:paraId="67A8CF04">
      <w:pPr>
        <w:spacing w:line="360" w:lineRule="auto"/>
        <w:jc w:val="left"/>
        <w:rPr>
          <w:rFonts w:ascii="宋体" w:hAnsi="宋体"/>
          <w:sz w:val="24"/>
        </w:rPr>
      </w:pPr>
    </w:p>
    <w:p w14:paraId="238841E4">
      <w:pPr>
        <w:spacing w:line="360" w:lineRule="auto"/>
        <w:jc w:val="left"/>
        <w:rPr>
          <w:rFonts w:ascii="宋体" w:hAnsi="宋体"/>
          <w:sz w:val="24"/>
        </w:rPr>
      </w:pPr>
    </w:p>
    <w:p w14:paraId="33B046FB">
      <w:pPr>
        <w:spacing w:line="360" w:lineRule="auto"/>
        <w:jc w:val="left"/>
        <w:rPr>
          <w:rFonts w:ascii="宋体" w:hAnsi="宋体"/>
          <w:sz w:val="24"/>
        </w:rPr>
      </w:pPr>
    </w:p>
    <w:p w14:paraId="7807F665">
      <w:pPr>
        <w:spacing w:line="360" w:lineRule="auto"/>
        <w:ind w:left="-2" w:right="-817"/>
        <w:rPr>
          <w:rFonts w:ascii="宋体" w:hAnsi="宋体"/>
          <w:sz w:val="24"/>
          <w:highlight w:val="none"/>
        </w:rPr>
      </w:pPr>
      <w:r>
        <w:rPr>
          <w:rFonts w:hint="eastAsia" w:ascii="宋体" w:hAnsi="宋体"/>
          <w:sz w:val="24"/>
        </w:rPr>
        <w:t xml:space="preserve">         </w:t>
      </w:r>
      <w:r>
        <w:rPr>
          <w:rFonts w:hint="eastAsia" w:ascii="宋体" w:hAnsi="宋体"/>
          <w:sz w:val="24"/>
          <w:highlight w:val="none"/>
        </w:rPr>
        <w:t xml:space="preserve">    法定代表人或者委托代理人（签字或者电子签名）：</w:t>
      </w:r>
    </w:p>
    <w:p w14:paraId="5BC61F13">
      <w:pPr>
        <w:spacing w:line="360" w:lineRule="auto"/>
        <w:ind w:left="-3" w:right="-817" w:hanging="28"/>
        <w:rPr>
          <w:rFonts w:ascii="宋体" w:hAnsi="宋体"/>
          <w:sz w:val="24"/>
        </w:rPr>
      </w:pPr>
      <w:r>
        <w:rPr>
          <w:rFonts w:hint="eastAsia" w:ascii="宋体" w:hAnsi="宋体"/>
          <w:sz w:val="24"/>
        </w:rPr>
        <w:t xml:space="preserve">                                    供应商名称（电子签章）：</w:t>
      </w:r>
    </w:p>
    <w:p w14:paraId="5F98F846">
      <w:pPr>
        <w:spacing w:line="360" w:lineRule="auto"/>
        <w:jc w:val="left"/>
        <w:rPr>
          <w:rFonts w:ascii="宋体" w:hAnsi="宋体"/>
          <w:szCs w:val="21"/>
        </w:rPr>
      </w:pPr>
      <w:r>
        <w:rPr>
          <w:rFonts w:hint="eastAsia" w:ascii="宋体" w:hAnsi="宋体"/>
          <w:sz w:val="24"/>
        </w:rPr>
        <w:t xml:space="preserve">                                    日期：    年   月   日</w:t>
      </w:r>
    </w:p>
    <w:p w14:paraId="64777A51">
      <w:pPr>
        <w:jc w:val="center"/>
        <w:rPr>
          <w:rFonts w:ascii="宋体" w:hAnsi="宋体"/>
          <w:b/>
          <w:sz w:val="28"/>
          <w:szCs w:val="28"/>
        </w:rPr>
      </w:pPr>
    </w:p>
    <w:p w14:paraId="0FD3F986">
      <w:pPr>
        <w:spacing w:line="360" w:lineRule="auto"/>
        <w:jc w:val="left"/>
        <w:rPr>
          <w:rFonts w:ascii="宋体" w:hAnsi="宋体"/>
          <w:b/>
          <w:sz w:val="32"/>
          <w:szCs w:val="32"/>
        </w:rPr>
      </w:pPr>
      <w:r>
        <w:rPr>
          <w:rFonts w:hint="eastAsia" w:ascii="宋体" w:hAnsi="宋体"/>
          <w:b/>
          <w:sz w:val="32"/>
          <w:szCs w:val="32"/>
        </w:rPr>
        <w:br w:type="page" w:clear="all"/>
      </w:r>
      <w:r>
        <w:rPr>
          <w:rFonts w:hint="eastAsia" w:ascii="宋体" w:hAnsi="宋体"/>
          <w:b/>
          <w:sz w:val="24"/>
        </w:rPr>
        <w:t>4.</w:t>
      </w:r>
      <w:r>
        <w:rPr>
          <w:rFonts w:hint="eastAsia" w:ascii="宋体" w:hAnsi="宋体"/>
          <w:b/>
          <w:sz w:val="28"/>
          <w:szCs w:val="28"/>
        </w:rPr>
        <w:t>供应商直接管理关系信息表</w:t>
      </w:r>
    </w:p>
    <w:p w14:paraId="375105BB">
      <w:pPr>
        <w:spacing w:line="360" w:lineRule="auto"/>
        <w:jc w:val="center"/>
        <w:rPr>
          <w:rFonts w:ascii="宋体" w:hAnsi="宋体"/>
          <w:sz w:val="32"/>
          <w:szCs w:val="32"/>
        </w:rPr>
      </w:pPr>
      <w:r>
        <w:rPr>
          <w:rFonts w:hint="eastAsia" w:ascii="宋体" w:hAnsi="宋体"/>
          <w:b/>
          <w:sz w:val="32"/>
          <w:szCs w:val="32"/>
        </w:rPr>
        <w:t>供应商直接管理关系信息表</w:t>
      </w:r>
    </w:p>
    <w:tbl>
      <w:tblPr>
        <w:tblStyle w:val="44"/>
        <w:tblW w:w="9652" w:type="dxa"/>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7BB71076">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319982AC">
            <w:pPr>
              <w:spacing w:line="360" w:lineRule="auto"/>
              <w:jc w:val="center"/>
              <w:rPr>
                <w:rFonts w:ascii="宋体" w:hAnsi="宋体" w:cs="宋体"/>
                <w:b/>
                <w:bCs/>
                <w:sz w:val="24"/>
              </w:rPr>
            </w:pPr>
            <w:r>
              <w:rPr>
                <w:rFonts w:hint="eastAsia" w:ascii="宋体" w:hAnsi="宋体" w:cs="宋体"/>
                <w:b/>
                <w:bCs/>
                <w:sz w:val="24"/>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6F5B7F4B">
            <w:pPr>
              <w:spacing w:line="360" w:lineRule="auto"/>
              <w:jc w:val="center"/>
              <w:rPr>
                <w:rFonts w:ascii="宋体" w:hAnsi="宋体" w:cs="宋体"/>
                <w:b/>
                <w:bCs/>
                <w:sz w:val="24"/>
              </w:rPr>
            </w:pPr>
            <w:r>
              <w:rPr>
                <w:rFonts w:hint="eastAsia" w:ascii="宋体" w:hAnsi="宋体" w:cs="宋体"/>
                <w:b/>
                <w:bCs/>
                <w:sz w:val="24"/>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4C8D5504">
            <w:pPr>
              <w:spacing w:line="360" w:lineRule="auto"/>
              <w:jc w:val="center"/>
              <w:rPr>
                <w:rFonts w:ascii="宋体" w:hAnsi="宋体" w:cs="宋体"/>
                <w:b/>
                <w:bCs/>
                <w:sz w:val="24"/>
              </w:rPr>
            </w:pPr>
            <w:r>
              <w:rPr>
                <w:rFonts w:hint="eastAsia" w:ascii="宋体" w:hAnsi="宋体" w:cs="宋体"/>
                <w:b/>
                <w:bCs/>
                <w:sz w:val="24"/>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16DC92B5">
            <w:pPr>
              <w:spacing w:line="360" w:lineRule="auto"/>
              <w:jc w:val="center"/>
              <w:rPr>
                <w:rFonts w:ascii="宋体" w:hAnsi="宋体" w:cs="宋体"/>
                <w:b/>
                <w:bCs/>
                <w:sz w:val="24"/>
              </w:rPr>
            </w:pPr>
            <w:r>
              <w:rPr>
                <w:rFonts w:hint="eastAsia" w:ascii="宋体" w:hAnsi="宋体" w:cs="宋体"/>
                <w:b/>
                <w:bCs/>
                <w:sz w:val="24"/>
              </w:rPr>
              <w:t>相互关系</w:t>
            </w:r>
          </w:p>
        </w:tc>
      </w:tr>
      <w:tr w14:paraId="7EFDDD72">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8ECF13F">
            <w:pPr>
              <w:spacing w:line="360" w:lineRule="auto"/>
              <w:jc w:val="center"/>
              <w:rPr>
                <w:rFonts w:ascii="宋体" w:hAnsi="宋体" w:cs="宋体"/>
                <w:sz w:val="24"/>
              </w:rPr>
            </w:pPr>
            <w:r>
              <w:rPr>
                <w:rFonts w:hint="eastAsia" w:ascii="宋体" w:hAnsi="宋体" w:cs="宋体"/>
                <w:sz w:val="24"/>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C6FE8BE">
            <w:pPr>
              <w:spacing w:line="360" w:lineRule="auto"/>
              <w:jc w:val="center"/>
              <w:rPr>
                <w:rFonts w:ascii="宋体" w:hAnsi="宋体" w:cs="宋体"/>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5A7BF1E">
            <w:pPr>
              <w:spacing w:line="360" w:lineRule="auto"/>
              <w:jc w:val="center"/>
              <w:rPr>
                <w:rFonts w:ascii="宋体" w:hAnsi="宋体" w:cs="宋体"/>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C3816EA">
            <w:pPr>
              <w:spacing w:line="360" w:lineRule="auto"/>
              <w:jc w:val="center"/>
              <w:rPr>
                <w:rFonts w:ascii="宋体" w:hAnsi="宋体" w:cs="宋体"/>
                <w:sz w:val="24"/>
              </w:rPr>
            </w:pPr>
          </w:p>
        </w:tc>
      </w:tr>
      <w:tr w14:paraId="67B45684">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BF198FE">
            <w:pPr>
              <w:spacing w:line="360" w:lineRule="auto"/>
              <w:jc w:val="center"/>
              <w:rPr>
                <w:rFonts w:ascii="宋体" w:hAnsi="宋体" w:cs="宋体"/>
                <w:sz w:val="24"/>
              </w:rPr>
            </w:pPr>
            <w:r>
              <w:rPr>
                <w:rFonts w:hint="eastAsia" w:ascii="宋体" w:hAnsi="宋体" w:cs="宋体"/>
                <w:sz w:val="24"/>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5BA730E">
            <w:pPr>
              <w:spacing w:line="360" w:lineRule="auto"/>
              <w:jc w:val="center"/>
              <w:rPr>
                <w:rFonts w:ascii="宋体" w:hAnsi="宋体" w:cs="宋体"/>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B3F82BF">
            <w:pPr>
              <w:spacing w:line="360" w:lineRule="auto"/>
              <w:jc w:val="center"/>
              <w:rPr>
                <w:rFonts w:ascii="宋体" w:hAnsi="宋体" w:cs="宋体"/>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DE1971C">
            <w:pPr>
              <w:spacing w:line="360" w:lineRule="auto"/>
              <w:jc w:val="center"/>
              <w:rPr>
                <w:rFonts w:ascii="宋体" w:hAnsi="宋体" w:cs="宋体"/>
                <w:sz w:val="24"/>
              </w:rPr>
            </w:pPr>
          </w:p>
        </w:tc>
      </w:tr>
      <w:tr w14:paraId="704F297B">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0BDA913">
            <w:pPr>
              <w:spacing w:line="360" w:lineRule="auto"/>
              <w:jc w:val="center"/>
              <w:rPr>
                <w:rFonts w:ascii="宋体" w:hAnsi="宋体" w:cs="宋体"/>
                <w:sz w:val="24"/>
              </w:rPr>
            </w:pPr>
            <w:r>
              <w:rPr>
                <w:rFonts w:hint="eastAsia" w:ascii="宋体" w:hAnsi="宋体" w:cs="宋体"/>
                <w:sz w:val="24"/>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09D6C86">
            <w:pPr>
              <w:spacing w:line="360" w:lineRule="auto"/>
              <w:jc w:val="center"/>
              <w:rPr>
                <w:rFonts w:ascii="宋体" w:hAnsi="宋体" w:cs="宋体"/>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6843BDC">
            <w:pPr>
              <w:spacing w:line="360" w:lineRule="auto"/>
              <w:jc w:val="center"/>
              <w:rPr>
                <w:rFonts w:ascii="宋体" w:hAnsi="宋体" w:cs="宋体"/>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CB0EF74">
            <w:pPr>
              <w:spacing w:line="360" w:lineRule="auto"/>
              <w:jc w:val="center"/>
              <w:rPr>
                <w:rFonts w:ascii="宋体" w:hAnsi="宋体" w:cs="宋体"/>
                <w:sz w:val="24"/>
              </w:rPr>
            </w:pPr>
          </w:p>
        </w:tc>
      </w:tr>
      <w:tr w14:paraId="6CFE4F7A">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86DF7B9">
            <w:pPr>
              <w:spacing w:line="360" w:lineRule="auto"/>
              <w:jc w:val="center"/>
              <w:rPr>
                <w:rFonts w:ascii="宋体" w:hAnsi="宋体" w:cs="宋体"/>
                <w:sz w:val="24"/>
              </w:rPr>
            </w:pPr>
            <w:r>
              <w:rPr>
                <w:rFonts w:hint="eastAsia" w:ascii="宋体" w:hAnsi="宋体" w:cs="宋体"/>
                <w:sz w:val="24"/>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DB3C737">
            <w:pPr>
              <w:spacing w:line="360" w:lineRule="auto"/>
              <w:jc w:val="center"/>
              <w:rPr>
                <w:rFonts w:ascii="宋体" w:hAnsi="宋体" w:cs="宋体"/>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D288884">
            <w:pPr>
              <w:spacing w:line="360" w:lineRule="auto"/>
              <w:jc w:val="center"/>
              <w:rPr>
                <w:rFonts w:ascii="宋体" w:hAnsi="宋体" w:cs="宋体"/>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217870F">
            <w:pPr>
              <w:spacing w:line="360" w:lineRule="auto"/>
              <w:jc w:val="center"/>
              <w:rPr>
                <w:rFonts w:ascii="宋体" w:hAnsi="宋体" w:cs="宋体"/>
                <w:sz w:val="24"/>
              </w:rPr>
            </w:pPr>
          </w:p>
        </w:tc>
      </w:tr>
    </w:tbl>
    <w:p w14:paraId="40D888E1">
      <w:pPr>
        <w:spacing w:line="360" w:lineRule="auto"/>
        <w:jc w:val="left"/>
        <w:rPr>
          <w:rFonts w:ascii="宋体" w:hAnsi="宋体"/>
          <w:sz w:val="24"/>
        </w:rPr>
      </w:pPr>
      <w:r>
        <w:rPr>
          <w:rFonts w:hint="eastAsia" w:ascii="宋体" w:hAnsi="宋体"/>
          <w:sz w:val="24"/>
        </w:rPr>
        <w:t>注：</w:t>
      </w:r>
    </w:p>
    <w:p w14:paraId="241B1908">
      <w:pPr>
        <w:spacing w:line="360" w:lineRule="auto"/>
        <w:ind w:firstLine="480"/>
        <w:jc w:val="left"/>
        <w:rPr>
          <w:rFonts w:ascii="宋体" w:hAnsi="宋体"/>
          <w:sz w:val="24"/>
        </w:rPr>
      </w:pPr>
      <w:r>
        <w:rPr>
          <w:rFonts w:hint="eastAsia" w:ascii="宋体" w:hAnsi="宋体"/>
          <w:sz w:val="24"/>
        </w:rPr>
        <w:t>1.管理关系：是指不具有出资持股关系的其他单位之间存在的管理与被管理关系，如一些上下级关系的事业单位和团体组织。</w:t>
      </w:r>
    </w:p>
    <w:p w14:paraId="5CDD3949">
      <w:pPr>
        <w:spacing w:line="360" w:lineRule="auto"/>
        <w:ind w:firstLine="480"/>
        <w:jc w:val="left"/>
        <w:rPr>
          <w:rFonts w:ascii="宋体" w:hAnsi="宋体"/>
          <w:sz w:val="24"/>
        </w:rPr>
      </w:pPr>
      <w:r>
        <w:rPr>
          <w:rFonts w:hint="eastAsia" w:ascii="宋体" w:hAnsi="宋体"/>
          <w:sz w:val="24"/>
        </w:rPr>
        <w:t>2.</w:t>
      </w:r>
      <w:r>
        <w:rPr>
          <w:rFonts w:hint="eastAsia" w:ascii="宋体" w:hAnsi="宋体"/>
          <w:spacing w:val="-6"/>
          <w:sz w:val="24"/>
        </w:rPr>
        <w:t>本表所指的管理关系仅限于直接管理关系，不包括间接的管理关系。</w:t>
      </w:r>
    </w:p>
    <w:p w14:paraId="69D3537B">
      <w:pPr>
        <w:spacing w:line="360" w:lineRule="auto"/>
        <w:ind w:firstLine="480"/>
        <w:jc w:val="left"/>
        <w:rPr>
          <w:rFonts w:ascii="宋体" w:hAnsi="宋体"/>
          <w:sz w:val="24"/>
        </w:rPr>
      </w:pPr>
      <w:r>
        <w:rPr>
          <w:rFonts w:hint="eastAsia" w:ascii="宋体" w:hAnsi="宋体"/>
          <w:sz w:val="24"/>
        </w:rPr>
        <w:t>3.供应商不存在直接管理关系的，则在“</w:t>
      </w:r>
      <w:r>
        <w:rPr>
          <w:rFonts w:hint="eastAsia" w:ascii="宋体" w:hAnsi="宋体" w:cs="宋体"/>
          <w:b/>
          <w:bCs/>
          <w:sz w:val="24"/>
        </w:rPr>
        <w:t>直接管理关系单位名称</w:t>
      </w:r>
      <w:r>
        <w:rPr>
          <w:rFonts w:hint="eastAsia" w:ascii="宋体" w:hAnsi="宋体"/>
          <w:sz w:val="24"/>
        </w:rPr>
        <w:t>”中填“无”。</w:t>
      </w:r>
    </w:p>
    <w:p w14:paraId="32242260">
      <w:pPr>
        <w:spacing w:line="360" w:lineRule="auto"/>
        <w:jc w:val="left"/>
        <w:rPr>
          <w:rFonts w:ascii="宋体" w:hAnsi="宋体"/>
          <w:sz w:val="24"/>
        </w:rPr>
      </w:pPr>
    </w:p>
    <w:p w14:paraId="633A0073">
      <w:pPr>
        <w:spacing w:line="360" w:lineRule="auto"/>
        <w:jc w:val="left"/>
        <w:rPr>
          <w:rFonts w:ascii="宋体" w:hAnsi="宋体"/>
          <w:sz w:val="24"/>
        </w:rPr>
      </w:pPr>
    </w:p>
    <w:p w14:paraId="3605059C">
      <w:pPr>
        <w:spacing w:line="360" w:lineRule="auto"/>
        <w:jc w:val="left"/>
        <w:rPr>
          <w:rFonts w:ascii="宋体" w:hAnsi="宋体"/>
          <w:sz w:val="24"/>
        </w:rPr>
      </w:pPr>
    </w:p>
    <w:p w14:paraId="4445711F">
      <w:pPr>
        <w:spacing w:line="360" w:lineRule="auto"/>
        <w:jc w:val="left"/>
        <w:rPr>
          <w:sz w:val="24"/>
        </w:rPr>
      </w:pPr>
    </w:p>
    <w:p w14:paraId="448086B8">
      <w:pPr>
        <w:spacing w:line="360" w:lineRule="auto"/>
        <w:ind w:left="-2" w:right="-817"/>
        <w:rPr>
          <w:rFonts w:ascii="宋体" w:hAnsi="宋体"/>
          <w:sz w:val="24"/>
          <w:highlight w:val="none"/>
        </w:rPr>
      </w:pPr>
      <w:r>
        <w:rPr>
          <w:rFonts w:hint="eastAsia" w:ascii="宋体" w:hAnsi="宋体"/>
          <w:sz w:val="24"/>
        </w:rPr>
        <w:t xml:space="preserve">          </w:t>
      </w:r>
      <w:r>
        <w:rPr>
          <w:rFonts w:hint="eastAsia" w:ascii="宋体" w:hAnsi="宋体"/>
          <w:sz w:val="24"/>
          <w:highlight w:val="none"/>
        </w:rPr>
        <w:t xml:space="preserve">  法定代表人或者委托代理人（签字或者电子签名）：</w:t>
      </w:r>
    </w:p>
    <w:p w14:paraId="6D0DD626">
      <w:pPr>
        <w:spacing w:line="360" w:lineRule="auto"/>
        <w:ind w:left="-3" w:right="-817" w:hanging="28"/>
        <w:rPr>
          <w:rFonts w:ascii="宋体" w:hAnsi="宋体"/>
          <w:sz w:val="24"/>
        </w:rPr>
      </w:pPr>
      <w:r>
        <w:rPr>
          <w:rFonts w:hint="eastAsia" w:ascii="宋体" w:hAnsi="宋体"/>
          <w:sz w:val="24"/>
        </w:rPr>
        <w:t xml:space="preserve">                                  供应商名称（电子签章）：</w:t>
      </w:r>
    </w:p>
    <w:p w14:paraId="62643C5F">
      <w:pPr>
        <w:spacing w:line="360" w:lineRule="auto"/>
        <w:ind w:right="480" w:firstLine="240"/>
        <w:jc w:val="left"/>
        <w:rPr>
          <w:rFonts w:ascii="宋体" w:hAnsi="宋体"/>
          <w:szCs w:val="21"/>
        </w:rPr>
      </w:pPr>
      <w:r>
        <w:rPr>
          <w:rFonts w:hint="eastAsia" w:ascii="宋体" w:hAnsi="宋体"/>
          <w:sz w:val="24"/>
        </w:rPr>
        <w:t xml:space="preserve">                                日期：    年   月   日</w:t>
      </w:r>
    </w:p>
    <w:p w14:paraId="7014EDBA">
      <w:pPr>
        <w:spacing w:before="156" w:after="50"/>
        <w:jc w:val="left"/>
        <w:rPr>
          <w:rFonts w:ascii="宋体" w:hAnsi="宋体"/>
          <w:sz w:val="24"/>
        </w:rPr>
      </w:pPr>
    </w:p>
    <w:p w14:paraId="62FAD3C8">
      <w:pPr>
        <w:spacing w:before="50" w:after="156"/>
        <w:jc w:val="left"/>
        <w:rPr>
          <w:rFonts w:ascii="宋体" w:hAnsi="宋体"/>
          <w:szCs w:val="21"/>
        </w:rPr>
      </w:pPr>
    </w:p>
    <w:p w14:paraId="3E0FD749">
      <w:pPr>
        <w:spacing w:before="156" w:after="50"/>
        <w:jc w:val="left"/>
        <w:rPr>
          <w:rFonts w:ascii="宋体" w:hAnsi="宋体"/>
          <w:b/>
          <w:sz w:val="24"/>
          <w:szCs w:val="20"/>
        </w:rPr>
      </w:pPr>
    </w:p>
    <w:p w14:paraId="467D3AC8">
      <w:pPr>
        <w:spacing w:before="156" w:after="50"/>
        <w:ind w:left="142"/>
        <w:jc w:val="left"/>
        <w:rPr>
          <w:rFonts w:ascii="宋体" w:hAnsi="宋体"/>
          <w:b/>
          <w:sz w:val="24"/>
        </w:rPr>
      </w:pPr>
    </w:p>
    <w:p w14:paraId="7466DCF2">
      <w:pPr>
        <w:spacing w:before="156" w:after="50"/>
        <w:ind w:left="142"/>
        <w:jc w:val="left"/>
        <w:rPr>
          <w:rFonts w:ascii="宋体" w:hAnsi="宋体"/>
          <w:b/>
          <w:sz w:val="24"/>
        </w:rPr>
      </w:pPr>
    </w:p>
    <w:p w14:paraId="515956C7">
      <w:pPr>
        <w:spacing w:before="156" w:after="50"/>
        <w:ind w:left="142"/>
        <w:jc w:val="left"/>
        <w:rPr>
          <w:rFonts w:ascii="宋体" w:hAnsi="宋体"/>
          <w:b/>
          <w:sz w:val="24"/>
        </w:rPr>
      </w:pPr>
    </w:p>
    <w:p w14:paraId="6CB67B84">
      <w:pPr>
        <w:spacing w:before="156" w:after="50"/>
        <w:ind w:left="142"/>
        <w:jc w:val="left"/>
        <w:rPr>
          <w:rFonts w:ascii="宋体" w:hAnsi="宋体"/>
          <w:b/>
          <w:sz w:val="24"/>
        </w:rPr>
      </w:pPr>
    </w:p>
    <w:p w14:paraId="1A1688AA">
      <w:pPr>
        <w:spacing w:before="156" w:after="50"/>
        <w:ind w:left="142"/>
        <w:jc w:val="left"/>
        <w:rPr>
          <w:rFonts w:ascii="宋体" w:hAnsi="宋体"/>
          <w:b/>
          <w:sz w:val="24"/>
        </w:rPr>
      </w:pPr>
    </w:p>
    <w:p w14:paraId="787514A0">
      <w:pPr>
        <w:rPr>
          <w:rFonts w:ascii="宋体" w:hAnsi="宋体"/>
          <w:b/>
          <w:sz w:val="24"/>
        </w:rPr>
      </w:pPr>
      <w:r>
        <w:rPr>
          <w:rFonts w:hint="eastAsia" w:ascii="宋体" w:hAnsi="宋体"/>
          <w:b/>
          <w:sz w:val="24"/>
        </w:rPr>
        <w:br w:type="page" w:clear="all"/>
      </w:r>
    </w:p>
    <w:p w14:paraId="1BF95BB6">
      <w:pPr>
        <w:spacing w:before="156" w:after="50"/>
        <w:ind w:left="142"/>
        <w:jc w:val="left"/>
        <w:rPr>
          <w:rFonts w:ascii="宋体" w:hAnsi="宋体"/>
          <w:b/>
          <w:sz w:val="24"/>
          <w:szCs w:val="20"/>
        </w:rPr>
      </w:pPr>
      <w:r>
        <w:rPr>
          <w:rFonts w:hint="eastAsia" w:ascii="宋体" w:hAnsi="宋体"/>
          <w:b/>
          <w:sz w:val="24"/>
        </w:rPr>
        <w:t>5.竞标声明</w:t>
      </w:r>
    </w:p>
    <w:p w14:paraId="6A7783B2">
      <w:pPr>
        <w:spacing w:line="320" w:lineRule="exact"/>
        <w:jc w:val="center"/>
        <w:rPr>
          <w:rFonts w:ascii="宋体" w:hAnsi="宋体"/>
          <w:sz w:val="28"/>
          <w:szCs w:val="28"/>
        </w:rPr>
      </w:pPr>
    </w:p>
    <w:p w14:paraId="5E7C9D17">
      <w:pPr>
        <w:spacing w:line="320" w:lineRule="exact"/>
        <w:jc w:val="center"/>
        <w:rPr>
          <w:rFonts w:ascii="宋体" w:hAnsi="宋体"/>
          <w:b/>
          <w:sz w:val="32"/>
          <w:szCs w:val="32"/>
        </w:rPr>
      </w:pPr>
      <w:r>
        <w:rPr>
          <w:rFonts w:hint="eastAsia" w:ascii="宋体" w:hAnsi="宋体"/>
          <w:b/>
          <w:sz w:val="32"/>
          <w:szCs w:val="32"/>
        </w:rPr>
        <w:t>竞标声明</w:t>
      </w:r>
    </w:p>
    <w:p w14:paraId="2D499A3D">
      <w:pPr>
        <w:spacing w:line="320" w:lineRule="exact"/>
        <w:jc w:val="center"/>
        <w:rPr>
          <w:rFonts w:ascii="宋体" w:hAnsi="宋体"/>
          <w:sz w:val="24"/>
          <w:szCs w:val="20"/>
        </w:rPr>
      </w:pPr>
    </w:p>
    <w:p w14:paraId="1D928248">
      <w:pPr>
        <w:spacing w:line="360" w:lineRule="auto"/>
        <w:contextualSpacing/>
        <w:rPr>
          <w:rFonts w:ascii="宋体" w:hAnsi="宋体" w:cs="宋体"/>
          <w:sz w:val="24"/>
        </w:rPr>
      </w:pPr>
      <w:r>
        <w:rPr>
          <w:rFonts w:hint="eastAsia" w:ascii="宋体" w:hAnsi="宋体" w:cs="宋体"/>
          <w:sz w:val="24"/>
        </w:rPr>
        <w:t>致：</w:t>
      </w:r>
      <w:r>
        <w:rPr>
          <w:rFonts w:hint="eastAsia" w:ascii="宋体" w:hAnsi="宋体" w:cs="宋体"/>
          <w:sz w:val="24"/>
          <w:u w:val="single"/>
        </w:rPr>
        <w:t>（采购人名称）</w:t>
      </w:r>
      <w:r>
        <w:rPr>
          <w:rFonts w:hint="eastAsia" w:ascii="宋体" w:hAnsi="宋体" w:cs="宋体"/>
          <w:sz w:val="24"/>
        </w:rPr>
        <w:t>：</w:t>
      </w:r>
    </w:p>
    <w:p w14:paraId="442A509B">
      <w:pPr>
        <w:spacing w:line="360" w:lineRule="auto"/>
        <w:ind w:firstLine="480"/>
        <w:contextualSpacing/>
        <w:rPr>
          <w:rFonts w:ascii="宋体" w:hAnsi="宋体" w:cs="宋体"/>
          <w:sz w:val="24"/>
        </w:rPr>
      </w:pPr>
      <w:r>
        <w:rPr>
          <w:rFonts w:hint="eastAsia" w:ascii="宋体" w:hAnsi="宋体" w:cs="宋体"/>
          <w:sz w:val="24"/>
          <w:u w:val="single"/>
        </w:rPr>
        <w:t>（供应商名称）</w:t>
      </w:r>
      <w:r>
        <w:rPr>
          <w:rFonts w:hint="eastAsia" w:ascii="宋体" w:hAnsi="宋体" w:cs="宋体"/>
          <w:sz w:val="24"/>
        </w:rPr>
        <w:t>系中华人民共和国合法供应商，经营地址</w:t>
      </w:r>
      <w:r>
        <w:rPr>
          <w:rFonts w:hint="eastAsia" w:ascii="宋体" w:hAnsi="宋体" w:cs="宋体"/>
          <w:sz w:val="24"/>
          <w:u w:val="single"/>
        </w:rPr>
        <w:t xml:space="preserve">                  </w:t>
      </w:r>
      <w:r>
        <w:rPr>
          <w:rFonts w:hint="eastAsia" w:ascii="宋体" w:hAnsi="宋体" w:cs="宋体"/>
          <w:sz w:val="24"/>
        </w:rPr>
        <w:t>。</w:t>
      </w:r>
    </w:p>
    <w:p w14:paraId="54E8CC85">
      <w:pPr>
        <w:spacing w:line="360" w:lineRule="auto"/>
        <w:ind w:firstLine="480"/>
        <w:contextualSpacing/>
        <w:rPr>
          <w:rFonts w:ascii="宋体" w:hAnsi="宋体" w:cs="宋体"/>
          <w:sz w:val="24"/>
        </w:rPr>
      </w:pPr>
      <w:r>
        <w:rPr>
          <w:rFonts w:hint="eastAsia" w:ascii="宋体" w:hAnsi="宋体" w:cs="宋体"/>
          <w:sz w:val="24"/>
        </w:rPr>
        <w:t>我方愿意参加贵方组织的</w:t>
      </w:r>
      <w:r>
        <w:rPr>
          <w:rFonts w:hint="eastAsia" w:ascii="宋体" w:hAnsi="宋体" w:cs="宋体"/>
          <w:sz w:val="24"/>
          <w:u w:val="single"/>
        </w:rPr>
        <w:t>（项目名称）</w:t>
      </w:r>
      <w:r>
        <w:rPr>
          <w:rFonts w:hint="eastAsia" w:ascii="宋体" w:hAnsi="宋体" w:cs="宋体"/>
          <w:sz w:val="24"/>
        </w:rPr>
        <w:t>项目的竞标，为便于贵方公正、择优地确定成交供应商及其竞标产品和服务，我方就本次竞标有关事项郑重声明如下：</w:t>
      </w:r>
    </w:p>
    <w:p w14:paraId="0DC2B136">
      <w:pPr>
        <w:spacing w:line="360" w:lineRule="auto"/>
        <w:ind w:firstLine="480"/>
        <w:contextualSpacing/>
        <w:rPr>
          <w:rFonts w:ascii="宋体" w:hAnsi="宋体" w:cs="宋体"/>
          <w:sz w:val="24"/>
        </w:rPr>
      </w:pPr>
      <w:r>
        <w:rPr>
          <w:rFonts w:hint="eastAsia" w:ascii="宋体" w:hAnsi="宋体" w:cs="宋体"/>
          <w:sz w:val="24"/>
        </w:rPr>
        <w:t>1.我方向贵方提交的所有响应文件、资料都是准确的和真实的。</w:t>
      </w:r>
    </w:p>
    <w:p w14:paraId="41305B0E">
      <w:pPr>
        <w:spacing w:line="360" w:lineRule="auto"/>
        <w:ind w:firstLine="480"/>
        <w:contextualSpacing/>
        <w:rPr>
          <w:rFonts w:ascii="宋体" w:hAnsi="宋体" w:cs="宋体"/>
          <w:sz w:val="24"/>
        </w:rPr>
      </w:pPr>
      <w:r>
        <w:rPr>
          <w:rFonts w:hint="eastAsia" w:ascii="宋体" w:hAnsi="宋体" w:cs="宋体"/>
          <w:sz w:val="24"/>
        </w:rPr>
        <w:t>2.</w:t>
      </w:r>
      <w:r>
        <w:rPr>
          <w:rFonts w:hint="eastAsia" w:ascii="宋体" w:hAnsi="宋体"/>
          <w:sz w:val="24"/>
        </w:rPr>
        <w:t>我方不是为本次采购项目提供整体设计、规范编制或者项目管理、监理、检测等服务的供应商</w:t>
      </w:r>
      <w:r>
        <w:rPr>
          <w:rFonts w:hint="eastAsia" w:ascii="宋体" w:hAnsi="宋体" w:cs="宋体"/>
          <w:sz w:val="24"/>
        </w:rPr>
        <w:t>。</w:t>
      </w:r>
    </w:p>
    <w:p w14:paraId="6F5DBC9B">
      <w:pPr>
        <w:spacing w:line="360" w:lineRule="auto"/>
        <w:ind w:firstLine="480"/>
        <w:contextualSpacing/>
        <w:rPr>
          <w:rFonts w:ascii="宋体" w:hAnsi="宋体" w:cs="宋体"/>
          <w:sz w:val="24"/>
        </w:rPr>
      </w:pPr>
      <w:r>
        <w:rPr>
          <w:rFonts w:hint="eastAsia" w:ascii="宋体" w:hAnsi="宋体" w:cs="宋体"/>
          <w:sz w:val="24"/>
        </w:rPr>
        <w:t>3.在此，我方宣布同意如下：</w:t>
      </w:r>
    </w:p>
    <w:p w14:paraId="6ED906CF">
      <w:pPr>
        <w:spacing w:line="360" w:lineRule="auto"/>
        <w:ind w:firstLine="480"/>
        <w:contextualSpacing/>
        <w:rPr>
          <w:rFonts w:ascii="宋体" w:hAnsi="宋体" w:cs="宋体"/>
          <w:sz w:val="24"/>
        </w:rPr>
      </w:pPr>
      <w:r>
        <w:rPr>
          <w:rFonts w:hint="eastAsia" w:ascii="宋体" w:hAnsi="宋体" w:cs="宋体"/>
          <w:sz w:val="24"/>
        </w:rPr>
        <w:t>（1）将按磋商文件的约定履行合同责任和义务；</w:t>
      </w:r>
    </w:p>
    <w:p w14:paraId="526BA8CE">
      <w:pPr>
        <w:spacing w:line="360" w:lineRule="auto"/>
        <w:ind w:firstLine="480"/>
        <w:contextualSpacing/>
        <w:rPr>
          <w:rFonts w:ascii="宋体" w:hAnsi="宋体" w:cs="宋体"/>
          <w:sz w:val="24"/>
        </w:rPr>
      </w:pPr>
      <w:r>
        <w:rPr>
          <w:rFonts w:hint="eastAsia" w:ascii="宋体" w:hAnsi="宋体" w:cs="宋体"/>
          <w:sz w:val="24"/>
        </w:rPr>
        <w:t>（2）已详细审查全部磋商文件，包括澄清或者更正公告（如有）；</w:t>
      </w:r>
    </w:p>
    <w:p w14:paraId="3B542430">
      <w:pPr>
        <w:spacing w:line="360" w:lineRule="auto"/>
        <w:ind w:firstLine="480"/>
        <w:contextualSpacing/>
        <w:rPr>
          <w:rFonts w:ascii="宋体" w:hAnsi="宋体" w:cs="宋体"/>
          <w:sz w:val="24"/>
        </w:rPr>
      </w:pPr>
      <w:r>
        <w:rPr>
          <w:rFonts w:hint="eastAsia" w:ascii="宋体" w:hAnsi="宋体" w:cs="宋体"/>
          <w:sz w:val="24"/>
        </w:rPr>
        <w:t>（3）同意提供按照贵方可能要求的与磋商有关的一切数据或者资料；</w:t>
      </w:r>
    </w:p>
    <w:p w14:paraId="4AFA96A6">
      <w:pPr>
        <w:spacing w:line="360" w:lineRule="auto"/>
        <w:ind w:firstLine="480"/>
        <w:contextualSpacing/>
        <w:rPr>
          <w:rFonts w:ascii="宋体" w:hAnsi="宋体" w:cs="宋体"/>
          <w:sz w:val="24"/>
        </w:rPr>
      </w:pPr>
      <w:r>
        <w:rPr>
          <w:rFonts w:hint="eastAsia" w:ascii="宋体" w:hAnsi="宋体" w:cs="宋体"/>
          <w:sz w:val="24"/>
        </w:rPr>
        <w:t>（4）响应磋商文件规定的竞标有效期。</w:t>
      </w:r>
    </w:p>
    <w:p w14:paraId="00FEA2FC">
      <w:pPr>
        <w:spacing w:line="360" w:lineRule="auto"/>
        <w:ind w:firstLine="480"/>
        <w:contextualSpacing/>
        <w:rPr>
          <w:rFonts w:ascii="宋体" w:hAnsi="宋体" w:cs="宋体"/>
          <w:sz w:val="24"/>
        </w:rPr>
      </w:pPr>
      <w:r>
        <w:rPr>
          <w:rFonts w:hint="eastAsia" w:ascii="宋体" w:hAnsi="宋体" w:cs="宋体"/>
          <w:sz w:val="24"/>
        </w:rPr>
        <w:t>4.我方承诺符合《中华人民共和国政府采购法》第二十二条规定：</w:t>
      </w:r>
    </w:p>
    <w:p w14:paraId="38F44294">
      <w:pPr>
        <w:spacing w:line="360" w:lineRule="auto"/>
        <w:ind w:firstLine="480"/>
        <w:contextualSpacing/>
        <w:rPr>
          <w:rFonts w:ascii="宋体" w:hAnsi="宋体" w:cs="宋体"/>
          <w:sz w:val="24"/>
        </w:rPr>
      </w:pPr>
      <w:r>
        <w:rPr>
          <w:rFonts w:hint="eastAsia" w:ascii="宋体" w:hAnsi="宋体" w:cs="宋体"/>
          <w:sz w:val="24"/>
        </w:rPr>
        <w:t>（1）具有独立承担民事责任的能力；</w:t>
      </w:r>
    </w:p>
    <w:p w14:paraId="24112020">
      <w:pPr>
        <w:spacing w:line="360" w:lineRule="auto"/>
        <w:ind w:firstLine="480"/>
        <w:contextualSpacing/>
        <w:rPr>
          <w:rFonts w:ascii="宋体" w:hAnsi="宋体" w:cs="宋体"/>
          <w:sz w:val="24"/>
        </w:rPr>
      </w:pPr>
      <w:r>
        <w:rPr>
          <w:rFonts w:hint="eastAsia" w:ascii="宋体" w:hAnsi="宋体" w:cs="宋体"/>
          <w:sz w:val="24"/>
        </w:rPr>
        <w:t>（2）具有良好的商业信誉和健全的财务会计制度；</w:t>
      </w:r>
    </w:p>
    <w:p w14:paraId="3AE737CB">
      <w:pPr>
        <w:spacing w:line="360" w:lineRule="auto"/>
        <w:ind w:firstLine="480"/>
        <w:contextualSpacing/>
        <w:rPr>
          <w:rFonts w:ascii="宋体" w:hAnsi="宋体" w:cs="宋体"/>
          <w:sz w:val="24"/>
        </w:rPr>
      </w:pPr>
      <w:r>
        <w:rPr>
          <w:rFonts w:hint="eastAsia" w:ascii="宋体" w:hAnsi="宋体" w:cs="宋体"/>
          <w:sz w:val="24"/>
        </w:rPr>
        <w:t>（3）具有履行合同所必需的设备和专业技术能力；</w:t>
      </w:r>
    </w:p>
    <w:p w14:paraId="4F3CFF34">
      <w:pPr>
        <w:spacing w:line="360" w:lineRule="auto"/>
        <w:ind w:firstLine="480"/>
        <w:contextualSpacing/>
        <w:rPr>
          <w:rFonts w:ascii="宋体" w:hAnsi="宋体" w:cs="宋体"/>
          <w:sz w:val="24"/>
        </w:rPr>
      </w:pPr>
      <w:r>
        <w:rPr>
          <w:rFonts w:hint="eastAsia" w:ascii="宋体" w:hAnsi="宋体" w:cs="宋体"/>
          <w:sz w:val="24"/>
        </w:rPr>
        <w:t>（4）有依法缴纳税收和社会保障资金的良好记录；</w:t>
      </w:r>
    </w:p>
    <w:p w14:paraId="48E93DC8">
      <w:pPr>
        <w:spacing w:line="360" w:lineRule="auto"/>
        <w:ind w:firstLine="480"/>
        <w:contextualSpacing/>
        <w:rPr>
          <w:rFonts w:ascii="宋体" w:hAnsi="宋体" w:cs="宋体"/>
          <w:sz w:val="24"/>
        </w:rPr>
      </w:pPr>
      <w:r>
        <w:rPr>
          <w:rFonts w:hint="eastAsia" w:ascii="宋体" w:hAnsi="宋体" w:cs="宋体"/>
          <w:sz w:val="24"/>
        </w:rPr>
        <w:t>（5）参加政府采购活动前三年内，在经营活动中没有重大违法记录；</w:t>
      </w:r>
    </w:p>
    <w:p w14:paraId="2E2089A1">
      <w:pPr>
        <w:spacing w:line="360" w:lineRule="auto"/>
        <w:ind w:firstLine="480"/>
        <w:contextualSpacing/>
        <w:rPr>
          <w:rFonts w:ascii="宋体" w:hAnsi="宋体" w:cs="宋体"/>
          <w:sz w:val="24"/>
        </w:rPr>
      </w:pPr>
      <w:r>
        <w:rPr>
          <w:rFonts w:hint="eastAsia" w:ascii="宋体" w:hAnsi="宋体" w:cs="宋体"/>
          <w:sz w:val="24"/>
        </w:rPr>
        <w:t>（6）法律、行政法规规定的其他条件。</w:t>
      </w:r>
    </w:p>
    <w:p w14:paraId="5ABAB3CD">
      <w:pPr>
        <w:spacing w:line="360" w:lineRule="auto"/>
        <w:ind w:firstLine="480"/>
        <w:contextualSpacing/>
        <w:rPr>
          <w:rFonts w:ascii="宋体" w:hAnsi="宋体" w:cs="宋体"/>
          <w:sz w:val="24"/>
        </w:rPr>
      </w:pPr>
      <w:r>
        <w:rPr>
          <w:rFonts w:hint="eastAsia" w:ascii="宋体" w:hAnsi="宋体" w:cs="宋体"/>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13F60E50">
      <w:pPr>
        <w:spacing w:line="360" w:lineRule="auto"/>
        <w:ind w:firstLine="480"/>
        <w:contextualSpacing/>
        <w:rPr>
          <w:rFonts w:ascii="宋体" w:hAnsi="宋体" w:cs="宋体"/>
          <w:sz w:val="24"/>
        </w:rPr>
      </w:pPr>
      <w:r>
        <w:rPr>
          <w:rFonts w:hint="eastAsia" w:ascii="宋体" w:hAnsi="宋体" w:cs="宋体"/>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4C45E1D0">
      <w:pPr>
        <w:spacing w:line="360" w:lineRule="auto"/>
        <w:ind w:firstLine="480"/>
        <w:contextualSpacing/>
        <w:rPr>
          <w:rFonts w:ascii="宋体" w:hAnsi="宋体" w:cs="宋体"/>
          <w:sz w:val="24"/>
        </w:rPr>
      </w:pPr>
      <w:r>
        <w:rPr>
          <w:rFonts w:hint="eastAsia" w:ascii="宋体" w:hAnsi="宋体" w:cs="宋体"/>
          <w:sz w:val="24"/>
        </w:rPr>
        <w:t>□我方本次响应文件内容中未涉及商业秘密；</w:t>
      </w:r>
    </w:p>
    <w:p w14:paraId="7B7C48B3">
      <w:pPr>
        <w:spacing w:line="360" w:lineRule="auto"/>
        <w:ind w:firstLine="480"/>
        <w:contextualSpacing/>
        <w:rPr>
          <w:rFonts w:ascii="宋体" w:hAnsi="宋体" w:cs="宋体"/>
          <w:sz w:val="24"/>
        </w:rPr>
      </w:pPr>
      <w:r>
        <w:rPr>
          <w:rFonts w:hint="eastAsia" w:ascii="宋体" w:hAnsi="宋体" w:cs="宋体"/>
          <w:sz w:val="24"/>
        </w:rPr>
        <w:t>□我方本次响应文件涉及商业秘密的内容有：</w:t>
      </w:r>
      <w:r>
        <w:rPr>
          <w:rFonts w:hint="eastAsia" w:ascii="宋体" w:hAnsi="宋体" w:cs="宋体"/>
          <w:sz w:val="24"/>
          <w:u w:val="single"/>
        </w:rPr>
        <w:t xml:space="preserve">                </w:t>
      </w:r>
      <w:r>
        <w:rPr>
          <w:rFonts w:hint="eastAsia" w:ascii="宋体" w:hAnsi="宋体" w:cs="宋体"/>
          <w:sz w:val="24"/>
        </w:rPr>
        <w:t>；</w:t>
      </w:r>
    </w:p>
    <w:p w14:paraId="169C4BAE">
      <w:pPr>
        <w:pStyle w:val="24"/>
        <w:spacing w:line="360" w:lineRule="auto"/>
        <w:ind w:firstLine="480"/>
        <w:contextualSpacing/>
        <w:rPr>
          <w:rFonts w:hAnsi="宋体" w:cs="宋体"/>
          <w:sz w:val="24"/>
          <w:szCs w:val="24"/>
          <w:u w:val="single"/>
        </w:rPr>
      </w:pPr>
      <w:r>
        <w:rPr>
          <w:rFonts w:hint="eastAsia" w:hAnsi="宋体" w:cs="宋体"/>
          <w:sz w:val="24"/>
          <w:szCs w:val="24"/>
        </w:rPr>
        <w:t>7.与本磋商有关的一切正式往来信函请寄：邮政编号：</w:t>
      </w:r>
    </w:p>
    <w:p w14:paraId="7DF881CB">
      <w:pPr>
        <w:pStyle w:val="24"/>
        <w:spacing w:line="360" w:lineRule="auto"/>
        <w:ind w:firstLine="480"/>
        <w:contextualSpacing/>
        <w:rPr>
          <w:rFonts w:hAnsi="宋体" w:cs="宋体"/>
          <w:sz w:val="24"/>
          <w:u w:val="single"/>
        </w:rPr>
      </w:pPr>
      <w:r>
        <w:rPr>
          <w:rFonts w:hint="eastAsia" w:hAnsi="宋体" w:cs="宋体"/>
          <w:sz w:val="24"/>
          <w:szCs w:val="24"/>
        </w:rPr>
        <w:t>电话/传真：</w:t>
      </w:r>
      <w:r>
        <w:rPr>
          <w:rFonts w:hint="eastAsia" w:hAnsi="宋体" w:cs="宋体"/>
          <w:sz w:val="24"/>
          <w:u w:val="single"/>
        </w:rPr>
        <w:t xml:space="preserve">                </w:t>
      </w:r>
      <w:r>
        <w:rPr>
          <w:rFonts w:hint="eastAsia" w:hAnsi="宋体" w:cs="宋体"/>
          <w:sz w:val="24"/>
          <w:szCs w:val="24"/>
        </w:rPr>
        <w:t xml:space="preserve">   电子邮箱：</w:t>
      </w:r>
      <w:r>
        <w:rPr>
          <w:rFonts w:hint="eastAsia" w:hAnsi="宋体" w:cs="宋体"/>
          <w:sz w:val="24"/>
          <w:u w:val="single"/>
        </w:rPr>
        <w:t xml:space="preserve">                </w:t>
      </w:r>
    </w:p>
    <w:p w14:paraId="6D30CD4E">
      <w:pPr>
        <w:pStyle w:val="24"/>
        <w:spacing w:line="360" w:lineRule="auto"/>
        <w:ind w:firstLine="480"/>
        <w:contextualSpacing/>
        <w:rPr>
          <w:rFonts w:hAnsi="宋体" w:cs="宋体"/>
          <w:sz w:val="24"/>
        </w:rPr>
      </w:pPr>
      <w:r>
        <w:rPr>
          <w:rFonts w:hint="eastAsia" w:hAnsi="宋体" w:cs="宋体"/>
          <w:sz w:val="24"/>
        </w:rPr>
        <w:t>开户银行：</w:t>
      </w:r>
      <w:r>
        <w:rPr>
          <w:rFonts w:hint="eastAsia" w:hAnsi="宋体" w:cs="宋体"/>
          <w:sz w:val="24"/>
          <w:u w:val="single"/>
        </w:rPr>
        <w:t xml:space="preserve">                </w:t>
      </w:r>
      <w:r>
        <w:rPr>
          <w:rFonts w:hint="eastAsia" w:hAnsi="宋体" w:cs="宋体"/>
          <w:sz w:val="24"/>
        </w:rPr>
        <w:t xml:space="preserve">  账号：</w:t>
      </w:r>
      <w:r>
        <w:rPr>
          <w:rFonts w:hint="eastAsia" w:hAnsi="宋体" w:cs="宋体"/>
          <w:sz w:val="24"/>
          <w:u w:val="single"/>
        </w:rPr>
        <w:t xml:space="preserve">                </w:t>
      </w:r>
    </w:p>
    <w:p w14:paraId="6272F3F8">
      <w:pPr>
        <w:pStyle w:val="21"/>
        <w:tabs>
          <w:tab w:val="left" w:pos="939"/>
        </w:tabs>
        <w:spacing w:line="360" w:lineRule="auto"/>
        <w:ind w:left="0" w:firstLine="480"/>
        <w:rPr>
          <w:rFonts w:ascii="宋体" w:hAnsi="宋体" w:cs="宋体"/>
          <w:sz w:val="24"/>
        </w:rPr>
      </w:pPr>
      <w:r>
        <w:rPr>
          <w:rFonts w:hint="eastAsia" w:ascii="宋体" w:hAnsi="宋体" w:cs="宋体"/>
          <w:sz w:val="24"/>
        </w:rPr>
        <w:t>8.以上事项如有虚假或者隐瞒，我方愿意承担一切后果，并不再寻求任何旨在减轻或者免除法律责任的辩解。</w:t>
      </w:r>
    </w:p>
    <w:p w14:paraId="5E872488">
      <w:pPr>
        <w:pStyle w:val="21"/>
        <w:tabs>
          <w:tab w:val="left" w:pos="939"/>
        </w:tabs>
        <w:spacing w:line="360" w:lineRule="auto"/>
        <w:ind w:left="141" w:firstLine="360"/>
        <w:rPr>
          <w:rFonts w:ascii="宋体" w:hAnsi="宋体" w:cs="宋体"/>
          <w:sz w:val="24"/>
        </w:rPr>
      </w:pPr>
      <w:r>
        <w:rPr>
          <w:rFonts w:hint="eastAsia" w:ascii="宋体" w:hAnsi="宋体" w:cs="宋体"/>
          <w:sz w:val="24"/>
        </w:rPr>
        <w:t>特此承诺。</w:t>
      </w:r>
    </w:p>
    <w:p w14:paraId="0F50849B">
      <w:pPr>
        <w:spacing w:line="360" w:lineRule="auto"/>
        <w:contextualSpacing/>
        <w:jc w:val="left"/>
        <w:rPr>
          <w:rFonts w:ascii="宋体" w:hAnsi="宋体" w:cs="宋体"/>
          <w:szCs w:val="21"/>
        </w:rPr>
      </w:pPr>
    </w:p>
    <w:p w14:paraId="51BCE12E">
      <w:pPr>
        <w:spacing w:line="360" w:lineRule="auto"/>
        <w:ind w:firstLine="1260" w:firstLineChars="600"/>
        <w:contextualSpacing/>
        <w:rPr>
          <w:highlight w:val="none"/>
        </w:rPr>
      </w:pPr>
      <w:r>
        <w:rPr>
          <w:rFonts w:hint="eastAsia"/>
          <w:highlight w:val="none"/>
        </w:rPr>
        <w:t>法定代表人或者委托代理人（签字或者电子签名）：</w:t>
      </w:r>
    </w:p>
    <w:p w14:paraId="3D22B7E3">
      <w:pPr>
        <w:spacing w:line="360" w:lineRule="auto"/>
        <w:ind w:firstLine="3780"/>
        <w:contextualSpacing/>
        <w:rPr>
          <w:rFonts w:ascii="宋体" w:hAnsi="宋体" w:cs="宋体"/>
          <w:szCs w:val="21"/>
          <w:u w:val="single"/>
        </w:rPr>
      </w:pPr>
      <w:r>
        <w:rPr>
          <w:rFonts w:hint="eastAsia"/>
        </w:rPr>
        <w:t>供应商名称（电子签章）：</w:t>
      </w:r>
    </w:p>
    <w:p w14:paraId="27A62058">
      <w:pPr>
        <w:spacing w:line="360" w:lineRule="auto"/>
        <w:ind w:right="480" w:firstLine="240"/>
        <w:jc w:val="left"/>
        <w:rPr>
          <w:rFonts w:ascii="宋体" w:hAnsi="宋体"/>
          <w:szCs w:val="21"/>
        </w:rPr>
      </w:pPr>
      <w:r>
        <w:rPr>
          <w:rFonts w:hint="eastAsia" w:ascii="宋体" w:hAnsi="宋体"/>
          <w:sz w:val="24"/>
        </w:rPr>
        <w:t xml:space="preserve">                        </w:t>
      </w:r>
      <w:r>
        <w:rPr>
          <w:rFonts w:hint="eastAsia" w:ascii="宋体" w:hAnsi="宋体"/>
          <w:szCs w:val="21"/>
        </w:rPr>
        <w:t xml:space="preserve">      日期：    年   月   日</w:t>
      </w:r>
    </w:p>
    <w:p w14:paraId="3BEB3DAF">
      <w:pPr>
        <w:spacing w:line="360" w:lineRule="auto"/>
        <w:ind w:right="480" w:firstLine="240"/>
        <w:contextualSpacing/>
        <w:jc w:val="center"/>
        <w:rPr>
          <w:rFonts w:ascii="宋体" w:hAnsi="宋体"/>
          <w:b/>
          <w:sz w:val="32"/>
          <w:szCs w:val="32"/>
        </w:rPr>
      </w:pPr>
      <w:r>
        <w:rPr>
          <w:rFonts w:hint="eastAsia"/>
          <w:sz w:val="24"/>
        </w:rPr>
        <w:br w:type="page" w:clear="all"/>
      </w:r>
      <w:r>
        <w:rPr>
          <w:rFonts w:hint="eastAsia" w:ascii="宋体" w:hAnsi="宋体"/>
          <w:b/>
          <w:bCs/>
          <w:sz w:val="32"/>
          <w:szCs w:val="32"/>
        </w:rPr>
        <w:t>二、</w:t>
      </w:r>
      <w:r>
        <w:rPr>
          <w:rFonts w:hint="eastAsia" w:ascii="宋体" w:hAnsi="宋体"/>
          <w:b/>
          <w:sz w:val="32"/>
          <w:szCs w:val="32"/>
        </w:rPr>
        <w:t xml:space="preserve">报价文件格式 </w:t>
      </w:r>
    </w:p>
    <w:p w14:paraId="178DCFDA">
      <w:pPr>
        <w:spacing w:before="156" w:after="50" w:line="360" w:lineRule="auto"/>
        <w:jc w:val="left"/>
        <w:rPr>
          <w:rFonts w:ascii="宋体" w:hAnsi="宋体"/>
          <w:b/>
          <w:sz w:val="32"/>
          <w:szCs w:val="32"/>
        </w:rPr>
      </w:pPr>
      <w:r>
        <w:rPr>
          <w:rFonts w:hint="eastAsia" w:ascii="宋体" w:hAnsi="宋体"/>
          <w:b/>
          <w:sz w:val="32"/>
          <w:szCs w:val="32"/>
        </w:rPr>
        <w:t>1.报价文件封面格式</w:t>
      </w:r>
    </w:p>
    <w:p w14:paraId="3C048FFB">
      <w:pPr>
        <w:spacing w:before="156" w:after="50"/>
        <w:rPr>
          <w:rFonts w:ascii="宋体" w:hAnsi="宋体"/>
          <w:bCs/>
          <w:sz w:val="32"/>
          <w:szCs w:val="20"/>
        </w:rPr>
      </w:pPr>
    </w:p>
    <w:p w14:paraId="1ACDA772">
      <w:pPr>
        <w:spacing w:before="156" w:after="50"/>
        <w:jc w:val="center"/>
        <w:rPr>
          <w:rFonts w:ascii="宋体" w:hAnsi="宋体"/>
          <w:sz w:val="24"/>
          <w:szCs w:val="20"/>
        </w:rPr>
      </w:pPr>
      <w:r>
        <w:rPr>
          <w:rFonts w:hint="eastAsia" w:ascii="宋体" w:hAnsi="宋体"/>
          <w:sz w:val="44"/>
          <w:szCs w:val="44"/>
        </w:rPr>
        <w:t>电 子 响 应 文 件</w:t>
      </w:r>
    </w:p>
    <w:p w14:paraId="72D1AAC2">
      <w:pPr>
        <w:spacing w:before="156" w:after="50"/>
        <w:rPr>
          <w:rFonts w:ascii="宋体" w:hAnsi="宋体"/>
          <w:sz w:val="24"/>
          <w:szCs w:val="20"/>
        </w:rPr>
      </w:pPr>
    </w:p>
    <w:p w14:paraId="59D86785">
      <w:pPr>
        <w:spacing w:before="156" w:after="50"/>
        <w:rPr>
          <w:rFonts w:ascii="宋体" w:hAnsi="宋体"/>
          <w:sz w:val="24"/>
          <w:szCs w:val="20"/>
        </w:rPr>
      </w:pPr>
    </w:p>
    <w:p w14:paraId="3EC6CE03">
      <w:pPr>
        <w:spacing w:before="156" w:after="5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报  价  文  件</w:t>
      </w:r>
    </w:p>
    <w:p w14:paraId="40A77062">
      <w:pPr>
        <w:spacing w:before="156" w:after="50"/>
        <w:rPr>
          <w:rFonts w:ascii="宋体" w:hAnsi="宋体"/>
          <w:bCs/>
          <w:sz w:val="24"/>
          <w:szCs w:val="20"/>
        </w:rPr>
      </w:pPr>
    </w:p>
    <w:p w14:paraId="7F1B6FF6">
      <w:pPr>
        <w:spacing w:before="156" w:after="50"/>
        <w:rPr>
          <w:rFonts w:ascii="宋体" w:hAnsi="宋体"/>
          <w:bCs/>
          <w:sz w:val="24"/>
          <w:szCs w:val="20"/>
        </w:rPr>
      </w:pPr>
    </w:p>
    <w:p w14:paraId="2DD1ACD3">
      <w:pPr>
        <w:spacing w:before="156" w:after="50"/>
        <w:rPr>
          <w:rFonts w:ascii="宋体" w:hAnsi="宋体"/>
          <w:bCs/>
          <w:sz w:val="24"/>
          <w:szCs w:val="20"/>
        </w:rPr>
      </w:pPr>
    </w:p>
    <w:p w14:paraId="3B33AA85">
      <w:pPr>
        <w:spacing w:before="156" w:after="50"/>
        <w:rPr>
          <w:rFonts w:ascii="宋体" w:hAnsi="宋体"/>
          <w:bCs/>
          <w:sz w:val="24"/>
          <w:szCs w:val="20"/>
        </w:rPr>
      </w:pPr>
    </w:p>
    <w:p w14:paraId="064C634E">
      <w:pPr>
        <w:spacing w:before="156" w:after="50"/>
        <w:rPr>
          <w:rFonts w:ascii="宋体" w:hAnsi="宋体"/>
          <w:bCs/>
          <w:sz w:val="24"/>
          <w:szCs w:val="20"/>
        </w:rPr>
      </w:pPr>
    </w:p>
    <w:p w14:paraId="06A0F9CD">
      <w:pPr>
        <w:spacing w:before="156" w:after="50"/>
        <w:ind w:firstLine="640"/>
        <w:rPr>
          <w:rFonts w:ascii="宋体" w:hAnsi="宋体" w:cs="仿宋_GB2312"/>
          <w:bCs/>
          <w:sz w:val="32"/>
          <w:szCs w:val="32"/>
        </w:rPr>
      </w:pPr>
      <w:r>
        <w:rPr>
          <w:rFonts w:hint="eastAsia" w:ascii="宋体" w:hAnsi="宋体" w:cs="仿宋_GB2312"/>
          <w:bCs/>
          <w:sz w:val="32"/>
          <w:szCs w:val="32"/>
        </w:rPr>
        <w:t>项目名称：</w:t>
      </w:r>
    </w:p>
    <w:p w14:paraId="69555AEB">
      <w:pPr>
        <w:spacing w:before="156" w:after="50"/>
        <w:ind w:firstLine="720"/>
        <w:rPr>
          <w:rFonts w:ascii="宋体" w:hAnsi="宋体" w:cs="仿宋_GB2312"/>
          <w:bCs/>
          <w:sz w:val="32"/>
          <w:szCs w:val="32"/>
        </w:rPr>
      </w:pPr>
    </w:p>
    <w:p w14:paraId="0D9D93B5">
      <w:pPr>
        <w:spacing w:before="156" w:after="50"/>
        <w:ind w:firstLine="640"/>
        <w:rPr>
          <w:rFonts w:ascii="宋体" w:hAnsi="宋体" w:cs="仿宋_GB2312"/>
          <w:bCs/>
          <w:sz w:val="32"/>
          <w:szCs w:val="32"/>
        </w:rPr>
      </w:pPr>
      <w:r>
        <w:rPr>
          <w:rFonts w:hint="eastAsia" w:ascii="宋体" w:hAnsi="宋体" w:cs="仿宋_GB2312"/>
          <w:bCs/>
          <w:sz w:val="32"/>
          <w:szCs w:val="32"/>
        </w:rPr>
        <w:t>项目编号：</w:t>
      </w:r>
    </w:p>
    <w:p w14:paraId="5D8647BA">
      <w:pPr>
        <w:spacing w:before="156" w:after="50"/>
        <w:ind w:firstLine="720"/>
        <w:rPr>
          <w:rFonts w:ascii="宋体" w:hAnsi="宋体" w:cs="仿宋_GB2312"/>
          <w:bCs/>
          <w:sz w:val="32"/>
          <w:szCs w:val="32"/>
        </w:rPr>
      </w:pPr>
    </w:p>
    <w:p w14:paraId="0CC791F2">
      <w:pPr>
        <w:spacing w:before="156" w:after="50"/>
        <w:ind w:firstLine="640"/>
        <w:rPr>
          <w:rFonts w:ascii="宋体" w:hAnsi="宋体" w:cs="仿宋_GB2312"/>
          <w:bCs/>
          <w:sz w:val="32"/>
          <w:szCs w:val="32"/>
        </w:rPr>
      </w:pPr>
      <w:r>
        <w:rPr>
          <w:rFonts w:hint="eastAsia" w:ascii="宋体" w:hAnsi="宋体" w:cs="仿宋_GB2312"/>
          <w:bCs/>
          <w:sz w:val="32"/>
          <w:szCs w:val="32"/>
        </w:rPr>
        <w:t>所竞分标（如有则填写，无分标时填写“无”或者留空）：</w:t>
      </w:r>
    </w:p>
    <w:p w14:paraId="72644ACC">
      <w:pPr>
        <w:spacing w:before="156" w:after="50"/>
        <w:ind w:firstLine="720"/>
        <w:rPr>
          <w:rFonts w:ascii="宋体" w:hAnsi="宋体" w:cs="仿宋_GB2312"/>
          <w:bCs/>
          <w:sz w:val="32"/>
          <w:szCs w:val="32"/>
        </w:rPr>
      </w:pPr>
    </w:p>
    <w:p w14:paraId="2E25BD3E">
      <w:pPr>
        <w:pStyle w:val="2"/>
        <w:spacing w:before="50" w:after="50"/>
        <w:ind w:firstLine="640"/>
        <w:rPr>
          <w:rFonts w:ascii="宋体" w:hAnsi="宋体" w:cs="仿宋_GB2312"/>
          <w:bCs/>
          <w:sz w:val="32"/>
          <w:szCs w:val="32"/>
        </w:rPr>
      </w:pPr>
      <w:r>
        <w:rPr>
          <w:rFonts w:hint="eastAsia" w:ascii="宋体" w:hAnsi="宋体" w:cs="仿宋_GB2312"/>
          <w:bCs/>
          <w:sz w:val="32"/>
          <w:szCs w:val="32"/>
        </w:rPr>
        <w:t>供应商名称：</w:t>
      </w:r>
    </w:p>
    <w:p w14:paraId="5A953DE0">
      <w:pPr>
        <w:pStyle w:val="2"/>
        <w:spacing w:before="50" w:after="50"/>
        <w:ind w:firstLine="640"/>
        <w:rPr>
          <w:rFonts w:ascii="宋体" w:hAnsi="宋体" w:cs="仿宋_GB2312"/>
          <w:bCs/>
          <w:sz w:val="32"/>
          <w:szCs w:val="32"/>
        </w:rPr>
      </w:pPr>
    </w:p>
    <w:p w14:paraId="32590DF4">
      <w:pPr>
        <w:pStyle w:val="2"/>
        <w:spacing w:before="50" w:after="50"/>
        <w:ind w:firstLine="720"/>
        <w:rPr>
          <w:rFonts w:ascii="宋体" w:hAnsi="宋体" w:cs="仿宋_GB2312"/>
          <w:bCs/>
          <w:sz w:val="32"/>
          <w:szCs w:val="32"/>
        </w:rPr>
      </w:pPr>
    </w:p>
    <w:p w14:paraId="135A8B5C">
      <w:pPr>
        <w:pStyle w:val="2"/>
        <w:spacing w:before="50" w:after="50"/>
        <w:ind w:firstLine="0"/>
        <w:rPr>
          <w:rFonts w:ascii="宋体" w:hAnsi="宋体" w:cs="仿宋_GB2312"/>
          <w:bCs/>
          <w:sz w:val="32"/>
          <w:szCs w:val="32"/>
        </w:rPr>
      </w:pPr>
    </w:p>
    <w:p w14:paraId="47F9178E">
      <w:pPr>
        <w:pStyle w:val="2"/>
        <w:spacing w:before="50" w:after="50"/>
        <w:ind w:firstLine="1280"/>
        <w:rPr>
          <w:rFonts w:ascii="宋体" w:hAnsi="宋体" w:cs="仿宋_GB2312"/>
          <w:bCs/>
          <w:sz w:val="32"/>
          <w:szCs w:val="32"/>
        </w:rPr>
      </w:pPr>
    </w:p>
    <w:p w14:paraId="4496BF30">
      <w:pPr>
        <w:spacing w:before="156" w:after="50"/>
        <w:jc w:val="center"/>
        <w:rPr>
          <w:rFonts w:ascii="宋体" w:hAnsi="宋体" w:cs="仿宋_GB2312"/>
          <w:sz w:val="32"/>
          <w:szCs w:val="32"/>
        </w:rPr>
      </w:pPr>
      <w:r>
        <w:rPr>
          <w:rFonts w:hint="eastAsia" w:ascii="宋体" w:hAnsi="宋体" w:cs="仿宋_GB2312"/>
          <w:sz w:val="32"/>
          <w:szCs w:val="32"/>
        </w:rPr>
        <w:t>年    月    日</w:t>
      </w:r>
    </w:p>
    <w:p w14:paraId="24C511F0">
      <w:pPr>
        <w:spacing w:before="156" w:after="50" w:line="360" w:lineRule="auto"/>
        <w:ind w:left="142"/>
        <w:jc w:val="left"/>
        <w:rPr>
          <w:rFonts w:ascii="宋体" w:hAnsi="宋体"/>
          <w:b/>
          <w:bCs/>
          <w:sz w:val="24"/>
        </w:rPr>
      </w:pPr>
      <w:r>
        <w:rPr>
          <w:rFonts w:hint="eastAsia" w:ascii="宋体" w:hAnsi="宋体"/>
          <w:szCs w:val="21"/>
        </w:rPr>
        <w:br w:type="page" w:clear="all"/>
      </w:r>
      <w:r>
        <w:rPr>
          <w:rFonts w:hint="eastAsia" w:ascii="宋体" w:hAnsi="宋体"/>
          <w:b/>
          <w:bCs/>
          <w:sz w:val="32"/>
          <w:szCs w:val="32"/>
        </w:rPr>
        <w:t>2.报价文件目录</w:t>
      </w:r>
    </w:p>
    <w:p w14:paraId="41B932D6">
      <w:pPr>
        <w:spacing w:line="520" w:lineRule="exact"/>
        <w:jc w:val="center"/>
        <w:rPr>
          <w:rFonts w:ascii="方正小标宋简体" w:hAnsi="方正小标宋简体" w:eastAsia="方正小标宋简体" w:cs="方正小标宋简体"/>
          <w:bCs/>
          <w:sz w:val="32"/>
          <w:szCs w:val="32"/>
        </w:rPr>
      </w:pPr>
      <w:r>
        <w:rPr>
          <w:rFonts w:hint="eastAsia" w:ascii="宋体" w:hAnsi="宋体"/>
          <w:sz w:val="32"/>
          <w:szCs w:val="32"/>
        </w:rPr>
        <w:t>根据磋商文件规定及供应商提供的材料自行编写目录（部分格式后附）。</w:t>
      </w:r>
      <w:r>
        <w:rPr>
          <w:rFonts w:ascii="宋体" w:hAnsi="宋体"/>
          <w:b/>
          <w:bCs/>
          <w:sz w:val="32"/>
          <w:szCs w:val="32"/>
        </w:rPr>
        <w:br w:type="page" w:clear="all"/>
      </w:r>
      <w:r>
        <w:rPr>
          <w:rFonts w:hint="eastAsia" w:ascii="方正小标宋简体" w:hAnsi="方正小标宋简体" w:eastAsia="方正小标宋简体" w:cs="方正小标宋简体"/>
          <w:bCs/>
          <w:sz w:val="44"/>
          <w:szCs w:val="44"/>
        </w:rPr>
        <w:t>竞  标  报  价  表</w:t>
      </w:r>
    </w:p>
    <w:p w14:paraId="671D0C49">
      <w:pPr>
        <w:spacing w:line="440" w:lineRule="exact"/>
        <w:jc w:val="center"/>
        <w:rPr>
          <w:rFonts w:ascii="方正小标宋简体" w:hAnsi="方正小标宋简体" w:eastAsia="方正小标宋简体" w:cs="方正小标宋简体"/>
          <w:bCs/>
          <w:sz w:val="32"/>
          <w:szCs w:val="32"/>
        </w:rPr>
      </w:pPr>
    </w:p>
    <w:p w14:paraId="05F18643">
      <w:pPr>
        <w:spacing w:line="360" w:lineRule="auto"/>
        <w:contextualSpacing/>
        <w:jc w:val="left"/>
        <w:rPr>
          <w:rFonts w:ascii="宋体" w:hAnsi="宋体" w:cs="仿宋_GB2312"/>
          <w:sz w:val="24"/>
        </w:rPr>
      </w:pPr>
      <w:r>
        <w:rPr>
          <w:rFonts w:hint="eastAsia" w:ascii="宋体" w:hAnsi="宋体" w:cs="仿宋_GB2312"/>
          <w:sz w:val="24"/>
        </w:rPr>
        <w:t xml:space="preserve">                                       </w:t>
      </w:r>
    </w:p>
    <w:tbl>
      <w:tblPr>
        <w:tblStyle w:val="44"/>
        <w:tblW w:w="9095"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240"/>
        <w:gridCol w:w="930"/>
        <w:gridCol w:w="860"/>
        <w:gridCol w:w="3478"/>
      </w:tblGrid>
      <w:tr w14:paraId="5917A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03EA3479">
            <w:pPr>
              <w:spacing w:line="440" w:lineRule="exact"/>
              <w:jc w:val="center"/>
              <w:rPr>
                <w:rFonts w:ascii="宋体" w:hAnsi="宋体" w:cs="宋体"/>
                <w:sz w:val="24"/>
              </w:rPr>
            </w:pPr>
            <w:r>
              <w:rPr>
                <w:rFonts w:hint="eastAsia" w:ascii="宋体" w:hAnsi="宋体" w:cs="宋体"/>
                <w:sz w:val="24"/>
              </w:rPr>
              <w:t>序号</w:t>
            </w:r>
          </w:p>
        </w:tc>
        <w:tc>
          <w:tcPr>
            <w:tcW w:w="3240" w:type="dxa"/>
            <w:tcBorders>
              <w:top w:val="single" w:color="auto" w:sz="4" w:space="0"/>
              <w:left w:val="single" w:color="auto" w:sz="4" w:space="0"/>
              <w:bottom w:val="single" w:color="auto" w:sz="4" w:space="0"/>
              <w:right w:val="single" w:color="auto" w:sz="4" w:space="0"/>
            </w:tcBorders>
            <w:vAlign w:val="center"/>
          </w:tcPr>
          <w:p w14:paraId="46732A5E">
            <w:pPr>
              <w:spacing w:line="440" w:lineRule="exact"/>
              <w:jc w:val="center"/>
              <w:rPr>
                <w:rFonts w:ascii="宋体" w:hAnsi="宋体" w:cs="宋体"/>
                <w:sz w:val="24"/>
              </w:rPr>
            </w:pPr>
            <w:r>
              <w:rPr>
                <w:rFonts w:hint="eastAsia" w:ascii="宋体" w:hAnsi="宋体" w:cs="宋体"/>
                <w:sz w:val="24"/>
              </w:rPr>
              <w:t>标的名称</w:t>
            </w:r>
          </w:p>
        </w:tc>
        <w:tc>
          <w:tcPr>
            <w:tcW w:w="930" w:type="dxa"/>
            <w:tcBorders>
              <w:top w:val="single" w:color="auto" w:sz="4" w:space="0"/>
              <w:left w:val="single" w:color="auto" w:sz="4" w:space="0"/>
              <w:bottom w:val="single" w:color="auto" w:sz="4" w:space="0"/>
              <w:right w:val="single" w:color="auto" w:sz="4" w:space="0"/>
            </w:tcBorders>
            <w:vAlign w:val="center"/>
          </w:tcPr>
          <w:p w14:paraId="6F1714AB">
            <w:pPr>
              <w:spacing w:line="440" w:lineRule="exact"/>
              <w:jc w:val="center"/>
              <w:rPr>
                <w:rFonts w:ascii="宋体" w:hAnsi="宋体" w:cs="宋体"/>
                <w:sz w:val="24"/>
              </w:rPr>
            </w:pPr>
            <w:r>
              <w:rPr>
                <w:rFonts w:hint="eastAsia" w:ascii="宋体" w:hAnsi="宋体" w:cs="宋体"/>
                <w:sz w:val="24"/>
              </w:rPr>
              <w:t>数量</w:t>
            </w:r>
          </w:p>
        </w:tc>
        <w:tc>
          <w:tcPr>
            <w:tcW w:w="860" w:type="dxa"/>
            <w:tcBorders>
              <w:top w:val="single" w:color="auto" w:sz="4" w:space="0"/>
              <w:left w:val="single" w:color="auto" w:sz="4" w:space="0"/>
              <w:bottom w:val="single" w:color="auto" w:sz="4" w:space="0"/>
              <w:right w:val="single" w:color="auto" w:sz="4" w:space="0"/>
            </w:tcBorders>
            <w:vAlign w:val="center"/>
          </w:tcPr>
          <w:p w14:paraId="3D2D950D">
            <w:pPr>
              <w:spacing w:line="440" w:lineRule="exact"/>
              <w:jc w:val="center"/>
              <w:rPr>
                <w:rFonts w:ascii="宋体" w:hAnsi="宋体" w:cs="宋体"/>
                <w:sz w:val="24"/>
              </w:rPr>
            </w:pPr>
            <w:r>
              <w:rPr>
                <w:rFonts w:hint="eastAsia" w:ascii="宋体" w:hAnsi="宋体" w:cs="宋体"/>
                <w:sz w:val="24"/>
              </w:rPr>
              <w:t>单位</w:t>
            </w:r>
          </w:p>
        </w:tc>
        <w:tc>
          <w:tcPr>
            <w:tcW w:w="3478" w:type="dxa"/>
            <w:tcBorders>
              <w:top w:val="single" w:color="auto" w:sz="4" w:space="0"/>
              <w:left w:val="single" w:color="auto" w:sz="4" w:space="0"/>
              <w:bottom w:val="single" w:color="auto" w:sz="4" w:space="0"/>
              <w:right w:val="single" w:color="auto" w:sz="4" w:space="0"/>
            </w:tcBorders>
            <w:vAlign w:val="center"/>
          </w:tcPr>
          <w:p w14:paraId="4F26A101">
            <w:pPr>
              <w:spacing w:line="440" w:lineRule="exact"/>
              <w:jc w:val="center"/>
              <w:rPr>
                <w:rFonts w:ascii="宋体" w:hAnsi="宋体" w:cs="宋体"/>
                <w:sz w:val="24"/>
              </w:rPr>
            </w:pPr>
            <w:r>
              <w:rPr>
                <w:rFonts w:hint="eastAsia" w:ascii="宋体" w:hAnsi="宋体" w:cs="宋体"/>
                <w:sz w:val="24"/>
              </w:rPr>
              <w:t>折扣（%）</w:t>
            </w:r>
          </w:p>
        </w:tc>
      </w:tr>
      <w:tr w14:paraId="16FA1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00361E54">
            <w:pPr>
              <w:spacing w:line="440" w:lineRule="exact"/>
              <w:jc w:val="center"/>
              <w:rPr>
                <w:rFonts w:ascii="宋体" w:hAnsi="宋体" w:cs="宋体"/>
                <w:sz w:val="24"/>
              </w:rPr>
            </w:pPr>
            <w:r>
              <w:rPr>
                <w:rFonts w:hint="eastAsia" w:ascii="宋体" w:hAnsi="宋体" w:cs="宋体"/>
                <w:sz w:val="24"/>
              </w:rPr>
              <w:t>1</w:t>
            </w:r>
          </w:p>
        </w:tc>
        <w:tc>
          <w:tcPr>
            <w:tcW w:w="3240" w:type="dxa"/>
            <w:tcBorders>
              <w:top w:val="single" w:color="auto" w:sz="4" w:space="0"/>
              <w:left w:val="single" w:color="auto" w:sz="4" w:space="0"/>
              <w:bottom w:val="single" w:color="auto" w:sz="4" w:space="0"/>
              <w:right w:val="single" w:color="auto" w:sz="4" w:space="0"/>
            </w:tcBorders>
            <w:vAlign w:val="center"/>
          </w:tcPr>
          <w:p w14:paraId="5D99BD83">
            <w:pPr>
              <w:tabs>
                <w:tab w:val="right" w:pos="2544"/>
              </w:tabs>
              <w:spacing w:line="360" w:lineRule="auto"/>
              <w:rPr>
                <w:rFonts w:hint="eastAsia" w:ascii="宋体" w:hAnsi="宋体" w:eastAsia="宋体" w:cs="宋体"/>
                <w:sz w:val="24"/>
                <w:lang w:eastAsia="zh-CN"/>
              </w:rPr>
            </w:pPr>
            <w:r>
              <w:rPr>
                <w:rFonts w:hint="eastAsia" w:ascii="宋体" w:hAnsi="宋体" w:cs="宋体"/>
                <w:color w:val="000000"/>
                <w:sz w:val="24"/>
              </w:rPr>
              <w:t>食材配送服务采购</w:t>
            </w:r>
            <w:r>
              <w:rPr>
                <w:rFonts w:hint="eastAsia" w:ascii="宋体" w:hAnsi="宋体" w:cs="宋体"/>
                <w:color w:val="000000"/>
                <w:sz w:val="24"/>
                <w:lang w:eastAsia="zh-CN"/>
              </w:rPr>
              <w:tab/>
            </w:r>
            <w:r>
              <w:rPr>
                <w:rFonts w:hint="eastAsia" w:ascii="宋体" w:hAnsi="宋体" w:cs="宋体"/>
                <w:color w:val="000000"/>
                <w:sz w:val="24"/>
                <w:lang w:eastAsia="zh-CN"/>
              </w:rPr>
              <w:t>（重）</w:t>
            </w:r>
          </w:p>
        </w:tc>
        <w:tc>
          <w:tcPr>
            <w:tcW w:w="930" w:type="dxa"/>
            <w:tcBorders>
              <w:top w:val="single" w:color="auto" w:sz="4" w:space="0"/>
              <w:left w:val="single" w:color="auto" w:sz="4" w:space="0"/>
              <w:bottom w:val="single" w:color="auto" w:sz="4" w:space="0"/>
              <w:right w:val="single" w:color="auto" w:sz="4" w:space="0"/>
            </w:tcBorders>
            <w:vAlign w:val="center"/>
          </w:tcPr>
          <w:p w14:paraId="0094FC6C">
            <w:pPr>
              <w:spacing w:line="440" w:lineRule="exact"/>
              <w:jc w:val="center"/>
              <w:rPr>
                <w:rFonts w:ascii="宋体" w:hAnsi="宋体" w:cs="宋体"/>
                <w:sz w:val="24"/>
              </w:rPr>
            </w:pPr>
            <w:r>
              <w:rPr>
                <w:rFonts w:ascii="宋体" w:hAnsi="宋体" w:cs="宋体"/>
                <w:sz w:val="24"/>
              </w:rPr>
              <w:t>1</w:t>
            </w:r>
          </w:p>
        </w:tc>
        <w:tc>
          <w:tcPr>
            <w:tcW w:w="860" w:type="dxa"/>
            <w:tcBorders>
              <w:top w:val="single" w:color="auto" w:sz="4" w:space="0"/>
              <w:left w:val="single" w:color="auto" w:sz="4" w:space="0"/>
              <w:bottom w:val="single" w:color="auto" w:sz="4" w:space="0"/>
              <w:right w:val="single" w:color="auto" w:sz="4" w:space="0"/>
            </w:tcBorders>
            <w:vAlign w:val="center"/>
          </w:tcPr>
          <w:p w14:paraId="56107EF8">
            <w:pPr>
              <w:spacing w:line="440" w:lineRule="exact"/>
              <w:jc w:val="center"/>
              <w:rPr>
                <w:rFonts w:ascii="宋体" w:hAnsi="宋体" w:cs="宋体"/>
                <w:sz w:val="24"/>
              </w:rPr>
            </w:pPr>
            <w:r>
              <w:rPr>
                <w:rFonts w:hint="eastAsia" w:ascii="宋体" w:hAnsi="宋体" w:cs="宋体"/>
                <w:sz w:val="24"/>
              </w:rPr>
              <w:t>项</w:t>
            </w:r>
          </w:p>
        </w:tc>
        <w:tc>
          <w:tcPr>
            <w:tcW w:w="3478" w:type="dxa"/>
            <w:tcBorders>
              <w:top w:val="single" w:color="auto" w:sz="4" w:space="0"/>
              <w:left w:val="single" w:color="auto" w:sz="4" w:space="0"/>
              <w:bottom w:val="single" w:color="auto" w:sz="4" w:space="0"/>
              <w:right w:val="single" w:color="auto" w:sz="4" w:space="0"/>
            </w:tcBorders>
            <w:vAlign w:val="center"/>
          </w:tcPr>
          <w:p w14:paraId="2631B8E8">
            <w:pPr>
              <w:spacing w:line="440" w:lineRule="exact"/>
              <w:jc w:val="center"/>
              <w:rPr>
                <w:rFonts w:ascii="宋体" w:hAnsi="宋体" w:cs="宋体"/>
                <w:sz w:val="24"/>
              </w:rPr>
            </w:pPr>
          </w:p>
        </w:tc>
      </w:tr>
      <w:tr w14:paraId="3C28A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617" w:type="dxa"/>
            <w:gridSpan w:val="4"/>
            <w:tcBorders>
              <w:top w:val="single" w:color="auto" w:sz="4" w:space="0"/>
              <w:left w:val="single" w:color="auto" w:sz="4" w:space="0"/>
              <w:bottom w:val="single" w:color="auto" w:sz="4" w:space="0"/>
              <w:right w:val="single" w:color="auto" w:sz="4" w:space="0"/>
            </w:tcBorders>
            <w:vAlign w:val="center"/>
          </w:tcPr>
          <w:p w14:paraId="0711A0D1">
            <w:pPr>
              <w:spacing w:line="440" w:lineRule="exact"/>
              <w:jc w:val="center"/>
              <w:rPr>
                <w:rFonts w:ascii="宋体" w:hAnsi="宋体" w:cs="宋体"/>
                <w:sz w:val="24"/>
              </w:rPr>
            </w:pPr>
            <w:r>
              <w:rPr>
                <w:rFonts w:hint="eastAsia" w:ascii="宋体" w:hAnsi="宋体" w:cs="宋体"/>
                <w:sz w:val="24"/>
              </w:rPr>
              <w:t>合同服务期限</w:t>
            </w:r>
          </w:p>
        </w:tc>
        <w:tc>
          <w:tcPr>
            <w:tcW w:w="3478" w:type="dxa"/>
            <w:tcBorders>
              <w:top w:val="single" w:color="auto" w:sz="4" w:space="0"/>
              <w:left w:val="single" w:color="auto" w:sz="4" w:space="0"/>
              <w:bottom w:val="single" w:color="auto" w:sz="4" w:space="0"/>
              <w:right w:val="single" w:color="auto" w:sz="4" w:space="0"/>
            </w:tcBorders>
            <w:vAlign w:val="center"/>
          </w:tcPr>
          <w:p w14:paraId="46866259">
            <w:pPr>
              <w:spacing w:line="440" w:lineRule="exact"/>
              <w:jc w:val="center"/>
              <w:rPr>
                <w:rFonts w:ascii="宋体" w:hAnsi="宋体" w:cs="宋体"/>
                <w:sz w:val="24"/>
              </w:rPr>
            </w:pPr>
          </w:p>
        </w:tc>
      </w:tr>
      <w:tr w14:paraId="42DD8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617" w:type="dxa"/>
            <w:gridSpan w:val="4"/>
            <w:tcBorders>
              <w:top w:val="single" w:color="auto" w:sz="4" w:space="0"/>
              <w:left w:val="single" w:color="auto" w:sz="4" w:space="0"/>
              <w:bottom w:val="single" w:color="auto" w:sz="4" w:space="0"/>
              <w:right w:val="single" w:color="auto" w:sz="4" w:space="0"/>
            </w:tcBorders>
            <w:vAlign w:val="center"/>
          </w:tcPr>
          <w:p w14:paraId="14CB3606">
            <w:pPr>
              <w:spacing w:line="440" w:lineRule="exact"/>
              <w:jc w:val="center"/>
              <w:rPr>
                <w:rFonts w:ascii="宋体" w:hAnsi="宋体" w:cs="宋体"/>
                <w:sz w:val="24"/>
              </w:rPr>
            </w:pPr>
            <w:r>
              <w:rPr>
                <w:rFonts w:hint="eastAsia" w:ascii="宋体" w:hAnsi="宋体" w:cs="宋体"/>
                <w:sz w:val="24"/>
              </w:rPr>
              <w:t>服务地点</w:t>
            </w:r>
          </w:p>
        </w:tc>
        <w:tc>
          <w:tcPr>
            <w:tcW w:w="3478" w:type="dxa"/>
            <w:tcBorders>
              <w:top w:val="single" w:color="auto" w:sz="4" w:space="0"/>
              <w:left w:val="single" w:color="auto" w:sz="4" w:space="0"/>
              <w:bottom w:val="single" w:color="auto" w:sz="4" w:space="0"/>
              <w:right w:val="single" w:color="auto" w:sz="4" w:space="0"/>
            </w:tcBorders>
            <w:vAlign w:val="center"/>
          </w:tcPr>
          <w:p w14:paraId="5A46267F">
            <w:pPr>
              <w:spacing w:line="440" w:lineRule="exact"/>
              <w:jc w:val="center"/>
              <w:rPr>
                <w:rFonts w:ascii="宋体" w:hAnsi="宋体" w:cs="宋体"/>
                <w:sz w:val="24"/>
              </w:rPr>
            </w:pPr>
          </w:p>
        </w:tc>
      </w:tr>
      <w:tr w14:paraId="2D0BB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617" w:type="dxa"/>
            <w:gridSpan w:val="4"/>
            <w:tcBorders>
              <w:top w:val="single" w:color="auto" w:sz="4" w:space="0"/>
              <w:left w:val="single" w:color="auto" w:sz="4" w:space="0"/>
              <w:bottom w:val="single" w:color="auto" w:sz="4" w:space="0"/>
              <w:right w:val="single" w:color="auto" w:sz="4" w:space="0"/>
            </w:tcBorders>
            <w:vAlign w:val="center"/>
          </w:tcPr>
          <w:p w14:paraId="57E5BF37">
            <w:pPr>
              <w:spacing w:line="440" w:lineRule="exact"/>
              <w:jc w:val="center"/>
              <w:rPr>
                <w:rFonts w:ascii="宋体" w:hAnsi="宋体" w:cs="宋体"/>
                <w:sz w:val="24"/>
              </w:rPr>
            </w:pPr>
            <w:r>
              <w:rPr>
                <w:rFonts w:hint="eastAsia" w:ascii="宋体" w:hAnsi="宋体" w:cs="宋体"/>
                <w:sz w:val="24"/>
              </w:rPr>
              <w:t>备注</w:t>
            </w:r>
          </w:p>
        </w:tc>
        <w:tc>
          <w:tcPr>
            <w:tcW w:w="3478" w:type="dxa"/>
            <w:tcBorders>
              <w:top w:val="single" w:color="auto" w:sz="4" w:space="0"/>
              <w:left w:val="single" w:color="auto" w:sz="4" w:space="0"/>
              <w:bottom w:val="single" w:color="auto" w:sz="4" w:space="0"/>
              <w:right w:val="single" w:color="auto" w:sz="4" w:space="0"/>
            </w:tcBorders>
            <w:vAlign w:val="center"/>
          </w:tcPr>
          <w:p w14:paraId="561353BB">
            <w:pPr>
              <w:spacing w:line="440" w:lineRule="exact"/>
              <w:jc w:val="center"/>
              <w:rPr>
                <w:rFonts w:ascii="宋体" w:hAnsi="宋体" w:cs="宋体"/>
                <w:sz w:val="24"/>
              </w:rPr>
            </w:pPr>
          </w:p>
        </w:tc>
      </w:tr>
    </w:tbl>
    <w:p w14:paraId="07F70046">
      <w:pPr>
        <w:spacing w:line="360" w:lineRule="auto"/>
        <w:contextualSpacing/>
        <w:jc w:val="left"/>
        <w:rPr>
          <w:rFonts w:ascii="宋体" w:hAnsi="宋体" w:cs="仿宋_GB2312"/>
          <w:sz w:val="24"/>
        </w:rPr>
      </w:pPr>
    </w:p>
    <w:p w14:paraId="176A5EB6">
      <w:pPr>
        <w:spacing w:line="360" w:lineRule="auto"/>
        <w:contextualSpacing/>
        <w:jc w:val="left"/>
        <w:rPr>
          <w:rFonts w:ascii="宋体" w:hAnsi="宋体" w:cs="仿宋_GB2312"/>
          <w:sz w:val="24"/>
        </w:rPr>
      </w:pPr>
      <w:r>
        <w:rPr>
          <w:rFonts w:hint="eastAsia" w:ascii="宋体" w:hAnsi="宋体" w:cs="仿宋_GB2312"/>
          <w:sz w:val="24"/>
        </w:rPr>
        <w:t xml:space="preserve">注： </w:t>
      </w:r>
    </w:p>
    <w:p w14:paraId="7DDD3AFA">
      <w:pPr>
        <w:spacing w:line="360" w:lineRule="auto"/>
        <w:ind w:firstLine="480"/>
        <w:contextualSpacing/>
        <w:jc w:val="left"/>
        <w:rPr>
          <w:rFonts w:ascii="宋体" w:hAnsi="宋体" w:cs="仿宋_GB2312"/>
          <w:sz w:val="24"/>
        </w:rPr>
      </w:pPr>
      <w:r>
        <w:rPr>
          <w:rFonts w:hint="eastAsia" w:ascii="宋体" w:hAnsi="宋体" w:cs="仿宋_GB2312"/>
          <w:sz w:val="24"/>
        </w:rPr>
        <w:t>1. 供应商的报价表必须加盖供应商电子签章并由法定代表人或者委托代理人签字或者电子签名，</w:t>
      </w:r>
      <w:r>
        <w:rPr>
          <w:rFonts w:hint="eastAsia" w:ascii="宋体" w:hAnsi="宋体" w:cs="仿宋_GB2312"/>
          <w:b/>
          <w:sz w:val="24"/>
        </w:rPr>
        <w:t>否则其响应文件按无效处理</w:t>
      </w:r>
      <w:r>
        <w:rPr>
          <w:rFonts w:hint="eastAsia" w:ascii="宋体" w:hAnsi="宋体" w:cs="仿宋_GB2312"/>
          <w:sz w:val="24"/>
        </w:rPr>
        <w:t>。</w:t>
      </w:r>
    </w:p>
    <w:p w14:paraId="6CF73BCD">
      <w:pPr>
        <w:spacing w:line="360" w:lineRule="auto"/>
        <w:ind w:firstLine="480"/>
        <w:contextualSpacing/>
        <w:jc w:val="left"/>
        <w:rPr>
          <w:rFonts w:ascii="宋体" w:hAnsi="宋体" w:cs="仿宋_GB2312"/>
          <w:b/>
          <w:sz w:val="24"/>
        </w:rPr>
      </w:pPr>
      <w:r>
        <w:rPr>
          <w:rFonts w:hint="eastAsia" w:ascii="宋体" w:hAnsi="宋体" w:cs="仿宋_GB2312"/>
          <w:bCs/>
          <w:sz w:val="24"/>
        </w:rPr>
        <w:t>2.</w:t>
      </w:r>
      <w:r>
        <w:rPr>
          <w:rFonts w:hint="eastAsia" w:ascii="宋体" w:hAnsi="宋体" w:cs="仿宋_GB2312"/>
          <w:sz w:val="24"/>
        </w:rPr>
        <w:t xml:space="preserve"> 报价一经涂改，应在涂改处加盖供应商公章或者加盖电子签章或者由法定代表人或者授权委托人签字</w:t>
      </w:r>
      <w:r>
        <w:rPr>
          <w:rFonts w:hint="eastAsia" w:ascii="宋体" w:hAnsi="宋体"/>
          <w:sz w:val="24"/>
        </w:rPr>
        <w:t>（或者电子签名）</w:t>
      </w:r>
      <w:r>
        <w:rPr>
          <w:rFonts w:hint="eastAsia" w:ascii="宋体" w:hAnsi="宋体" w:cs="仿宋_GB2312"/>
          <w:b/>
          <w:sz w:val="24"/>
        </w:rPr>
        <w:t>，否则其响应文件按无效处理。</w:t>
      </w:r>
    </w:p>
    <w:p w14:paraId="03AF4847">
      <w:pPr>
        <w:spacing w:line="360" w:lineRule="auto"/>
        <w:ind w:right="-817"/>
        <w:contextualSpacing/>
        <w:rPr>
          <w:rFonts w:ascii="宋体" w:hAnsi="宋体" w:cs="仿宋_GB2312"/>
          <w:sz w:val="24"/>
        </w:rPr>
      </w:pPr>
    </w:p>
    <w:p w14:paraId="46011FDD">
      <w:pPr>
        <w:spacing w:line="360" w:lineRule="auto"/>
        <w:ind w:right="-817"/>
        <w:contextualSpacing/>
        <w:rPr>
          <w:rFonts w:ascii="宋体" w:hAnsi="宋体" w:cs="仿宋_GB2312"/>
          <w:sz w:val="24"/>
        </w:rPr>
      </w:pPr>
      <w:r>
        <w:rPr>
          <w:rFonts w:hint="eastAsia" w:ascii="宋体" w:hAnsi="宋体" w:cs="仿宋_GB2312"/>
          <w:sz w:val="24"/>
          <w:highlight w:val="none"/>
        </w:rPr>
        <w:t xml:space="preserve">法定代表人或者委托代理人（签字或者电子签名）：    </w:t>
      </w:r>
      <w:r>
        <w:rPr>
          <w:rFonts w:hint="eastAsia" w:ascii="宋体" w:hAnsi="宋体" w:cs="仿宋_GB2312"/>
          <w:sz w:val="24"/>
        </w:rPr>
        <w:t xml:space="preserve">                </w:t>
      </w:r>
    </w:p>
    <w:p w14:paraId="75B08196">
      <w:pPr>
        <w:spacing w:line="360" w:lineRule="auto"/>
        <w:ind w:right="-817" w:firstLine="2640"/>
        <w:contextualSpacing/>
        <w:rPr>
          <w:rFonts w:ascii="宋体" w:hAnsi="宋体" w:cs="仿宋_GB2312"/>
          <w:sz w:val="24"/>
        </w:rPr>
      </w:pPr>
      <w:r>
        <w:rPr>
          <w:rFonts w:hint="eastAsia" w:ascii="宋体" w:hAnsi="宋体" w:cs="仿宋_GB2312"/>
          <w:sz w:val="24"/>
        </w:rPr>
        <w:t xml:space="preserve">供应商名称（电子签章）：      </w:t>
      </w:r>
    </w:p>
    <w:p w14:paraId="1DD758C6">
      <w:pPr>
        <w:spacing w:line="360" w:lineRule="auto"/>
        <w:ind w:right="-817" w:firstLine="4080"/>
        <w:contextualSpacing/>
        <w:rPr>
          <w:rFonts w:ascii="宋体" w:hAnsi="宋体" w:cs="仿宋_GB2312"/>
          <w:b/>
          <w:sz w:val="24"/>
        </w:rPr>
      </w:pPr>
      <w:r>
        <w:rPr>
          <w:rFonts w:hint="eastAsia" w:ascii="宋体" w:hAnsi="宋体" w:cs="仿宋_GB2312"/>
          <w:sz w:val="24"/>
        </w:rPr>
        <w:t>日期：   年   月   日</w:t>
      </w:r>
    </w:p>
    <w:p w14:paraId="0D5E0301">
      <w:pPr>
        <w:spacing w:line="360" w:lineRule="auto"/>
        <w:ind w:right="-817" w:firstLine="5461"/>
        <w:contextualSpacing/>
        <w:rPr>
          <w:rFonts w:ascii="宋体" w:hAnsi="宋体" w:cs="仿宋_GB2312"/>
          <w:b/>
          <w:sz w:val="24"/>
        </w:rPr>
      </w:pPr>
      <w:r>
        <w:rPr>
          <w:rFonts w:ascii="宋体" w:hAnsi="宋体"/>
          <w:b/>
          <w:bCs/>
          <w:sz w:val="32"/>
          <w:szCs w:val="32"/>
        </w:rPr>
        <w:br w:type="page" w:clear="all"/>
      </w:r>
    </w:p>
    <w:p w14:paraId="4FB9EE2B">
      <w:pPr>
        <w:spacing w:line="360" w:lineRule="auto"/>
        <w:ind w:firstLine="643"/>
        <w:contextualSpacing/>
        <w:jc w:val="left"/>
        <w:rPr>
          <w:rFonts w:ascii="宋体" w:hAnsi="宋体"/>
          <w:b/>
          <w:sz w:val="32"/>
          <w:szCs w:val="32"/>
        </w:rPr>
      </w:pPr>
      <w:r>
        <w:rPr>
          <w:rFonts w:hint="eastAsia" w:ascii="宋体" w:hAnsi="宋体"/>
          <w:b/>
          <w:bCs/>
          <w:sz w:val="32"/>
          <w:szCs w:val="32"/>
        </w:rPr>
        <w:t>三、</w:t>
      </w:r>
      <w:r>
        <w:rPr>
          <w:rFonts w:hint="eastAsia" w:ascii="宋体" w:hAnsi="宋体"/>
          <w:b/>
          <w:sz w:val="32"/>
          <w:szCs w:val="32"/>
        </w:rPr>
        <w:t>商务技术文件格式</w:t>
      </w:r>
    </w:p>
    <w:p w14:paraId="69D2B518">
      <w:pPr>
        <w:spacing w:before="156" w:after="50" w:line="360" w:lineRule="auto"/>
        <w:jc w:val="left"/>
        <w:rPr>
          <w:rFonts w:ascii="宋体" w:hAnsi="宋体"/>
          <w:b/>
          <w:sz w:val="32"/>
          <w:szCs w:val="32"/>
        </w:rPr>
      </w:pPr>
      <w:r>
        <w:rPr>
          <w:rFonts w:hint="eastAsia" w:ascii="宋体" w:hAnsi="宋体"/>
          <w:b/>
          <w:sz w:val="32"/>
          <w:szCs w:val="32"/>
        </w:rPr>
        <w:t>1.商务技术文件封面格式</w:t>
      </w:r>
    </w:p>
    <w:p w14:paraId="31D960FA">
      <w:pPr>
        <w:spacing w:before="156" w:after="50"/>
        <w:rPr>
          <w:rFonts w:ascii="宋体" w:hAnsi="宋体"/>
          <w:bCs/>
          <w:sz w:val="32"/>
          <w:szCs w:val="20"/>
        </w:rPr>
      </w:pPr>
    </w:p>
    <w:p w14:paraId="119F7028">
      <w:pPr>
        <w:spacing w:before="156" w:after="50"/>
        <w:jc w:val="center"/>
        <w:rPr>
          <w:rFonts w:ascii="宋体" w:hAnsi="宋体"/>
          <w:sz w:val="24"/>
          <w:szCs w:val="20"/>
        </w:rPr>
      </w:pPr>
      <w:r>
        <w:rPr>
          <w:rFonts w:hint="eastAsia" w:ascii="宋体" w:hAnsi="宋体"/>
          <w:sz w:val="44"/>
          <w:szCs w:val="44"/>
        </w:rPr>
        <w:t>电 子 响 应 文 件</w:t>
      </w:r>
    </w:p>
    <w:p w14:paraId="463F1501">
      <w:pPr>
        <w:spacing w:before="156" w:after="50"/>
        <w:rPr>
          <w:rFonts w:ascii="宋体" w:hAnsi="宋体"/>
          <w:sz w:val="24"/>
          <w:szCs w:val="20"/>
        </w:rPr>
      </w:pPr>
    </w:p>
    <w:p w14:paraId="571ABFB5">
      <w:pPr>
        <w:spacing w:before="156" w:after="50"/>
        <w:rPr>
          <w:rFonts w:ascii="宋体" w:hAnsi="宋体"/>
          <w:sz w:val="24"/>
          <w:szCs w:val="20"/>
        </w:rPr>
      </w:pPr>
    </w:p>
    <w:p w14:paraId="392D63D5">
      <w:pPr>
        <w:spacing w:before="156" w:after="5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商  务  技  术  文  件</w:t>
      </w:r>
    </w:p>
    <w:p w14:paraId="45093F4C">
      <w:pPr>
        <w:spacing w:before="156" w:after="50"/>
        <w:rPr>
          <w:rFonts w:ascii="宋体" w:hAnsi="宋体"/>
          <w:bCs/>
          <w:sz w:val="24"/>
          <w:szCs w:val="20"/>
        </w:rPr>
      </w:pPr>
    </w:p>
    <w:p w14:paraId="50030A5D">
      <w:pPr>
        <w:spacing w:before="156" w:after="50"/>
        <w:rPr>
          <w:rFonts w:ascii="宋体" w:hAnsi="宋体"/>
          <w:bCs/>
          <w:sz w:val="24"/>
          <w:szCs w:val="20"/>
        </w:rPr>
      </w:pPr>
    </w:p>
    <w:p w14:paraId="4CB19125">
      <w:pPr>
        <w:spacing w:before="156" w:after="50"/>
        <w:rPr>
          <w:rFonts w:ascii="宋体" w:hAnsi="宋体"/>
          <w:bCs/>
          <w:sz w:val="24"/>
          <w:szCs w:val="20"/>
        </w:rPr>
      </w:pPr>
    </w:p>
    <w:p w14:paraId="2127EBAD">
      <w:pPr>
        <w:spacing w:before="156" w:after="50"/>
        <w:rPr>
          <w:rFonts w:ascii="宋体" w:hAnsi="宋体"/>
          <w:bCs/>
          <w:sz w:val="24"/>
          <w:szCs w:val="20"/>
        </w:rPr>
      </w:pPr>
    </w:p>
    <w:p w14:paraId="1298078E">
      <w:pPr>
        <w:spacing w:before="156" w:after="50"/>
        <w:rPr>
          <w:rFonts w:ascii="宋体" w:hAnsi="宋体"/>
          <w:bCs/>
          <w:sz w:val="24"/>
          <w:szCs w:val="20"/>
        </w:rPr>
      </w:pPr>
    </w:p>
    <w:p w14:paraId="2B125820">
      <w:pPr>
        <w:spacing w:before="156" w:after="50"/>
        <w:ind w:firstLine="640"/>
        <w:rPr>
          <w:rFonts w:ascii="宋体" w:hAnsi="宋体" w:cs="仿宋_GB2312"/>
          <w:bCs/>
          <w:sz w:val="32"/>
          <w:szCs w:val="32"/>
        </w:rPr>
      </w:pPr>
      <w:r>
        <w:rPr>
          <w:rFonts w:hint="eastAsia" w:ascii="宋体" w:hAnsi="宋体" w:cs="仿宋_GB2312"/>
          <w:bCs/>
          <w:sz w:val="32"/>
          <w:szCs w:val="32"/>
        </w:rPr>
        <w:t>项目名称：</w:t>
      </w:r>
    </w:p>
    <w:p w14:paraId="78436F1C">
      <w:pPr>
        <w:spacing w:before="156" w:after="50"/>
        <w:ind w:firstLine="720"/>
        <w:rPr>
          <w:rFonts w:ascii="宋体" w:hAnsi="宋体" w:cs="仿宋_GB2312"/>
          <w:bCs/>
          <w:sz w:val="32"/>
          <w:szCs w:val="32"/>
        </w:rPr>
      </w:pPr>
    </w:p>
    <w:p w14:paraId="6DD36E52">
      <w:pPr>
        <w:spacing w:before="156" w:after="50"/>
        <w:ind w:firstLine="640"/>
        <w:rPr>
          <w:rFonts w:ascii="宋体" w:hAnsi="宋体" w:cs="仿宋_GB2312"/>
          <w:bCs/>
          <w:sz w:val="32"/>
          <w:szCs w:val="32"/>
        </w:rPr>
      </w:pPr>
      <w:r>
        <w:rPr>
          <w:rFonts w:hint="eastAsia" w:ascii="宋体" w:hAnsi="宋体" w:cs="仿宋_GB2312"/>
          <w:bCs/>
          <w:sz w:val="32"/>
          <w:szCs w:val="32"/>
        </w:rPr>
        <w:t>项目编号：</w:t>
      </w:r>
    </w:p>
    <w:p w14:paraId="6B3F9C70">
      <w:pPr>
        <w:spacing w:before="156" w:after="50"/>
        <w:ind w:firstLine="720"/>
        <w:rPr>
          <w:rFonts w:ascii="宋体" w:hAnsi="宋体" w:cs="仿宋_GB2312"/>
          <w:bCs/>
          <w:sz w:val="32"/>
          <w:szCs w:val="32"/>
        </w:rPr>
      </w:pPr>
    </w:p>
    <w:p w14:paraId="6984C1CE">
      <w:pPr>
        <w:spacing w:before="156" w:after="50"/>
        <w:ind w:firstLine="640"/>
        <w:rPr>
          <w:rFonts w:ascii="宋体" w:hAnsi="宋体" w:cs="仿宋_GB2312"/>
          <w:bCs/>
          <w:sz w:val="32"/>
          <w:szCs w:val="32"/>
        </w:rPr>
      </w:pPr>
      <w:r>
        <w:rPr>
          <w:rFonts w:hint="eastAsia" w:ascii="宋体" w:hAnsi="宋体" w:cs="仿宋_GB2312"/>
          <w:bCs/>
          <w:sz w:val="32"/>
          <w:szCs w:val="32"/>
        </w:rPr>
        <w:t>所竞分标（如有则填写，无分标时填写“无”或者留空）：</w:t>
      </w:r>
    </w:p>
    <w:p w14:paraId="26332799">
      <w:pPr>
        <w:spacing w:before="156" w:after="50"/>
        <w:ind w:firstLine="720"/>
        <w:rPr>
          <w:rFonts w:ascii="宋体" w:hAnsi="宋体" w:cs="仿宋_GB2312"/>
          <w:bCs/>
          <w:sz w:val="32"/>
          <w:szCs w:val="32"/>
        </w:rPr>
      </w:pPr>
    </w:p>
    <w:p w14:paraId="185B48E6">
      <w:pPr>
        <w:pStyle w:val="2"/>
        <w:spacing w:before="50" w:after="50"/>
        <w:ind w:firstLine="640"/>
        <w:rPr>
          <w:rFonts w:ascii="宋体" w:hAnsi="宋体" w:cs="仿宋_GB2312"/>
          <w:bCs/>
          <w:sz w:val="32"/>
          <w:szCs w:val="32"/>
        </w:rPr>
      </w:pPr>
      <w:r>
        <w:rPr>
          <w:rFonts w:hint="eastAsia" w:ascii="宋体" w:hAnsi="宋体" w:cs="仿宋_GB2312"/>
          <w:bCs/>
          <w:sz w:val="32"/>
          <w:szCs w:val="32"/>
        </w:rPr>
        <w:t>供应商名称：</w:t>
      </w:r>
    </w:p>
    <w:p w14:paraId="624BAA0C">
      <w:pPr>
        <w:pStyle w:val="2"/>
        <w:spacing w:before="50" w:after="50"/>
        <w:ind w:firstLine="640"/>
        <w:rPr>
          <w:rFonts w:ascii="宋体" w:hAnsi="宋体" w:cs="仿宋_GB2312"/>
          <w:bCs/>
          <w:sz w:val="32"/>
          <w:szCs w:val="32"/>
        </w:rPr>
      </w:pPr>
    </w:p>
    <w:p w14:paraId="1E341C14">
      <w:pPr>
        <w:pStyle w:val="2"/>
        <w:spacing w:before="50" w:after="50"/>
        <w:ind w:firstLine="720"/>
        <w:rPr>
          <w:rFonts w:ascii="宋体" w:hAnsi="宋体" w:cs="仿宋_GB2312"/>
          <w:bCs/>
          <w:sz w:val="32"/>
          <w:szCs w:val="32"/>
        </w:rPr>
      </w:pPr>
    </w:p>
    <w:p w14:paraId="0A580467">
      <w:pPr>
        <w:pStyle w:val="2"/>
        <w:spacing w:before="50" w:after="50"/>
        <w:ind w:firstLine="0"/>
        <w:rPr>
          <w:rFonts w:ascii="宋体" w:hAnsi="宋体" w:cs="仿宋_GB2312"/>
          <w:bCs/>
          <w:sz w:val="32"/>
          <w:szCs w:val="32"/>
        </w:rPr>
      </w:pPr>
    </w:p>
    <w:p w14:paraId="70DD1653">
      <w:pPr>
        <w:pStyle w:val="2"/>
        <w:spacing w:before="50" w:after="50"/>
        <w:ind w:firstLine="1280"/>
        <w:rPr>
          <w:rFonts w:ascii="宋体" w:hAnsi="宋体" w:cs="仿宋_GB2312"/>
          <w:bCs/>
          <w:sz w:val="32"/>
          <w:szCs w:val="32"/>
        </w:rPr>
      </w:pPr>
    </w:p>
    <w:p w14:paraId="2CA707CC">
      <w:pPr>
        <w:spacing w:before="156" w:after="50"/>
        <w:jc w:val="center"/>
        <w:rPr>
          <w:rFonts w:ascii="宋体" w:hAnsi="宋体" w:cs="仿宋_GB2312"/>
          <w:sz w:val="32"/>
          <w:szCs w:val="32"/>
        </w:rPr>
      </w:pPr>
      <w:r>
        <w:rPr>
          <w:rFonts w:hint="eastAsia" w:ascii="宋体" w:hAnsi="宋体" w:cs="仿宋_GB2312"/>
          <w:sz w:val="32"/>
          <w:szCs w:val="32"/>
        </w:rPr>
        <w:t>年    月    日</w:t>
      </w:r>
    </w:p>
    <w:p w14:paraId="059AB945">
      <w:pPr>
        <w:spacing w:before="156" w:after="50" w:line="360" w:lineRule="auto"/>
        <w:ind w:right="480" w:firstLine="240"/>
        <w:jc w:val="left"/>
        <w:rPr>
          <w:rFonts w:ascii="宋体" w:hAnsi="宋体"/>
          <w:b/>
          <w:bCs/>
          <w:sz w:val="24"/>
        </w:rPr>
      </w:pPr>
      <w:r>
        <w:rPr>
          <w:rFonts w:ascii="宋体" w:hAnsi="宋体"/>
          <w:sz w:val="24"/>
        </w:rPr>
        <w:br w:type="page" w:clear="all"/>
      </w:r>
      <w:r>
        <w:rPr>
          <w:rFonts w:hint="eastAsia" w:ascii="宋体" w:hAnsi="宋体"/>
          <w:b/>
          <w:bCs/>
          <w:sz w:val="32"/>
          <w:szCs w:val="32"/>
        </w:rPr>
        <w:t>2.商务技术文件目录</w:t>
      </w:r>
    </w:p>
    <w:p w14:paraId="556308C2">
      <w:pPr>
        <w:spacing w:before="156" w:after="50" w:line="360" w:lineRule="auto"/>
        <w:ind w:firstLine="640"/>
        <w:rPr>
          <w:rFonts w:ascii="宋体" w:hAnsi="宋体"/>
          <w:sz w:val="32"/>
          <w:szCs w:val="32"/>
        </w:rPr>
      </w:pPr>
      <w:r>
        <w:rPr>
          <w:rFonts w:hint="eastAsia" w:ascii="宋体" w:hAnsi="宋体"/>
          <w:sz w:val="32"/>
          <w:szCs w:val="32"/>
        </w:rPr>
        <w:t>根据磋商文件规定及供应商提供的材料自行编写目录（部分格式后附）。</w:t>
      </w:r>
    </w:p>
    <w:p w14:paraId="5FB9423C">
      <w:pPr>
        <w:spacing w:line="400" w:lineRule="exact"/>
        <w:rPr>
          <w:rFonts w:ascii="仿宋_GB2312" w:hAnsi="仿宋_GB2312" w:eastAsia="仿宋_GB2312" w:cs="仿宋_GB2312"/>
          <w:sz w:val="32"/>
          <w:szCs w:val="32"/>
        </w:rPr>
      </w:pPr>
    </w:p>
    <w:p w14:paraId="39011328">
      <w:pPr>
        <w:spacing w:line="520" w:lineRule="exact"/>
        <w:jc w:val="center"/>
        <w:rPr>
          <w:rFonts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br w:type="page" w:clear="all"/>
      </w:r>
      <w:r>
        <w:rPr>
          <w:rFonts w:hint="eastAsia" w:ascii="方正小标宋简体" w:hAnsi="方正小标宋简体" w:eastAsia="方正小标宋简体" w:cs="方正小标宋简体"/>
          <w:sz w:val="44"/>
          <w:szCs w:val="44"/>
        </w:rPr>
        <w:t>无串通竞标行为的承诺函</w:t>
      </w:r>
    </w:p>
    <w:p w14:paraId="62490AA9">
      <w:pPr>
        <w:spacing w:line="360" w:lineRule="auto"/>
        <w:ind w:firstLine="640"/>
        <w:contextualSpacing/>
        <w:rPr>
          <w:rFonts w:ascii="仿宋_GB2312" w:hAnsi="仿宋_GB2312" w:eastAsia="仿宋_GB2312" w:cs="仿宋_GB2312"/>
          <w:sz w:val="32"/>
          <w:szCs w:val="32"/>
        </w:rPr>
      </w:pPr>
    </w:p>
    <w:p w14:paraId="63FD2052">
      <w:pPr>
        <w:spacing w:line="360" w:lineRule="auto"/>
        <w:ind w:firstLine="482"/>
        <w:contextualSpacing/>
        <w:rPr>
          <w:rFonts w:ascii="宋体" w:hAnsi="宋体" w:cs="仿宋_GB2312"/>
          <w:b/>
          <w:bCs/>
          <w:sz w:val="24"/>
        </w:rPr>
      </w:pPr>
      <w:r>
        <w:rPr>
          <w:rFonts w:hint="eastAsia" w:ascii="宋体" w:hAnsi="宋体" w:cs="仿宋_GB2312"/>
          <w:b/>
          <w:bCs/>
          <w:sz w:val="24"/>
        </w:rPr>
        <w:t>一、我方承诺无下列相互串通竞标的情形：</w:t>
      </w:r>
    </w:p>
    <w:p w14:paraId="207D0FA5">
      <w:pPr>
        <w:spacing w:line="360" w:lineRule="auto"/>
        <w:ind w:firstLine="480"/>
        <w:contextualSpacing/>
        <w:rPr>
          <w:rFonts w:ascii="宋体" w:hAnsi="宋体" w:cs="仿宋_GB2312"/>
          <w:sz w:val="24"/>
        </w:rPr>
      </w:pPr>
      <w:r>
        <w:rPr>
          <w:rFonts w:hint="eastAsia" w:ascii="宋体" w:hAnsi="宋体" w:cs="仿宋_GB2312"/>
          <w:sz w:val="24"/>
        </w:rPr>
        <w:t>1.不同供应商的响应文件由同一单位或者个人编制，或不同供应商报名的IP地址一致的；或不同供应商竞标设备信息（包括但不限于：IP地址、MAC地址、硬盘号、主板号）一致的；</w:t>
      </w:r>
    </w:p>
    <w:p w14:paraId="47F90DFC">
      <w:pPr>
        <w:spacing w:line="360" w:lineRule="auto"/>
        <w:ind w:firstLine="480"/>
        <w:contextualSpacing/>
        <w:rPr>
          <w:rFonts w:ascii="宋体" w:hAnsi="宋体" w:cs="仿宋_GB2312"/>
          <w:sz w:val="24"/>
        </w:rPr>
      </w:pPr>
      <w:r>
        <w:rPr>
          <w:rFonts w:hint="eastAsia" w:ascii="宋体" w:hAnsi="宋体" w:cs="仿宋_GB2312"/>
          <w:sz w:val="24"/>
        </w:rPr>
        <w:t>2.不同供应商委托同一单位或者个人办理竞标事宜；</w:t>
      </w:r>
    </w:p>
    <w:p w14:paraId="08E6B428">
      <w:pPr>
        <w:spacing w:line="360" w:lineRule="auto"/>
        <w:ind w:firstLine="480"/>
        <w:contextualSpacing/>
        <w:rPr>
          <w:rFonts w:ascii="宋体" w:hAnsi="宋体" w:cs="仿宋_GB2312"/>
          <w:sz w:val="24"/>
        </w:rPr>
      </w:pPr>
      <w:r>
        <w:rPr>
          <w:rFonts w:hint="eastAsia" w:ascii="宋体" w:hAnsi="宋体" w:cs="仿宋_GB2312"/>
          <w:sz w:val="24"/>
        </w:rPr>
        <w:t>3.不同供应商的响应文件载明的项目管理员为同一个人；</w:t>
      </w:r>
    </w:p>
    <w:p w14:paraId="6E4D1156">
      <w:pPr>
        <w:spacing w:line="360" w:lineRule="auto"/>
        <w:ind w:firstLine="480"/>
        <w:contextualSpacing/>
        <w:rPr>
          <w:rFonts w:ascii="宋体" w:hAnsi="宋体" w:cs="仿宋_GB2312"/>
          <w:sz w:val="24"/>
        </w:rPr>
      </w:pPr>
      <w:r>
        <w:rPr>
          <w:rFonts w:hint="eastAsia" w:ascii="宋体" w:hAnsi="宋体" w:cs="仿宋_GB2312"/>
          <w:sz w:val="24"/>
        </w:rPr>
        <w:t>4.不</w:t>
      </w:r>
      <w:r>
        <w:rPr>
          <w:rFonts w:hint="eastAsia" w:ascii="宋体" w:hAnsi="宋体" w:cs="仿宋_GB2312"/>
          <w:spacing w:val="-6"/>
          <w:sz w:val="24"/>
        </w:rPr>
        <w:t>同供应商的响应文件异常一致或者竞标报价呈规律性差异；</w:t>
      </w:r>
    </w:p>
    <w:p w14:paraId="3689A733">
      <w:pPr>
        <w:spacing w:line="360" w:lineRule="auto"/>
        <w:ind w:firstLine="480"/>
        <w:contextualSpacing/>
        <w:rPr>
          <w:rFonts w:ascii="宋体" w:hAnsi="宋体" w:cs="仿宋_GB2312"/>
          <w:sz w:val="24"/>
        </w:rPr>
      </w:pPr>
      <w:r>
        <w:rPr>
          <w:rFonts w:hint="eastAsia" w:ascii="宋体" w:hAnsi="宋体" w:cs="仿宋_GB2312"/>
          <w:sz w:val="24"/>
        </w:rPr>
        <w:t>5.不同供应商的响应文件相互混装；</w:t>
      </w:r>
    </w:p>
    <w:p w14:paraId="49FDD376">
      <w:pPr>
        <w:spacing w:line="360" w:lineRule="auto"/>
        <w:ind w:firstLine="480"/>
        <w:contextualSpacing/>
        <w:rPr>
          <w:rFonts w:ascii="宋体" w:hAnsi="宋体" w:cs="仿宋_GB2312"/>
          <w:sz w:val="24"/>
        </w:rPr>
      </w:pPr>
      <w:r>
        <w:rPr>
          <w:rFonts w:hint="eastAsia" w:ascii="宋体" w:hAnsi="宋体" w:cs="仿宋_GB2312"/>
          <w:sz w:val="24"/>
        </w:rPr>
        <w:t>6.不同供应商的磋商保证金从同一单位或者个人账户转出。</w:t>
      </w:r>
    </w:p>
    <w:p w14:paraId="3621262F">
      <w:pPr>
        <w:spacing w:line="360" w:lineRule="auto"/>
        <w:ind w:firstLine="482"/>
        <w:contextualSpacing/>
        <w:rPr>
          <w:rFonts w:ascii="宋体" w:hAnsi="宋体" w:cs="仿宋_GB2312"/>
          <w:b/>
          <w:bCs/>
          <w:sz w:val="24"/>
        </w:rPr>
      </w:pPr>
      <w:r>
        <w:rPr>
          <w:rFonts w:hint="eastAsia" w:ascii="宋体" w:hAnsi="宋体" w:cs="仿宋_GB2312"/>
          <w:b/>
          <w:bCs/>
          <w:sz w:val="24"/>
        </w:rPr>
        <w:t>二、我方承诺无下列恶意串通的情形：</w:t>
      </w:r>
    </w:p>
    <w:p w14:paraId="43A29586">
      <w:pPr>
        <w:spacing w:line="360" w:lineRule="auto"/>
        <w:ind w:firstLine="480"/>
        <w:contextualSpacing/>
        <w:rPr>
          <w:rFonts w:ascii="宋体" w:hAnsi="宋体" w:cs="仿宋_GB2312"/>
          <w:sz w:val="24"/>
        </w:rPr>
      </w:pPr>
      <w:r>
        <w:rPr>
          <w:rFonts w:hint="eastAsia" w:ascii="宋体" w:hAnsi="宋体" w:cs="仿宋_GB2312"/>
          <w:sz w:val="24"/>
        </w:rPr>
        <w:t>1.供应商直接或者间接从采购人或者采购代理机构处获得其他供应商的相关信息并修改其响应文件；</w:t>
      </w:r>
    </w:p>
    <w:p w14:paraId="17655DD4">
      <w:pPr>
        <w:spacing w:line="360" w:lineRule="auto"/>
        <w:ind w:firstLine="480"/>
        <w:contextualSpacing/>
        <w:rPr>
          <w:rFonts w:ascii="宋体" w:hAnsi="宋体" w:cs="仿宋_GB2312"/>
          <w:sz w:val="24"/>
        </w:rPr>
      </w:pPr>
      <w:r>
        <w:rPr>
          <w:rFonts w:hint="eastAsia" w:ascii="宋体" w:hAnsi="宋体" w:cs="仿宋_GB2312"/>
          <w:sz w:val="24"/>
        </w:rPr>
        <w:t>2.供应商按照采购人或者采购代理机构的授意撤换、修改响应文件；</w:t>
      </w:r>
    </w:p>
    <w:p w14:paraId="1A9C2598">
      <w:pPr>
        <w:spacing w:line="360" w:lineRule="auto"/>
        <w:ind w:firstLine="480"/>
        <w:contextualSpacing/>
        <w:rPr>
          <w:rFonts w:ascii="宋体" w:hAnsi="宋体" w:cs="仿宋_GB2312"/>
          <w:sz w:val="24"/>
        </w:rPr>
      </w:pPr>
      <w:r>
        <w:rPr>
          <w:rFonts w:hint="eastAsia" w:ascii="宋体" w:hAnsi="宋体" w:cs="仿宋_GB2312"/>
          <w:sz w:val="24"/>
        </w:rPr>
        <w:t>3.供</w:t>
      </w:r>
      <w:r>
        <w:rPr>
          <w:rFonts w:hint="eastAsia" w:ascii="宋体" w:hAnsi="宋体" w:cs="仿宋_GB2312"/>
          <w:spacing w:val="-6"/>
          <w:sz w:val="24"/>
        </w:rPr>
        <w:t>应商之间协商报价、技术方案等响应文件的实质性内容；</w:t>
      </w:r>
    </w:p>
    <w:p w14:paraId="4DE4ED99">
      <w:pPr>
        <w:spacing w:line="360" w:lineRule="auto"/>
        <w:ind w:firstLine="480"/>
        <w:contextualSpacing/>
        <w:rPr>
          <w:rFonts w:ascii="宋体" w:hAnsi="宋体" w:cs="仿宋_GB2312"/>
          <w:sz w:val="24"/>
        </w:rPr>
      </w:pPr>
      <w:r>
        <w:rPr>
          <w:rFonts w:hint="eastAsia" w:ascii="宋体" w:hAnsi="宋体" w:cs="仿宋_GB2312"/>
          <w:sz w:val="24"/>
        </w:rPr>
        <w:t>4.属于同一集团、协会、商会等组织成员的供应商按照该组织要求协同参加政府采购活动；</w:t>
      </w:r>
    </w:p>
    <w:p w14:paraId="38E9DE32">
      <w:pPr>
        <w:spacing w:line="360" w:lineRule="auto"/>
        <w:ind w:firstLine="480"/>
        <w:contextualSpacing/>
        <w:rPr>
          <w:rFonts w:ascii="宋体" w:hAnsi="宋体" w:cs="仿宋_GB2312"/>
          <w:sz w:val="24"/>
        </w:rPr>
      </w:pPr>
      <w:r>
        <w:rPr>
          <w:rFonts w:hint="eastAsia" w:ascii="宋体" w:hAnsi="宋体" w:cs="仿宋_GB2312"/>
          <w:sz w:val="24"/>
        </w:rPr>
        <w:t>5.供应商之间事先约定一致抬高或者压低竞标报价，或者在竞争性磋商项目中事先约定轮流以高价位或者低价位成交，或者事先约定由某一特定供应商成交，然后再参加竞标；</w:t>
      </w:r>
    </w:p>
    <w:p w14:paraId="6755A0BD">
      <w:pPr>
        <w:spacing w:line="360" w:lineRule="auto"/>
        <w:ind w:firstLine="480"/>
        <w:contextualSpacing/>
        <w:rPr>
          <w:rFonts w:ascii="宋体" w:hAnsi="宋体" w:cs="仿宋_GB2312"/>
          <w:sz w:val="24"/>
        </w:rPr>
      </w:pPr>
      <w:r>
        <w:rPr>
          <w:rFonts w:hint="eastAsia" w:ascii="宋体" w:hAnsi="宋体" w:cs="仿宋_GB2312"/>
          <w:sz w:val="24"/>
        </w:rPr>
        <w:t>6.供应商之间商定部分供应商放弃参加政府采购活动或者放弃成交；</w:t>
      </w:r>
    </w:p>
    <w:p w14:paraId="6A7CD0B0">
      <w:pPr>
        <w:spacing w:line="360" w:lineRule="auto"/>
        <w:ind w:firstLine="480"/>
        <w:contextualSpacing/>
        <w:rPr>
          <w:rFonts w:ascii="宋体" w:hAnsi="宋体" w:cs="仿宋_GB2312"/>
          <w:sz w:val="24"/>
        </w:rPr>
      </w:pPr>
      <w:r>
        <w:rPr>
          <w:rFonts w:hint="eastAsia" w:ascii="宋体" w:hAnsi="宋体" w:cs="仿宋_GB2312"/>
          <w:sz w:val="24"/>
        </w:rPr>
        <w:t>7.供应商与采购人或者采购代理机构之间、供应商相互之间，为</w:t>
      </w:r>
      <w:r>
        <w:rPr>
          <w:rFonts w:hint="eastAsia" w:ascii="宋体" w:hAnsi="宋体" w:cs="仿宋_GB2312"/>
          <w:spacing w:val="-6"/>
          <w:sz w:val="24"/>
        </w:rPr>
        <w:t>谋求特定供应商成交或者排斥其他供应商的其他串通行为。</w:t>
      </w:r>
    </w:p>
    <w:p w14:paraId="2FA29D7E">
      <w:pPr>
        <w:spacing w:line="360" w:lineRule="auto"/>
        <w:ind w:firstLine="480"/>
        <w:contextualSpacing/>
        <w:rPr>
          <w:rFonts w:ascii="宋体" w:hAnsi="宋体" w:cs="仿宋_GB2312"/>
          <w:sz w:val="24"/>
        </w:rPr>
      </w:pPr>
    </w:p>
    <w:p w14:paraId="7A544E47">
      <w:pPr>
        <w:spacing w:line="360" w:lineRule="auto"/>
        <w:ind w:firstLine="482"/>
        <w:contextualSpacing/>
        <w:rPr>
          <w:rFonts w:ascii="宋体" w:hAnsi="宋体" w:cs="仿宋_GB2312"/>
          <w:b/>
          <w:bCs/>
          <w:sz w:val="24"/>
        </w:rPr>
      </w:pPr>
      <w:r>
        <w:rPr>
          <w:rFonts w:hint="eastAsia" w:ascii="宋体" w:hAnsi="宋体" w:cs="仿宋_GB2312"/>
          <w:b/>
          <w:bCs/>
          <w:sz w:val="24"/>
        </w:rPr>
        <w:t>以上情形一经核查属实，我方愿意承担一切后果，并不再寻求任何旨在减轻或者免除法律责任的辩解。</w:t>
      </w:r>
    </w:p>
    <w:p w14:paraId="5ACA97B6">
      <w:pPr>
        <w:spacing w:line="360" w:lineRule="auto"/>
        <w:contextualSpacing/>
        <w:rPr>
          <w:rFonts w:ascii="宋体" w:hAnsi="宋体" w:cs="仿宋_GB2312"/>
          <w:sz w:val="24"/>
        </w:rPr>
      </w:pPr>
    </w:p>
    <w:p w14:paraId="7D36C171">
      <w:pPr>
        <w:spacing w:line="360" w:lineRule="auto"/>
        <w:ind w:firstLine="3600"/>
        <w:contextualSpacing/>
        <w:rPr>
          <w:rFonts w:ascii="宋体" w:hAnsi="宋体" w:cs="仿宋_GB2312"/>
          <w:sz w:val="24"/>
        </w:rPr>
      </w:pPr>
      <w:r>
        <w:rPr>
          <w:rFonts w:hint="eastAsia" w:ascii="宋体" w:hAnsi="宋体" w:cs="仿宋_GB2312"/>
          <w:sz w:val="24"/>
        </w:rPr>
        <w:t>供应商名称（电子签章）：</w:t>
      </w:r>
    </w:p>
    <w:p w14:paraId="5FE66B5E">
      <w:pPr>
        <w:spacing w:line="360" w:lineRule="auto"/>
        <w:ind w:right="480" w:firstLine="240"/>
        <w:jc w:val="left"/>
        <w:rPr>
          <w:rFonts w:ascii="宋体" w:hAnsi="宋体"/>
          <w:szCs w:val="21"/>
        </w:rPr>
      </w:pPr>
      <w:r>
        <w:rPr>
          <w:rFonts w:hint="eastAsia" w:ascii="宋体" w:hAnsi="宋体" w:cs="仿宋_GB2312"/>
          <w:sz w:val="24"/>
        </w:rPr>
        <w:t xml:space="preserve">                             </w:t>
      </w:r>
      <w:r>
        <w:rPr>
          <w:rFonts w:hint="eastAsia" w:ascii="宋体" w:hAnsi="宋体"/>
          <w:sz w:val="24"/>
        </w:rPr>
        <w:t xml:space="preserve"> 日期：    年   月   日</w:t>
      </w:r>
    </w:p>
    <w:p w14:paraId="3091A1ED">
      <w:pPr>
        <w:spacing w:line="520" w:lineRule="exact"/>
        <w:jc w:val="center"/>
        <w:rPr>
          <w:rFonts w:ascii="仿宋_GB2312" w:hAnsi="仿宋_GB2312" w:eastAsia="仿宋_GB2312" w:cs="仿宋_GB2312"/>
          <w:sz w:val="32"/>
          <w:szCs w:val="32"/>
        </w:rPr>
      </w:pPr>
      <w:r>
        <w:rPr>
          <w:rFonts w:hint="eastAsia" w:ascii="方正小标宋简体" w:hAnsi="方正小标宋简体" w:eastAsia="方正小标宋简体" w:cs="方正小标宋简体"/>
          <w:bCs/>
          <w:sz w:val="44"/>
          <w:szCs w:val="44"/>
        </w:rPr>
        <w:br w:type="page" w:clear="all"/>
      </w:r>
      <w:r>
        <w:rPr>
          <w:rFonts w:hint="eastAsia" w:ascii="方正小标宋简体" w:hAnsi="方正小标宋简体" w:eastAsia="方正小标宋简体" w:cs="方正小标宋简体"/>
          <w:bCs/>
          <w:sz w:val="44"/>
          <w:szCs w:val="44"/>
        </w:rPr>
        <w:t>法定代表人证明书</w:t>
      </w:r>
    </w:p>
    <w:p w14:paraId="74FB3CB9">
      <w:pPr>
        <w:spacing w:line="360" w:lineRule="auto"/>
        <w:ind w:left="540"/>
        <w:contextualSpacing/>
        <w:rPr>
          <w:rFonts w:ascii="仿宋_GB2312" w:hAnsi="仿宋_GB2312" w:eastAsia="仿宋_GB2312" w:cs="仿宋_GB2312"/>
          <w:sz w:val="32"/>
          <w:szCs w:val="32"/>
        </w:rPr>
      </w:pPr>
    </w:p>
    <w:p w14:paraId="6F370616">
      <w:pPr>
        <w:spacing w:line="360" w:lineRule="auto"/>
        <w:ind w:left="540"/>
        <w:contextualSpacing/>
        <w:rPr>
          <w:rFonts w:ascii="宋体" w:hAnsi="宋体" w:cs="仿宋_GB2312"/>
          <w:sz w:val="24"/>
        </w:rPr>
      </w:pPr>
      <w:r>
        <w:rPr>
          <w:rFonts w:hint="eastAsia" w:ascii="宋体" w:hAnsi="宋体" w:cs="仿宋_GB2312"/>
          <w:sz w:val="24"/>
        </w:rPr>
        <w:t>供应商名称：</w:t>
      </w:r>
      <w:r>
        <w:rPr>
          <w:rFonts w:hint="eastAsia" w:ascii="宋体" w:hAnsi="宋体" w:cs="仿宋_GB2312"/>
          <w:sz w:val="24"/>
          <w:u w:val="single"/>
        </w:rPr>
        <w:t xml:space="preserve">                                                        </w:t>
      </w:r>
    </w:p>
    <w:p w14:paraId="792B33E9">
      <w:pPr>
        <w:spacing w:line="360" w:lineRule="auto"/>
        <w:ind w:left="540"/>
        <w:contextualSpacing/>
        <w:rPr>
          <w:rFonts w:ascii="宋体" w:hAnsi="宋体" w:cs="仿宋_GB2312"/>
          <w:sz w:val="24"/>
        </w:rPr>
      </w:pPr>
      <w:r>
        <w:rPr>
          <w:rFonts w:hint="eastAsia" w:ascii="宋体" w:hAnsi="宋体" w:cs="仿宋_GB2312"/>
          <w:sz w:val="24"/>
        </w:rPr>
        <w:t>地    址：</w:t>
      </w:r>
      <w:r>
        <w:rPr>
          <w:rFonts w:hint="eastAsia" w:ascii="宋体" w:hAnsi="宋体" w:cs="仿宋_GB2312"/>
          <w:sz w:val="24"/>
          <w:u w:val="single"/>
        </w:rPr>
        <w:t xml:space="preserve">                                                        </w:t>
      </w:r>
    </w:p>
    <w:p w14:paraId="079DFB34">
      <w:pPr>
        <w:spacing w:line="360" w:lineRule="auto"/>
        <w:ind w:left="540"/>
        <w:contextualSpacing/>
        <w:rPr>
          <w:rFonts w:ascii="宋体" w:hAnsi="宋体" w:cs="仿宋_GB2312"/>
          <w:sz w:val="24"/>
        </w:rPr>
      </w:pPr>
      <w:r>
        <w:rPr>
          <w:rFonts w:hint="eastAsia" w:ascii="宋体" w:hAnsi="宋体" w:cs="仿宋_GB2312"/>
          <w:sz w:val="24"/>
        </w:rPr>
        <w:t>姓    名：</w:t>
      </w:r>
      <w:r>
        <w:rPr>
          <w:rFonts w:hint="eastAsia" w:ascii="宋体" w:hAnsi="宋体" w:cs="仿宋_GB2312"/>
          <w:sz w:val="24"/>
          <w:u w:val="single"/>
        </w:rPr>
        <w:t xml:space="preserve">                </w:t>
      </w:r>
      <w:r>
        <w:rPr>
          <w:rFonts w:hint="eastAsia" w:ascii="宋体" w:hAnsi="宋体" w:cs="仿宋_GB2312"/>
          <w:sz w:val="24"/>
        </w:rPr>
        <w:t>性     别：</w:t>
      </w:r>
      <w:r>
        <w:rPr>
          <w:rFonts w:hint="eastAsia" w:ascii="宋体" w:hAnsi="宋体" w:cs="仿宋_GB2312"/>
          <w:sz w:val="24"/>
          <w:u w:val="single"/>
        </w:rPr>
        <w:t xml:space="preserve">                </w:t>
      </w:r>
    </w:p>
    <w:p w14:paraId="7577409B">
      <w:pPr>
        <w:spacing w:line="360" w:lineRule="auto"/>
        <w:ind w:left="540"/>
        <w:contextualSpacing/>
        <w:rPr>
          <w:rFonts w:ascii="宋体" w:hAnsi="宋体" w:cs="仿宋_GB2312"/>
          <w:sz w:val="24"/>
          <w:u w:val="single"/>
        </w:rPr>
      </w:pPr>
      <w:r>
        <w:rPr>
          <w:rFonts w:hint="eastAsia" w:ascii="宋体" w:hAnsi="宋体" w:cs="仿宋_GB2312"/>
          <w:sz w:val="24"/>
        </w:rPr>
        <w:t>年    龄：</w:t>
      </w:r>
      <w:r>
        <w:rPr>
          <w:rFonts w:hint="eastAsia" w:ascii="宋体" w:hAnsi="宋体" w:cs="仿宋_GB2312"/>
          <w:sz w:val="24"/>
          <w:u w:val="single"/>
        </w:rPr>
        <w:t xml:space="preserve">                </w:t>
      </w:r>
      <w:r>
        <w:rPr>
          <w:rFonts w:hint="eastAsia" w:ascii="宋体" w:hAnsi="宋体" w:cs="仿宋_GB2312"/>
          <w:sz w:val="24"/>
        </w:rPr>
        <w:t>职     务：</w:t>
      </w:r>
      <w:r>
        <w:rPr>
          <w:rFonts w:hint="eastAsia" w:ascii="宋体" w:hAnsi="宋体" w:cs="仿宋_GB2312"/>
          <w:sz w:val="24"/>
          <w:u w:val="single"/>
        </w:rPr>
        <w:t xml:space="preserve">                </w:t>
      </w:r>
    </w:p>
    <w:p w14:paraId="53E2A9B0">
      <w:pPr>
        <w:spacing w:line="360" w:lineRule="auto"/>
        <w:ind w:left="540"/>
        <w:contextualSpacing/>
        <w:rPr>
          <w:rFonts w:ascii="宋体" w:hAnsi="宋体" w:cs="仿宋_GB2312"/>
          <w:sz w:val="24"/>
        </w:rPr>
      </w:pPr>
      <w:r>
        <w:rPr>
          <w:rFonts w:hint="eastAsia" w:ascii="宋体" w:hAnsi="宋体" w:cs="仿宋_GB2312"/>
          <w:sz w:val="24"/>
        </w:rPr>
        <w:t>身份证号码：</w:t>
      </w:r>
      <w:r>
        <w:rPr>
          <w:rFonts w:hint="eastAsia" w:ascii="宋体" w:hAnsi="宋体" w:cs="仿宋_GB2312"/>
          <w:sz w:val="24"/>
          <w:u w:val="single"/>
        </w:rPr>
        <w:t xml:space="preserve">                                        </w:t>
      </w:r>
    </w:p>
    <w:p w14:paraId="7E8DCEFD">
      <w:pPr>
        <w:spacing w:line="360" w:lineRule="auto"/>
        <w:ind w:firstLine="480"/>
        <w:contextualSpacing/>
        <w:rPr>
          <w:rFonts w:ascii="宋体" w:hAnsi="宋体" w:cs="仿宋_GB2312"/>
          <w:sz w:val="24"/>
        </w:rPr>
      </w:pPr>
      <w:r>
        <w:rPr>
          <w:rFonts w:hint="eastAsia" w:ascii="宋体" w:hAnsi="宋体" w:cs="仿宋_GB2312"/>
          <w:sz w:val="24"/>
        </w:rPr>
        <w:t>系</w:t>
      </w:r>
      <w:r>
        <w:rPr>
          <w:rFonts w:hint="eastAsia" w:ascii="宋体" w:hAnsi="宋体" w:cs="仿宋_GB2312"/>
          <w:sz w:val="24"/>
          <w:u w:val="single"/>
        </w:rPr>
        <w:t>（供应商名称）</w:t>
      </w:r>
      <w:r>
        <w:rPr>
          <w:rFonts w:hint="eastAsia" w:ascii="宋体" w:hAnsi="宋体" w:cs="仿宋_GB2312"/>
          <w:sz w:val="24"/>
        </w:rPr>
        <w:t>的法定代表人。</w:t>
      </w:r>
    </w:p>
    <w:p w14:paraId="37E29C71">
      <w:pPr>
        <w:spacing w:line="360" w:lineRule="auto"/>
        <w:ind w:left="540"/>
        <w:contextualSpacing/>
        <w:rPr>
          <w:rFonts w:ascii="宋体" w:hAnsi="宋体" w:cs="仿宋_GB2312"/>
          <w:sz w:val="24"/>
        </w:rPr>
      </w:pPr>
      <w:r>
        <w:rPr>
          <w:rFonts w:hint="eastAsia" w:ascii="宋体" w:hAnsi="宋体" w:cs="仿宋_GB2312"/>
          <w:sz w:val="24"/>
        </w:rPr>
        <w:t>特此证明。</w:t>
      </w:r>
    </w:p>
    <w:p w14:paraId="160FE8D2">
      <w:pPr>
        <w:spacing w:line="360" w:lineRule="auto"/>
        <w:ind w:left="540"/>
        <w:contextualSpacing/>
        <w:rPr>
          <w:rFonts w:ascii="宋体" w:hAnsi="宋体" w:cs="仿宋_GB2312"/>
          <w:sz w:val="24"/>
        </w:rPr>
      </w:pPr>
    </w:p>
    <w:p w14:paraId="3781C7E0">
      <w:pPr>
        <w:spacing w:line="360" w:lineRule="auto"/>
        <w:ind w:left="540"/>
        <w:contextualSpacing/>
        <w:rPr>
          <w:rFonts w:ascii="宋体" w:hAnsi="宋体" w:cs="仿宋_GB2312"/>
          <w:sz w:val="24"/>
        </w:rPr>
      </w:pPr>
    </w:p>
    <w:p w14:paraId="2CAB5D2C">
      <w:pPr>
        <w:spacing w:line="360" w:lineRule="auto"/>
        <w:ind w:left="540"/>
        <w:contextualSpacing/>
        <w:rPr>
          <w:rFonts w:ascii="宋体" w:hAnsi="宋体" w:cs="仿宋_GB2312"/>
          <w:sz w:val="24"/>
        </w:rPr>
      </w:pPr>
    </w:p>
    <w:p w14:paraId="2E4771EA">
      <w:pPr>
        <w:spacing w:line="360" w:lineRule="auto"/>
        <w:ind w:left="540"/>
        <w:contextualSpacing/>
        <w:rPr>
          <w:rFonts w:ascii="宋体" w:hAnsi="宋体" w:cs="仿宋_GB2312"/>
          <w:sz w:val="24"/>
        </w:rPr>
      </w:pPr>
      <w:r>
        <w:rPr>
          <w:rFonts w:hint="eastAsia" w:ascii="宋体" w:hAnsi="宋体" w:cs="仿宋_GB2312"/>
          <w:sz w:val="24"/>
        </w:rPr>
        <w:t>附件：法定代表人有效身份证正反面复印件</w:t>
      </w:r>
    </w:p>
    <w:p w14:paraId="538E996D">
      <w:pPr>
        <w:spacing w:line="360" w:lineRule="auto"/>
        <w:ind w:left="540"/>
        <w:contextualSpacing/>
        <w:rPr>
          <w:rFonts w:ascii="宋体" w:hAnsi="宋体" w:cs="仿宋_GB2312"/>
          <w:sz w:val="24"/>
        </w:rPr>
      </w:pPr>
    </w:p>
    <w:p w14:paraId="4DD50152">
      <w:pPr>
        <w:spacing w:line="360" w:lineRule="auto"/>
        <w:ind w:firstLine="3600"/>
        <w:contextualSpacing/>
        <w:rPr>
          <w:rFonts w:ascii="宋体" w:hAnsi="宋体" w:cs="仿宋_GB2312"/>
          <w:sz w:val="24"/>
        </w:rPr>
      </w:pPr>
      <w:r>
        <w:rPr>
          <w:rFonts w:hint="eastAsia" w:ascii="宋体" w:hAnsi="宋体" w:cs="仿宋_GB2312"/>
          <w:sz w:val="24"/>
        </w:rPr>
        <w:t>供应商名称（电子签章）：</w:t>
      </w:r>
    </w:p>
    <w:p w14:paraId="4D17A1E3">
      <w:pPr>
        <w:spacing w:line="360" w:lineRule="auto"/>
        <w:ind w:right="480" w:firstLine="240"/>
        <w:jc w:val="left"/>
        <w:rPr>
          <w:rFonts w:ascii="宋体" w:hAnsi="宋体"/>
          <w:szCs w:val="21"/>
        </w:rPr>
      </w:pPr>
      <w:r>
        <w:rPr>
          <w:rFonts w:hint="eastAsia" w:ascii="宋体" w:hAnsi="宋体" w:cs="仿宋_GB2312"/>
          <w:sz w:val="24"/>
        </w:rPr>
        <w:t xml:space="preserve">                             </w:t>
      </w:r>
      <w:r>
        <w:rPr>
          <w:rFonts w:hint="eastAsia" w:ascii="宋体" w:hAnsi="宋体"/>
          <w:sz w:val="24"/>
        </w:rPr>
        <w:t xml:space="preserve"> 日期：    年   月   日</w:t>
      </w:r>
    </w:p>
    <w:p w14:paraId="2359321A">
      <w:pPr>
        <w:spacing w:line="360" w:lineRule="auto"/>
        <w:contextualSpacing/>
        <w:jc w:val="center"/>
        <w:rPr>
          <w:rFonts w:ascii="宋体" w:hAnsi="宋体" w:cs="仿宋_GB2312"/>
          <w:b/>
          <w:sz w:val="24"/>
        </w:rPr>
      </w:pPr>
    </w:p>
    <w:p w14:paraId="758672EC">
      <w:pPr>
        <w:spacing w:line="360" w:lineRule="auto"/>
        <w:contextualSpacing/>
        <w:jc w:val="left"/>
        <w:rPr>
          <w:rFonts w:ascii="宋体" w:hAnsi="宋体" w:cs="仿宋_GB2312"/>
          <w:sz w:val="24"/>
        </w:rPr>
      </w:pPr>
    </w:p>
    <w:p w14:paraId="77A0D927">
      <w:pPr>
        <w:spacing w:line="360" w:lineRule="auto"/>
        <w:contextualSpacing/>
        <w:jc w:val="left"/>
        <w:rPr>
          <w:rFonts w:ascii="宋体" w:hAnsi="宋体" w:cs="仿宋_GB2312"/>
          <w:sz w:val="24"/>
        </w:rPr>
      </w:pPr>
      <w:r>
        <w:rPr>
          <w:rFonts w:hint="eastAsia" w:ascii="宋体" w:hAnsi="宋体" w:cs="仿宋_GB2312"/>
          <w:sz w:val="24"/>
        </w:rPr>
        <w:t>注：自然人竞标的无需提供，联合体竞标的只需牵头人出具。</w:t>
      </w:r>
    </w:p>
    <w:p w14:paraId="093AC274">
      <w:pPr>
        <w:spacing w:line="300" w:lineRule="auto"/>
        <w:jc w:val="left"/>
        <w:rPr>
          <w:rFonts w:ascii="宋体" w:hAnsi="宋体"/>
          <w:b/>
          <w:szCs w:val="21"/>
        </w:rPr>
      </w:pPr>
    </w:p>
    <w:p w14:paraId="025AC12B">
      <w:pPr>
        <w:spacing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clear="all"/>
      </w:r>
      <w:bookmarkStart w:id="62" w:name="_Hlk65853643"/>
      <w:r>
        <w:rPr>
          <w:rFonts w:hint="eastAsia" w:ascii="方正小标宋简体" w:hAnsi="方正小标宋简体" w:eastAsia="方正小标宋简体" w:cs="方正小标宋简体"/>
          <w:sz w:val="44"/>
          <w:szCs w:val="44"/>
        </w:rPr>
        <w:t>授权委托书</w:t>
      </w:r>
    </w:p>
    <w:p w14:paraId="7609AAC5">
      <w:pPr>
        <w:spacing w:line="52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（非联合体竞标格式）</w:t>
      </w:r>
    </w:p>
    <w:p w14:paraId="6C6BF8DD">
      <w:pPr>
        <w:spacing w:line="5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32"/>
          <w:szCs w:val="32"/>
        </w:rPr>
        <w:t>（如有委托时）</w:t>
      </w:r>
    </w:p>
    <w:p w14:paraId="2EDC9A5A">
      <w:pPr>
        <w:spacing w:line="520" w:lineRule="exact"/>
        <w:rPr>
          <w:rFonts w:ascii="仿宋_GB2312" w:hAnsi="仿宋_GB2312" w:eastAsia="仿宋_GB2312" w:cs="仿宋_GB2312"/>
          <w:sz w:val="32"/>
          <w:szCs w:val="32"/>
        </w:rPr>
      </w:pPr>
    </w:p>
    <w:p w14:paraId="78F234E5">
      <w:pPr>
        <w:spacing w:line="360" w:lineRule="auto"/>
        <w:rPr>
          <w:rFonts w:ascii="宋体" w:hAnsi="宋体" w:cs="仿宋_GB2312"/>
          <w:sz w:val="24"/>
        </w:rPr>
      </w:pPr>
      <w:r>
        <w:rPr>
          <w:rFonts w:hint="eastAsia" w:ascii="宋体" w:hAnsi="宋体" w:cs="仿宋_GB2312"/>
          <w:sz w:val="24"/>
        </w:rPr>
        <w:t>致：</w:t>
      </w:r>
      <w:r>
        <w:rPr>
          <w:rFonts w:hint="eastAsia" w:ascii="宋体" w:hAnsi="宋体" w:cs="仿宋_GB2312"/>
          <w:sz w:val="24"/>
          <w:u w:val="single"/>
        </w:rPr>
        <w:t>（采购人名称）</w:t>
      </w:r>
      <w:r>
        <w:rPr>
          <w:rFonts w:hint="eastAsia" w:ascii="宋体" w:hAnsi="宋体" w:cs="仿宋_GB2312"/>
          <w:sz w:val="24"/>
        </w:rPr>
        <w:t>：</w:t>
      </w:r>
    </w:p>
    <w:p w14:paraId="114E3681">
      <w:pPr>
        <w:spacing w:line="360" w:lineRule="auto"/>
        <w:ind w:firstLine="480"/>
        <w:rPr>
          <w:rFonts w:ascii="宋体" w:hAnsi="宋体" w:cs="仿宋_GB2312"/>
          <w:sz w:val="24"/>
        </w:rPr>
      </w:pPr>
      <w:r>
        <w:rPr>
          <w:rFonts w:hint="eastAsia" w:ascii="宋体" w:hAnsi="宋体" w:cs="仿宋_GB2312"/>
          <w:sz w:val="24"/>
        </w:rPr>
        <w:t>我</w:t>
      </w:r>
      <w:r>
        <w:rPr>
          <w:rFonts w:hint="eastAsia" w:ascii="宋体" w:hAnsi="宋体" w:cs="仿宋_GB2312"/>
          <w:sz w:val="24"/>
          <w:u w:val="single"/>
        </w:rPr>
        <w:t xml:space="preserve">  （姓名）  </w:t>
      </w:r>
      <w:r>
        <w:rPr>
          <w:rFonts w:hint="eastAsia" w:ascii="宋体" w:hAnsi="宋体" w:cs="仿宋_GB2312"/>
          <w:sz w:val="24"/>
        </w:rPr>
        <w:t>系</w:t>
      </w:r>
      <w:r>
        <w:rPr>
          <w:rFonts w:hint="eastAsia" w:ascii="宋体" w:hAnsi="宋体" w:cs="仿宋_GB2312"/>
          <w:sz w:val="24"/>
          <w:u w:val="single"/>
        </w:rPr>
        <w:t xml:space="preserve">（供应商名称）  </w:t>
      </w:r>
      <w:r>
        <w:rPr>
          <w:rFonts w:hint="eastAsia" w:ascii="宋体" w:hAnsi="宋体" w:cs="仿宋_GB2312"/>
          <w:sz w:val="24"/>
        </w:rPr>
        <w:t>的（</w:t>
      </w:r>
      <w:r>
        <w:rPr>
          <w:rFonts w:hint="eastAsia" w:ascii="宋体" w:hAnsi="宋体" w:cs="仿宋_GB2312"/>
          <w:sz w:val="24"/>
          <w:u w:val="single"/>
        </w:rPr>
        <w:t>□法定代表人/□负责人/□自然人本人</w:t>
      </w:r>
      <w:r>
        <w:rPr>
          <w:rFonts w:hint="eastAsia" w:ascii="宋体" w:hAnsi="宋体" w:cs="仿宋_GB2312"/>
          <w:sz w:val="24"/>
        </w:rPr>
        <w:t>），现授权</w:t>
      </w:r>
      <w:r>
        <w:rPr>
          <w:rFonts w:hint="eastAsia" w:ascii="宋体" w:hAnsi="宋体" w:cs="仿宋_GB2312"/>
          <w:sz w:val="24"/>
          <w:u w:val="single"/>
        </w:rPr>
        <w:t xml:space="preserve"> （姓名） </w:t>
      </w:r>
      <w:r>
        <w:rPr>
          <w:rFonts w:hint="eastAsia" w:ascii="宋体" w:hAnsi="宋体" w:cs="仿宋_GB2312"/>
          <w:sz w:val="24"/>
        </w:rPr>
        <w:t>以我方的名义参加项目的竞标活动，并代表我方全权办理针对上述项目的所有采购程序和环节的具体事务和签署相关文件。</w:t>
      </w:r>
    </w:p>
    <w:p w14:paraId="2CAC358B">
      <w:pPr>
        <w:spacing w:line="360" w:lineRule="auto"/>
        <w:rPr>
          <w:rFonts w:ascii="宋体" w:hAnsi="宋体" w:cs="仿宋_GB2312"/>
          <w:sz w:val="24"/>
        </w:rPr>
      </w:pPr>
      <w:r>
        <w:rPr>
          <w:rFonts w:hint="eastAsia" w:ascii="宋体" w:hAnsi="宋体" w:cs="仿宋_GB2312"/>
          <w:sz w:val="24"/>
        </w:rPr>
        <w:t xml:space="preserve">    我方对委托代理人的签字</w:t>
      </w:r>
      <w:r>
        <w:rPr>
          <w:rFonts w:hint="eastAsia" w:ascii="宋体" w:hAnsi="宋体"/>
          <w:sz w:val="24"/>
        </w:rPr>
        <w:t>或者电子签名</w:t>
      </w:r>
      <w:r>
        <w:rPr>
          <w:rFonts w:hint="eastAsia" w:ascii="宋体" w:hAnsi="宋体" w:cs="仿宋_GB2312"/>
          <w:sz w:val="24"/>
        </w:rPr>
        <w:t>事项负全部责任。</w:t>
      </w:r>
    </w:p>
    <w:p w14:paraId="3B91CE48">
      <w:pPr>
        <w:spacing w:line="360" w:lineRule="auto"/>
        <w:ind w:firstLine="480"/>
        <w:rPr>
          <w:rFonts w:ascii="宋体" w:hAnsi="宋体" w:cs="仿宋_GB2312"/>
          <w:sz w:val="24"/>
        </w:rPr>
      </w:pPr>
      <w:r>
        <w:rPr>
          <w:rFonts w:hint="eastAsia" w:ascii="宋体" w:hAnsi="宋体" w:cs="仿宋_GB2312"/>
          <w:sz w:val="24"/>
        </w:rPr>
        <w:t>本授权书自签署之日起生效，在撤销授权的书面通知以前，本授权书一直有效。委托代理人在授权书有效期内签署的所有文件不因授权的撤销而失效。</w:t>
      </w:r>
    </w:p>
    <w:p w14:paraId="12B83749">
      <w:pPr>
        <w:spacing w:line="360" w:lineRule="auto"/>
        <w:ind w:firstLine="480"/>
        <w:rPr>
          <w:rFonts w:ascii="宋体" w:hAnsi="宋体" w:cs="仿宋_GB2312"/>
          <w:sz w:val="24"/>
        </w:rPr>
      </w:pPr>
      <w:r>
        <w:rPr>
          <w:rFonts w:hint="eastAsia" w:ascii="宋体" w:hAnsi="宋体" w:cs="仿宋_GB2312"/>
          <w:sz w:val="24"/>
        </w:rPr>
        <w:t>委托代理人无转委托权，特此委托。</w:t>
      </w:r>
    </w:p>
    <w:p w14:paraId="4961DFA3">
      <w:pPr>
        <w:spacing w:line="360" w:lineRule="auto"/>
        <w:ind w:firstLine="480"/>
        <w:rPr>
          <w:rFonts w:ascii="宋体" w:hAnsi="宋体" w:cs="仿宋_GB2312"/>
          <w:sz w:val="24"/>
        </w:rPr>
      </w:pPr>
      <w:r>
        <w:rPr>
          <w:rFonts w:hint="eastAsia" w:ascii="宋体" w:hAnsi="宋体" w:cs="仿宋_GB2312"/>
          <w:sz w:val="24"/>
        </w:rPr>
        <w:t>附：法定代表人身份证明书及委托代理人有效身份证正反面复印件</w:t>
      </w:r>
    </w:p>
    <w:p w14:paraId="02706509">
      <w:pPr>
        <w:spacing w:line="360" w:lineRule="auto"/>
        <w:rPr>
          <w:rFonts w:ascii="宋体" w:hAnsi="宋体" w:cs="仿宋_GB2312"/>
          <w:sz w:val="24"/>
        </w:rPr>
      </w:pPr>
    </w:p>
    <w:p w14:paraId="4B3E7EE2">
      <w:pPr>
        <w:spacing w:line="360" w:lineRule="auto"/>
        <w:contextualSpacing/>
        <w:rPr>
          <w:rFonts w:ascii="宋体" w:hAnsi="宋体" w:cs="仿宋_GB2312"/>
          <w:sz w:val="24"/>
        </w:rPr>
      </w:pPr>
      <w:r>
        <w:rPr>
          <w:rFonts w:hint="eastAsia" w:ascii="宋体" w:hAnsi="宋体" w:cs="仿宋_GB2312"/>
          <w:sz w:val="24"/>
        </w:rPr>
        <w:t>委托代理人（</w:t>
      </w:r>
      <w:r>
        <w:rPr>
          <w:rFonts w:hint="eastAsia" w:ascii="宋体" w:hAnsi="宋体"/>
          <w:sz w:val="24"/>
        </w:rPr>
        <w:t>签字或者电子签名</w:t>
      </w:r>
      <w:r>
        <w:rPr>
          <w:rFonts w:hint="eastAsia" w:ascii="宋体" w:hAnsi="宋体" w:cs="仿宋_GB2312"/>
          <w:sz w:val="24"/>
        </w:rPr>
        <w:t xml:space="preserve">）：     法定代表人（签字或者盖章或者电子签名）：                    </w:t>
      </w:r>
    </w:p>
    <w:p w14:paraId="4A03C053">
      <w:pPr>
        <w:spacing w:line="360" w:lineRule="auto"/>
        <w:contextualSpacing/>
        <w:rPr>
          <w:rFonts w:ascii="宋体" w:hAnsi="宋体" w:cs="仿宋_GB2312"/>
          <w:sz w:val="24"/>
        </w:rPr>
      </w:pPr>
      <w:r>
        <w:rPr>
          <w:rFonts w:hint="eastAsia" w:ascii="宋体" w:hAnsi="宋体" w:cs="仿宋_GB2312"/>
          <w:sz w:val="24"/>
        </w:rPr>
        <w:t xml:space="preserve">委托代理人身份证号码：                              </w:t>
      </w:r>
    </w:p>
    <w:p w14:paraId="08E31632">
      <w:pPr>
        <w:spacing w:line="360" w:lineRule="auto"/>
        <w:contextualSpacing/>
        <w:rPr>
          <w:rFonts w:ascii="宋体" w:hAnsi="宋体" w:cs="仿宋_GB2312"/>
          <w:sz w:val="24"/>
        </w:rPr>
      </w:pPr>
    </w:p>
    <w:p w14:paraId="6C0D893C">
      <w:pPr>
        <w:spacing w:line="360" w:lineRule="auto"/>
        <w:rPr>
          <w:rFonts w:ascii="宋体" w:hAnsi="宋体" w:cs="仿宋_GB2312"/>
          <w:sz w:val="24"/>
        </w:rPr>
      </w:pPr>
      <w:r>
        <w:rPr>
          <w:rFonts w:hint="eastAsia" w:ascii="宋体" w:hAnsi="宋体" w:cs="仿宋_GB2312"/>
          <w:sz w:val="24"/>
        </w:rPr>
        <w:t xml:space="preserve">                                      供应商名称（电子签章）：                      </w:t>
      </w:r>
    </w:p>
    <w:p w14:paraId="39FA0DAF">
      <w:pPr>
        <w:spacing w:line="360" w:lineRule="auto"/>
        <w:ind w:right="480" w:firstLine="240"/>
        <w:jc w:val="left"/>
        <w:rPr>
          <w:rFonts w:ascii="宋体" w:hAnsi="宋体"/>
          <w:szCs w:val="21"/>
        </w:rPr>
      </w:pPr>
      <w:r>
        <w:rPr>
          <w:rFonts w:hint="eastAsia" w:ascii="宋体" w:hAnsi="宋体" w:cs="仿宋_GB2312"/>
          <w:sz w:val="24"/>
        </w:rPr>
        <w:t xml:space="preserve">                                    </w:t>
      </w:r>
      <w:r>
        <w:rPr>
          <w:rFonts w:hint="eastAsia" w:ascii="宋体" w:hAnsi="宋体"/>
          <w:sz w:val="24"/>
        </w:rPr>
        <w:t xml:space="preserve"> 日期：    年   月   日</w:t>
      </w:r>
    </w:p>
    <w:p w14:paraId="57C16F8A">
      <w:pPr>
        <w:spacing w:line="360" w:lineRule="auto"/>
        <w:rPr>
          <w:rFonts w:ascii="宋体" w:hAnsi="宋体" w:cs="仿宋_GB2312"/>
          <w:sz w:val="24"/>
        </w:rPr>
      </w:pPr>
    </w:p>
    <w:p w14:paraId="7C4508F4">
      <w:pPr>
        <w:spacing w:line="360" w:lineRule="auto"/>
        <w:rPr>
          <w:rFonts w:ascii="宋体" w:hAnsi="宋体" w:cs="仿宋_GB2312"/>
          <w:sz w:val="24"/>
        </w:rPr>
      </w:pPr>
      <w:r>
        <w:rPr>
          <w:rFonts w:hint="eastAsia" w:ascii="宋体" w:hAnsi="宋体" w:cs="仿宋_GB2312"/>
          <w:sz w:val="24"/>
        </w:rPr>
        <w:t>注：1. 法定代表人必须在授权委托书上签字或者盖章</w:t>
      </w:r>
      <w:r>
        <w:rPr>
          <w:rFonts w:hint="eastAsia" w:ascii="宋体" w:hAnsi="宋体"/>
          <w:sz w:val="24"/>
        </w:rPr>
        <w:t>或者电子签名</w:t>
      </w:r>
      <w:r>
        <w:rPr>
          <w:rFonts w:hint="eastAsia" w:ascii="宋体" w:hAnsi="宋体" w:cs="仿宋_GB2312"/>
          <w:sz w:val="24"/>
        </w:rPr>
        <w:t>，委托代理人必须在授权委托书上签字或者电子签名，</w:t>
      </w:r>
      <w:r>
        <w:rPr>
          <w:rFonts w:hint="eastAsia" w:ascii="宋体" w:hAnsi="宋体" w:cs="仿宋_GB2312"/>
          <w:b/>
          <w:sz w:val="24"/>
        </w:rPr>
        <w:t>否则其响应文件按无效响应处理。</w:t>
      </w:r>
    </w:p>
    <w:p w14:paraId="704AE846">
      <w:pPr>
        <w:spacing w:line="360" w:lineRule="auto"/>
        <w:ind w:firstLine="480"/>
        <w:jc w:val="left"/>
        <w:rPr>
          <w:rFonts w:ascii="宋体" w:hAnsi="宋体" w:cs="仿宋_GB2312"/>
          <w:sz w:val="24"/>
        </w:rPr>
      </w:pPr>
      <w:r>
        <w:rPr>
          <w:rFonts w:ascii="宋体" w:hAnsi="宋体" w:cs="仿宋_GB2312"/>
          <w:sz w:val="24"/>
        </w:rPr>
        <w:t>2.</w:t>
      </w:r>
      <w:bookmarkStart w:id="63" w:name="_Hlk65853542"/>
      <w:bookmarkStart w:id="64" w:name="_Hlk65853109"/>
      <w:r>
        <w:rPr>
          <w:rFonts w:hint="eastAsia" w:ascii="宋体" w:hAnsi="宋体" w:cs="仿宋_GB2312"/>
          <w:sz w:val="24"/>
        </w:rPr>
        <w:t>法人、其他组织竞标时“我方”是指“我单位”，自然人竞标时“我方”是指“本人”。</w:t>
      </w:r>
      <w:bookmarkEnd w:id="63"/>
      <w:bookmarkEnd w:id="64"/>
    </w:p>
    <w:p w14:paraId="79F8FA70">
      <w:pPr>
        <w:spacing w:line="360" w:lineRule="auto"/>
        <w:ind w:firstLine="420"/>
        <w:jc w:val="left"/>
        <w:rPr>
          <w:rFonts w:ascii="仿宋_GB2312" w:hAnsi="仿宋_GB2312" w:eastAsia="仿宋_GB2312" w:cs="仿宋_GB2312"/>
          <w:szCs w:val="21"/>
        </w:rPr>
      </w:pPr>
    </w:p>
    <w:p w14:paraId="055FC965">
      <w:pPr>
        <w:spacing w:line="360" w:lineRule="auto"/>
        <w:ind w:firstLine="420"/>
        <w:jc w:val="center"/>
        <w:rPr>
          <w:rFonts w:ascii="方正小标宋简体" w:hAnsi="方正小标宋简体" w:eastAsia="方正小标宋简体" w:cs="方正小标宋简体"/>
          <w:bCs/>
          <w:sz w:val="44"/>
          <w:szCs w:val="44"/>
        </w:rPr>
      </w:pPr>
      <w:r>
        <w:rPr>
          <w:rFonts w:ascii="仿宋_GB2312" w:hAnsi="仿宋_GB2312" w:eastAsia="仿宋_GB2312" w:cs="仿宋_GB2312"/>
          <w:szCs w:val="21"/>
        </w:rPr>
        <w:br w:type="page" w:clear="all"/>
      </w:r>
      <w:bookmarkEnd w:id="62"/>
      <w:r>
        <w:rPr>
          <w:rFonts w:hint="eastAsia" w:ascii="方正小标宋简体" w:hAnsi="方正小标宋简体" w:eastAsia="方正小标宋简体" w:cs="方正小标宋简体"/>
          <w:bCs/>
          <w:sz w:val="44"/>
          <w:szCs w:val="44"/>
        </w:rPr>
        <w:t>商务要求偏离表格式</w:t>
      </w:r>
    </w:p>
    <w:p w14:paraId="49B89A29">
      <w:pPr>
        <w:spacing w:line="500" w:lineRule="exact"/>
        <w:jc w:val="center"/>
        <w:rPr>
          <w:rFonts w:ascii="宋体" w:hAnsi="宋体"/>
          <w:b/>
          <w:i/>
          <w:sz w:val="32"/>
          <w:szCs w:val="32"/>
        </w:rPr>
      </w:pPr>
    </w:p>
    <w:p w14:paraId="5F36B3E9">
      <w:pPr>
        <w:spacing w:line="360" w:lineRule="auto"/>
        <w:contextualSpacing/>
        <w:rPr>
          <w:rFonts w:ascii="宋体" w:hAnsi="宋体" w:cs="仿宋_GB2312"/>
          <w:sz w:val="24"/>
          <w:u w:val="single"/>
        </w:rPr>
      </w:pPr>
      <w:r>
        <w:rPr>
          <w:rFonts w:hint="eastAsia" w:ascii="宋体" w:hAnsi="宋体" w:cs="仿宋_GB2312"/>
          <w:sz w:val="24"/>
        </w:rPr>
        <w:t>采购项目编号：</w:t>
      </w:r>
    </w:p>
    <w:p w14:paraId="6D6041E5">
      <w:pPr>
        <w:spacing w:line="360" w:lineRule="auto"/>
        <w:contextualSpacing/>
        <w:rPr>
          <w:rFonts w:ascii="宋体" w:hAnsi="宋体" w:cs="仿宋_GB2312"/>
          <w:sz w:val="24"/>
        </w:rPr>
      </w:pPr>
      <w:r>
        <w:rPr>
          <w:rFonts w:hint="eastAsia" w:ascii="宋体" w:hAnsi="宋体" w:cs="仿宋_GB2312"/>
          <w:sz w:val="24"/>
        </w:rPr>
        <w:t>采购项目名称：</w:t>
      </w:r>
    </w:p>
    <w:p w14:paraId="011A98A0">
      <w:pPr>
        <w:spacing w:line="360" w:lineRule="auto"/>
        <w:contextualSpacing/>
        <w:jc w:val="left"/>
        <w:rPr>
          <w:rFonts w:ascii="宋体" w:hAnsi="宋体" w:cs="仿宋_GB2312"/>
          <w:sz w:val="24"/>
          <w:u w:val="single"/>
        </w:rPr>
      </w:pPr>
    </w:p>
    <w:tbl>
      <w:tblPr>
        <w:tblStyle w:val="44"/>
        <w:tblpPr w:leftFromText="180" w:rightFromText="180" w:vertAnchor="text" w:horzAnchor="margin" w:tblpY="-9"/>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350"/>
        <w:gridCol w:w="2112"/>
      </w:tblGrid>
      <w:tr w14:paraId="27ECF9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ign w:val="center"/>
          </w:tcPr>
          <w:p w14:paraId="4D35580A">
            <w:pPr>
              <w:spacing w:line="360" w:lineRule="auto"/>
              <w:contextualSpacing/>
              <w:jc w:val="center"/>
              <w:rPr>
                <w:rFonts w:ascii="宋体" w:hAnsi="宋体" w:cs="仿宋_GB2312"/>
                <w:sz w:val="24"/>
              </w:rPr>
            </w:pPr>
            <w:r>
              <w:rPr>
                <w:rFonts w:hint="eastAsia" w:ascii="宋体" w:hAnsi="宋体" w:cs="仿宋_GB2312"/>
                <w:sz w:val="24"/>
              </w:rPr>
              <w:t>项目</w:t>
            </w:r>
          </w:p>
        </w:tc>
        <w:tc>
          <w:tcPr>
            <w:tcW w:w="2668" w:type="dxa"/>
            <w:tcBorders>
              <w:top w:val="single" w:color="auto" w:sz="4" w:space="0"/>
              <w:left w:val="single" w:color="auto" w:sz="4" w:space="0"/>
              <w:bottom w:val="single" w:color="auto" w:sz="4" w:space="0"/>
              <w:right w:val="single" w:color="auto" w:sz="4" w:space="0"/>
            </w:tcBorders>
            <w:noWrap/>
            <w:vAlign w:val="center"/>
          </w:tcPr>
          <w:p w14:paraId="2D6AE337">
            <w:pPr>
              <w:spacing w:line="360" w:lineRule="auto"/>
              <w:contextualSpacing/>
              <w:jc w:val="center"/>
              <w:rPr>
                <w:rFonts w:ascii="宋体" w:hAnsi="宋体" w:cs="仿宋_GB2312"/>
                <w:sz w:val="24"/>
              </w:rPr>
            </w:pPr>
            <w:r>
              <w:rPr>
                <w:rFonts w:hint="eastAsia" w:ascii="宋体" w:hAnsi="宋体" w:cs="仿宋_GB2312"/>
                <w:sz w:val="24"/>
              </w:rPr>
              <w:t>磋商文件商务要求</w:t>
            </w:r>
          </w:p>
        </w:tc>
        <w:tc>
          <w:tcPr>
            <w:tcW w:w="2350" w:type="dxa"/>
            <w:tcBorders>
              <w:top w:val="single" w:color="auto" w:sz="4" w:space="0"/>
              <w:left w:val="single" w:color="auto" w:sz="4" w:space="0"/>
              <w:bottom w:val="single" w:color="auto" w:sz="4" w:space="0"/>
              <w:right w:val="single" w:color="auto" w:sz="4" w:space="0"/>
            </w:tcBorders>
            <w:noWrap/>
            <w:vAlign w:val="center"/>
          </w:tcPr>
          <w:p w14:paraId="04A6B0FC">
            <w:pPr>
              <w:spacing w:line="360" w:lineRule="auto"/>
              <w:contextualSpacing/>
              <w:jc w:val="center"/>
              <w:rPr>
                <w:rFonts w:ascii="宋体" w:hAnsi="宋体" w:cs="仿宋_GB2312"/>
                <w:sz w:val="24"/>
              </w:rPr>
            </w:pPr>
            <w:r>
              <w:rPr>
                <w:rFonts w:hint="eastAsia" w:ascii="宋体" w:hAnsi="宋体" w:cs="仿宋_GB2312"/>
                <w:sz w:val="24"/>
              </w:rPr>
              <w:t>供应商的响应</w:t>
            </w:r>
          </w:p>
        </w:tc>
        <w:tc>
          <w:tcPr>
            <w:tcW w:w="2112" w:type="dxa"/>
            <w:tcBorders>
              <w:top w:val="single" w:color="auto" w:sz="4" w:space="0"/>
              <w:left w:val="single" w:color="auto" w:sz="4" w:space="0"/>
              <w:bottom w:val="single" w:color="auto" w:sz="4" w:space="0"/>
              <w:right w:val="single" w:color="auto" w:sz="4" w:space="0"/>
            </w:tcBorders>
            <w:noWrap/>
            <w:vAlign w:val="center"/>
          </w:tcPr>
          <w:p w14:paraId="0803BEFB">
            <w:pPr>
              <w:spacing w:line="360" w:lineRule="auto"/>
              <w:contextualSpacing/>
              <w:jc w:val="center"/>
              <w:rPr>
                <w:rFonts w:ascii="宋体" w:hAnsi="宋体" w:cs="仿宋_GB2312"/>
                <w:sz w:val="24"/>
              </w:rPr>
            </w:pPr>
            <w:r>
              <w:rPr>
                <w:rFonts w:hint="eastAsia" w:ascii="宋体" w:hAnsi="宋体" w:cs="仿宋_GB2312"/>
                <w:sz w:val="24"/>
              </w:rPr>
              <w:t>偏离说明</w:t>
            </w:r>
          </w:p>
        </w:tc>
      </w:tr>
      <w:tr w14:paraId="4E48C4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178" w:type="dxa"/>
            <w:tcBorders>
              <w:top w:val="single" w:color="auto" w:sz="4" w:space="0"/>
              <w:left w:val="single" w:color="auto" w:sz="4" w:space="0"/>
              <w:bottom w:val="single" w:color="auto" w:sz="4" w:space="0"/>
              <w:right w:val="single" w:color="auto" w:sz="4" w:space="0"/>
            </w:tcBorders>
            <w:noWrap/>
            <w:vAlign w:val="center"/>
          </w:tcPr>
          <w:p w14:paraId="7A0D61FB">
            <w:pPr>
              <w:jc w:val="center"/>
              <w:rPr>
                <w:rFonts w:ascii="宋体" w:hAnsi="宋体"/>
                <w:sz w:val="24"/>
              </w:rPr>
            </w:pPr>
            <w:r>
              <w:rPr>
                <w:rFonts w:hint="eastAsia" w:ascii="宋体" w:hAnsi="宋体"/>
                <w:sz w:val="24"/>
              </w:rPr>
              <w:t>合同签订时间</w:t>
            </w:r>
          </w:p>
        </w:tc>
        <w:tc>
          <w:tcPr>
            <w:tcW w:w="2668" w:type="dxa"/>
            <w:tcBorders>
              <w:top w:val="single" w:color="auto" w:sz="4" w:space="0"/>
              <w:left w:val="single" w:color="auto" w:sz="4" w:space="0"/>
              <w:bottom w:val="single" w:color="auto" w:sz="4" w:space="0"/>
              <w:right w:val="single" w:color="auto" w:sz="4" w:space="0"/>
            </w:tcBorders>
            <w:noWrap/>
            <w:vAlign w:val="center"/>
          </w:tcPr>
          <w:p w14:paraId="2E0AEC91">
            <w:pPr>
              <w:spacing w:line="360" w:lineRule="auto"/>
              <w:contextualSpacing/>
              <w:jc w:val="center"/>
              <w:rPr>
                <w:rFonts w:ascii="宋体" w:hAnsi="宋体" w:cs="仿宋_GB2312"/>
                <w:sz w:val="24"/>
              </w:rPr>
            </w:pPr>
          </w:p>
        </w:tc>
        <w:tc>
          <w:tcPr>
            <w:tcW w:w="2350" w:type="dxa"/>
            <w:tcBorders>
              <w:top w:val="single" w:color="auto" w:sz="4" w:space="0"/>
              <w:left w:val="single" w:color="auto" w:sz="4" w:space="0"/>
              <w:bottom w:val="single" w:color="auto" w:sz="4" w:space="0"/>
              <w:right w:val="single" w:color="auto" w:sz="4" w:space="0"/>
            </w:tcBorders>
            <w:noWrap/>
            <w:vAlign w:val="center"/>
          </w:tcPr>
          <w:p w14:paraId="26962F00">
            <w:pPr>
              <w:spacing w:line="360" w:lineRule="auto"/>
              <w:ind w:left="43"/>
              <w:contextualSpacing/>
              <w:jc w:val="center"/>
              <w:rPr>
                <w:rFonts w:ascii="宋体" w:hAnsi="宋体" w:cs="仿宋_GB2312"/>
                <w:sz w:val="24"/>
              </w:rPr>
            </w:pPr>
          </w:p>
        </w:tc>
        <w:tc>
          <w:tcPr>
            <w:tcW w:w="2112" w:type="dxa"/>
            <w:tcBorders>
              <w:top w:val="single" w:color="auto" w:sz="4" w:space="0"/>
              <w:left w:val="single" w:color="auto" w:sz="4" w:space="0"/>
              <w:bottom w:val="single" w:color="auto" w:sz="4" w:space="0"/>
              <w:right w:val="single" w:color="auto" w:sz="4" w:space="0"/>
            </w:tcBorders>
            <w:noWrap/>
            <w:vAlign w:val="center"/>
          </w:tcPr>
          <w:p w14:paraId="50493757">
            <w:pPr>
              <w:spacing w:line="360" w:lineRule="auto"/>
              <w:ind w:left="43"/>
              <w:contextualSpacing/>
              <w:jc w:val="center"/>
              <w:rPr>
                <w:rFonts w:ascii="宋体" w:hAnsi="宋体" w:cs="仿宋_GB2312"/>
                <w:sz w:val="24"/>
              </w:rPr>
            </w:pPr>
          </w:p>
        </w:tc>
      </w:tr>
      <w:tr w14:paraId="641518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178" w:type="dxa"/>
            <w:tcBorders>
              <w:top w:val="single" w:color="auto" w:sz="4" w:space="0"/>
              <w:left w:val="single" w:color="auto" w:sz="4" w:space="0"/>
              <w:bottom w:val="single" w:color="auto" w:sz="4" w:space="0"/>
              <w:right w:val="single" w:color="auto" w:sz="4" w:space="0"/>
            </w:tcBorders>
            <w:noWrap/>
            <w:vAlign w:val="center"/>
          </w:tcPr>
          <w:p w14:paraId="2398E821">
            <w:pPr>
              <w:jc w:val="center"/>
              <w:rPr>
                <w:rFonts w:ascii="宋体" w:hAnsi="宋体"/>
                <w:sz w:val="24"/>
              </w:rPr>
            </w:pPr>
            <w:r>
              <w:rPr>
                <w:rFonts w:hint="eastAsia" w:ascii="宋体" w:hAnsi="宋体"/>
                <w:sz w:val="24"/>
              </w:rPr>
              <w:t>服务期限</w:t>
            </w:r>
          </w:p>
        </w:tc>
        <w:tc>
          <w:tcPr>
            <w:tcW w:w="2668" w:type="dxa"/>
            <w:tcBorders>
              <w:top w:val="single" w:color="auto" w:sz="4" w:space="0"/>
              <w:left w:val="single" w:color="auto" w:sz="4" w:space="0"/>
              <w:bottom w:val="single" w:color="auto" w:sz="4" w:space="0"/>
              <w:right w:val="single" w:color="auto" w:sz="4" w:space="0"/>
            </w:tcBorders>
            <w:noWrap/>
            <w:vAlign w:val="center"/>
          </w:tcPr>
          <w:p w14:paraId="26D8A340">
            <w:pPr>
              <w:spacing w:line="360" w:lineRule="auto"/>
              <w:contextualSpacing/>
              <w:jc w:val="center"/>
              <w:rPr>
                <w:rFonts w:ascii="宋体" w:hAnsi="宋体" w:cs="仿宋_GB2312"/>
                <w:sz w:val="24"/>
              </w:rPr>
            </w:pPr>
          </w:p>
        </w:tc>
        <w:tc>
          <w:tcPr>
            <w:tcW w:w="2350" w:type="dxa"/>
            <w:tcBorders>
              <w:top w:val="single" w:color="auto" w:sz="4" w:space="0"/>
              <w:left w:val="single" w:color="auto" w:sz="4" w:space="0"/>
              <w:bottom w:val="single" w:color="auto" w:sz="4" w:space="0"/>
              <w:right w:val="single" w:color="auto" w:sz="4" w:space="0"/>
            </w:tcBorders>
            <w:noWrap/>
            <w:vAlign w:val="center"/>
          </w:tcPr>
          <w:p w14:paraId="3DA966BC">
            <w:pPr>
              <w:spacing w:line="360" w:lineRule="auto"/>
              <w:ind w:left="43"/>
              <w:contextualSpacing/>
              <w:jc w:val="center"/>
              <w:rPr>
                <w:rFonts w:ascii="宋体" w:hAnsi="宋体" w:cs="仿宋_GB2312"/>
                <w:sz w:val="24"/>
              </w:rPr>
            </w:pPr>
          </w:p>
        </w:tc>
        <w:tc>
          <w:tcPr>
            <w:tcW w:w="2112" w:type="dxa"/>
            <w:tcBorders>
              <w:top w:val="single" w:color="auto" w:sz="4" w:space="0"/>
              <w:left w:val="single" w:color="auto" w:sz="4" w:space="0"/>
              <w:bottom w:val="single" w:color="auto" w:sz="4" w:space="0"/>
              <w:right w:val="single" w:color="auto" w:sz="4" w:space="0"/>
            </w:tcBorders>
            <w:noWrap/>
            <w:vAlign w:val="center"/>
          </w:tcPr>
          <w:p w14:paraId="25D45A4D">
            <w:pPr>
              <w:spacing w:line="360" w:lineRule="auto"/>
              <w:ind w:left="43"/>
              <w:contextualSpacing/>
              <w:jc w:val="center"/>
              <w:rPr>
                <w:rFonts w:ascii="宋体" w:hAnsi="宋体" w:cs="仿宋_GB2312"/>
                <w:sz w:val="24"/>
              </w:rPr>
            </w:pPr>
          </w:p>
        </w:tc>
      </w:tr>
      <w:tr w14:paraId="5D78D4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178" w:type="dxa"/>
            <w:tcBorders>
              <w:top w:val="single" w:color="auto" w:sz="4" w:space="0"/>
              <w:left w:val="single" w:color="auto" w:sz="4" w:space="0"/>
              <w:bottom w:val="single" w:color="auto" w:sz="4" w:space="0"/>
              <w:right w:val="single" w:color="auto" w:sz="4" w:space="0"/>
            </w:tcBorders>
            <w:noWrap/>
            <w:vAlign w:val="center"/>
          </w:tcPr>
          <w:p w14:paraId="1F07A071">
            <w:pPr>
              <w:jc w:val="center"/>
              <w:rPr>
                <w:rFonts w:ascii="宋体" w:hAnsi="宋体"/>
                <w:sz w:val="24"/>
              </w:rPr>
            </w:pPr>
            <w:r>
              <w:rPr>
                <w:rFonts w:hint="eastAsia" w:ascii="宋体" w:hAnsi="宋体"/>
                <w:sz w:val="24"/>
              </w:rPr>
              <w:t>服务地点</w:t>
            </w:r>
          </w:p>
        </w:tc>
        <w:tc>
          <w:tcPr>
            <w:tcW w:w="2668" w:type="dxa"/>
            <w:tcBorders>
              <w:top w:val="single" w:color="auto" w:sz="4" w:space="0"/>
              <w:left w:val="single" w:color="auto" w:sz="4" w:space="0"/>
              <w:bottom w:val="single" w:color="auto" w:sz="4" w:space="0"/>
              <w:right w:val="single" w:color="auto" w:sz="4" w:space="0"/>
            </w:tcBorders>
            <w:noWrap/>
            <w:vAlign w:val="center"/>
          </w:tcPr>
          <w:p w14:paraId="07B9968D">
            <w:pPr>
              <w:spacing w:line="360" w:lineRule="auto"/>
              <w:contextualSpacing/>
              <w:jc w:val="center"/>
              <w:rPr>
                <w:rFonts w:ascii="宋体" w:hAnsi="宋体" w:cs="仿宋_GB2312"/>
                <w:sz w:val="24"/>
              </w:rPr>
            </w:pPr>
          </w:p>
        </w:tc>
        <w:tc>
          <w:tcPr>
            <w:tcW w:w="2350" w:type="dxa"/>
            <w:tcBorders>
              <w:top w:val="single" w:color="auto" w:sz="4" w:space="0"/>
              <w:left w:val="single" w:color="auto" w:sz="4" w:space="0"/>
              <w:bottom w:val="single" w:color="auto" w:sz="4" w:space="0"/>
              <w:right w:val="single" w:color="auto" w:sz="4" w:space="0"/>
            </w:tcBorders>
            <w:noWrap/>
            <w:vAlign w:val="center"/>
          </w:tcPr>
          <w:p w14:paraId="06449184">
            <w:pPr>
              <w:spacing w:line="360" w:lineRule="auto"/>
              <w:ind w:left="43"/>
              <w:contextualSpacing/>
              <w:jc w:val="center"/>
              <w:rPr>
                <w:rFonts w:ascii="宋体" w:hAnsi="宋体" w:cs="仿宋_GB2312"/>
                <w:sz w:val="24"/>
              </w:rPr>
            </w:pPr>
          </w:p>
        </w:tc>
        <w:tc>
          <w:tcPr>
            <w:tcW w:w="2112" w:type="dxa"/>
            <w:tcBorders>
              <w:top w:val="single" w:color="auto" w:sz="4" w:space="0"/>
              <w:left w:val="single" w:color="auto" w:sz="4" w:space="0"/>
              <w:bottom w:val="single" w:color="auto" w:sz="4" w:space="0"/>
              <w:right w:val="single" w:color="auto" w:sz="4" w:space="0"/>
            </w:tcBorders>
            <w:noWrap/>
            <w:vAlign w:val="center"/>
          </w:tcPr>
          <w:p w14:paraId="79A23355">
            <w:pPr>
              <w:spacing w:line="360" w:lineRule="auto"/>
              <w:ind w:left="43"/>
              <w:contextualSpacing/>
              <w:jc w:val="center"/>
              <w:rPr>
                <w:rFonts w:ascii="宋体" w:hAnsi="宋体" w:cs="仿宋_GB2312"/>
                <w:sz w:val="24"/>
              </w:rPr>
            </w:pPr>
          </w:p>
        </w:tc>
      </w:tr>
      <w:tr w14:paraId="564907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ign w:val="center"/>
          </w:tcPr>
          <w:p w14:paraId="6B0F1F32">
            <w:pPr>
              <w:spacing w:line="360" w:lineRule="auto"/>
              <w:contextualSpacing/>
              <w:jc w:val="center"/>
              <w:rPr>
                <w:rFonts w:ascii="宋体" w:hAnsi="宋体" w:cs="仿宋_GB2312"/>
                <w:sz w:val="24"/>
              </w:rPr>
            </w:pPr>
            <w:r>
              <w:rPr>
                <w:rFonts w:hint="eastAsia" w:ascii="宋体" w:hAnsi="宋体" w:cs="仿宋_GB2312"/>
                <w:sz w:val="24"/>
              </w:rPr>
              <w:t>…</w:t>
            </w:r>
          </w:p>
        </w:tc>
        <w:tc>
          <w:tcPr>
            <w:tcW w:w="2668" w:type="dxa"/>
            <w:tcBorders>
              <w:top w:val="single" w:color="auto" w:sz="4" w:space="0"/>
              <w:left w:val="single" w:color="auto" w:sz="4" w:space="0"/>
              <w:bottom w:val="single" w:color="auto" w:sz="4" w:space="0"/>
              <w:right w:val="single" w:color="auto" w:sz="4" w:space="0"/>
            </w:tcBorders>
            <w:noWrap/>
            <w:vAlign w:val="center"/>
          </w:tcPr>
          <w:p w14:paraId="2DC512E7">
            <w:pPr>
              <w:spacing w:line="360" w:lineRule="auto"/>
              <w:contextualSpacing/>
              <w:jc w:val="center"/>
              <w:rPr>
                <w:rFonts w:ascii="宋体" w:hAnsi="宋体" w:cs="仿宋_GB2312"/>
                <w:sz w:val="24"/>
              </w:rPr>
            </w:pPr>
          </w:p>
        </w:tc>
        <w:tc>
          <w:tcPr>
            <w:tcW w:w="2350" w:type="dxa"/>
            <w:tcBorders>
              <w:top w:val="single" w:color="auto" w:sz="4" w:space="0"/>
              <w:left w:val="single" w:color="auto" w:sz="4" w:space="0"/>
              <w:bottom w:val="single" w:color="auto" w:sz="4" w:space="0"/>
              <w:right w:val="single" w:color="auto" w:sz="4" w:space="0"/>
            </w:tcBorders>
            <w:noWrap/>
            <w:vAlign w:val="center"/>
          </w:tcPr>
          <w:p w14:paraId="16E13648">
            <w:pPr>
              <w:spacing w:line="360" w:lineRule="auto"/>
              <w:contextualSpacing/>
              <w:jc w:val="center"/>
              <w:rPr>
                <w:rFonts w:ascii="宋体" w:hAnsi="宋体" w:cs="仿宋_GB2312"/>
                <w:sz w:val="24"/>
              </w:rPr>
            </w:pPr>
          </w:p>
        </w:tc>
        <w:tc>
          <w:tcPr>
            <w:tcW w:w="2112" w:type="dxa"/>
            <w:tcBorders>
              <w:top w:val="single" w:color="auto" w:sz="4" w:space="0"/>
              <w:left w:val="single" w:color="auto" w:sz="4" w:space="0"/>
              <w:bottom w:val="single" w:color="auto" w:sz="4" w:space="0"/>
              <w:right w:val="single" w:color="auto" w:sz="4" w:space="0"/>
            </w:tcBorders>
            <w:noWrap/>
            <w:vAlign w:val="center"/>
          </w:tcPr>
          <w:p w14:paraId="5720A6E2">
            <w:pPr>
              <w:spacing w:line="360" w:lineRule="auto"/>
              <w:contextualSpacing/>
              <w:jc w:val="center"/>
              <w:rPr>
                <w:rFonts w:ascii="宋体" w:hAnsi="宋体" w:cs="仿宋_GB2312"/>
                <w:sz w:val="24"/>
              </w:rPr>
            </w:pPr>
          </w:p>
        </w:tc>
      </w:tr>
    </w:tbl>
    <w:p w14:paraId="206ADC7B">
      <w:pPr>
        <w:pStyle w:val="17"/>
        <w:spacing w:after="0" w:line="360" w:lineRule="auto"/>
        <w:contextualSpacing/>
        <w:rPr>
          <w:rFonts w:ascii="宋体" w:hAnsi="宋体"/>
          <w:sz w:val="24"/>
          <w:szCs w:val="24"/>
        </w:rPr>
      </w:pPr>
      <w:r>
        <w:rPr>
          <w:rFonts w:hint="eastAsia" w:ascii="宋体" w:hAnsi="宋体"/>
          <w:sz w:val="24"/>
          <w:szCs w:val="24"/>
        </w:rPr>
        <w:t>注：</w:t>
      </w:r>
    </w:p>
    <w:p w14:paraId="00B2ACF2">
      <w:pPr>
        <w:pStyle w:val="17"/>
        <w:spacing w:after="0" w:line="360" w:lineRule="auto"/>
        <w:contextualSpacing/>
        <w:rPr>
          <w:rFonts w:ascii="宋体" w:hAnsi="宋体"/>
          <w:sz w:val="24"/>
          <w:szCs w:val="24"/>
        </w:rPr>
      </w:pPr>
      <w:r>
        <w:rPr>
          <w:rFonts w:hint="eastAsia" w:ascii="宋体" w:hAnsi="宋体"/>
          <w:sz w:val="24"/>
          <w:szCs w:val="24"/>
        </w:rPr>
        <w:t>1. 说明：应对照磋商文件“第三章 采购需求”中的商务要求逐条作出明确响应，并作出偏离说明。</w:t>
      </w:r>
    </w:p>
    <w:p w14:paraId="2F6AD904">
      <w:pPr>
        <w:spacing w:line="360" w:lineRule="auto"/>
        <w:contextualSpacing/>
        <w:jc w:val="left"/>
        <w:rPr>
          <w:rFonts w:ascii="宋体" w:hAnsi="宋体" w:cs="仿宋_GB2312"/>
          <w:sz w:val="24"/>
          <w:u w:val="single"/>
        </w:rPr>
      </w:pPr>
      <w:r>
        <w:rPr>
          <w:rFonts w:hint="eastAsia" w:ascii="宋体" w:hAnsi="宋体"/>
          <w:sz w:val="24"/>
        </w:rPr>
        <w:t>2.供应商应根据自身的承诺，对照磋商文件要求在“偏离说明”中注明“正偏离”“负偏离”或者“无偏离”。既不属于“正偏离”也不属于“负偏离”即为“无偏离”。</w:t>
      </w:r>
    </w:p>
    <w:p w14:paraId="7C1E4ECA">
      <w:pPr>
        <w:spacing w:line="360" w:lineRule="auto"/>
        <w:ind w:right="-817"/>
        <w:contextualSpacing/>
        <w:rPr>
          <w:rFonts w:ascii="宋体" w:hAnsi="宋体" w:cs="仿宋_GB2312"/>
          <w:sz w:val="24"/>
        </w:rPr>
      </w:pPr>
    </w:p>
    <w:p w14:paraId="146052A5">
      <w:pPr>
        <w:spacing w:line="360" w:lineRule="auto"/>
        <w:ind w:right="-817" w:firstLine="1680" w:firstLineChars="700"/>
        <w:rPr>
          <w:rFonts w:ascii="宋体" w:hAnsi="宋体"/>
          <w:sz w:val="24"/>
          <w:highlight w:val="none"/>
        </w:rPr>
      </w:pPr>
      <w:r>
        <w:rPr>
          <w:rFonts w:hint="eastAsia" w:ascii="宋体" w:hAnsi="宋体"/>
          <w:sz w:val="24"/>
          <w:highlight w:val="none"/>
        </w:rPr>
        <w:t>法定代表人或者委托代理人（签字或者电子签名）：</w:t>
      </w:r>
    </w:p>
    <w:p w14:paraId="26EB959C">
      <w:pPr>
        <w:spacing w:line="360" w:lineRule="auto"/>
        <w:ind w:left="-3" w:right="-817" w:hanging="28"/>
        <w:rPr>
          <w:rFonts w:ascii="宋体" w:hAnsi="宋体"/>
          <w:sz w:val="24"/>
        </w:rPr>
      </w:pPr>
      <w:r>
        <w:rPr>
          <w:rFonts w:hint="eastAsia" w:ascii="宋体" w:hAnsi="宋体"/>
          <w:sz w:val="24"/>
        </w:rPr>
        <w:t xml:space="preserve">                                    供应商名称（电子签章）：</w:t>
      </w:r>
    </w:p>
    <w:p w14:paraId="5090E9F9">
      <w:pPr>
        <w:spacing w:line="360" w:lineRule="auto"/>
        <w:jc w:val="left"/>
        <w:rPr>
          <w:rFonts w:ascii="宋体" w:hAnsi="宋体"/>
          <w:szCs w:val="21"/>
        </w:rPr>
      </w:pPr>
      <w:r>
        <w:rPr>
          <w:rFonts w:hint="eastAsia" w:ascii="宋体" w:hAnsi="宋体"/>
          <w:sz w:val="24"/>
        </w:rPr>
        <w:t xml:space="preserve">                                    日期：    年   月   日</w:t>
      </w:r>
    </w:p>
    <w:p w14:paraId="2B206A28">
      <w:pPr>
        <w:spacing w:line="520" w:lineRule="exact"/>
        <w:ind w:firstLine="7040"/>
        <w:jc w:val="center"/>
        <w:rPr>
          <w:rFonts w:ascii="方正小标宋简体" w:hAnsi="方正小标宋简体" w:eastAsia="方正小标宋简体" w:cs="方正小标宋简体"/>
          <w:bCs/>
          <w:sz w:val="44"/>
          <w:szCs w:val="44"/>
        </w:rPr>
      </w:pPr>
    </w:p>
    <w:p w14:paraId="2184CB8A">
      <w:pPr>
        <w:spacing w:line="520" w:lineRule="exact"/>
        <w:ind w:firstLine="7040"/>
        <w:jc w:val="center"/>
        <w:rPr>
          <w:rFonts w:ascii="方正小标宋简体" w:hAnsi="方正小标宋简体" w:eastAsia="方正小标宋简体" w:cs="方正小标宋简体"/>
          <w:bCs/>
          <w:sz w:val="44"/>
          <w:szCs w:val="44"/>
        </w:rPr>
      </w:pPr>
    </w:p>
    <w:p w14:paraId="114B6D1A">
      <w:pPr>
        <w:spacing w:line="520" w:lineRule="exact"/>
        <w:ind w:firstLine="7040"/>
        <w:jc w:val="center"/>
        <w:rPr>
          <w:rFonts w:ascii="方正小标宋简体" w:hAnsi="方正小标宋简体" w:eastAsia="方正小标宋简体" w:cs="方正小标宋简体"/>
          <w:bCs/>
          <w:sz w:val="44"/>
          <w:szCs w:val="44"/>
        </w:rPr>
      </w:pPr>
    </w:p>
    <w:p w14:paraId="16050ABC">
      <w:pPr>
        <w:spacing w:line="520" w:lineRule="exact"/>
        <w:ind w:firstLine="7040"/>
        <w:jc w:val="center"/>
        <w:rPr>
          <w:rFonts w:ascii="方正小标宋简体" w:hAnsi="方正小标宋简体" w:eastAsia="方正小标宋简体" w:cs="方正小标宋简体"/>
          <w:bCs/>
          <w:sz w:val="44"/>
          <w:szCs w:val="44"/>
        </w:rPr>
      </w:pPr>
    </w:p>
    <w:p w14:paraId="24BBAA33">
      <w:pPr>
        <w:spacing w:line="520" w:lineRule="exact"/>
        <w:rPr>
          <w:rFonts w:ascii="宋体" w:hAnsi="宋体"/>
          <w:szCs w:val="21"/>
          <w:u w:val="single"/>
        </w:rPr>
      </w:pPr>
    </w:p>
    <w:p w14:paraId="46EB24E8">
      <w:pPr>
        <w:spacing w:line="300" w:lineRule="auto"/>
        <w:jc w:val="center"/>
        <w:rPr>
          <w:rFonts w:ascii="方正小标宋简体" w:hAnsi="方正小标宋简体" w:eastAsia="方正小标宋简体" w:cs="方正小标宋简体"/>
          <w:bCs/>
          <w:sz w:val="44"/>
          <w:szCs w:val="44"/>
        </w:rPr>
      </w:pPr>
      <w:r>
        <w:rPr>
          <w:rFonts w:ascii="方正小标宋简体" w:hAnsi="方正小标宋简体" w:eastAsia="方正小标宋简体" w:cs="方正小标宋简体"/>
          <w:bCs/>
          <w:sz w:val="44"/>
          <w:szCs w:val="44"/>
        </w:rPr>
        <w:br w:type="page" w:clear="all"/>
      </w:r>
      <w:r>
        <w:rPr>
          <w:rFonts w:hint="eastAsia" w:ascii="方正小标宋简体" w:hAnsi="方正小标宋简体" w:eastAsia="方正小标宋简体" w:cs="方正小标宋简体"/>
          <w:bCs/>
          <w:sz w:val="44"/>
          <w:szCs w:val="44"/>
        </w:rPr>
        <w:t>技术要求偏离表</w:t>
      </w:r>
    </w:p>
    <w:p w14:paraId="38905273">
      <w:pPr>
        <w:spacing w:line="520" w:lineRule="exact"/>
        <w:rPr>
          <w:rFonts w:ascii="仿宋_GB2312" w:hAnsi="仿宋_GB2312" w:eastAsia="仿宋_GB2312" w:cs="仿宋_GB2312"/>
          <w:sz w:val="32"/>
          <w:szCs w:val="32"/>
        </w:rPr>
      </w:pPr>
    </w:p>
    <w:p w14:paraId="4D3D252F">
      <w:pPr>
        <w:spacing w:line="360" w:lineRule="auto"/>
        <w:contextualSpacing/>
        <w:rPr>
          <w:rFonts w:ascii="宋体" w:hAnsi="宋体" w:cs="仿宋_GB2312"/>
          <w:sz w:val="24"/>
          <w:u w:val="single"/>
        </w:rPr>
      </w:pPr>
      <w:r>
        <w:rPr>
          <w:rFonts w:hint="eastAsia" w:ascii="宋体" w:hAnsi="宋体" w:cs="仿宋_GB2312"/>
          <w:sz w:val="24"/>
        </w:rPr>
        <w:t>采购项目编号：</w:t>
      </w:r>
    </w:p>
    <w:p w14:paraId="62F0674A">
      <w:pPr>
        <w:spacing w:line="360" w:lineRule="auto"/>
        <w:contextualSpacing/>
        <w:rPr>
          <w:rFonts w:ascii="宋体" w:hAnsi="宋体" w:cs="仿宋_GB2312"/>
          <w:sz w:val="24"/>
        </w:rPr>
      </w:pPr>
      <w:r>
        <w:rPr>
          <w:rFonts w:hint="eastAsia" w:ascii="宋体" w:hAnsi="宋体" w:cs="仿宋_GB2312"/>
          <w:sz w:val="24"/>
        </w:rPr>
        <w:t>采购项目名称：</w:t>
      </w:r>
    </w:p>
    <w:tbl>
      <w:tblPr>
        <w:tblStyle w:val="44"/>
        <w:tblW w:w="9616"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68"/>
        <w:gridCol w:w="968"/>
        <w:gridCol w:w="3212"/>
        <w:gridCol w:w="2891"/>
        <w:gridCol w:w="1577"/>
      </w:tblGrid>
      <w:tr w14:paraId="165D454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68" w:type="dxa"/>
            <w:noWrap/>
            <w:vAlign w:val="center"/>
          </w:tcPr>
          <w:p w14:paraId="5C77C778">
            <w:pPr>
              <w:pStyle w:val="19"/>
              <w:spacing w:line="360" w:lineRule="auto"/>
              <w:ind w:firstLine="0"/>
              <w:contextualSpacing/>
              <w:jc w:val="center"/>
              <w:rPr>
                <w:rFonts w:ascii="宋体" w:hAnsi="宋体" w:eastAsia="宋体" w:cs="仿宋_GB2312"/>
                <w:sz w:val="24"/>
                <w:szCs w:val="24"/>
              </w:rPr>
            </w:pPr>
            <w:bookmarkStart w:id="65" w:name="_Toc301781611"/>
            <w:bookmarkStart w:id="66" w:name="_Toc295404981"/>
            <w:bookmarkStart w:id="67" w:name="_Toc173066401"/>
            <w:bookmarkStart w:id="68" w:name="_Toc173211900"/>
            <w:bookmarkStart w:id="69" w:name="_Toc373333689"/>
            <w:bookmarkStart w:id="70" w:name="_Toc254970729"/>
            <w:bookmarkStart w:id="71" w:name="_Toc297193185"/>
            <w:bookmarkStart w:id="72" w:name="_Toc254970588"/>
            <w:bookmarkStart w:id="73" w:name="_Toc383699906"/>
            <w:r>
              <w:rPr>
                <w:rFonts w:hint="eastAsia" w:ascii="宋体" w:hAnsi="宋体" w:eastAsia="宋体" w:cs="仿宋_GB2312"/>
                <w:sz w:val="24"/>
                <w:szCs w:val="24"/>
              </w:rPr>
              <w:t>序号</w:t>
            </w:r>
            <w:bookmarkEnd w:id="65"/>
            <w:bookmarkEnd w:id="66"/>
            <w:bookmarkEnd w:id="67"/>
            <w:bookmarkEnd w:id="68"/>
            <w:bookmarkEnd w:id="69"/>
            <w:bookmarkEnd w:id="70"/>
            <w:bookmarkEnd w:id="71"/>
            <w:bookmarkEnd w:id="72"/>
            <w:bookmarkEnd w:id="73"/>
          </w:p>
        </w:tc>
        <w:tc>
          <w:tcPr>
            <w:tcW w:w="968" w:type="dxa"/>
            <w:tcBorders>
              <w:right w:val="single" w:color="auto" w:sz="4" w:space="0"/>
            </w:tcBorders>
            <w:noWrap/>
            <w:vAlign w:val="center"/>
          </w:tcPr>
          <w:p w14:paraId="473BF821">
            <w:pPr>
              <w:pStyle w:val="19"/>
              <w:spacing w:line="360" w:lineRule="auto"/>
              <w:ind w:firstLine="0"/>
              <w:contextualSpacing/>
              <w:jc w:val="center"/>
              <w:rPr>
                <w:rFonts w:ascii="宋体" w:hAnsi="宋体" w:eastAsia="宋体" w:cs="仿宋_GB2312"/>
                <w:sz w:val="24"/>
                <w:szCs w:val="24"/>
              </w:rPr>
            </w:pPr>
            <w:r>
              <w:rPr>
                <w:rFonts w:hint="eastAsia" w:ascii="宋体" w:hAnsi="宋体" w:eastAsia="宋体" w:cs="仿宋_GB2312"/>
                <w:sz w:val="24"/>
                <w:szCs w:val="24"/>
              </w:rPr>
              <w:t>名称</w:t>
            </w:r>
          </w:p>
        </w:tc>
        <w:tc>
          <w:tcPr>
            <w:tcW w:w="3212" w:type="dxa"/>
            <w:tcBorders>
              <w:left w:val="single" w:color="auto" w:sz="4" w:space="0"/>
            </w:tcBorders>
            <w:noWrap/>
            <w:vAlign w:val="center"/>
          </w:tcPr>
          <w:p w14:paraId="45825915">
            <w:pPr>
              <w:pStyle w:val="19"/>
              <w:spacing w:line="360" w:lineRule="auto"/>
              <w:ind w:firstLine="0"/>
              <w:contextualSpacing/>
              <w:jc w:val="center"/>
              <w:rPr>
                <w:rFonts w:ascii="宋体" w:hAnsi="宋体" w:eastAsia="宋体" w:cs="仿宋_GB2312"/>
                <w:sz w:val="24"/>
                <w:szCs w:val="24"/>
              </w:rPr>
            </w:pPr>
            <w:r>
              <w:rPr>
                <w:rFonts w:hint="eastAsia" w:ascii="宋体" w:hAnsi="宋体" w:eastAsia="宋体" w:cs="仿宋_GB2312"/>
                <w:sz w:val="24"/>
                <w:szCs w:val="24"/>
              </w:rPr>
              <w:t>磋商文件技术要求</w:t>
            </w:r>
          </w:p>
        </w:tc>
        <w:tc>
          <w:tcPr>
            <w:tcW w:w="2891" w:type="dxa"/>
            <w:noWrap/>
            <w:vAlign w:val="center"/>
          </w:tcPr>
          <w:p w14:paraId="1B011569">
            <w:pPr>
              <w:pStyle w:val="19"/>
              <w:spacing w:line="360" w:lineRule="auto"/>
              <w:ind w:firstLine="0"/>
              <w:contextualSpacing/>
              <w:jc w:val="center"/>
              <w:rPr>
                <w:rFonts w:ascii="宋体" w:hAnsi="宋体" w:eastAsia="宋体" w:cs="仿宋_GB2312"/>
                <w:sz w:val="24"/>
                <w:szCs w:val="24"/>
              </w:rPr>
            </w:pPr>
            <w:bookmarkStart w:id="74" w:name="_Toc173066403"/>
            <w:bookmarkStart w:id="75" w:name="_Toc173211902"/>
            <w:bookmarkStart w:id="76" w:name="_Toc254970590"/>
            <w:bookmarkStart w:id="77" w:name="_Toc383699908"/>
            <w:bookmarkStart w:id="78" w:name="_Toc295404983"/>
            <w:bookmarkStart w:id="79" w:name="_Toc297193187"/>
            <w:bookmarkStart w:id="80" w:name="_Toc254970731"/>
            <w:bookmarkStart w:id="81" w:name="_Toc301781613"/>
            <w:bookmarkStart w:id="82" w:name="_Toc373333691"/>
            <w:r>
              <w:rPr>
                <w:rFonts w:hint="eastAsia" w:ascii="宋体" w:hAnsi="宋体" w:eastAsia="宋体" w:cs="仿宋_GB2312"/>
                <w:sz w:val="24"/>
                <w:szCs w:val="24"/>
              </w:rPr>
              <w:t>竞标响应</w:t>
            </w:r>
            <w:bookmarkEnd w:id="74"/>
            <w:bookmarkEnd w:id="75"/>
            <w:bookmarkEnd w:id="76"/>
            <w:bookmarkEnd w:id="77"/>
            <w:bookmarkEnd w:id="78"/>
            <w:bookmarkEnd w:id="79"/>
            <w:bookmarkEnd w:id="80"/>
            <w:bookmarkEnd w:id="81"/>
            <w:bookmarkEnd w:id="82"/>
          </w:p>
        </w:tc>
        <w:tc>
          <w:tcPr>
            <w:tcW w:w="1577" w:type="dxa"/>
            <w:noWrap/>
            <w:vAlign w:val="center"/>
          </w:tcPr>
          <w:p w14:paraId="3740AC95">
            <w:pPr>
              <w:pStyle w:val="19"/>
              <w:spacing w:line="360" w:lineRule="auto"/>
              <w:ind w:firstLine="0"/>
              <w:contextualSpacing/>
              <w:jc w:val="center"/>
              <w:rPr>
                <w:rFonts w:ascii="宋体" w:hAnsi="宋体" w:eastAsia="宋体" w:cs="仿宋_GB2312"/>
                <w:sz w:val="24"/>
                <w:szCs w:val="24"/>
              </w:rPr>
            </w:pPr>
            <w:bookmarkStart w:id="83" w:name="_Toc254970732"/>
            <w:bookmarkStart w:id="84" w:name="_Toc297193188"/>
            <w:bookmarkStart w:id="85" w:name="_Toc173066404"/>
            <w:bookmarkStart w:id="86" w:name="_Toc383699909"/>
            <w:bookmarkStart w:id="87" w:name="_Toc295404984"/>
            <w:bookmarkStart w:id="88" w:name="_Toc373333692"/>
            <w:bookmarkStart w:id="89" w:name="_Toc173211903"/>
            <w:bookmarkStart w:id="90" w:name="_Toc301781614"/>
            <w:bookmarkStart w:id="91" w:name="_Toc254970591"/>
            <w:r>
              <w:rPr>
                <w:rFonts w:hint="eastAsia" w:ascii="宋体" w:hAnsi="宋体" w:eastAsia="宋体" w:cs="仿宋_GB2312"/>
                <w:sz w:val="24"/>
                <w:szCs w:val="24"/>
              </w:rPr>
              <w:t>偏离</w:t>
            </w:r>
            <w:bookmarkEnd w:id="83"/>
            <w:bookmarkEnd w:id="84"/>
            <w:bookmarkEnd w:id="85"/>
            <w:bookmarkEnd w:id="86"/>
            <w:bookmarkEnd w:id="87"/>
            <w:bookmarkEnd w:id="88"/>
            <w:bookmarkEnd w:id="89"/>
            <w:bookmarkEnd w:id="90"/>
            <w:bookmarkEnd w:id="91"/>
            <w:bookmarkStart w:id="92" w:name="_Toc383699910"/>
            <w:bookmarkStart w:id="93" w:name="_Toc297193189"/>
            <w:bookmarkStart w:id="94" w:name="_Toc301781615"/>
            <w:bookmarkStart w:id="95" w:name="_Toc173066405"/>
            <w:bookmarkStart w:id="96" w:name="_Toc254970592"/>
            <w:bookmarkStart w:id="97" w:name="_Toc173211904"/>
            <w:bookmarkStart w:id="98" w:name="_Toc254970733"/>
            <w:bookmarkStart w:id="99" w:name="_Toc373333693"/>
            <w:bookmarkStart w:id="100" w:name="_Toc295404985"/>
            <w:r>
              <w:rPr>
                <w:rFonts w:hint="eastAsia" w:ascii="宋体" w:hAnsi="宋体" w:eastAsia="宋体" w:cs="仿宋_GB2312"/>
                <w:sz w:val="24"/>
                <w:szCs w:val="24"/>
              </w:rPr>
              <w:t>说明</w:t>
            </w:r>
            <w:bookmarkEnd w:id="92"/>
            <w:bookmarkEnd w:id="93"/>
            <w:bookmarkEnd w:id="94"/>
            <w:bookmarkEnd w:id="95"/>
            <w:bookmarkEnd w:id="96"/>
            <w:bookmarkEnd w:id="97"/>
            <w:bookmarkEnd w:id="98"/>
            <w:bookmarkEnd w:id="99"/>
            <w:bookmarkEnd w:id="100"/>
          </w:p>
        </w:tc>
      </w:tr>
      <w:tr w14:paraId="4C9376B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68" w:type="dxa"/>
            <w:noWrap/>
            <w:vAlign w:val="center"/>
          </w:tcPr>
          <w:p w14:paraId="5A51831F">
            <w:pPr>
              <w:pStyle w:val="19"/>
              <w:spacing w:line="360" w:lineRule="auto"/>
              <w:ind w:firstLine="0"/>
              <w:contextualSpacing/>
              <w:jc w:val="center"/>
              <w:rPr>
                <w:rFonts w:ascii="宋体" w:hAnsi="宋体" w:eastAsia="宋体" w:cs="仿宋_GB2312"/>
                <w:sz w:val="24"/>
                <w:szCs w:val="24"/>
              </w:rPr>
            </w:pPr>
            <w:bookmarkStart w:id="101" w:name="_Toc173211905"/>
            <w:bookmarkStart w:id="102" w:name="_Toc173066406"/>
            <w:bookmarkStart w:id="103" w:name="_Toc295404986"/>
            <w:bookmarkStart w:id="104" w:name="_Toc254970734"/>
            <w:bookmarkStart w:id="105" w:name="_Toc297193190"/>
            <w:bookmarkStart w:id="106" w:name="_Toc373333694"/>
            <w:bookmarkStart w:id="107" w:name="_Toc383699911"/>
            <w:bookmarkStart w:id="108" w:name="_Toc301781616"/>
            <w:bookmarkStart w:id="109" w:name="_Toc254970593"/>
            <w:r>
              <w:rPr>
                <w:rFonts w:hint="eastAsia" w:ascii="宋体" w:hAnsi="宋体" w:eastAsia="宋体" w:cs="仿宋_GB2312"/>
                <w:sz w:val="24"/>
                <w:szCs w:val="24"/>
              </w:rPr>
              <w:t>1</w:t>
            </w:r>
            <w:bookmarkEnd w:id="101"/>
            <w:bookmarkEnd w:id="102"/>
            <w:bookmarkEnd w:id="103"/>
            <w:bookmarkEnd w:id="104"/>
            <w:bookmarkEnd w:id="105"/>
            <w:bookmarkEnd w:id="106"/>
            <w:bookmarkEnd w:id="107"/>
            <w:bookmarkEnd w:id="108"/>
            <w:bookmarkEnd w:id="109"/>
          </w:p>
        </w:tc>
        <w:tc>
          <w:tcPr>
            <w:tcW w:w="968" w:type="dxa"/>
            <w:tcBorders>
              <w:right w:val="single" w:color="auto" w:sz="4" w:space="0"/>
            </w:tcBorders>
            <w:noWrap/>
            <w:vAlign w:val="center"/>
          </w:tcPr>
          <w:p w14:paraId="10C901BE">
            <w:pPr>
              <w:pStyle w:val="19"/>
              <w:spacing w:line="360" w:lineRule="auto"/>
              <w:ind w:firstLine="0"/>
              <w:contextualSpacing/>
              <w:jc w:val="center"/>
              <w:rPr>
                <w:rFonts w:ascii="宋体" w:hAnsi="宋体" w:eastAsia="宋体" w:cs="仿宋_GB2312"/>
                <w:sz w:val="24"/>
                <w:szCs w:val="24"/>
              </w:rPr>
            </w:pPr>
          </w:p>
        </w:tc>
        <w:tc>
          <w:tcPr>
            <w:tcW w:w="3212" w:type="dxa"/>
            <w:tcBorders>
              <w:left w:val="single" w:color="auto" w:sz="4" w:space="0"/>
            </w:tcBorders>
            <w:noWrap/>
            <w:vAlign w:val="center"/>
          </w:tcPr>
          <w:p w14:paraId="08A9FF8B">
            <w:pPr>
              <w:pStyle w:val="19"/>
              <w:spacing w:line="360" w:lineRule="auto"/>
              <w:ind w:firstLine="0"/>
              <w:contextualSpacing/>
              <w:jc w:val="center"/>
              <w:rPr>
                <w:rFonts w:ascii="宋体" w:hAnsi="宋体" w:eastAsia="宋体" w:cs="仿宋_GB2312"/>
                <w:sz w:val="24"/>
                <w:szCs w:val="24"/>
              </w:rPr>
            </w:pPr>
          </w:p>
        </w:tc>
        <w:tc>
          <w:tcPr>
            <w:tcW w:w="2891" w:type="dxa"/>
            <w:noWrap/>
            <w:vAlign w:val="center"/>
          </w:tcPr>
          <w:p w14:paraId="37EF6FEF">
            <w:pPr>
              <w:pStyle w:val="19"/>
              <w:spacing w:line="360" w:lineRule="auto"/>
              <w:ind w:firstLine="0"/>
              <w:contextualSpacing/>
              <w:jc w:val="center"/>
              <w:rPr>
                <w:rFonts w:ascii="宋体" w:hAnsi="宋体" w:eastAsia="宋体" w:cs="仿宋_GB2312"/>
                <w:sz w:val="24"/>
                <w:szCs w:val="24"/>
              </w:rPr>
            </w:pPr>
          </w:p>
        </w:tc>
        <w:tc>
          <w:tcPr>
            <w:tcW w:w="1577" w:type="dxa"/>
            <w:noWrap/>
            <w:vAlign w:val="center"/>
          </w:tcPr>
          <w:p w14:paraId="6704BCE1">
            <w:pPr>
              <w:pStyle w:val="19"/>
              <w:spacing w:line="360" w:lineRule="auto"/>
              <w:ind w:firstLine="0"/>
              <w:contextualSpacing/>
              <w:jc w:val="center"/>
              <w:rPr>
                <w:rFonts w:ascii="宋体" w:hAnsi="宋体" w:eastAsia="宋体" w:cs="仿宋_GB2312"/>
                <w:sz w:val="24"/>
                <w:szCs w:val="24"/>
              </w:rPr>
            </w:pPr>
          </w:p>
        </w:tc>
      </w:tr>
      <w:tr w14:paraId="246E851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68" w:type="dxa"/>
            <w:noWrap/>
            <w:vAlign w:val="center"/>
          </w:tcPr>
          <w:p w14:paraId="4A277739">
            <w:pPr>
              <w:pStyle w:val="19"/>
              <w:spacing w:line="360" w:lineRule="auto"/>
              <w:ind w:firstLine="0"/>
              <w:contextualSpacing/>
              <w:jc w:val="center"/>
              <w:rPr>
                <w:rFonts w:ascii="宋体" w:hAnsi="宋体" w:eastAsia="宋体" w:cs="仿宋_GB2312"/>
                <w:sz w:val="24"/>
                <w:szCs w:val="24"/>
              </w:rPr>
            </w:pPr>
            <w:bookmarkStart w:id="110" w:name="_Toc254970735"/>
            <w:bookmarkStart w:id="111" w:name="_Toc173211906"/>
            <w:bookmarkStart w:id="112" w:name="_Toc383699912"/>
            <w:bookmarkStart w:id="113" w:name="_Toc173066407"/>
            <w:bookmarkStart w:id="114" w:name="_Toc373333695"/>
            <w:bookmarkStart w:id="115" w:name="_Toc301781617"/>
            <w:bookmarkStart w:id="116" w:name="_Toc295404987"/>
            <w:bookmarkStart w:id="117" w:name="_Toc254970594"/>
            <w:bookmarkStart w:id="118" w:name="_Toc297193191"/>
            <w:r>
              <w:rPr>
                <w:rFonts w:hint="eastAsia" w:ascii="宋体" w:hAnsi="宋体" w:eastAsia="宋体" w:cs="仿宋_GB2312"/>
                <w:sz w:val="24"/>
                <w:szCs w:val="24"/>
              </w:rPr>
              <w:t>2</w:t>
            </w:r>
            <w:bookmarkEnd w:id="110"/>
            <w:bookmarkEnd w:id="111"/>
            <w:bookmarkEnd w:id="112"/>
            <w:bookmarkEnd w:id="113"/>
            <w:bookmarkEnd w:id="114"/>
            <w:bookmarkEnd w:id="115"/>
            <w:bookmarkEnd w:id="116"/>
            <w:bookmarkEnd w:id="117"/>
            <w:bookmarkEnd w:id="118"/>
          </w:p>
        </w:tc>
        <w:tc>
          <w:tcPr>
            <w:tcW w:w="968" w:type="dxa"/>
            <w:tcBorders>
              <w:right w:val="single" w:color="auto" w:sz="4" w:space="0"/>
            </w:tcBorders>
            <w:noWrap/>
            <w:vAlign w:val="center"/>
          </w:tcPr>
          <w:p w14:paraId="773F8E6A">
            <w:pPr>
              <w:pStyle w:val="19"/>
              <w:spacing w:line="360" w:lineRule="auto"/>
              <w:ind w:firstLine="0"/>
              <w:contextualSpacing/>
              <w:jc w:val="center"/>
              <w:rPr>
                <w:rFonts w:ascii="宋体" w:hAnsi="宋体" w:eastAsia="宋体" w:cs="仿宋_GB2312"/>
                <w:sz w:val="24"/>
                <w:szCs w:val="24"/>
              </w:rPr>
            </w:pPr>
          </w:p>
        </w:tc>
        <w:tc>
          <w:tcPr>
            <w:tcW w:w="3212" w:type="dxa"/>
            <w:tcBorders>
              <w:left w:val="single" w:color="auto" w:sz="4" w:space="0"/>
            </w:tcBorders>
            <w:noWrap/>
            <w:vAlign w:val="center"/>
          </w:tcPr>
          <w:p w14:paraId="21321EDB">
            <w:pPr>
              <w:pStyle w:val="19"/>
              <w:spacing w:line="360" w:lineRule="auto"/>
              <w:ind w:firstLine="0"/>
              <w:contextualSpacing/>
              <w:jc w:val="center"/>
              <w:rPr>
                <w:rFonts w:ascii="宋体" w:hAnsi="宋体" w:eastAsia="宋体" w:cs="仿宋_GB2312"/>
                <w:sz w:val="24"/>
                <w:szCs w:val="24"/>
              </w:rPr>
            </w:pPr>
          </w:p>
        </w:tc>
        <w:tc>
          <w:tcPr>
            <w:tcW w:w="2891" w:type="dxa"/>
            <w:noWrap/>
            <w:vAlign w:val="center"/>
          </w:tcPr>
          <w:p w14:paraId="33C96C8B">
            <w:pPr>
              <w:pStyle w:val="19"/>
              <w:spacing w:line="360" w:lineRule="auto"/>
              <w:ind w:firstLine="0"/>
              <w:contextualSpacing/>
              <w:jc w:val="center"/>
              <w:rPr>
                <w:rFonts w:ascii="宋体" w:hAnsi="宋体" w:eastAsia="宋体" w:cs="仿宋_GB2312"/>
                <w:sz w:val="24"/>
                <w:szCs w:val="24"/>
              </w:rPr>
            </w:pPr>
          </w:p>
        </w:tc>
        <w:tc>
          <w:tcPr>
            <w:tcW w:w="1577" w:type="dxa"/>
            <w:noWrap/>
            <w:vAlign w:val="center"/>
          </w:tcPr>
          <w:p w14:paraId="5666DC64">
            <w:pPr>
              <w:pStyle w:val="19"/>
              <w:spacing w:line="360" w:lineRule="auto"/>
              <w:ind w:firstLine="0"/>
              <w:contextualSpacing/>
              <w:jc w:val="center"/>
              <w:rPr>
                <w:rFonts w:ascii="宋体" w:hAnsi="宋体" w:eastAsia="宋体" w:cs="仿宋_GB2312"/>
                <w:sz w:val="24"/>
                <w:szCs w:val="24"/>
              </w:rPr>
            </w:pPr>
          </w:p>
        </w:tc>
      </w:tr>
      <w:tr w14:paraId="4156EDC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68" w:type="dxa"/>
            <w:noWrap/>
            <w:vAlign w:val="center"/>
          </w:tcPr>
          <w:p w14:paraId="1AD03B20">
            <w:pPr>
              <w:pStyle w:val="19"/>
              <w:spacing w:line="360" w:lineRule="auto"/>
              <w:ind w:firstLine="0"/>
              <w:contextualSpacing/>
              <w:jc w:val="center"/>
              <w:rPr>
                <w:rFonts w:ascii="宋体" w:hAnsi="宋体" w:eastAsia="宋体" w:cs="仿宋_GB2312"/>
                <w:sz w:val="24"/>
                <w:szCs w:val="24"/>
              </w:rPr>
            </w:pPr>
            <w:bookmarkStart w:id="119" w:name="_Toc173066408"/>
            <w:bookmarkStart w:id="120" w:name="_Toc297193192"/>
            <w:bookmarkStart w:id="121" w:name="_Toc301781618"/>
            <w:bookmarkStart w:id="122" w:name="_Toc254970595"/>
            <w:bookmarkStart w:id="123" w:name="_Toc383699913"/>
            <w:bookmarkStart w:id="124" w:name="_Toc173211907"/>
            <w:bookmarkStart w:id="125" w:name="_Toc295404988"/>
            <w:bookmarkStart w:id="126" w:name="_Toc373333696"/>
            <w:bookmarkStart w:id="127" w:name="_Toc254970736"/>
            <w:r>
              <w:rPr>
                <w:rFonts w:hint="eastAsia" w:ascii="宋体" w:hAnsi="宋体" w:eastAsia="宋体" w:cs="仿宋_GB2312"/>
                <w:sz w:val="24"/>
                <w:szCs w:val="24"/>
              </w:rPr>
              <w:t>3</w:t>
            </w:r>
            <w:bookmarkEnd w:id="119"/>
            <w:bookmarkEnd w:id="120"/>
            <w:bookmarkEnd w:id="121"/>
            <w:bookmarkEnd w:id="122"/>
            <w:bookmarkEnd w:id="123"/>
            <w:bookmarkEnd w:id="124"/>
            <w:bookmarkEnd w:id="125"/>
            <w:bookmarkEnd w:id="126"/>
            <w:bookmarkEnd w:id="127"/>
          </w:p>
        </w:tc>
        <w:tc>
          <w:tcPr>
            <w:tcW w:w="968" w:type="dxa"/>
            <w:tcBorders>
              <w:right w:val="single" w:color="auto" w:sz="4" w:space="0"/>
            </w:tcBorders>
            <w:noWrap/>
            <w:vAlign w:val="center"/>
          </w:tcPr>
          <w:p w14:paraId="5FFEAF6E">
            <w:pPr>
              <w:pStyle w:val="19"/>
              <w:spacing w:line="360" w:lineRule="auto"/>
              <w:ind w:firstLine="0"/>
              <w:contextualSpacing/>
              <w:jc w:val="center"/>
              <w:rPr>
                <w:rFonts w:ascii="宋体" w:hAnsi="宋体" w:eastAsia="宋体" w:cs="仿宋_GB2312"/>
                <w:sz w:val="24"/>
                <w:szCs w:val="24"/>
              </w:rPr>
            </w:pPr>
          </w:p>
        </w:tc>
        <w:tc>
          <w:tcPr>
            <w:tcW w:w="3212" w:type="dxa"/>
            <w:tcBorders>
              <w:left w:val="single" w:color="auto" w:sz="4" w:space="0"/>
            </w:tcBorders>
            <w:noWrap/>
            <w:vAlign w:val="center"/>
          </w:tcPr>
          <w:p w14:paraId="41A04983">
            <w:pPr>
              <w:pStyle w:val="19"/>
              <w:spacing w:line="360" w:lineRule="auto"/>
              <w:ind w:firstLine="0"/>
              <w:contextualSpacing/>
              <w:jc w:val="center"/>
              <w:rPr>
                <w:rFonts w:ascii="宋体" w:hAnsi="宋体" w:eastAsia="宋体" w:cs="仿宋_GB2312"/>
                <w:sz w:val="24"/>
                <w:szCs w:val="24"/>
              </w:rPr>
            </w:pPr>
          </w:p>
        </w:tc>
        <w:tc>
          <w:tcPr>
            <w:tcW w:w="2891" w:type="dxa"/>
            <w:noWrap/>
            <w:vAlign w:val="center"/>
          </w:tcPr>
          <w:p w14:paraId="63B205EB">
            <w:pPr>
              <w:pStyle w:val="19"/>
              <w:spacing w:line="360" w:lineRule="auto"/>
              <w:ind w:firstLine="0"/>
              <w:contextualSpacing/>
              <w:jc w:val="center"/>
              <w:rPr>
                <w:rFonts w:ascii="宋体" w:hAnsi="宋体" w:eastAsia="宋体" w:cs="仿宋_GB2312"/>
                <w:sz w:val="24"/>
                <w:szCs w:val="24"/>
              </w:rPr>
            </w:pPr>
          </w:p>
        </w:tc>
        <w:tc>
          <w:tcPr>
            <w:tcW w:w="1577" w:type="dxa"/>
            <w:noWrap/>
            <w:vAlign w:val="center"/>
          </w:tcPr>
          <w:p w14:paraId="4A9A296A">
            <w:pPr>
              <w:pStyle w:val="19"/>
              <w:spacing w:line="360" w:lineRule="auto"/>
              <w:ind w:firstLine="0"/>
              <w:contextualSpacing/>
              <w:jc w:val="center"/>
              <w:rPr>
                <w:rFonts w:ascii="宋体" w:hAnsi="宋体" w:eastAsia="宋体" w:cs="仿宋_GB2312"/>
                <w:sz w:val="24"/>
                <w:szCs w:val="24"/>
              </w:rPr>
            </w:pPr>
          </w:p>
        </w:tc>
      </w:tr>
      <w:tr w14:paraId="537C586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68" w:type="dxa"/>
            <w:noWrap/>
            <w:vAlign w:val="center"/>
          </w:tcPr>
          <w:p w14:paraId="73B69A95">
            <w:pPr>
              <w:pStyle w:val="19"/>
              <w:spacing w:line="360" w:lineRule="auto"/>
              <w:ind w:firstLine="0"/>
              <w:contextualSpacing/>
              <w:jc w:val="center"/>
              <w:rPr>
                <w:rFonts w:ascii="宋体" w:hAnsi="宋体" w:eastAsia="宋体" w:cs="仿宋_GB2312"/>
                <w:sz w:val="24"/>
                <w:szCs w:val="24"/>
              </w:rPr>
            </w:pPr>
            <w:bookmarkStart w:id="128" w:name="_Toc295404989"/>
            <w:bookmarkStart w:id="129" w:name="_Toc173066409"/>
            <w:bookmarkStart w:id="130" w:name="_Toc297193193"/>
            <w:bookmarkStart w:id="131" w:name="_Toc383699914"/>
            <w:bookmarkStart w:id="132" w:name="_Toc301781619"/>
            <w:bookmarkStart w:id="133" w:name="_Toc373333697"/>
            <w:bookmarkStart w:id="134" w:name="_Toc254970596"/>
            <w:bookmarkStart w:id="135" w:name="_Toc173211908"/>
            <w:bookmarkStart w:id="136" w:name="_Toc254970737"/>
            <w:r>
              <w:rPr>
                <w:rFonts w:hint="eastAsia" w:ascii="宋体" w:hAnsi="宋体" w:eastAsia="宋体" w:cs="仿宋_GB2312"/>
                <w:sz w:val="24"/>
                <w:szCs w:val="24"/>
              </w:rPr>
              <w:t>4</w:t>
            </w:r>
            <w:bookmarkEnd w:id="128"/>
            <w:bookmarkEnd w:id="129"/>
            <w:bookmarkEnd w:id="130"/>
            <w:bookmarkEnd w:id="131"/>
            <w:bookmarkEnd w:id="132"/>
            <w:bookmarkEnd w:id="133"/>
            <w:bookmarkEnd w:id="134"/>
            <w:bookmarkEnd w:id="135"/>
            <w:bookmarkEnd w:id="136"/>
          </w:p>
        </w:tc>
        <w:tc>
          <w:tcPr>
            <w:tcW w:w="968" w:type="dxa"/>
            <w:tcBorders>
              <w:right w:val="single" w:color="auto" w:sz="4" w:space="0"/>
            </w:tcBorders>
            <w:noWrap/>
            <w:vAlign w:val="center"/>
          </w:tcPr>
          <w:p w14:paraId="0300006C">
            <w:pPr>
              <w:pStyle w:val="19"/>
              <w:spacing w:line="360" w:lineRule="auto"/>
              <w:ind w:firstLine="0"/>
              <w:contextualSpacing/>
              <w:jc w:val="center"/>
              <w:rPr>
                <w:rFonts w:ascii="宋体" w:hAnsi="宋体" w:eastAsia="宋体" w:cs="仿宋_GB2312"/>
                <w:sz w:val="24"/>
                <w:szCs w:val="24"/>
              </w:rPr>
            </w:pPr>
          </w:p>
        </w:tc>
        <w:tc>
          <w:tcPr>
            <w:tcW w:w="3212" w:type="dxa"/>
            <w:tcBorders>
              <w:left w:val="single" w:color="auto" w:sz="4" w:space="0"/>
            </w:tcBorders>
            <w:noWrap/>
            <w:vAlign w:val="center"/>
          </w:tcPr>
          <w:p w14:paraId="1AEC69EA">
            <w:pPr>
              <w:pStyle w:val="19"/>
              <w:spacing w:line="360" w:lineRule="auto"/>
              <w:ind w:firstLine="0"/>
              <w:contextualSpacing/>
              <w:jc w:val="center"/>
              <w:rPr>
                <w:rFonts w:ascii="宋体" w:hAnsi="宋体" w:eastAsia="宋体" w:cs="仿宋_GB2312"/>
                <w:sz w:val="24"/>
                <w:szCs w:val="24"/>
              </w:rPr>
            </w:pPr>
          </w:p>
        </w:tc>
        <w:tc>
          <w:tcPr>
            <w:tcW w:w="2891" w:type="dxa"/>
            <w:noWrap/>
            <w:vAlign w:val="center"/>
          </w:tcPr>
          <w:p w14:paraId="3F2D509D">
            <w:pPr>
              <w:pStyle w:val="19"/>
              <w:spacing w:line="360" w:lineRule="auto"/>
              <w:ind w:firstLine="0"/>
              <w:contextualSpacing/>
              <w:jc w:val="center"/>
              <w:rPr>
                <w:rFonts w:ascii="宋体" w:hAnsi="宋体" w:eastAsia="宋体" w:cs="仿宋_GB2312"/>
                <w:sz w:val="24"/>
                <w:szCs w:val="24"/>
              </w:rPr>
            </w:pPr>
          </w:p>
        </w:tc>
        <w:tc>
          <w:tcPr>
            <w:tcW w:w="1577" w:type="dxa"/>
            <w:noWrap/>
            <w:vAlign w:val="center"/>
          </w:tcPr>
          <w:p w14:paraId="2255D744">
            <w:pPr>
              <w:pStyle w:val="19"/>
              <w:spacing w:line="360" w:lineRule="auto"/>
              <w:ind w:firstLine="0"/>
              <w:contextualSpacing/>
              <w:jc w:val="center"/>
              <w:rPr>
                <w:rFonts w:ascii="宋体" w:hAnsi="宋体" w:eastAsia="宋体" w:cs="仿宋_GB2312"/>
                <w:sz w:val="24"/>
                <w:szCs w:val="24"/>
              </w:rPr>
            </w:pPr>
          </w:p>
        </w:tc>
      </w:tr>
      <w:tr w14:paraId="0299D23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68" w:type="dxa"/>
            <w:noWrap/>
            <w:vAlign w:val="center"/>
          </w:tcPr>
          <w:p w14:paraId="6070B17D">
            <w:pPr>
              <w:pStyle w:val="19"/>
              <w:spacing w:line="360" w:lineRule="auto"/>
              <w:ind w:firstLine="0"/>
              <w:contextualSpacing/>
              <w:jc w:val="center"/>
              <w:rPr>
                <w:rFonts w:ascii="宋体" w:hAnsi="宋体" w:eastAsia="宋体" w:cs="仿宋_GB2312"/>
                <w:sz w:val="24"/>
                <w:szCs w:val="24"/>
              </w:rPr>
            </w:pPr>
            <w:bookmarkStart w:id="137" w:name="_Toc295404990"/>
            <w:bookmarkStart w:id="138" w:name="_Toc254970597"/>
            <w:bookmarkStart w:id="139" w:name="_Toc173211909"/>
            <w:bookmarkStart w:id="140" w:name="_Toc301781620"/>
            <w:bookmarkStart w:id="141" w:name="_Toc173066410"/>
            <w:bookmarkStart w:id="142" w:name="_Toc297193194"/>
            <w:bookmarkStart w:id="143" w:name="_Toc383699915"/>
            <w:bookmarkStart w:id="144" w:name="_Toc373333698"/>
            <w:bookmarkStart w:id="145" w:name="_Toc254970738"/>
            <w:r>
              <w:rPr>
                <w:rFonts w:hint="eastAsia" w:ascii="宋体" w:hAnsi="宋体" w:eastAsia="宋体" w:cs="仿宋_GB2312"/>
                <w:sz w:val="24"/>
                <w:szCs w:val="24"/>
              </w:rPr>
              <w:t>5</w:t>
            </w:r>
            <w:bookmarkEnd w:id="137"/>
            <w:bookmarkEnd w:id="138"/>
            <w:bookmarkEnd w:id="139"/>
            <w:bookmarkEnd w:id="140"/>
            <w:bookmarkEnd w:id="141"/>
            <w:bookmarkEnd w:id="142"/>
            <w:bookmarkEnd w:id="143"/>
            <w:bookmarkEnd w:id="144"/>
            <w:bookmarkEnd w:id="145"/>
          </w:p>
        </w:tc>
        <w:tc>
          <w:tcPr>
            <w:tcW w:w="968" w:type="dxa"/>
            <w:tcBorders>
              <w:right w:val="single" w:color="auto" w:sz="4" w:space="0"/>
            </w:tcBorders>
            <w:noWrap/>
            <w:vAlign w:val="center"/>
          </w:tcPr>
          <w:p w14:paraId="6D580917">
            <w:pPr>
              <w:pStyle w:val="19"/>
              <w:spacing w:line="360" w:lineRule="auto"/>
              <w:ind w:firstLine="0"/>
              <w:contextualSpacing/>
              <w:jc w:val="center"/>
              <w:rPr>
                <w:rFonts w:ascii="宋体" w:hAnsi="宋体" w:eastAsia="宋体" w:cs="仿宋_GB2312"/>
                <w:sz w:val="24"/>
                <w:szCs w:val="24"/>
              </w:rPr>
            </w:pPr>
          </w:p>
        </w:tc>
        <w:tc>
          <w:tcPr>
            <w:tcW w:w="3212" w:type="dxa"/>
            <w:tcBorders>
              <w:left w:val="single" w:color="auto" w:sz="4" w:space="0"/>
            </w:tcBorders>
            <w:noWrap/>
            <w:vAlign w:val="center"/>
          </w:tcPr>
          <w:p w14:paraId="2403C075">
            <w:pPr>
              <w:pStyle w:val="19"/>
              <w:spacing w:line="360" w:lineRule="auto"/>
              <w:ind w:firstLine="0"/>
              <w:contextualSpacing/>
              <w:jc w:val="center"/>
              <w:rPr>
                <w:rFonts w:ascii="宋体" w:hAnsi="宋体" w:eastAsia="宋体" w:cs="仿宋_GB2312"/>
                <w:sz w:val="24"/>
                <w:szCs w:val="24"/>
              </w:rPr>
            </w:pPr>
          </w:p>
        </w:tc>
        <w:tc>
          <w:tcPr>
            <w:tcW w:w="2891" w:type="dxa"/>
            <w:noWrap/>
            <w:vAlign w:val="center"/>
          </w:tcPr>
          <w:p w14:paraId="1FE36982">
            <w:pPr>
              <w:pStyle w:val="19"/>
              <w:spacing w:line="360" w:lineRule="auto"/>
              <w:ind w:firstLine="0"/>
              <w:contextualSpacing/>
              <w:jc w:val="center"/>
              <w:rPr>
                <w:rFonts w:ascii="宋体" w:hAnsi="宋体" w:eastAsia="宋体" w:cs="仿宋_GB2312"/>
                <w:sz w:val="24"/>
                <w:szCs w:val="24"/>
              </w:rPr>
            </w:pPr>
          </w:p>
        </w:tc>
        <w:tc>
          <w:tcPr>
            <w:tcW w:w="1577" w:type="dxa"/>
            <w:noWrap/>
            <w:vAlign w:val="center"/>
          </w:tcPr>
          <w:p w14:paraId="12F2118C">
            <w:pPr>
              <w:pStyle w:val="19"/>
              <w:spacing w:line="360" w:lineRule="auto"/>
              <w:ind w:firstLine="0"/>
              <w:contextualSpacing/>
              <w:jc w:val="center"/>
              <w:rPr>
                <w:rFonts w:ascii="宋体" w:hAnsi="宋体" w:eastAsia="宋体" w:cs="仿宋_GB2312"/>
                <w:sz w:val="24"/>
                <w:szCs w:val="24"/>
              </w:rPr>
            </w:pPr>
          </w:p>
        </w:tc>
      </w:tr>
      <w:tr w14:paraId="49CB656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68" w:type="dxa"/>
            <w:noWrap/>
            <w:vAlign w:val="center"/>
          </w:tcPr>
          <w:p w14:paraId="27418670">
            <w:pPr>
              <w:pStyle w:val="19"/>
              <w:spacing w:line="360" w:lineRule="auto"/>
              <w:ind w:firstLine="0"/>
              <w:contextualSpacing/>
              <w:jc w:val="center"/>
              <w:rPr>
                <w:rFonts w:ascii="宋体" w:hAnsi="宋体" w:eastAsia="宋体" w:cs="仿宋_GB2312"/>
                <w:sz w:val="24"/>
                <w:szCs w:val="24"/>
              </w:rPr>
            </w:pPr>
            <w:bookmarkStart w:id="146" w:name="_Toc173066415"/>
            <w:bookmarkStart w:id="147" w:name="_Toc383699916"/>
            <w:bookmarkStart w:id="148" w:name="_Toc173211914"/>
            <w:bookmarkStart w:id="149" w:name="_Toc295404991"/>
            <w:bookmarkStart w:id="150" w:name="_Toc254970743"/>
            <w:bookmarkStart w:id="151" w:name="_Toc254970602"/>
            <w:bookmarkStart w:id="152" w:name="_Toc301781621"/>
            <w:bookmarkStart w:id="153" w:name="_Toc297193195"/>
            <w:bookmarkStart w:id="154" w:name="_Toc373333699"/>
            <w:r>
              <w:rPr>
                <w:rFonts w:hint="eastAsia" w:ascii="宋体" w:hAnsi="宋体" w:eastAsia="宋体" w:cs="仿宋_GB2312"/>
                <w:sz w:val="24"/>
                <w:szCs w:val="24"/>
              </w:rPr>
              <w:t>…</w:t>
            </w:r>
            <w:bookmarkEnd w:id="146"/>
            <w:bookmarkEnd w:id="147"/>
            <w:bookmarkEnd w:id="148"/>
            <w:bookmarkEnd w:id="149"/>
            <w:bookmarkEnd w:id="150"/>
            <w:bookmarkEnd w:id="151"/>
            <w:bookmarkEnd w:id="152"/>
            <w:bookmarkEnd w:id="153"/>
            <w:bookmarkEnd w:id="154"/>
          </w:p>
        </w:tc>
        <w:tc>
          <w:tcPr>
            <w:tcW w:w="968" w:type="dxa"/>
            <w:tcBorders>
              <w:right w:val="single" w:color="auto" w:sz="4" w:space="0"/>
            </w:tcBorders>
            <w:noWrap/>
            <w:vAlign w:val="center"/>
          </w:tcPr>
          <w:p w14:paraId="1F0FE636">
            <w:pPr>
              <w:pStyle w:val="19"/>
              <w:spacing w:line="360" w:lineRule="auto"/>
              <w:ind w:firstLine="0"/>
              <w:contextualSpacing/>
              <w:jc w:val="center"/>
              <w:rPr>
                <w:rFonts w:ascii="宋体" w:hAnsi="宋体" w:eastAsia="宋体" w:cs="仿宋_GB2312"/>
                <w:sz w:val="24"/>
                <w:szCs w:val="24"/>
              </w:rPr>
            </w:pPr>
          </w:p>
        </w:tc>
        <w:tc>
          <w:tcPr>
            <w:tcW w:w="3212" w:type="dxa"/>
            <w:tcBorders>
              <w:left w:val="single" w:color="auto" w:sz="4" w:space="0"/>
            </w:tcBorders>
            <w:noWrap/>
            <w:vAlign w:val="center"/>
          </w:tcPr>
          <w:p w14:paraId="635B1EE9">
            <w:pPr>
              <w:pStyle w:val="19"/>
              <w:spacing w:line="360" w:lineRule="auto"/>
              <w:ind w:firstLine="0"/>
              <w:contextualSpacing/>
              <w:jc w:val="center"/>
              <w:rPr>
                <w:rFonts w:ascii="宋体" w:hAnsi="宋体" w:eastAsia="宋体" w:cs="仿宋_GB2312"/>
                <w:sz w:val="24"/>
                <w:szCs w:val="24"/>
              </w:rPr>
            </w:pPr>
          </w:p>
        </w:tc>
        <w:tc>
          <w:tcPr>
            <w:tcW w:w="2891" w:type="dxa"/>
            <w:noWrap/>
            <w:vAlign w:val="center"/>
          </w:tcPr>
          <w:p w14:paraId="5FCD4BEA">
            <w:pPr>
              <w:pStyle w:val="19"/>
              <w:spacing w:line="360" w:lineRule="auto"/>
              <w:ind w:firstLine="0"/>
              <w:contextualSpacing/>
              <w:jc w:val="center"/>
              <w:rPr>
                <w:rFonts w:ascii="宋体" w:hAnsi="宋体" w:eastAsia="宋体" w:cs="仿宋_GB2312"/>
                <w:sz w:val="24"/>
                <w:szCs w:val="24"/>
              </w:rPr>
            </w:pPr>
          </w:p>
        </w:tc>
        <w:tc>
          <w:tcPr>
            <w:tcW w:w="1577" w:type="dxa"/>
            <w:tcBorders>
              <w:right w:val="single" w:color="auto" w:sz="4" w:space="0"/>
            </w:tcBorders>
            <w:noWrap/>
            <w:vAlign w:val="center"/>
          </w:tcPr>
          <w:p w14:paraId="57619B30">
            <w:pPr>
              <w:pStyle w:val="19"/>
              <w:spacing w:line="360" w:lineRule="auto"/>
              <w:ind w:firstLine="0"/>
              <w:contextualSpacing/>
              <w:jc w:val="center"/>
              <w:rPr>
                <w:rFonts w:ascii="宋体" w:hAnsi="宋体" w:eastAsia="宋体" w:cs="仿宋_GB2312"/>
                <w:sz w:val="24"/>
                <w:szCs w:val="24"/>
              </w:rPr>
            </w:pPr>
          </w:p>
        </w:tc>
      </w:tr>
    </w:tbl>
    <w:p w14:paraId="5487A878">
      <w:pPr>
        <w:spacing w:line="360" w:lineRule="auto"/>
        <w:contextualSpacing/>
        <w:rPr>
          <w:rFonts w:ascii="宋体" w:hAnsi="宋体" w:cs="仿宋_GB2312"/>
          <w:sz w:val="24"/>
        </w:rPr>
      </w:pPr>
    </w:p>
    <w:p w14:paraId="323B1E8A">
      <w:pPr>
        <w:pStyle w:val="19"/>
        <w:spacing w:line="360" w:lineRule="auto"/>
        <w:ind w:firstLine="0"/>
        <w:contextualSpacing/>
        <w:rPr>
          <w:rFonts w:ascii="宋体" w:hAnsi="宋体" w:eastAsia="宋体" w:cs="仿宋_GB2312"/>
          <w:sz w:val="24"/>
          <w:szCs w:val="24"/>
        </w:rPr>
      </w:pPr>
      <w:r>
        <w:rPr>
          <w:rFonts w:hint="eastAsia" w:ascii="宋体" w:hAnsi="宋体" w:eastAsia="宋体" w:cs="仿宋_GB2312"/>
          <w:sz w:val="24"/>
          <w:szCs w:val="24"/>
        </w:rPr>
        <w:t>注：</w:t>
      </w:r>
    </w:p>
    <w:p w14:paraId="2C603043">
      <w:pPr>
        <w:pStyle w:val="19"/>
        <w:spacing w:line="360" w:lineRule="auto"/>
        <w:ind w:firstLine="0"/>
        <w:contextualSpacing/>
        <w:rPr>
          <w:rFonts w:ascii="宋体" w:hAnsi="宋体" w:eastAsia="宋体" w:cs="仿宋_GB2312"/>
          <w:sz w:val="24"/>
          <w:szCs w:val="24"/>
        </w:rPr>
      </w:pPr>
      <w:r>
        <w:rPr>
          <w:rFonts w:hint="eastAsia" w:ascii="宋体" w:hAnsi="宋体" w:eastAsia="宋体" w:cs="仿宋_GB2312"/>
          <w:sz w:val="24"/>
          <w:szCs w:val="24"/>
        </w:rPr>
        <w:t>1. 说明：应对照磋商文件“第三章 采购需求”中的技术要求逐条作出明确响应，并作出偏离说明。</w:t>
      </w:r>
    </w:p>
    <w:p w14:paraId="24982C26">
      <w:pPr>
        <w:pStyle w:val="19"/>
        <w:spacing w:line="360" w:lineRule="auto"/>
        <w:ind w:firstLine="0"/>
        <w:contextualSpacing/>
        <w:rPr>
          <w:rFonts w:ascii="宋体" w:hAnsi="宋体" w:eastAsia="宋体" w:cs="仿宋_GB2312"/>
          <w:sz w:val="24"/>
          <w:szCs w:val="24"/>
        </w:rPr>
      </w:pPr>
      <w:r>
        <w:rPr>
          <w:rFonts w:hint="eastAsia" w:ascii="宋体" w:hAnsi="宋体" w:eastAsia="宋体" w:cs="仿宋_GB2312"/>
          <w:sz w:val="24"/>
          <w:szCs w:val="24"/>
        </w:rPr>
        <w:t>2.供应商应根据自身的承诺，对照磋商文件要求，在“偏离说明”中注明“正偏离”“负偏离”或者“无偏离”。既不属于“正偏离”也不属于“负偏离”即为“无偏离”。</w:t>
      </w:r>
    </w:p>
    <w:p w14:paraId="36881B75">
      <w:pPr>
        <w:spacing w:line="360" w:lineRule="auto"/>
        <w:ind w:right="-817"/>
        <w:contextualSpacing/>
        <w:rPr>
          <w:rFonts w:ascii="宋体" w:hAnsi="宋体" w:cs="仿宋_GB2312"/>
          <w:sz w:val="24"/>
          <w:highlight w:val="none"/>
        </w:rPr>
      </w:pPr>
    </w:p>
    <w:p w14:paraId="4F0AD02A">
      <w:pPr>
        <w:spacing w:line="360" w:lineRule="auto"/>
        <w:ind w:left="-2" w:right="-817" w:firstLine="1680" w:firstLineChars="700"/>
        <w:rPr>
          <w:rFonts w:ascii="宋体" w:hAnsi="宋体"/>
          <w:sz w:val="24"/>
          <w:highlight w:val="none"/>
        </w:rPr>
      </w:pPr>
      <w:r>
        <w:rPr>
          <w:rFonts w:hint="eastAsia" w:ascii="宋体" w:hAnsi="宋体"/>
          <w:sz w:val="24"/>
          <w:highlight w:val="none"/>
        </w:rPr>
        <w:t>法定代表人或者委托代理人（签字或者电子签名）：</w:t>
      </w:r>
    </w:p>
    <w:p w14:paraId="496C1E46">
      <w:pPr>
        <w:spacing w:line="360" w:lineRule="auto"/>
        <w:ind w:left="-3" w:right="-817" w:hanging="28"/>
        <w:rPr>
          <w:rFonts w:ascii="宋体" w:hAnsi="宋体"/>
          <w:sz w:val="24"/>
        </w:rPr>
      </w:pPr>
      <w:r>
        <w:rPr>
          <w:rFonts w:hint="eastAsia" w:ascii="宋体" w:hAnsi="宋体"/>
          <w:sz w:val="24"/>
        </w:rPr>
        <w:t xml:space="preserve">                                    供应商名称（电子签章）：</w:t>
      </w:r>
    </w:p>
    <w:p w14:paraId="47EF715C">
      <w:pPr>
        <w:spacing w:line="360" w:lineRule="auto"/>
        <w:jc w:val="left"/>
        <w:rPr>
          <w:rFonts w:ascii="宋体" w:hAnsi="宋体"/>
          <w:szCs w:val="21"/>
        </w:rPr>
      </w:pPr>
      <w:r>
        <w:rPr>
          <w:rFonts w:hint="eastAsia" w:ascii="宋体" w:hAnsi="宋体"/>
          <w:sz w:val="24"/>
        </w:rPr>
        <w:t xml:space="preserve">                                    日期：    年   月   日</w:t>
      </w:r>
    </w:p>
    <w:p w14:paraId="776320A4">
      <w:pPr>
        <w:spacing w:line="360" w:lineRule="auto"/>
        <w:ind w:right="480" w:firstLine="240"/>
        <w:jc w:val="left"/>
        <w:rPr>
          <w:rFonts w:ascii="宋体" w:hAnsi="宋体"/>
          <w:sz w:val="24"/>
        </w:rPr>
      </w:pPr>
      <w:r>
        <w:rPr>
          <w:rFonts w:ascii="宋体" w:hAnsi="宋体" w:cs="仿宋_GB2312"/>
          <w:sz w:val="24"/>
        </w:rPr>
        <w:br w:type="page" w:clear="all"/>
      </w:r>
    </w:p>
    <w:p w14:paraId="68C429F1">
      <w:pPr>
        <w:spacing w:before="156" w:after="50"/>
        <w:jc w:val="left"/>
        <w:rPr>
          <w:rFonts w:ascii="方正小标宋简体" w:hAnsi="方正小标宋简体" w:eastAsia="方正小标宋简体" w:cs="方正小标宋简体"/>
          <w:bCs/>
          <w:szCs w:val="21"/>
        </w:rPr>
      </w:pPr>
    </w:p>
    <w:p w14:paraId="5FBB4E00">
      <w:pPr>
        <w:spacing w:before="156" w:after="50"/>
        <w:ind w:left="142"/>
        <w:jc w:val="left"/>
        <w:rPr>
          <w:rFonts w:ascii="宋体" w:hAnsi="宋体" w:cs="宋体"/>
          <w:b/>
          <w:sz w:val="24"/>
        </w:rPr>
      </w:pPr>
      <w:r>
        <w:rPr>
          <w:rFonts w:hint="eastAsia" w:ascii="宋体" w:hAnsi="宋体" w:cs="宋体"/>
          <w:b/>
          <w:sz w:val="24"/>
        </w:rPr>
        <w:t>项目实施人员一览表格式</w:t>
      </w:r>
    </w:p>
    <w:p w14:paraId="3B5C41E6">
      <w:pPr>
        <w:spacing w:before="156" w:after="50"/>
        <w:ind w:left="142"/>
        <w:jc w:val="left"/>
        <w:rPr>
          <w:rFonts w:ascii="宋体" w:hAnsi="宋体" w:cs="宋体"/>
          <w:b/>
          <w:sz w:val="24"/>
        </w:rPr>
      </w:pPr>
    </w:p>
    <w:p w14:paraId="194DADCC">
      <w:pPr>
        <w:spacing w:line="360" w:lineRule="auto"/>
        <w:ind w:left="142"/>
        <w:contextualSpacing/>
        <w:jc w:val="center"/>
        <w:rPr>
          <w:rFonts w:ascii="宋体" w:hAnsi="宋体" w:cs="宋体"/>
          <w:b/>
          <w:sz w:val="32"/>
          <w:szCs w:val="32"/>
        </w:rPr>
      </w:pPr>
      <w:r>
        <w:rPr>
          <w:rFonts w:hint="eastAsia" w:ascii="宋体" w:hAnsi="宋体" w:cs="宋体"/>
          <w:b/>
          <w:sz w:val="32"/>
          <w:szCs w:val="32"/>
        </w:rPr>
        <w:t>项目实施人员一览表</w:t>
      </w:r>
    </w:p>
    <w:p w14:paraId="24DAA96F">
      <w:pPr>
        <w:pStyle w:val="2"/>
      </w:pPr>
    </w:p>
    <w:tbl>
      <w:tblPr>
        <w:tblStyle w:val="44"/>
        <w:tblW w:w="90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2692"/>
      </w:tblGrid>
      <w:tr w14:paraId="2B426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4D070AAE">
            <w:pPr>
              <w:spacing w:line="360" w:lineRule="auto"/>
              <w:contextualSpacing/>
              <w:jc w:val="center"/>
              <w:rPr>
                <w:rFonts w:ascii="宋体" w:hAnsi="宋体" w:cs="宋体"/>
                <w:sz w:val="24"/>
                <w:szCs w:val="20"/>
              </w:rPr>
            </w:pPr>
            <w:r>
              <w:rPr>
                <w:rFonts w:hint="eastAsia" w:ascii="宋体" w:hAnsi="宋体" w:cs="宋体"/>
                <w:sz w:val="24"/>
                <w:szCs w:val="20"/>
              </w:rPr>
              <w:t>姓名</w:t>
            </w:r>
          </w:p>
        </w:tc>
        <w:tc>
          <w:tcPr>
            <w:tcW w:w="709" w:type="dxa"/>
            <w:noWrap/>
            <w:vAlign w:val="center"/>
          </w:tcPr>
          <w:p w14:paraId="0AA4B75A">
            <w:pPr>
              <w:spacing w:line="360" w:lineRule="auto"/>
              <w:contextualSpacing/>
              <w:jc w:val="center"/>
              <w:rPr>
                <w:rFonts w:ascii="宋体" w:hAnsi="宋体" w:cs="宋体"/>
                <w:sz w:val="24"/>
                <w:szCs w:val="20"/>
              </w:rPr>
            </w:pPr>
            <w:r>
              <w:rPr>
                <w:rFonts w:hint="eastAsia" w:ascii="宋体" w:hAnsi="宋体" w:cs="宋体"/>
                <w:sz w:val="24"/>
                <w:szCs w:val="20"/>
              </w:rPr>
              <w:t>职务</w:t>
            </w:r>
          </w:p>
        </w:tc>
        <w:tc>
          <w:tcPr>
            <w:tcW w:w="1701" w:type="dxa"/>
            <w:noWrap/>
            <w:vAlign w:val="center"/>
          </w:tcPr>
          <w:p w14:paraId="183516F5">
            <w:pPr>
              <w:spacing w:line="360" w:lineRule="auto"/>
              <w:contextualSpacing/>
              <w:jc w:val="center"/>
              <w:rPr>
                <w:rFonts w:ascii="宋体" w:hAnsi="宋体" w:cs="宋体"/>
                <w:sz w:val="24"/>
                <w:szCs w:val="20"/>
              </w:rPr>
            </w:pPr>
            <w:r>
              <w:rPr>
                <w:rFonts w:hint="eastAsia" w:ascii="宋体" w:hAnsi="宋体" w:cs="宋体"/>
                <w:sz w:val="24"/>
                <w:szCs w:val="20"/>
              </w:rPr>
              <w:t>专业技术资格（职称）或者职业资格或者执业资格证或者其他证书</w:t>
            </w:r>
          </w:p>
        </w:tc>
        <w:tc>
          <w:tcPr>
            <w:tcW w:w="1420" w:type="dxa"/>
            <w:noWrap/>
            <w:vAlign w:val="center"/>
          </w:tcPr>
          <w:p w14:paraId="53E97DD3">
            <w:pPr>
              <w:spacing w:line="360" w:lineRule="auto"/>
              <w:contextualSpacing/>
              <w:jc w:val="center"/>
              <w:rPr>
                <w:rFonts w:ascii="宋体" w:hAnsi="宋体" w:cs="宋体"/>
                <w:sz w:val="24"/>
                <w:szCs w:val="20"/>
              </w:rPr>
            </w:pPr>
            <w:r>
              <w:rPr>
                <w:rFonts w:hint="eastAsia" w:ascii="宋体" w:hAnsi="宋体" w:cs="宋体"/>
                <w:sz w:val="24"/>
                <w:szCs w:val="20"/>
              </w:rPr>
              <w:t>证书编号</w:t>
            </w:r>
          </w:p>
        </w:tc>
        <w:tc>
          <w:tcPr>
            <w:tcW w:w="1698" w:type="dxa"/>
            <w:noWrap/>
            <w:vAlign w:val="center"/>
          </w:tcPr>
          <w:p w14:paraId="149CC946">
            <w:pPr>
              <w:spacing w:line="360" w:lineRule="auto"/>
              <w:contextualSpacing/>
              <w:jc w:val="center"/>
              <w:rPr>
                <w:rFonts w:ascii="宋体" w:hAnsi="宋体" w:cs="宋体"/>
                <w:sz w:val="24"/>
                <w:szCs w:val="20"/>
              </w:rPr>
            </w:pPr>
            <w:r>
              <w:rPr>
                <w:rFonts w:hint="eastAsia" w:ascii="宋体" w:hAnsi="宋体" w:cs="宋体"/>
                <w:sz w:val="24"/>
                <w:szCs w:val="20"/>
              </w:rPr>
              <w:t>参加本单位</w:t>
            </w:r>
          </w:p>
          <w:p w14:paraId="4C26FCE6">
            <w:pPr>
              <w:spacing w:line="360" w:lineRule="auto"/>
              <w:contextualSpacing/>
              <w:jc w:val="center"/>
              <w:rPr>
                <w:rFonts w:ascii="宋体" w:hAnsi="宋体" w:cs="宋体"/>
                <w:sz w:val="24"/>
                <w:szCs w:val="20"/>
              </w:rPr>
            </w:pPr>
            <w:r>
              <w:rPr>
                <w:rFonts w:hint="eastAsia" w:ascii="宋体" w:hAnsi="宋体" w:cs="宋体"/>
                <w:sz w:val="24"/>
                <w:szCs w:val="20"/>
              </w:rPr>
              <w:t>工作时间</w:t>
            </w:r>
          </w:p>
        </w:tc>
        <w:tc>
          <w:tcPr>
            <w:tcW w:w="2692" w:type="dxa"/>
            <w:noWrap/>
            <w:vAlign w:val="center"/>
          </w:tcPr>
          <w:p w14:paraId="6F2BC77E">
            <w:pPr>
              <w:spacing w:line="360" w:lineRule="auto"/>
              <w:contextualSpacing/>
              <w:jc w:val="center"/>
              <w:rPr>
                <w:rFonts w:ascii="宋体" w:hAnsi="宋体" w:cs="宋体"/>
                <w:sz w:val="24"/>
                <w:szCs w:val="20"/>
              </w:rPr>
            </w:pPr>
            <w:r>
              <w:rPr>
                <w:rFonts w:hint="eastAsia" w:ascii="宋体" w:hAnsi="宋体" w:cs="宋体"/>
                <w:sz w:val="24"/>
                <w:szCs w:val="20"/>
              </w:rPr>
              <w:t>备注</w:t>
            </w:r>
          </w:p>
        </w:tc>
      </w:tr>
      <w:tr w14:paraId="07965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817" w:type="dxa"/>
            <w:noWrap/>
            <w:vAlign w:val="center"/>
          </w:tcPr>
          <w:p w14:paraId="362D8EC3">
            <w:pPr>
              <w:spacing w:line="360" w:lineRule="auto"/>
              <w:contextualSpacing/>
              <w:jc w:val="center"/>
              <w:rPr>
                <w:rFonts w:ascii="宋体" w:hAnsi="宋体" w:cs="宋体"/>
                <w:sz w:val="24"/>
                <w:szCs w:val="20"/>
              </w:rPr>
            </w:pPr>
          </w:p>
        </w:tc>
        <w:tc>
          <w:tcPr>
            <w:tcW w:w="709" w:type="dxa"/>
            <w:noWrap/>
            <w:vAlign w:val="center"/>
          </w:tcPr>
          <w:p w14:paraId="701DF22E">
            <w:pPr>
              <w:spacing w:line="360" w:lineRule="auto"/>
              <w:contextualSpacing/>
              <w:jc w:val="center"/>
              <w:rPr>
                <w:rFonts w:ascii="宋体" w:hAnsi="宋体" w:cs="宋体"/>
                <w:sz w:val="24"/>
                <w:szCs w:val="20"/>
              </w:rPr>
            </w:pPr>
          </w:p>
        </w:tc>
        <w:tc>
          <w:tcPr>
            <w:tcW w:w="1701" w:type="dxa"/>
            <w:noWrap/>
            <w:vAlign w:val="center"/>
          </w:tcPr>
          <w:p w14:paraId="20427E52">
            <w:pPr>
              <w:spacing w:line="360" w:lineRule="auto"/>
              <w:contextualSpacing/>
              <w:jc w:val="center"/>
              <w:rPr>
                <w:rFonts w:ascii="宋体" w:hAnsi="宋体" w:cs="宋体"/>
                <w:sz w:val="24"/>
                <w:szCs w:val="20"/>
              </w:rPr>
            </w:pPr>
          </w:p>
        </w:tc>
        <w:tc>
          <w:tcPr>
            <w:tcW w:w="1420" w:type="dxa"/>
            <w:noWrap/>
            <w:vAlign w:val="center"/>
          </w:tcPr>
          <w:p w14:paraId="2BC576CF">
            <w:pPr>
              <w:spacing w:line="360" w:lineRule="auto"/>
              <w:contextualSpacing/>
              <w:jc w:val="center"/>
              <w:rPr>
                <w:rFonts w:ascii="宋体" w:hAnsi="宋体" w:cs="宋体"/>
                <w:sz w:val="24"/>
                <w:szCs w:val="20"/>
              </w:rPr>
            </w:pPr>
          </w:p>
        </w:tc>
        <w:tc>
          <w:tcPr>
            <w:tcW w:w="1698" w:type="dxa"/>
            <w:noWrap/>
            <w:vAlign w:val="center"/>
          </w:tcPr>
          <w:p w14:paraId="26001C04">
            <w:pPr>
              <w:spacing w:line="360" w:lineRule="auto"/>
              <w:contextualSpacing/>
              <w:jc w:val="center"/>
              <w:rPr>
                <w:rFonts w:ascii="宋体" w:hAnsi="宋体" w:cs="宋体"/>
                <w:sz w:val="24"/>
                <w:szCs w:val="20"/>
              </w:rPr>
            </w:pPr>
          </w:p>
        </w:tc>
        <w:tc>
          <w:tcPr>
            <w:tcW w:w="2692" w:type="dxa"/>
            <w:noWrap/>
            <w:vAlign w:val="center"/>
          </w:tcPr>
          <w:p w14:paraId="3294866E">
            <w:pPr>
              <w:spacing w:line="360" w:lineRule="auto"/>
              <w:contextualSpacing/>
              <w:jc w:val="center"/>
              <w:rPr>
                <w:rFonts w:ascii="宋体" w:hAnsi="宋体" w:cs="宋体"/>
                <w:sz w:val="24"/>
                <w:szCs w:val="20"/>
              </w:rPr>
            </w:pPr>
          </w:p>
        </w:tc>
      </w:tr>
      <w:tr w14:paraId="0ACE0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817" w:type="dxa"/>
            <w:noWrap/>
            <w:vAlign w:val="center"/>
          </w:tcPr>
          <w:p w14:paraId="16B56610">
            <w:pPr>
              <w:spacing w:line="360" w:lineRule="auto"/>
              <w:contextualSpacing/>
              <w:jc w:val="center"/>
              <w:rPr>
                <w:rFonts w:ascii="宋体" w:hAnsi="宋体" w:cs="宋体"/>
                <w:sz w:val="24"/>
                <w:szCs w:val="20"/>
              </w:rPr>
            </w:pPr>
          </w:p>
        </w:tc>
        <w:tc>
          <w:tcPr>
            <w:tcW w:w="709" w:type="dxa"/>
            <w:noWrap/>
            <w:vAlign w:val="center"/>
          </w:tcPr>
          <w:p w14:paraId="45D29786">
            <w:pPr>
              <w:spacing w:line="360" w:lineRule="auto"/>
              <w:contextualSpacing/>
              <w:jc w:val="center"/>
              <w:rPr>
                <w:rFonts w:ascii="宋体" w:hAnsi="宋体" w:cs="宋体"/>
                <w:sz w:val="24"/>
                <w:szCs w:val="20"/>
              </w:rPr>
            </w:pPr>
          </w:p>
        </w:tc>
        <w:tc>
          <w:tcPr>
            <w:tcW w:w="1701" w:type="dxa"/>
            <w:noWrap/>
            <w:vAlign w:val="center"/>
          </w:tcPr>
          <w:p w14:paraId="214A317D">
            <w:pPr>
              <w:spacing w:line="360" w:lineRule="auto"/>
              <w:contextualSpacing/>
              <w:jc w:val="center"/>
              <w:rPr>
                <w:rFonts w:ascii="宋体" w:hAnsi="宋体" w:cs="宋体"/>
                <w:sz w:val="24"/>
                <w:szCs w:val="20"/>
              </w:rPr>
            </w:pPr>
          </w:p>
        </w:tc>
        <w:tc>
          <w:tcPr>
            <w:tcW w:w="1420" w:type="dxa"/>
            <w:noWrap/>
            <w:vAlign w:val="center"/>
          </w:tcPr>
          <w:p w14:paraId="6AD3C9B6">
            <w:pPr>
              <w:spacing w:line="360" w:lineRule="auto"/>
              <w:contextualSpacing/>
              <w:jc w:val="center"/>
              <w:rPr>
                <w:rFonts w:ascii="宋体" w:hAnsi="宋体" w:cs="宋体"/>
                <w:sz w:val="24"/>
                <w:szCs w:val="20"/>
              </w:rPr>
            </w:pPr>
          </w:p>
        </w:tc>
        <w:tc>
          <w:tcPr>
            <w:tcW w:w="1698" w:type="dxa"/>
            <w:noWrap/>
            <w:vAlign w:val="center"/>
          </w:tcPr>
          <w:p w14:paraId="19FB2488">
            <w:pPr>
              <w:spacing w:line="360" w:lineRule="auto"/>
              <w:contextualSpacing/>
              <w:jc w:val="center"/>
              <w:rPr>
                <w:rFonts w:ascii="宋体" w:hAnsi="宋体" w:cs="宋体"/>
                <w:sz w:val="24"/>
                <w:szCs w:val="20"/>
              </w:rPr>
            </w:pPr>
          </w:p>
        </w:tc>
        <w:tc>
          <w:tcPr>
            <w:tcW w:w="2692" w:type="dxa"/>
            <w:noWrap/>
            <w:vAlign w:val="center"/>
          </w:tcPr>
          <w:p w14:paraId="09261000">
            <w:pPr>
              <w:spacing w:line="360" w:lineRule="auto"/>
              <w:contextualSpacing/>
              <w:jc w:val="center"/>
              <w:rPr>
                <w:rFonts w:ascii="宋体" w:hAnsi="宋体" w:cs="宋体"/>
                <w:sz w:val="24"/>
                <w:szCs w:val="20"/>
              </w:rPr>
            </w:pPr>
          </w:p>
        </w:tc>
      </w:tr>
      <w:tr w14:paraId="18DC9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817" w:type="dxa"/>
            <w:noWrap/>
            <w:vAlign w:val="center"/>
          </w:tcPr>
          <w:p w14:paraId="6C5167DE">
            <w:pPr>
              <w:spacing w:line="360" w:lineRule="auto"/>
              <w:contextualSpacing/>
              <w:jc w:val="center"/>
              <w:rPr>
                <w:rFonts w:ascii="宋体" w:hAnsi="宋体" w:cs="宋体"/>
                <w:sz w:val="24"/>
                <w:szCs w:val="20"/>
              </w:rPr>
            </w:pPr>
          </w:p>
        </w:tc>
        <w:tc>
          <w:tcPr>
            <w:tcW w:w="709" w:type="dxa"/>
            <w:noWrap/>
            <w:vAlign w:val="center"/>
          </w:tcPr>
          <w:p w14:paraId="5569ACDB">
            <w:pPr>
              <w:spacing w:line="360" w:lineRule="auto"/>
              <w:contextualSpacing/>
              <w:jc w:val="center"/>
              <w:rPr>
                <w:rFonts w:ascii="宋体" w:hAnsi="宋体" w:cs="宋体"/>
                <w:sz w:val="24"/>
                <w:szCs w:val="20"/>
              </w:rPr>
            </w:pPr>
          </w:p>
        </w:tc>
        <w:tc>
          <w:tcPr>
            <w:tcW w:w="1701" w:type="dxa"/>
            <w:noWrap/>
            <w:vAlign w:val="center"/>
          </w:tcPr>
          <w:p w14:paraId="2E970DB3">
            <w:pPr>
              <w:spacing w:line="360" w:lineRule="auto"/>
              <w:contextualSpacing/>
              <w:jc w:val="center"/>
              <w:rPr>
                <w:rFonts w:ascii="宋体" w:hAnsi="宋体" w:cs="宋体"/>
                <w:sz w:val="24"/>
                <w:szCs w:val="20"/>
              </w:rPr>
            </w:pPr>
          </w:p>
        </w:tc>
        <w:tc>
          <w:tcPr>
            <w:tcW w:w="1420" w:type="dxa"/>
            <w:noWrap/>
            <w:vAlign w:val="center"/>
          </w:tcPr>
          <w:p w14:paraId="20B12989">
            <w:pPr>
              <w:spacing w:line="360" w:lineRule="auto"/>
              <w:contextualSpacing/>
              <w:jc w:val="center"/>
              <w:rPr>
                <w:rFonts w:ascii="宋体" w:hAnsi="宋体" w:cs="宋体"/>
                <w:sz w:val="24"/>
                <w:szCs w:val="20"/>
              </w:rPr>
            </w:pPr>
          </w:p>
        </w:tc>
        <w:tc>
          <w:tcPr>
            <w:tcW w:w="1698" w:type="dxa"/>
            <w:noWrap/>
            <w:vAlign w:val="center"/>
          </w:tcPr>
          <w:p w14:paraId="5F60DE95">
            <w:pPr>
              <w:spacing w:line="360" w:lineRule="auto"/>
              <w:contextualSpacing/>
              <w:jc w:val="center"/>
              <w:rPr>
                <w:rFonts w:ascii="宋体" w:hAnsi="宋体" w:cs="宋体"/>
                <w:sz w:val="24"/>
                <w:szCs w:val="20"/>
              </w:rPr>
            </w:pPr>
          </w:p>
        </w:tc>
        <w:tc>
          <w:tcPr>
            <w:tcW w:w="2692" w:type="dxa"/>
            <w:noWrap/>
            <w:vAlign w:val="center"/>
          </w:tcPr>
          <w:p w14:paraId="0B53842F">
            <w:pPr>
              <w:spacing w:line="360" w:lineRule="auto"/>
              <w:contextualSpacing/>
              <w:jc w:val="center"/>
              <w:rPr>
                <w:rFonts w:ascii="宋体" w:hAnsi="宋体" w:cs="宋体"/>
                <w:sz w:val="24"/>
                <w:szCs w:val="20"/>
              </w:rPr>
            </w:pPr>
          </w:p>
        </w:tc>
      </w:tr>
    </w:tbl>
    <w:p w14:paraId="3514F6F3">
      <w:pPr>
        <w:spacing w:line="360" w:lineRule="auto"/>
        <w:contextualSpacing/>
        <w:jc w:val="left"/>
        <w:rPr>
          <w:rFonts w:ascii="宋体" w:hAnsi="宋体" w:cs="宋体"/>
          <w:sz w:val="24"/>
          <w:szCs w:val="20"/>
        </w:rPr>
      </w:pPr>
      <w:r>
        <w:rPr>
          <w:rFonts w:hint="eastAsia" w:ascii="宋体" w:hAnsi="宋体" w:cs="宋体"/>
          <w:sz w:val="24"/>
          <w:szCs w:val="20"/>
        </w:rPr>
        <w:t>注：</w:t>
      </w:r>
    </w:p>
    <w:p w14:paraId="1AEB375F">
      <w:pPr>
        <w:spacing w:line="360" w:lineRule="auto"/>
        <w:contextualSpacing/>
        <w:jc w:val="left"/>
        <w:rPr>
          <w:rFonts w:ascii="宋体" w:hAnsi="宋体" w:cs="宋体"/>
          <w:sz w:val="24"/>
          <w:szCs w:val="20"/>
        </w:rPr>
      </w:pPr>
      <w:r>
        <w:rPr>
          <w:rFonts w:hint="eastAsia" w:ascii="宋体" w:hAnsi="宋体" w:cs="宋体"/>
          <w:sz w:val="24"/>
          <w:szCs w:val="20"/>
        </w:rPr>
        <w:t>1.在填写时，如本表格不适合供应商的实际情况，可根据本表格式自行制表填写。</w:t>
      </w:r>
    </w:p>
    <w:p w14:paraId="07770BDB">
      <w:pPr>
        <w:spacing w:line="360" w:lineRule="auto"/>
        <w:contextualSpacing/>
        <w:jc w:val="left"/>
        <w:rPr>
          <w:rFonts w:ascii="宋体" w:hAnsi="宋体" w:cs="宋体"/>
          <w:sz w:val="24"/>
          <w:szCs w:val="20"/>
        </w:rPr>
      </w:pPr>
      <w:r>
        <w:rPr>
          <w:rFonts w:hint="eastAsia" w:ascii="宋体" w:hAnsi="宋体" w:cs="宋体"/>
          <w:sz w:val="24"/>
          <w:szCs w:val="20"/>
        </w:rPr>
        <w:t>2.供应商应当附表所需要证件的复印件并加盖供应商公章或电子签章。</w:t>
      </w:r>
    </w:p>
    <w:p w14:paraId="39C9271D">
      <w:pPr>
        <w:spacing w:line="360" w:lineRule="auto"/>
        <w:contextualSpacing/>
        <w:rPr>
          <w:rFonts w:ascii="宋体" w:hAnsi="宋体" w:cs="宋体"/>
          <w:sz w:val="24"/>
        </w:rPr>
      </w:pPr>
    </w:p>
    <w:p w14:paraId="2A548FE2">
      <w:pPr>
        <w:spacing w:line="360" w:lineRule="auto"/>
        <w:contextualSpacing/>
        <w:rPr>
          <w:rFonts w:ascii="宋体" w:hAnsi="宋体" w:cs="宋体"/>
          <w:sz w:val="24"/>
        </w:rPr>
      </w:pPr>
    </w:p>
    <w:p w14:paraId="69BEA3A7">
      <w:pPr>
        <w:spacing w:line="360" w:lineRule="auto"/>
        <w:contextualSpacing/>
        <w:jc w:val="center"/>
        <w:rPr>
          <w:rFonts w:ascii="宋体" w:hAnsi="宋体" w:cs="宋体"/>
          <w:sz w:val="24"/>
        </w:rPr>
      </w:pPr>
    </w:p>
    <w:p w14:paraId="7A6CFC16">
      <w:pPr>
        <w:spacing w:line="360" w:lineRule="auto"/>
        <w:ind w:left="-2" w:right="-817" w:firstLine="1680" w:firstLineChars="700"/>
        <w:rPr>
          <w:rFonts w:ascii="宋体" w:hAnsi="宋体"/>
          <w:sz w:val="24"/>
          <w:highlight w:val="none"/>
        </w:rPr>
      </w:pPr>
      <w:r>
        <w:rPr>
          <w:rFonts w:hint="eastAsia" w:ascii="宋体" w:hAnsi="宋体"/>
          <w:sz w:val="24"/>
          <w:highlight w:val="none"/>
        </w:rPr>
        <w:t>法定代表人或者委托代理人（签字或者电子签名）：</w:t>
      </w:r>
    </w:p>
    <w:p w14:paraId="13DA7BBF">
      <w:pPr>
        <w:spacing w:line="360" w:lineRule="auto"/>
        <w:ind w:left="-3" w:right="-817" w:hanging="28"/>
        <w:rPr>
          <w:rFonts w:ascii="宋体" w:hAnsi="宋体"/>
          <w:sz w:val="24"/>
        </w:rPr>
      </w:pPr>
      <w:r>
        <w:rPr>
          <w:rFonts w:hint="eastAsia" w:ascii="宋体" w:hAnsi="宋体"/>
          <w:sz w:val="24"/>
        </w:rPr>
        <w:t xml:space="preserve">                                    供应商名称（电子签章）：</w:t>
      </w:r>
    </w:p>
    <w:p w14:paraId="4FADF462">
      <w:pPr>
        <w:spacing w:line="360" w:lineRule="auto"/>
        <w:jc w:val="left"/>
        <w:rPr>
          <w:rFonts w:ascii="宋体" w:hAnsi="宋体"/>
          <w:szCs w:val="21"/>
        </w:rPr>
      </w:pPr>
      <w:r>
        <w:rPr>
          <w:rFonts w:hint="eastAsia" w:ascii="宋体" w:hAnsi="宋体"/>
          <w:sz w:val="24"/>
        </w:rPr>
        <w:t xml:space="preserve">                                    日期：    年   月   日</w:t>
      </w:r>
    </w:p>
    <w:p w14:paraId="485954CF">
      <w:pPr>
        <w:rPr>
          <w:rFonts w:ascii="宋体" w:hAnsi="宋体"/>
          <w:b/>
          <w:bCs/>
          <w:sz w:val="24"/>
        </w:rPr>
      </w:pPr>
      <w:r>
        <w:rPr>
          <w:rFonts w:hint="eastAsia" w:ascii="宋体" w:hAnsi="宋体"/>
          <w:b/>
          <w:bCs/>
          <w:sz w:val="24"/>
        </w:rPr>
        <w:br w:type="page" w:clear="all"/>
      </w:r>
    </w:p>
    <w:p w14:paraId="32C3108A">
      <w:pPr>
        <w:spacing w:line="300" w:lineRule="auto"/>
        <w:rPr>
          <w:rFonts w:ascii="宋体" w:hAnsi="宋体"/>
          <w:szCs w:val="21"/>
        </w:rPr>
      </w:pPr>
      <w:r>
        <w:rPr>
          <w:rFonts w:hint="eastAsia" w:ascii="宋体" w:hAnsi="宋体"/>
          <w:b/>
          <w:bCs/>
          <w:sz w:val="24"/>
        </w:rPr>
        <w:t>其他文书、文件格式</w:t>
      </w:r>
    </w:p>
    <w:p w14:paraId="33FD4933">
      <w:pPr>
        <w:jc w:val="center"/>
        <w:rPr>
          <w:rFonts w:ascii="方正小标宋简体" w:hAnsi="方正小标宋简体" w:eastAsia="方正小标宋简体" w:cs="方正小标宋简体"/>
          <w:sz w:val="44"/>
          <w:szCs w:val="44"/>
        </w:rPr>
      </w:pPr>
      <w:bookmarkStart w:id="155" w:name="_Toc71365926"/>
      <w:r>
        <w:rPr>
          <w:rFonts w:hint="eastAsia" w:ascii="方正小标宋简体" w:hAnsi="方正小标宋简体" w:eastAsia="方正小标宋简体" w:cs="方正小标宋简体"/>
          <w:sz w:val="44"/>
          <w:szCs w:val="44"/>
        </w:rPr>
        <w:t>中小企业声明函（服务）</w:t>
      </w:r>
      <w:bookmarkEnd w:id="155"/>
    </w:p>
    <w:p w14:paraId="5F704506">
      <w:pPr>
        <w:spacing w:before="2" w:line="500" w:lineRule="exact"/>
        <w:ind w:firstLine="708"/>
        <w:rPr>
          <w:rFonts w:ascii="宋体" w:hAnsi="宋体" w:cs="宋体"/>
          <w:b/>
          <w:bCs/>
          <w:sz w:val="24"/>
        </w:rPr>
      </w:pPr>
    </w:p>
    <w:p w14:paraId="5A5B28FB">
      <w:pPr>
        <w:pStyle w:val="18"/>
        <w:spacing w:line="500" w:lineRule="exact"/>
        <w:ind w:right="142" w:firstLine="705"/>
        <w:rPr>
          <w:rFonts w:ascii="宋体" w:hAnsi="宋体"/>
          <w:sz w:val="24"/>
        </w:rPr>
      </w:pPr>
      <w:r>
        <w:rPr>
          <w:rFonts w:ascii="宋体" w:hAnsi="宋体"/>
          <w:sz w:val="24"/>
        </w:rPr>
        <w:t>本公司（联合体）郑重声明，根据《政府采购促进中小企业发展管理办法》（财库﹝2020﹞46号）的规定，本公司（联合体）参加</w:t>
      </w:r>
      <w:r>
        <w:rPr>
          <w:rFonts w:ascii="宋体" w:hAnsi="宋体"/>
          <w:sz w:val="24"/>
          <w:u w:val="single"/>
        </w:rPr>
        <w:t>（单位名称）</w:t>
      </w:r>
      <w:r>
        <w:rPr>
          <w:rFonts w:ascii="宋体" w:hAnsi="宋体"/>
          <w:sz w:val="24"/>
        </w:rPr>
        <w:t>的</w:t>
      </w:r>
      <w:r>
        <w:rPr>
          <w:rFonts w:ascii="宋体" w:hAnsi="宋体"/>
          <w:sz w:val="24"/>
          <w:u w:val="single"/>
        </w:rPr>
        <w:t>（项目名称）</w:t>
      </w:r>
      <w:r>
        <w:rPr>
          <w:rFonts w:ascii="宋体" w:hAnsi="宋体"/>
          <w:sz w:val="24"/>
        </w:rPr>
        <w:t>采购活动，</w:t>
      </w:r>
      <w:r>
        <w:rPr>
          <w:rFonts w:hint="eastAsia" w:ascii="宋体" w:hAnsi="宋体"/>
          <w:sz w:val="24"/>
        </w:rPr>
        <w:t>服务全部由符合政策要求的中小企业承接。相关企业（含联合体中的中小企业、签订分包意向协议的中小企业）的具体情况如下：</w:t>
      </w:r>
    </w:p>
    <w:p w14:paraId="4EB43AED">
      <w:pPr>
        <w:pStyle w:val="18"/>
        <w:spacing w:before="34" w:line="500" w:lineRule="exact"/>
        <w:ind w:right="142" w:firstLine="480"/>
        <w:rPr>
          <w:rFonts w:ascii="宋体" w:hAnsi="宋体"/>
          <w:sz w:val="24"/>
        </w:rPr>
      </w:pPr>
      <w:r>
        <w:rPr>
          <w:rFonts w:hint="eastAsia" w:ascii="宋体" w:hAnsi="宋体"/>
          <w:sz w:val="24"/>
          <w:u w:val="single"/>
        </w:rPr>
        <w:t>1.</w:t>
      </w:r>
      <w:r>
        <w:rPr>
          <w:rFonts w:ascii="宋体" w:hAnsi="宋体"/>
          <w:sz w:val="24"/>
          <w:u w:val="single"/>
        </w:rPr>
        <w:t>（标的名称）</w:t>
      </w:r>
      <w:r>
        <w:rPr>
          <w:rFonts w:ascii="宋体" w:hAnsi="宋体"/>
          <w:sz w:val="24"/>
        </w:rPr>
        <w:t>，属于</w:t>
      </w:r>
      <w:r>
        <w:rPr>
          <w:rFonts w:ascii="宋体" w:hAnsi="宋体"/>
          <w:sz w:val="24"/>
          <w:u w:val="single"/>
        </w:rPr>
        <w:t>（采购文件中明确的所属</w:t>
      </w:r>
      <w:r>
        <w:rPr>
          <w:rFonts w:hint="eastAsia" w:ascii="宋体" w:hAnsi="宋体"/>
          <w:sz w:val="24"/>
          <w:u w:val="single"/>
        </w:rPr>
        <w:t>行</w:t>
      </w:r>
      <w:r>
        <w:rPr>
          <w:rFonts w:ascii="宋体" w:hAnsi="宋体"/>
          <w:sz w:val="24"/>
          <w:u w:val="single"/>
        </w:rPr>
        <w:t>业）</w:t>
      </w:r>
      <w:r>
        <w:rPr>
          <w:rFonts w:ascii="宋体" w:hAnsi="宋体"/>
          <w:sz w:val="24"/>
        </w:rPr>
        <w:t>；</w:t>
      </w:r>
      <w:r>
        <w:rPr>
          <w:rFonts w:hint="eastAsia" w:ascii="宋体" w:hAnsi="宋体"/>
          <w:sz w:val="24"/>
        </w:rPr>
        <w:t>承接企业为</w:t>
      </w:r>
      <w:r>
        <w:rPr>
          <w:rFonts w:hint="eastAsia" w:ascii="宋体" w:hAnsi="宋体"/>
          <w:sz w:val="24"/>
          <w:u w:val="single"/>
        </w:rPr>
        <w:t>（企业名称）</w:t>
      </w:r>
      <w:r>
        <w:rPr>
          <w:rFonts w:hint="eastAsia" w:ascii="宋体" w:hAnsi="宋体"/>
          <w:sz w:val="24"/>
        </w:rPr>
        <w:t>，从业人员</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人，营业收入为</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万元，资产总额为</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万元</w:t>
      </w:r>
      <w:r>
        <w:rPr>
          <w:rFonts w:ascii="宋体" w:hAnsi="宋体"/>
          <w:sz w:val="24"/>
        </w:rPr>
        <w:t>，属于</w:t>
      </w:r>
      <w:r>
        <w:rPr>
          <w:rFonts w:ascii="宋体" w:hAnsi="宋体"/>
          <w:sz w:val="24"/>
          <w:u w:val="single"/>
        </w:rPr>
        <w:t>（中型企业、</w:t>
      </w:r>
      <w:r>
        <w:rPr>
          <w:rFonts w:hint="eastAsia" w:ascii="宋体" w:hAnsi="宋体"/>
          <w:sz w:val="24"/>
          <w:u w:val="single"/>
        </w:rPr>
        <w:t>小型企业、微型企业）</w:t>
      </w:r>
      <w:r>
        <w:rPr>
          <w:rFonts w:hint="eastAsia" w:ascii="宋体" w:hAnsi="宋体"/>
          <w:sz w:val="24"/>
        </w:rPr>
        <w:t>；</w:t>
      </w:r>
    </w:p>
    <w:p w14:paraId="2961FD9F">
      <w:pPr>
        <w:pStyle w:val="18"/>
        <w:spacing w:before="34" w:line="500" w:lineRule="exact"/>
        <w:ind w:right="142" w:firstLine="480"/>
        <w:rPr>
          <w:rFonts w:ascii="宋体" w:hAnsi="宋体"/>
          <w:sz w:val="24"/>
        </w:rPr>
      </w:pPr>
      <w:r>
        <w:rPr>
          <w:rFonts w:hint="eastAsia" w:ascii="宋体" w:hAnsi="宋体"/>
          <w:sz w:val="24"/>
          <w:u w:val="single"/>
        </w:rPr>
        <w:t>2.</w:t>
      </w:r>
      <w:r>
        <w:rPr>
          <w:rFonts w:ascii="宋体" w:hAnsi="宋体"/>
          <w:sz w:val="24"/>
          <w:u w:val="single"/>
        </w:rPr>
        <w:t>（标的名称）</w:t>
      </w:r>
      <w:r>
        <w:rPr>
          <w:rFonts w:ascii="宋体" w:hAnsi="宋体"/>
          <w:sz w:val="24"/>
        </w:rPr>
        <w:t>，属于</w:t>
      </w:r>
      <w:r>
        <w:rPr>
          <w:rFonts w:ascii="宋体" w:hAnsi="宋体"/>
          <w:sz w:val="24"/>
          <w:u w:val="single"/>
        </w:rPr>
        <w:t>（采购文件中明确的所属</w:t>
      </w:r>
      <w:r>
        <w:rPr>
          <w:rFonts w:hint="eastAsia" w:ascii="宋体" w:hAnsi="宋体"/>
          <w:sz w:val="24"/>
          <w:u w:val="single"/>
        </w:rPr>
        <w:t>行</w:t>
      </w:r>
      <w:r>
        <w:rPr>
          <w:rFonts w:ascii="宋体" w:hAnsi="宋体"/>
          <w:sz w:val="24"/>
          <w:u w:val="single"/>
        </w:rPr>
        <w:t>业）</w:t>
      </w:r>
      <w:r>
        <w:rPr>
          <w:rFonts w:ascii="宋体" w:hAnsi="宋体"/>
          <w:sz w:val="24"/>
        </w:rPr>
        <w:t>；</w:t>
      </w:r>
      <w:r>
        <w:rPr>
          <w:rFonts w:hint="eastAsia" w:ascii="宋体" w:hAnsi="宋体"/>
          <w:sz w:val="24"/>
        </w:rPr>
        <w:t>承接企业为</w:t>
      </w:r>
      <w:r>
        <w:rPr>
          <w:rFonts w:hint="eastAsia" w:ascii="宋体" w:hAnsi="宋体"/>
          <w:sz w:val="24"/>
          <w:u w:val="single"/>
        </w:rPr>
        <w:t>（企业名称）</w:t>
      </w:r>
      <w:r>
        <w:rPr>
          <w:rFonts w:hint="eastAsia" w:ascii="宋体" w:hAnsi="宋体"/>
          <w:sz w:val="24"/>
        </w:rPr>
        <w:t>，从业人员</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人，营业收入为</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万元，资产总额为</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万元</w:t>
      </w:r>
      <w:r>
        <w:rPr>
          <w:rFonts w:ascii="宋体" w:hAnsi="宋体"/>
          <w:sz w:val="24"/>
        </w:rPr>
        <w:t>，属于</w:t>
      </w:r>
      <w:r>
        <w:rPr>
          <w:rFonts w:ascii="宋体" w:hAnsi="宋体"/>
          <w:sz w:val="24"/>
          <w:u w:val="single"/>
        </w:rPr>
        <w:t>（中型企业、</w:t>
      </w:r>
      <w:r>
        <w:rPr>
          <w:rFonts w:hint="eastAsia" w:ascii="宋体" w:hAnsi="宋体"/>
          <w:sz w:val="24"/>
          <w:u w:val="single"/>
        </w:rPr>
        <w:t>小型企业、微型企业）</w:t>
      </w:r>
      <w:r>
        <w:rPr>
          <w:rFonts w:hint="eastAsia" w:ascii="宋体" w:hAnsi="宋体"/>
          <w:sz w:val="24"/>
        </w:rPr>
        <w:t>；</w:t>
      </w:r>
    </w:p>
    <w:p w14:paraId="61FDBB8D">
      <w:pPr>
        <w:pStyle w:val="18"/>
        <w:spacing w:before="34" w:line="500" w:lineRule="exact"/>
        <w:ind w:right="142" w:firstLine="480"/>
        <w:rPr>
          <w:rFonts w:ascii="宋体" w:hAnsi="宋体"/>
          <w:sz w:val="24"/>
        </w:rPr>
      </w:pPr>
      <w:r>
        <w:rPr>
          <w:rFonts w:ascii="宋体" w:hAnsi="宋体"/>
          <w:sz w:val="24"/>
        </w:rPr>
        <w:t xml:space="preserve">…… </w:t>
      </w:r>
    </w:p>
    <w:p w14:paraId="7EF44E26">
      <w:pPr>
        <w:pStyle w:val="18"/>
        <w:spacing w:before="34" w:line="500" w:lineRule="exact"/>
        <w:ind w:right="142" w:firstLine="705"/>
        <w:rPr>
          <w:rFonts w:ascii="宋体" w:hAnsi="宋体"/>
          <w:sz w:val="24"/>
        </w:rPr>
      </w:pPr>
      <w:r>
        <w:rPr>
          <w:rFonts w:ascii="宋体" w:hAnsi="宋体"/>
          <w:sz w:val="24"/>
        </w:rPr>
        <w:t>以上企业，不属于大企业的分支机构，不存在控股股东为大企业的情形，也不存在与大企业的负责人为同一人的情形。</w:t>
      </w:r>
    </w:p>
    <w:p w14:paraId="7898FDEE">
      <w:pPr>
        <w:pStyle w:val="18"/>
        <w:spacing w:before="25" w:line="500" w:lineRule="exact"/>
        <w:ind w:right="142" w:firstLine="705"/>
        <w:rPr>
          <w:rFonts w:ascii="宋体" w:hAnsi="宋体"/>
          <w:sz w:val="24"/>
        </w:rPr>
      </w:pPr>
      <w:r>
        <w:rPr>
          <w:rFonts w:ascii="宋体" w:hAnsi="宋体"/>
          <w:sz w:val="24"/>
        </w:rPr>
        <w:t>本企业对上述声明内容的真实性负责。如有虚假，将依法承担相应责任。</w:t>
      </w:r>
    </w:p>
    <w:p w14:paraId="27DE5B17">
      <w:pPr>
        <w:pStyle w:val="18"/>
        <w:spacing w:before="56" w:line="500" w:lineRule="exact"/>
        <w:ind w:right="1808" w:firstLine="705"/>
        <w:rPr>
          <w:rFonts w:ascii="宋体" w:hAnsi="宋体"/>
          <w:sz w:val="24"/>
        </w:rPr>
      </w:pPr>
    </w:p>
    <w:p w14:paraId="64B089D7">
      <w:pPr>
        <w:spacing w:line="360" w:lineRule="auto"/>
        <w:ind w:left="-3" w:right="-817" w:hanging="28"/>
        <w:rPr>
          <w:rFonts w:ascii="宋体" w:hAnsi="宋体"/>
          <w:sz w:val="24"/>
        </w:rPr>
      </w:pPr>
      <w:r>
        <w:rPr>
          <w:rFonts w:hint="eastAsia" w:ascii="宋体" w:hAnsi="宋体"/>
          <w:sz w:val="24"/>
        </w:rPr>
        <w:t xml:space="preserve">                                    供应商名称（电子签章）：</w:t>
      </w:r>
    </w:p>
    <w:p w14:paraId="05DC6E28">
      <w:pPr>
        <w:spacing w:line="360" w:lineRule="auto"/>
        <w:jc w:val="left"/>
        <w:rPr>
          <w:rFonts w:ascii="宋体" w:hAnsi="宋体"/>
          <w:szCs w:val="21"/>
        </w:rPr>
      </w:pPr>
      <w:r>
        <w:rPr>
          <w:rFonts w:hint="eastAsia" w:ascii="宋体" w:hAnsi="宋体"/>
          <w:sz w:val="24"/>
        </w:rPr>
        <w:t xml:space="preserve">                                    日期：    年   月   日</w:t>
      </w:r>
    </w:p>
    <w:p w14:paraId="4B0ACC88">
      <w:pPr>
        <w:spacing w:line="520" w:lineRule="exact"/>
        <w:jc w:val="left"/>
        <w:rPr>
          <w:rFonts w:ascii="宋体" w:hAnsi="宋体" w:cs="仿宋_GB2312"/>
          <w:sz w:val="24"/>
        </w:rPr>
      </w:pPr>
      <w:r>
        <w:rPr>
          <w:rFonts w:hint="eastAsia" w:ascii="宋体" w:hAnsi="宋体" w:cs="仿宋_GB2312"/>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4A34F476">
      <w:pPr>
        <w:spacing w:line="520" w:lineRule="exact"/>
        <w:jc w:val="center"/>
        <w:rPr>
          <w:rFonts w:ascii="仿宋_GB2312" w:hAnsi="仿宋_GB2312" w:eastAsia="仿宋_GB2312" w:cs="仿宋_GB2312"/>
          <w:sz w:val="32"/>
          <w:szCs w:val="32"/>
        </w:rPr>
      </w:pPr>
      <w:r>
        <w:rPr>
          <w:rFonts w:ascii="宋体" w:hAnsi="宋体"/>
          <w:sz w:val="24"/>
        </w:rPr>
        <w:br w:type="page" w:clear="all"/>
      </w:r>
      <w:r>
        <w:rPr>
          <w:rFonts w:hint="eastAsia" w:ascii="方正小标宋简体" w:hAnsi="方正小标宋简体" w:eastAsia="方正小标宋简体" w:cs="方正小标宋简体"/>
          <w:sz w:val="44"/>
          <w:szCs w:val="44"/>
        </w:rPr>
        <w:t>残疾人福利性单位声明函</w:t>
      </w:r>
    </w:p>
    <w:p w14:paraId="31CBA70A">
      <w:pPr>
        <w:spacing w:line="360" w:lineRule="auto"/>
        <w:contextualSpacing/>
        <w:rPr>
          <w:rFonts w:ascii="仿宋_GB2312" w:hAnsi="仿宋_GB2312" w:eastAsia="仿宋_GB2312" w:cs="仿宋_GB2312"/>
          <w:sz w:val="32"/>
          <w:szCs w:val="32"/>
        </w:rPr>
      </w:pPr>
    </w:p>
    <w:p w14:paraId="436DD395">
      <w:pPr>
        <w:spacing w:line="360" w:lineRule="auto"/>
        <w:ind w:firstLine="480"/>
        <w:contextualSpacing/>
        <w:rPr>
          <w:rFonts w:ascii="宋体" w:hAnsi="宋体" w:cs="仿宋_GB2312"/>
          <w:sz w:val="24"/>
        </w:rPr>
      </w:pPr>
      <w:r>
        <w:rPr>
          <w:rFonts w:hint="eastAsia" w:ascii="宋体" w:hAnsi="宋体" w:cs="仿宋_GB2312"/>
          <w:sz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sz w:val="24"/>
          <w:u w:val="single"/>
        </w:rPr>
        <w:t xml:space="preserve">       </w:t>
      </w:r>
      <w:r>
        <w:rPr>
          <w:rFonts w:hint="eastAsia" w:ascii="宋体" w:hAnsi="宋体" w:cs="仿宋_GB2312"/>
          <w:sz w:val="24"/>
        </w:rPr>
        <w:t>单位的</w:t>
      </w:r>
      <w:r>
        <w:rPr>
          <w:rFonts w:hint="eastAsia" w:ascii="宋体" w:hAnsi="宋体" w:cs="仿宋_GB2312"/>
          <w:sz w:val="24"/>
          <w:u w:val="single"/>
        </w:rPr>
        <w:t xml:space="preserve">        </w:t>
      </w:r>
      <w:r>
        <w:rPr>
          <w:rFonts w:hint="eastAsia" w:ascii="宋体" w:hAnsi="宋体" w:cs="仿宋_GB2312"/>
          <w:sz w:val="24"/>
        </w:rPr>
        <w:t>项目采购活动提供本单位制造的货物（由本单位承担工程/提供服务），或者提供其他残疾人福利性单位制造的货物（不包括使用非残疾人福利性单位注册商标的货物）。</w:t>
      </w:r>
    </w:p>
    <w:p w14:paraId="0CEBFBB7">
      <w:pPr>
        <w:spacing w:line="360" w:lineRule="auto"/>
        <w:ind w:firstLine="480"/>
        <w:contextualSpacing/>
        <w:rPr>
          <w:rFonts w:ascii="宋体" w:hAnsi="宋体" w:cs="仿宋_GB2312"/>
          <w:sz w:val="24"/>
        </w:rPr>
      </w:pPr>
      <w:r>
        <w:rPr>
          <w:rFonts w:hint="eastAsia" w:ascii="宋体" w:hAnsi="宋体" w:cs="仿宋_GB2312"/>
          <w:sz w:val="24"/>
        </w:rPr>
        <w:t>本单位对上述声明的真实性负责。如有虚假，将依法承担相应责任。</w:t>
      </w:r>
    </w:p>
    <w:p w14:paraId="180560D9">
      <w:pPr>
        <w:spacing w:line="360" w:lineRule="auto"/>
        <w:contextualSpacing/>
        <w:rPr>
          <w:rFonts w:ascii="宋体" w:hAnsi="宋体" w:cs="仿宋_GB2312"/>
          <w:sz w:val="24"/>
        </w:rPr>
      </w:pPr>
    </w:p>
    <w:p w14:paraId="02140954">
      <w:pPr>
        <w:spacing w:line="360" w:lineRule="auto"/>
        <w:contextualSpacing/>
        <w:rPr>
          <w:rFonts w:ascii="宋体" w:hAnsi="宋体" w:cs="仿宋_GB2312"/>
          <w:sz w:val="24"/>
        </w:rPr>
      </w:pPr>
    </w:p>
    <w:p w14:paraId="7349918F">
      <w:pPr>
        <w:spacing w:line="360" w:lineRule="auto"/>
        <w:contextualSpacing/>
        <w:rPr>
          <w:rFonts w:ascii="宋体" w:hAnsi="宋体" w:cs="仿宋_GB2312"/>
          <w:sz w:val="24"/>
        </w:rPr>
      </w:pPr>
    </w:p>
    <w:p w14:paraId="6420680B">
      <w:pPr>
        <w:spacing w:line="360" w:lineRule="auto"/>
        <w:ind w:left="-3" w:right="-817" w:hanging="28"/>
        <w:rPr>
          <w:rFonts w:ascii="宋体" w:hAnsi="宋体"/>
          <w:sz w:val="24"/>
        </w:rPr>
      </w:pPr>
      <w:r>
        <w:rPr>
          <w:rFonts w:hint="eastAsia" w:ascii="宋体" w:hAnsi="宋体"/>
          <w:sz w:val="24"/>
        </w:rPr>
        <w:t xml:space="preserve">                                    供应商名称（电子签章）：</w:t>
      </w:r>
    </w:p>
    <w:p w14:paraId="2107B518">
      <w:pPr>
        <w:spacing w:line="360" w:lineRule="auto"/>
        <w:jc w:val="left"/>
        <w:rPr>
          <w:rFonts w:ascii="宋体" w:hAnsi="宋体"/>
          <w:szCs w:val="21"/>
        </w:rPr>
      </w:pPr>
      <w:r>
        <w:rPr>
          <w:rFonts w:hint="eastAsia" w:ascii="宋体" w:hAnsi="宋体"/>
          <w:sz w:val="24"/>
        </w:rPr>
        <w:t xml:space="preserve">                                    日期：    年   月   日</w:t>
      </w:r>
    </w:p>
    <w:p w14:paraId="4F62E779">
      <w:pPr>
        <w:spacing w:line="360" w:lineRule="auto"/>
        <w:contextualSpacing/>
        <w:rPr>
          <w:rFonts w:ascii="宋体" w:hAnsi="宋体" w:cs="仿宋_GB2312"/>
          <w:sz w:val="24"/>
        </w:rPr>
      </w:pPr>
    </w:p>
    <w:p w14:paraId="5194D745">
      <w:pPr>
        <w:spacing w:line="360" w:lineRule="auto"/>
        <w:contextualSpacing/>
        <w:rPr>
          <w:rFonts w:ascii="宋体" w:hAnsi="宋体" w:cs="仿宋_GB2312"/>
          <w:sz w:val="24"/>
        </w:rPr>
      </w:pPr>
    </w:p>
    <w:p w14:paraId="1C91F5FC">
      <w:pPr>
        <w:spacing w:line="360" w:lineRule="auto"/>
        <w:contextualSpacing/>
        <w:rPr>
          <w:rFonts w:ascii="宋体" w:hAnsi="宋体" w:cs="仿宋_GB2312"/>
          <w:sz w:val="24"/>
        </w:rPr>
      </w:pPr>
    </w:p>
    <w:p w14:paraId="780BB5C0">
      <w:pPr>
        <w:spacing w:line="360" w:lineRule="auto"/>
        <w:contextualSpacing/>
        <w:rPr>
          <w:rFonts w:ascii="宋体" w:hAnsi="宋体" w:cs="仿宋_GB2312"/>
          <w:sz w:val="24"/>
        </w:rPr>
      </w:pPr>
      <w:r>
        <w:rPr>
          <w:rFonts w:hint="eastAsia" w:ascii="宋体" w:hAnsi="宋体" w:cs="仿宋_GB2312"/>
          <w:sz w:val="24"/>
        </w:rPr>
        <w:t>注：请根据自己的真实情况出具《残疾人福利性单位声明函》。依法享受中小企业优惠政策的，采购人或者采购代理机构在公告成交结果时，同时公告其《残疾人福利性单位声明函》，接受社会监督。</w:t>
      </w:r>
    </w:p>
    <w:p w14:paraId="6684B209">
      <w:pPr>
        <w:rPr>
          <w:rFonts w:ascii="宋体" w:hAnsi="宋体" w:cs="仿宋_GB2312"/>
          <w:sz w:val="24"/>
        </w:rPr>
      </w:pPr>
      <w:r>
        <w:rPr>
          <w:rFonts w:hint="eastAsia" w:ascii="宋体" w:hAnsi="宋体" w:cs="仿宋_GB2312"/>
          <w:sz w:val="24"/>
        </w:rPr>
        <w:br w:type="page" w:clear="all"/>
      </w:r>
    </w:p>
    <w:p w14:paraId="0DD410EC">
      <w:pPr>
        <w:spacing w:line="360" w:lineRule="auto"/>
        <w:jc w:val="center"/>
        <w:rPr>
          <w:rFonts w:ascii="宋体" w:hAnsi="宋体" w:cs="仿宋_GB2312"/>
          <w:sz w:val="24"/>
        </w:rPr>
      </w:pPr>
    </w:p>
    <w:p w14:paraId="58D3BFEF">
      <w:pPr>
        <w:spacing w:line="360" w:lineRule="auto"/>
        <w:jc w:val="center"/>
        <w:rPr>
          <w:rFonts w:ascii="宋体" w:hAnsi="宋体"/>
          <w:b/>
          <w:bCs/>
          <w:sz w:val="32"/>
          <w:szCs w:val="32"/>
        </w:rPr>
      </w:pPr>
      <w:r>
        <w:rPr>
          <w:rFonts w:hint="eastAsia" w:ascii="方正小标宋简体" w:hAnsi="方正小标宋简体" w:eastAsia="方正小标宋简体" w:cs="方正小标宋简体"/>
          <w:sz w:val="44"/>
          <w:szCs w:val="44"/>
        </w:rPr>
        <w:t>质疑函（格式）</w:t>
      </w:r>
    </w:p>
    <w:p w14:paraId="5F1A4D8D">
      <w:pPr>
        <w:pStyle w:val="24"/>
        <w:spacing w:line="360" w:lineRule="auto"/>
        <w:ind w:firstLine="482"/>
        <w:contextualSpacing/>
        <w:rPr>
          <w:rFonts w:hAnsi="宋体"/>
          <w:b/>
          <w:bCs/>
          <w:sz w:val="24"/>
          <w:szCs w:val="24"/>
        </w:rPr>
      </w:pPr>
      <w:r>
        <w:rPr>
          <w:rFonts w:hint="eastAsia" w:hAnsi="宋体"/>
          <w:b/>
          <w:bCs/>
          <w:sz w:val="24"/>
          <w:szCs w:val="24"/>
        </w:rPr>
        <w:t>一、质疑供应商基本信息：</w:t>
      </w:r>
    </w:p>
    <w:p w14:paraId="3391605B">
      <w:pPr>
        <w:pStyle w:val="24"/>
        <w:spacing w:line="360" w:lineRule="auto"/>
        <w:ind w:firstLine="480"/>
        <w:contextualSpacing/>
        <w:rPr>
          <w:rFonts w:hAnsi="宋体"/>
          <w:bCs/>
          <w:sz w:val="24"/>
          <w:szCs w:val="24"/>
          <w:u w:val="single"/>
        </w:rPr>
      </w:pPr>
      <w:r>
        <w:rPr>
          <w:rFonts w:hint="eastAsia" w:hAnsi="宋体"/>
          <w:bCs/>
          <w:sz w:val="24"/>
          <w:szCs w:val="24"/>
        </w:rPr>
        <w:t>质疑供应商：</w:t>
      </w:r>
      <w:r>
        <w:rPr>
          <w:rFonts w:hint="eastAsia" w:hAnsi="宋体"/>
          <w:bCs/>
          <w:sz w:val="24"/>
          <w:szCs w:val="24"/>
          <w:u w:val="single"/>
        </w:rPr>
        <w:t xml:space="preserve">                                       </w:t>
      </w:r>
      <w:r>
        <w:rPr>
          <w:rFonts w:hint="eastAsia" w:hAnsi="宋体"/>
          <w:bCs/>
          <w:sz w:val="24"/>
          <w:szCs w:val="24"/>
        </w:rPr>
        <w:t xml:space="preserve">                 </w:t>
      </w:r>
    </w:p>
    <w:p w14:paraId="551F2179">
      <w:pPr>
        <w:pStyle w:val="24"/>
        <w:spacing w:line="360" w:lineRule="auto"/>
        <w:ind w:firstLine="480"/>
        <w:contextualSpacing/>
        <w:rPr>
          <w:rFonts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736A97D9">
      <w:pPr>
        <w:pStyle w:val="24"/>
        <w:spacing w:line="360" w:lineRule="auto"/>
        <w:ind w:firstLine="480"/>
        <w:contextualSpacing/>
        <w:rPr>
          <w:rFonts w:hAnsi="宋体"/>
          <w:bCs/>
          <w:sz w:val="24"/>
          <w:szCs w:val="24"/>
        </w:rPr>
      </w:pPr>
      <w:r>
        <w:rPr>
          <w:rFonts w:hAnsi="宋体"/>
          <w:bCs/>
          <w:sz w:val="24"/>
          <w:szCs w:val="24"/>
        </w:rPr>
        <w:t>联系人</w:t>
      </w:r>
      <w:r>
        <w:rPr>
          <w:rFonts w:hint="eastAsia" w:hAnsi="宋体"/>
          <w:bCs/>
          <w:sz w:val="24"/>
          <w:szCs w:val="24"/>
        </w:rPr>
        <w:t>：</w:t>
      </w:r>
      <w:r>
        <w:rPr>
          <w:rFonts w:hint="eastAsia" w:hAnsi="宋体"/>
          <w:bCs/>
          <w:sz w:val="24"/>
          <w:szCs w:val="24"/>
          <w:u w:val="single"/>
        </w:rPr>
        <w:t xml:space="preserve">                     </w:t>
      </w:r>
      <w:r>
        <w:rPr>
          <w:rFonts w:hAnsi="宋体"/>
          <w:bCs/>
          <w:sz w:val="24"/>
          <w:szCs w:val="24"/>
        </w:rPr>
        <w:t>联系电话</w:t>
      </w:r>
      <w:r>
        <w:rPr>
          <w:rFonts w:hint="eastAsia" w:hAnsi="宋体"/>
          <w:bCs/>
          <w:sz w:val="24"/>
          <w:szCs w:val="24"/>
        </w:rPr>
        <w:t>：</w:t>
      </w:r>
      <w:r>
        <w:rPr>
          <w:rFonts w:hint="eastAsia" w:hAnsi="宋体"/>
          <w:bCs/>
          <w:sz w:val="24"/>
          <w:szCs w:val="24"/>
          <w:u w:val="single"/>
        </w:rPr>
        <w:t xml:space="preserve">                 </w:t>
      </w:r>
    </w:p>
    <w:p w14:paraId="600FB894">
      <w:pPr>
        <w:pStyle w:val="24"/>
        <w:spacing w:line="360" w:lineRule="auto"/>
        <w:ind w:firstLine="480"/>
        <w:contextualSpacing/>
        <w:rPr>
          <w:rFonts w:hAnsi="宋体"/>
          <w:bCs/>
          <w:sz w:val="24"/>
          <w:szCs w:val="24"/>
        </w:rPr>
      </w:pPr>
      <w:r>
        <w:rPr>
          <w:rFonts w:hint="eastAsia" w:hAnsi="宋体"/>
          <w:bCs/>
          <w:sz w:val="24"/>
          <w:szCs w:val="24"/>
        </w:rPr>
        <w:t>授权代表：</w:t>
      </w:r>
      <w:r>
        <w:rPr>
          <w:rFonts w:hint="eastAsia" w:hAnsi="宋体"/>
          <w:bCs/>
          <w:sz w:val="24"/>
          <w:szCs w:val="24"/>
          <w:u w:val="single"/>
        </w:rPr>
        <w:t xml:space="preserve">                      </w:t>
      </w:r>
    </w:p>
    <w:p w14:paraId="0FC1BBEA">
      <w:pPr>
        <w:pStyle w:val="24"/>
        <w:spacing w:line="360" w:lineRule="auto"/>
        <w:ind w:firstLine="480"/>
        <w:contextualSpacing/>
        <w:rPr>
          <w:rFonts w:hAnsi="宋体"/>
          <w:bCs/>
          <w:sz w:val="24"/>
          <w:szCs w:val="24"/>
          <w:u w:val="single"/>
        </w:rPr>
      </w:pP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1D19182A">
      <w:pPr>
        <w:pStyle w:val="24"/>
        <w:spacing w:line="360" w:lineRule="auto"/>
        <w:ind w:firstLine="480"/>
        <w:contextualSpacing/>
        <w:rPr>
          <w:rFonts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5BC4D43F">
      <w:pPr>
        <w:pStyle w:val="24"/>
        <w:spacing w:line="360" w:lineRule="auto"/>
        <w:ind w:firstLine="482"/>
        <w:contextualSpacing/>
        <w:rPr>
          <w:rFonts w:hAnsi="宋体"/>
          <w:b/>
          <w:bCs/>
          <w:sz w:val="24"/>
          <w:szCs w:val="24"/>
        </w:rPr>
      </w:pPr>
      <w:r>
        <w:rPr>
          <w:rFonts w:hint="eastAsia" w:hAnsi="宋体"/>
          <w:b/>
          <w:bCs/>
          <w:sz w:val="24"/>
          <w:szCs w:val="24"/>
        </w:rPr>
        <w:t>二、质疑项目基本情况：</w:t>
      </w:r>
    </w:p>
    <w:p w14:paraId="04E5E1AE">
      <w:pPr>
        <w:pStyle w:val="24"/>
        <w:spacing w:line="360" w:lineRule="auto"/>
        <w:ind w:left="25" w:firstLine="472"/>
        <w:contextualSpacing/>
        <w:rPr>
          <w:rFonts w:hAnsi="宋体"/>
          <w:sz w:val="24"/>
          <w:szCs w:val="24"/>
        </w:rPr>
      </w:pPr>
      <w:r>
        <w:rPr>
          <w:rFonts w:hint="eastAsia" w:hAnsi="宋体"/>
          <w:bCs/>
          <w:sz w:val="24"/>
          <w:szCs w:val="24"/>
        </w:rPr>
        <w:t>质疑</w:t>
      </w:r>
      <w:r>
        <w:rPr>
          <w:rFonts w:hint="eastAsia" w:hAnsi="宋体"/>
          <w:sz w:val="24"/>
          <w:szCs w:val="24"/>
        </w:rPr>
        <w:t>项目的名称：</w:t>
      </w:r>
      <w:r>
        <w:rPr>
          <w:rFonts w:hint="eastAsia" w:hAnsi="宋体"/>
          <w:bCs/>
          <w:sz w:val="24"/>
          <w:szCs w:val="24"/>
          <w:u w:val="single"/>
        </w:rPr>
        <w:t xml:space="preserve">                                     </w:t>
      </w:r>
    </w:p>
    <w:p w14:paraId="1B5B481F">
      <w:pPr>
        <w:pStyle w:val="24"/>
        <w:spacing w:line="360" w:lineRule="auto"/>
        <w:ind w:left="25" w:firstLine="472"/>
        <w:contextualSpacing/>
        <w:rPr>
          <w:rFonts w:hAnsi="宋体"/>
          <w:sz w:val="24"/>
          <w:szCs w:val="24"/>
        </w:rPr>
      </w:pPr>
      <w:r>
        <w:rPr>
          <w:rFonts w:hint="eastAsia" w:hAnsi="宋体"/>
          <w:bCs/>
          <w:sz w:val="24"/>
          <w:szCs w:val="24"/>
        </w:rPr>
        <w:t>质疑</w:t>
      </w:r>
      <w:r>
        <w:rPr>
          <w:rFonts w:hint="eastAsia" w:hAnsi="宋体"/>
          <w:sz w:val="24"/>
          <w:szCs w:val="24"/>
        </w:rPr>
        <w:t>项目的编号：</w:t>
      </w:r>
      <w:r>
        <w:rPr>
          <w:rFonts w:hint="eastAsia" w:hAnsi="宋体"/>
          <w:bCs/>
          <w:sz w:val="24"/>
          <w:szCs w:val="24"/>
          <w:u w:val="single"/>
        </w:rPr>
        <w:t xml:space="preserve">                                     </w:t>
      </w:r>
    </w:p>
    <w:p w14:paraId="361CD20E">
      <w:pPr>
        <w:pStyle w:val="24"/>
        <w:spacing w:line="360" w:lineRule="auto"/>
        <w:ind w:left="25" w:firstLine="472"/>
        <w:contextualSpacing/>
        <w:rPr>
          <w:rFonts w:hAnsi="宋体"/>
          <w:sz w:val="24"/>
          <w:szCs w:val="24"/>
        </w:rPr>
      </w:pPr>
      <w:r>
        <w:rPr>
          <w:rFonts w:hint="eastAsia" w:hAnsi="宋体"/>
          <w:sz w:val="24"/>
          <w:szCs w:val="24"/>
        </w:rPr>
        <w:t>采购人名称：</w:t>
      </w:r>
      <w:r>
        <w:rPr>
          <w:rFonts w:hint="eastAsia" w:hAnsi="宋体"/>
          <w:bCs/>
          <w:sz w:val="24"/>
          <w:szCs w:val="24"/>
          <w:u w:val="single"/>
        </w:rPr>
        <w:t xml:space="preserve">                                         </w:t>
      </w:r>
    </w:p>
    <w:p w14:paraId="3C7302EF">
      <w:pPr>
        <w:pStyle w:val="24"/>
        <w:spacing w:line="360" w:lineRule="auto"/>
        <w:ind w:left="25" w:firstLine="472"/>
        <w:contextualSpacing/>
        <w:rPr>
          <w:rFonts w:hAnsi="宋体"/>
          <w:sz w:val="24"/>
          <w:szCs w:val="24"/>
        </w:rPr>
      </w:pPr>
      <w:r>
        <w:rPr>
          <w:rFonts w:hint="eastAsia" w:hAnsi="宋体"/>
          <w:sz w:val="24"/>
          <w:szCs w:val="24"/>
        </w:rPr>
        <w:t>质疑事项：</w:t>
      </w:r>
    </w:p>
    <w:p w14:paraId="2D1CD55C">
      <w:pPr>
        <w:pStyle w:val="24"/>
        <w:spacing w:line="360" w:lineRule="auto"/>
        <w:ind w:left="25" w:firstLine="352"/>
        <w:contextualSpacing/>
        <w:rPr>
          <w:rFonts w:hAnsi="宋体"/>
          <w:sz w:val="24"/>
          <w:szCs w:val="24"/>
        </w:rPr>
      </w:pPr>
      <w:r>
        <w:rPr>
          <w:rFonts w:hint="eastAsia" w:hAnsi="宋体"/>
          <w:sz w:val="24"/>
          <w:szCs w:val="24"/>
        </w:rPr>
        <w:t>□采购文件   采购文件获取日期：</w:t>
      </w:r>
      <w:r>
        <w:rPr>
          <w:rFonts w:hint="eastAsia" w:hAnsi="宋体"/>
          <w:bCs/>
          <w:sz w:val="24"/>
          <w:szCs w:val="24"/>
          <w:u w:val="single"/>
        </w:rPr>
        <w:t xml:space="preserve">                                   </w:t>
      </w:r>
    </w:p>
    <w:p w14:paraId="24967883">
      <w:pPr>
        <w:pStyle w:val="24"/>
        <w:spacing w:line="360" w:lineRule="auto"/>
        <w:ind w:left="25" w:firstLine="352"/>
        <w:contextualSpacing/>
        <w:rPr>
          <w:rFonts w:hAnsi="宋体"/>
          <w:sz w:val="24"/>
          <w:szCs w:val="24"/>
        </w:rPr>
      </w:pPr>
      <w:r>
        <w:rPr>
          <w:rFonts w:hint="eastAsia" w:hAnsi="宋体"/>
          <w:sz w:val="24"/>
          <w:szCs w:val="24"/>
        </w:rPr>
        <w:t xml:space="preserve">□采购过程   </w:t>
      </w:r>
    </w:p>
    <w:p w14:paraId="146B350B">
      <w:pPr>
        <w:pStyle w:val="24"/>
        <w:spacing w:line="360" w:lineRule="auto"/>
        <w:ind w:left="25" w:firstLine="352"/>
        <w:contextualSpacing/>
        <w:rPr>
          <w:rFonts w:hAnsi="宋体"/>
          <w:bCs/>
          <w:sz w:val="24"/>
          <w:szCs w:val="24"/>
          <w:u w:val="single"/>
        </w:rPr>
      </w:pPr>
      <w:r>
        <w:rPr>
          <w:rFonts w:hint="eastAsia" w:hAnsi="宋体"/>
          <w:sz w:val="24"/>
          <w:szCs w:val="24"/>
        </w:rPr>
        <w:t xml:space="preserve">□成交结果   </w:t>
      </w:r>
    </w:p>
    <w:p w14:paraId="4B95B2ED">
      <w:pPr>
        <w:pStyle w:val="24"/>
        <w:spacing w:line="360" w:lineRule="auto"/>
        <w:ind w:left="25" w:firstLine="472"/>
        <w:contextualSpacing/>
        <w:rPr>
          <w:rFonts w:hAnsi="宋体"/>
          <w:b/>
          <w:sz w:val="24"/>
          <w:szCs w:val="24"/>
        </w:rPr>
      </w:pPr>
      <w:r>
        <w:rPr>
          <w:rFonts w:hint="eastAsia" w:hAnsi="宋体"/>
          <w:b/>
          <w:sz w:val="24"/>
          <w:szCs w:val="24"/>
        </w:rPr>
        <w:t>三、质疑事项具体内容</w:t>
      </w:r>
    </w:p>
    <w:p w14:paraId="4FEE6AF8">
      <w:pPr>
        <w:pStyle w:val="24"/>
        <w:spacing w:line="360" w:lineRule="auto"/>
        <w:ind w:left="25" w:firstLine="472"/>
        <w:contextualSpacing/>
        <w:rPr>
          <w:rFonts w:hAnsi="宋体"/>
          <w:sz w:val="24"/>
          <w:szCs w:val="24"/>
        </w:rPr>
      </w:pPr>
      <w:r>
        <w:rPr>
          <w:rFonts w:hint="eastAsia" w:hAnsi="宋体"/>
          <w:sz w:val="24"/>
          <w:szCs w:val="24"/>
        </w:rPr>
        <w:t>质疑事项1：</w:t>
      </w:r>
      <w:r>
        <w:rPr>
          <w:rFonts w:hint="eastAsia" w:hAnsi="宋体"/>
          <w:bCs/>
          <w:sz w:val="24"/>
          <w:szCs w:val="24"/>
          <w:u w:val="single"/>
        </w:rPr>
        <w:t xml:space="preserve">                                                                    </w:t>
      </w:r>
    </w:p>
    <w:p w14:paraId="4508FE77">
      <w:pPr>
        <w:pStyle w:val="24"/>
        <w:spacing w:line="360" w:lineRule="auto"/>
        <w:ind w:left="25" w:firstLine="472"/>
        <w:contextualSpacing/>
        <w:rPr>
          <w:rFonts w:hAnsi="宋体"/>
          <w:sz w:val="24"/>
          <w:szCs w:val="24"/>
        </w:rPr>
      </w:pPr>
      <w:r>
        <w:rPr>
          <w:rFonts w:hint="eastAsia" w:hAnsi="宋体"/>
          <w:sz w:val="24"/>
          <w:szCs w:val="24"/>
        </w:rPr>
        <w:t>事实依据：</w:t>
      </w:r>
      <w:r>
        <w:rPr>
          <w:rFonts w:hint="eastAsia" w:hAnsi="宋体"/>
          <w:bCs/>
          <w:sz w:val="24"/>
          <w:szCs w:val="24"/>
          <w:u w:val="single"/>
        </w:rPr>
        <w:t xml:space="preserve">                                                                      </w:t>
      </w:r>
    </w:p>
    <w:p w14:paraId="307E6791">
      <w:pPr>
        <w:pStyle w:val="24"/>
        <w:spacing w:line="360" w:lineRule="auto"/>
        <w:ind w:left="25" w:firstLine="472"/>
        <w:contextualSpacing/>
        <w:rPr>
          <w:rFonts w:hAnsi="宋体"/>
          <w:sz w:val="24"/>
          <w:szCs w:val="24"/>
        </w:rPr>
      </w:pPr>
      <w:r>
        <w:rPr>
          <w:rFonts w:hint="eastAsia" w:hAnsi="宋体"/>
          <w:sz w:val="24"/>
          <w:szCs w:val="24"/>
        </w:rPr>
        <w:t>法律依据：</w:t>
      </w:r>
      <w:r>
        <w:rPr>
          <w:rFonts w:hint="eastAsia" w:hAnsi="宋体"/>
          <w:sz w:val="24"/>
          <w:szCs w:val="24"/>
          <w:u w:val="single"/>
        </w:rPr>
        <w:t xml:space="preserve">                                                        </w:t>
      </w:r>
      <w:r>
        <w:rPr>
          <w:rFonts w:hint="eastAsia" w:hAnsi="宋体"/>
          <w:bCs/>
          <w:sz w:val="24"/>
          <w:szCs w:val="24"/>
          <w:u w:val="single"/>
        </w:rPr>
        <w:t xml:space="preserve">               </w:t>
      </w:r>
    </w:p>
    <w:p w14:paraId="41D682D4">
      <w:pPr>
        <w:pStyle w:val="24"/>
        <w:spacing w:line="360" w:lineRule="auto"/>
        <w:ind w:left="25" w:firstLine="472"/>
        <w:contextualSpacing/>
        <w:rPr>
          <w:rFonts w:hAnsi="宋体"/>
          <w:sz w:val="24"/>
          <w:szCs w:val="24"/>
        </w:rPr>
      </w:pPr>
      <w:r>
        <w:rPr>
          <w:rFonts w:hint="eastAsia" w:hAnsi="宋体"/>
          <w:sz w:val="24"/>
          <w:szCs w:val="24"/>
        </w:rPr>
        <w:t>质疑事项2</w:t>
      </w:r>
    </w:p>
    <w:p w14:paraId="18BD0007">
      <w:pPr>
        <w:pStyle w:val="24"/>
        <w:spacing w:line="360" w:lineRule="auto"/>
        <w:ind w:left="25" w:firstLine="472"/>
        <w:contextualSpacing/>
        <w:rPr>
          <w:rFonts w:hAnsi="宋体"/>
          <w:sz w:val="24"/>
          <w:szCs w:val="24"/>
        </w:rPr>
      </w:pPr>
      <w:r>
        <w:rPr>
          <w:rFonts w:hAnsi="宋体"/>
          <w:sz w:val="24"/>
          <w:szCs w:val="24"/>
        </w:rPr>
        <w:t>……</w:t>
      </w:r>
    </w:p>
    <w:p w14:paraId="3E0AB570">
      <w:pPr>
        <w:pStyle w:val="24"/>
        <w:spacing w:line="360" w:lineRule="auto"/>
        <w:ind w:left="25" w:firstLine="472"/>
        <w:contextualSpacing/>
        <w:rPr>
          <w:rFonts w:hAnsi="宋体"/>
          <w:sz w:val="24"/>
          <w:szCs w:val="24"/>
        </w:rPr>
      </w:pPr>
      <w:r>
        <w:rPr>
          <w:rFonts w:hint="eastAsia" w:hAnsi="宋体"/>
          <w:sz w:val="24"/>
          <w:szCs w:val="24"/>
        </w:rPr>
        <w:t>四、与质疑事项相关的质疑请求：</w:t>
      </w:r>
    </w:p>
    <w:p w14:paraId="4F9F4424">
      <w:pPr>
        <w:pStyle w:val="24"/>
        <w:spacing w:line="360" w:lineRule="auto"/>
        <w:ind w:left="25" w:firstLine="472"/>
        <w:contextualSpacing/>
        <w:rPr>
          <w:rFonts w:hAnsi="宋体"/>
          <w:sz w:val="24"/>
          <w:szCs w:val="24"/>
        </w:rPr>
      </w:pPr>
      <w:r>
        <w:rPr>
          <w:rFonts w:hint="eastAsia" w:hAnsi="宋体"/>
          <w:sz w:val="24"/>
          <w:szCs w:val="24"/>
        </w:rPr>
        <w:t>请求：</w:t>
      </w:r>
      <w:r>
        <w:rPr>
          <w:rFonts w:hint="eastAsia" w:hAnsi="宋体"/>
          <w:bCs/>
          <w:sz w:val="24"/>
          <w:szCs w:val="24"/>
          <w:u w:val="single"/>
        </w:rPr>
        <w:t xml:space="preserve">                                                                </w:t>
      </w:r>
    </w:p>
    <w:p w14:paraId="1DDA3DE5">
      <w:pPr>
        <w:pStyle w:val="24"/>
        <w:spacing w:line="360" w:lineRule="auto"/>
        <w:ind w:left="25" w:firstLine="352"/>
        <w:contextualSpacing/>
        <w:rPr>
          <w:rFonts w:hAnsi="宋体"/>
          <w:sz w:val="24"/>
          <w:szCs w:val="24"/>
        </w:rPr>
      </w:pPr>
    </w:p>
    <w:p w14:paraId="4C427DA0">
      <w:pPr>
        <w:pStyle w:val="24"/>
        <w:spacing w:line="360" w:lineRule="auto"/>
        <w:ind w:left="25" w:firstLine="472"/>
        <w:contextualSpacing/>
        <w:rPr>
          <w:rFonts w:hAnsi="宋体"/>
          <w:sz w:val="24"/>
          <w:szCs w:val="24"/>
        </w:rPr>
      </w:pPr>
      <w:r>
        <w:rPr>
          <w:rFonts w:hint="eastAsia" w:hAnsi="宋体"/>
          <w:sz w:val="24"/>
          <w:szCs w:val="24"/>
        </w:rPr>
        <w:t>签字（签章）：                                       公章：</w:t>
      </w:r>
    </w:p>
    <w:p w14:paraId="4F3862AC">
      <w:pPr>
        <w:pStyle w:val="24"/>
        <w:spacing w:line="360" w:lineRule="auto"/>
        <w:ind w:firstLine="480"/>
        <w:contextualSpacing/>
        <w:rPr>
          <w:rFonts w:hAnsi="宋体"/>
          <w:b/>
          <w:sz w:val="24"/>
          <w:szCs w:val="24"/>
        </w:rPr>
      </w:pPr>
      <w:r>
        <w:rPr>
          <w:rFonts w:hint="eastAsia" w:hAnsi="宋体"/>
          <w:sz w:val="24"/>
          <w:szCs w:val="24"/>
        </w:rPr>
        <w:t>日期：</w:t>
      </w:r>
    </w:p>
    <w:p w14:paraId="29165916">
      <w:pPr>
        <w:rPr>
          <w:rFonts w:hAnsi="宋体"/>
          <w:b/>
          <w:sz w:val="24"/>
        </w:rPr>
      </w:pPr>
      <w:r>
        <w:rPr>
          <w:rFonts w:hint="eastAsia" w:hAnsi="宋体"/>
          <w:b/>
          <w:sz w:val="24"/>
        </w:rPr>
        <w:br w:type="page" w:clear="all"/>
      </w:r>
    </w:p>
    <w:p w14:paraId="030C693A">
      <w:pPr>
        <w:pStyle w:val="24"/>
        <w:spacing w:line="360" w:lineRule="auto"/>
        <w:contextualSpacing/>
        <w:rPr>
          <w:rFonts w:hAnsi="宋体"/>
          <w:b/>
          <w:sz w:val="24"/>
          <w:szCs w:val="24"/>
        </w:rPr>
      </w:pPr>
      <w:r>
        <w:rPr>
          <w:rFonts w:hint="eastAsia" w:hAnsi="宋体"/>
          <w:b/>
          <w:sz w:val="24"/>
          <w:szCs w:val="24"/>
        </w:rPr>
        <w:t>说明：</w:t>
      </w:r>
    </w:p>
    <w:p w14:paraId="5809AAA3">
      <w:pPr>
        <w:pStyle w:val="24"/>
        <w:spacing w:line="360" w:lineRule="auto"/>
        <w:ind w:left="25" w:firstLine="354"/>
        <w:contextualSpacing/>
        <w:rPr>
          <w:rFonts w:hAnsi="宋体"/>
          <w:b/>
          <w:bCs/>
          <w:sz w:val="24"/>
          <w:szCs w:val="24"/>
        </w:rPr>
      </w:pPr>
      <w:r>
        <w:rPr>
          <w:rFonts w:hint="eastAsia" w:hAnsi="宋体"/>
          <w:b/>
          <w:sz w:val="24"/>
          <w:szCs w:val="24"/>
        </w:rPr>
        <w:t>1.供应商提出质疑时，应提交质疑函和必要的证明材料</w:t>
      </w:r>
      <w:r>
        <w:rPr>
          <w:rFonts w:hint="eastAsia" w:hAnsi="宋体"/>
          <w:b/>
          <w:bCs/>
          <w:sz w:val="24"/>
          <w:szCs w:val="24"/>
        </w:rPr>
        <w:t>。</w:t>
      </w:r>
    </w:p>
    <w:p w14:paraId="7B67684F">
      <w:pPr>
        <w:pStyle w:val="24"/>
        <w:spacing w:line="360" w:lineRule="auto"/>
        <w:ind w:left="25" w:firstLine="354"/>
        <w:contextualSpacing/>
        <w:rPr>
          <w:rFonts w:hAnsi="宋体"/>
          <w:b/>
          <w:sz w:val="24"/>
          <w:szCs w:val="24"/>
        </w:rPr>
      </w:pPr>
      <w:r>
        <w:rPr>
          <w:rFonts w:hint="eastAsia" w:hAnsi="宋体"/>
          <w:b/>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83ECFE5">
      <w:pPr>
        <w:pStyle w:val="24"/>
        <w:spacing w:line="360" w:lineRule="auto"/>
        <w:ind w:left="25" w:firstLine="354"/>
        <w:contextualSpacing/>
        <w:rPr>
          <w:rFonts w:hAnsi="宋体"/>
          <w:b/>
          <w:sz w:val="24"/>
          <w:szCs w:val="24"/>
        </w:rPr>
      </w:pPr>
      <w:r>
        <w:rPr>
          <w:rFonts w:hint="eastAsia" w:hAnsi="宋体"/>
          <w:b/>
          <w:sz w:val="24"/>
          <w:szCs w:val="24"/>
        </w:rPr>
        <w:t>3.质疑函的质疑事项应具体、明确，并有必要的事实依据和法律依据。</w:t>
      </w:r>
    </w:p>
    <w:p w14:paraId="45EBFF2D">
      <w:pPr>
        <w:pStyle w:val="24"/>
        <w:spacing w:line="360" w:lineRule="auto"/>
        <w:ind w:left="25" w:firstLine="354"/>
        <w:contextualSpacing/>
        <w:rPr>
          <w:rFonts w:hAnsi="宋体"/>
          <w:b/>
          <w:sz w:val="24"/>
          <w:szCs w:val="24"/>
        </w:rPr>
      </w:pPr>
      <w:r>
        <w:rPr>
          <w:rFonts w:hint="eastAsia" w:hAnsi="宋体"/>
          <w:b/>
          <w:sz w:val="24"/>
          <w:szCs w:val="24"/>
        </w:rPr>
        <w:t>4.质疑函的质疑请求应与质疑事项相关。</w:t>
      </w:r>
    </w:p>
    <w:p w14:paraId="393F61D6">
      <w:pPr>
        <w:pStyle w:val="24"/>
        <w:spacing w:line="360" w:lineRule="auto"/>
        <w:ind w:left="25" w:firstLine="354"/>
        <w:contextualSpacing/>
        <w:rPr>
          <w:rFonts w:hAnsi="宋体"/>
          <w:b/>
        </w:rPr>
      </w:pPr>
      <w:r>
        <w:rPr>
          <w:rFonts w:hint="eastAsia" w:hAnsi="宋体"/>
          <w:b/>
          <w:sz w:val="24"/>
          <w:szCs w:val="24"/>
        </w:rPr>
        <w:t>5.质疑供应商为法人或者其他组织的，质疑函应由法定代表人、主要负责人，或者其授权代表签字或者盖章，并加盖公章。</w:t>
      </w:r>
    </w:p>
    <w:p w14:paraId="0B3A9B99">
      <w:pPr>
        <w:rPr>
          <w:rFonts w:hAnsi="宋体"/>
          <w:b/>
          <w:sz w:val="24"/>
        </w:rPr>
      </w:pPr>
      <w:r>
        <w:rPr>
          <w:rFonts w:hint="eastAsia" w:hAnsi="宋体"/>
          <w:b/>
          <w:sz w:val="24"/>
        </w:rPr>
        <w:br w:type="page" w:clear="all"/>
      </w:r>
    </w:p>
    <w:p w14:paraId="5ABE384E">
      <w:pPr>
        <w:spacing w:line="360" w:lineRule="auto"/>
        <w:jc w:val="center"/>
        <w:rPr>
          <w:rFonts w:ascii="方正小标宋简体" w:hAnsi="方正小标宋简体" w:eastAsia="方正小标宋简体" w:cs="方正小标宋简体"/>
          <w:sz w:val="44"/>
          <w:szCs w:val="44"/>
        </w:rPr>
      </w:pPr>
      <w:bookmarkStart w:id="156" w:name="_Toc74323461"/>
      <w:r>
        <w:rPr>
          <w:rFonts w:hint="eastAsia" w:ascii="方正小标宋简体" w:hAnsi="方正小标宋简体" w:eastAsia="方正小标宋简体" w:cs="方正小标宋简体"/>
          <w:sz w:val="44"/>
          <w:szCs w:val="44"/>
        </w:rPr>
        <w:t>投诉书（格式）</w:t>
      </w:r>
    </w:p>
    <w:p w14:paraId="7C3F65A0">
      <w:pPr>
        <w:pStyle w:val="24"/>
        <w:spacing w:line="360" w:lineRule="auto"/>
        <w:ind w:firstLine="482"/>
        <w:rPr>
          <w:rFonts w:hAnsi="宋体"/>
          <w:b/>
          <w:bCs/>
          <w:sz w:val="24"/>
          <w:szCs w:val="24"/>
        </w:rPr>
      </w:pPr>
      <w:r>
        <w:rPr>
          <w:rFonts w:hint="eastAsia" w:hAnsi="宋体"/>
          <w:b/>
          <w:bCs/>
          <w:sz w:val="24"/>
          <w:szCs w:val="24"/>
        </w:rPr>
        <w:t>一、投诉相关主体基本情况：</w:t>
      </w:r>
    </w:p>
    <w:p w14:paraId="23D3EBD8">
      <w:pPr>
        <w:pStyle w:val="24"/>
        <w:spacing w:line="360" w:lineRule="auto"/>
        <w:ind w:firstLine="480"/>
        <w:rPr>
          <w:rFonts w:hAnsi="宋体"/>
          <w:bCs/>
          <w:sz w:val="24"/>
          <w:szCs w:val="24"/>
          <w:u w:val="single"/>
        </w:rPr>
      </w:pPr>
      <w:r>
        <w:rPr>
          <w:rFonts w:hint="eastAsia" w:hAnsi="宋体"/>
          <w:bCs/>
          <w:sz w:val="24"/>
          <w:szCs w:val="24"/>
        </w:rPr>
        <w:t>供应商：</w:t>
      </w:r>
      <w:r>
        <w:rPr>
          <w:rFonts w:hint="eastAsia" w:hAnsi="宋体"/>
          <w:bCs/>
          <w:sz w:val="24"/>
          <w:szCs w:val="24"/>
          <w:u w:val="single"/>
        </w:rPr>
        <w:t xml:space="preserve">                                                                        </w:t>
      </w:r>
      <w:r>
        <w:rPr>
          <w:rFonts w:hint="eastAsia" w:hAnsi="宋体"/>
          <w:bCs/>
          <w:sz w:val="24"/>
          <w:szCs w:val="24"/>
        </w:rPr>
        <w:t xml:space="preserve">                 </w:t>
      </w:r>
    </w:p>
    <w:p w14:paraId="05FCD790">
      <w:pPr>
        <w:pStyle w:val="24"/>
        <w:spacing w:line="360" w:lineRule="auto"/>
        <w:ind w:firstLine="480"/>
        <w:rPr>
          <w:rFonts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61902EC2">
      <w:pPr>
        <w:pStyle w:val="24"/>
        <w:spacing w:line="360" w:lineRule="auto"/>
        <w:ind w:firstLine="480"/>
        <w:rPr>
          <w:rFonts w:hAnsi="宋体"/>
          <w:bCs/>
          <w:sz w:val="24"/>
          <w:szCs w:val="24"/>
          <w:u w:val="single"/>
        </w:rPr>
      </w:pPr>
      <w:r>
        <w:rPr>
          <w:rFonts w:hint="eastAsia" w:hAnsi="宋体"/>
          <w:bCs/>
          <w:sz w:val="24"/>
          <w:szCs w:val="24"/>
        </w:rPr>
        <w:t>法定代表人/主要负责人：</w:t>
      </w:r>
      <w:r>
        <w:rPr>
          <w:rFonts w:hint="eastAsia" w:hAnsi="宋体"/>
          <w:bCs/>
          <w:sz w:val="24"/>
          <w:szCs w:val="24"/>
          <w:u w:val="single"/>
        </w:rPr>
        <w:t xml:space="preserve">                                                         </w:t>
      </w:r>
    </w:p>
    <w:p w14:paraId="5D80A2DA">
      <w:pPr>
        <w:pStyle w:val="24"/>
        <w:spacing w:line="360" w:lineRule="auto"/>
        <w:ind w:firstLine="480"/>
        <w:rPr>
          <w:rFonts w:hAnsi="宋体"/>
          <w:bCs/>
          <w:sz w:val="24"/>
          <w:szCs w:val="24"/>
        </w:rPr>
      </w:pPr>
      <w:r>
        <w:rPr>
          <w:rFonts w:hAnsi="宋体"/>
          <w:bCs/>
          <w:sz w:val="24"/>
          <w:szCs w:val="24"/>
        </w:rPr>
        <w:t>联系电话</w:t>
      </w:r>
      <w:r>
        <w:rPr>
          <w:rFonts w:hint="eastAsia" w:hAnsi="宋体"/>
          <w:bCs/>
          <w:sz w:val="24"/>
          <w:szCs w:val="24"/>
        </w:rPr>
        <w:t>：</w:t>
      </w:r>
      <w:r>
        <w:rPr>
          <w:rFonts w:hint="eastAsia" w:hAnsi="宋体"/>
          <w:bCs/>
          <w:sz w:val="24"/>
          <w:szCs w:val="24"/>
          <w:u w:val="single"/>
        </w:rPr>
        <w:t xml:space="preserve">                                         </w:t>
      </w:r>
    </w:p>
    <w:p w14:paraId="107B57C8">
      <w:pPr>
        <w:pStyle w:val="24"/>
        <w:spacing w:line="360" w:lineRule="auto"/>
        <w:ind w:firstLine="480"/>
        <w:rPr>
          <w:rFonts w:hAnsi="宋体"/>
          <w:bCs/>
          <w:sz w:val="24"/>
          <w:szCs w:val="24"/>
          <w:u w:val="single"/>
        </w:rPr>
      </w:pPr>
      <w:r>
        <w:rPr>
          <w:rFonts w:hint="eastAsia" w:hAnsi="宋体"/>
          <w:bCs/>
          <w:sz w:val="24"/>
          <w:szCs w:val="24"/>
        </w:rPr>
        <w:t>授权代表：</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17045A01">
      <w:pPr>
        <w:pStyle w:val="24"/>
        <w:spacing w:line="360" w:lineRule="auto"/>
        <w:ind w:firstLine="480"/>
        <w:rPr>
          <w:rFonts w:hAnsi="宋体"/>
          <w:bCs/>
          <w:sz w:val="24"/>
          <w:szCs w:val="24"/>
          <w:u w:val="single"/>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p>
    <w:p w14:paraId="380B5257">
      <w:pPr>
        <w:pStyle w:val="24"/>
        <w:spacing w:line="360" w:lineRule="auto"/>
        <w:ind w:firstLine="480"/>
        <w:rPr>
          <w:rFonts w:hAnsi="宋体"/>
          <w:bCs/>
          <w:sz w:val="24"/>
          <w:szCs w:val="24"/>
        </w:rPr>
      </w:pP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3B62632E">
      <w:pPr>
        <w:pStyle w:val="24"/>
        <w:spacing w:line="360" w:lineRule="auto"/>
        <w:ind w:firstLine="480"/>
        <w:rPr>
          <w:rFonts w:hAnsi="宋体"/>
          <w:bCs/>
          <w:sz w:val="24"/>
          <w:szCs w:val="24"/>
        </w:rPr>
      </w:pPr>
      <w:r>
        <w:rPr>
          <w:rFonts w:hint="eastAsia" w:hAnsi="宋体"/>
          <w:bCs/>
          <w:sz w:val="24"/>
          <w:szCs w:val="24"/>
        </w:rPr>
        <w:t>被投诉人1：</w:t>
      </w:r>
    </w:p>
    <w:p w14:paraId="212E5823">
      <w:pPr>
        <w:pStyle w:val="24"/>
        <w:spacing w:line="360" w:lineRule="auto"/>
        <w:ind w:firstLine="480"/>
        <w:rPr>
          <w:rFonts w:hAnsi="宋体"/>
          <w:bCs/>
          <w:sz w:val="24"/>
          <w:szCs w:val="24"/>
          <w:u w:val="single"/>
        </w:rPr>
      </w:pPr>
      <w:r>
        <w:rPr>
          <w:rFonts w:hint="eastAsia" w:hAnsi="宋体"/>
          <w:bCs/>
          <w:sz w:val="24"/>
          <w:szCs w:val="24"/>
        </w:rPr>
        <w:t>地址：</w:t>
      </w:r>
      <w:r>
        <w:rPr>
          <w:rFonts w:hint="eastAsia" w:hAnsi="宋体"/>
          <w:bCs/>
          <w:sz w:val="24"/>
          <w:szCs w:val="24"/>
          <w:u w:val="single"/>
        </w:rPr>
        <w:t xml:space="preserve">                                                            </w:t>
      </w:r>
    </w:p>
    <w:p w14:paraId="79C8BA16">
      <w:pPr>
        <w:pStyle w:val="24"/>
        <w:spacing w:line="360" w:lineRule="auto"/>
        <w:ind w:firstLine="480"/>
        <w:rPr>
          <w:rFonts w:hAnsi="宋体"/>
          <w:bCs/>
          <w:sz w:val="24"/>
          <w:szCs w:val="24"/>
        </w:rPr>
      </w:pP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69AA0835">
      <w:pPr>
        <w:pStyle w:val="24"/>
        <w:spacing w:line="360" w:lineRule="auto"/>
        <w:ind w:firstLine="480"/>
        <w:rPr>
          <w:rFonts w:hAnsi="宋体"/>
          <w:bCs/>
          <w:sz w:val="24"/>
          <w:szCs w:val="24"/>
          <w:u w:val="single"/>
        </w:rPr>
      </w:pPr>
      <w:r>
        <w:rPr>
          <w:rFonts w:hint="eastAsia" w:hAnsi="宋体"/>
          <w:bCs/>
          <w:sz w:val="24"/>
          <w:szCs w:val="24"/>
        </w:rPr>
        <w:t>联系人：</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1F6108CB">
      <w:pPr>
        <w:pStyle w:val="24"/>
        <w:spacing w:line="360" w:lineRule="auto"/>
        <w:ind w:firstLine="480"/>
        <w:rPr>
          <w:rFonts w:hAnsi="宋体"/>
          <w:bCs/>
          <w:sz w:val="24"/>
          <w:szCs w:val="24"/>
        </w:rPr>
      </w:pPr>
      <w:r>
        <w:rPr>
          <w:rFonts w:hint="eastAsia" w:hAnsi="宋体"/>
          <w:bCs/>
          <w:sz w:val="24"/>
          <w:szCs w:val="24"/>
        </w:rPr>
        <w:t>被投诉人2：</w:t>
      </w:r>
    </w:p>
    <w:p w14:paraId="1C1CB10A">
      <w:pPr>
        <w:pStyle w:val="24"/>
        <w:spacing w:line="360" w:lineRule="auto"/>
        <w:ind w:firstLine="480"/>
        <w:rPr>
          <w:rFonts w:hAnsi="宋体"/>
          <w:bCs/>
          <w:sz w:val="24"/>
          <w:szCs w:val="24"/>
        </w:rPr>
      </w:pPr>
      <w:r>
        <w:rPr>
          <w:rFonts w:hAnsi="宋体"/>
          <w:bCs/>
          <w:sz w:val="24"/>
          <w:szCs w:val="24"/>
        </w:rPr>
        <w:t>……</w:t>
      </w:r>
    </w:p>
    <w:p w14:paraId="0DC6759A">
      <w:pPr>
        <w:pStyle w:val="24"/>
        <w:spacing w:line="360" w:lineRule="auto"/>
        <w:ind w:firstLine="480"/>
        <w:rPr>
          <w:rFonts w:hAnsi="宋体"/>
          <w:bCs/>
          <w:sz w:val="24"/>
          <w:szCs w:val="24"/>
          <w:u w:val="single"/>
        </w:rPr>
      </w:pPr>
      <w:r>
        <w:rPr>
          <w:rFonts w:hint="eastAsia" w:hAnsi="宋体"/>
          <w:bCs/>
          <w:sz w:val="24"/>
          <w:szCs w:val="24"/>
        </w:rPr>
        <w:t>相关供应商：</w:t>
      </w:r>
      <w:r>
        <w:rPr>
          <w:rFonts w:hint="eastAsia" w:hAnsi="宋体"/>
          <w:bCs/>
          <w:sz w:val="24"/>
          <w:szCs w:val="24"/>
          <w:u w:val="single"/>
        </w:rPr>
        <w:t xml:space="preserve">                                                                       </w:t>
      </w:r>
    </w:p>
    <w:p w14:paraId="7E7842CB">
      <w:pPr>
        <w:pStyle w:val="24"/>
        <w:spacing w:line="360" w:lineRule="auto"/>
        <w:ind w:firstLine="480"/>
        <w:rPr>
          <w:rFonts w:hAnsi="宋体"/>
          <w:bCs/>
          <w:sz w:val="24"/>
          <w:szCs w:val="24"/>
          <w:u w:val="single"/>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p>
    <w:p w14:paraId="56659665">
      <w:pPr>
        <w:pStyle w:val="24"/>
        <w:spacing w:line="360" w:lineRule="auto"/>
        <w:ind w:firstLine="480"/>
        <w:rPr>
          <w:rFonts w:hAnsi="宋体"/>
          <w:bCs/>
          <w:sz w:val="24"/>
          <w:szCs w:val="24"/>
        </w:rPr>
      </w:pPr>
      <w:r>
        <w:rPr>
          <w:rFonts w:hint="eastAsia" w:hAnsi="宋体"/>
          <w:bCs/>
          <w:sz w:val="24"/>
          <w:szCs w:val="24"/>
        </w:rPr>
        <w:t>联系人：</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r>
        <w:rPr>
          <w:rFonts w:hint="eastAsia" w:hAnsi="宋体"/>
          <w:bCs/>
          <w:sz w:val="24"/>
          <w:szCs w:val="24"/>
        </w:rPr>
        <w:t xml:space="preserve">                </w:t>
      </w:r>
    </w:p>
    <w:p w14:paraId="245B48E8">
      <w:pPr>
        <w:pStyle w:val="24"/>
        <w:spacing w:line="360" w:lineRule="auto"/>
        <w:ind w:firstLine="482"/>
        <w:rPr>
          <w:rFonts w:hAnsi="宋体"/>
          <w:b/>
          <w:bCs/>
          <w:sz w:val="24"/>
          <w:szCs w:val="24"/>
        </w:rPr>
      </w:pPr>
      <w:r>
        <w:rPr>
          <w:rFonts w:hint="eastAsia" w:hAnsi="宋体"/>
          <w:b/>
          <w:bCs/>
          <w:sz w:val="24"/>
          <w:szCs w:val="24"/>
        </w:rPr>
        <w:t>二、投诉项目基本情况：</w:t>
      </w:r>
    </w:p>
    <w:p w14:paraId="6399BA03">
      <w:pPr>
        <w:pStyle w:val="24"/>
        <w:spacing w:line="360" w:lineRule="auto"/>
        <w:ind w:left="25" w:firstLine="472"/>
        <w:rPr>
          <w:rFonts w:hAnsi="宋体"/>
          <w:sz w:val="24"/>
          <w:szCs w:val="24"/>
        </w:rPr>
      </w:pPr>
      <w:r>
        <w:rPr>
          <w:rFonts w:hint="eastAsia" w:hAnsi="宋体"/>
          <w:bCs/>
          <w:sz w:val="24"/>
          <w:szCs w:val="24"/>
        </w:rPr>
        <w:t>采购</w:t>
      </w:r>
      <w:r>
        <w:rPr>
          <w:rFonts w:hint="eastAsia" w:hAnsi="宋体"/>
          <w:sz w:val="24"/>
          <w:szCs w:val="24"/>
        </w:rPr>
        <w:t>项目的名称：</w:t>
      </w:r>
      <w:r>
        <w:rPr>
          <w:rFonts w:hint="eastAsia" w:hAnsi="宋体"/>
          <w:bCs/>
          <w:sz w:val="24"/>
          <w:szCs w:val="24"/>
          <w:u w:val="single"/>
        </w:rPr>
        <w:t xml:space="preserve">                                                                   </w:t>
      </w:r>
    </w:p>
    <w:p w14:paraId="68D67946">
      <w:pPr>
        <w:pStyle w:val="24"/>
        <w:spacing w:line="360" w:lineRule="auto"/>
        <w:ind w:left="25" w:firstLine="472"/>
        <w:rPr>
          <w:rFonts w:hAnsi="宋体"/>
          <w:sz w:val="24"/>
          <w:szCs w:val="24"/>
        </w:rPr>
      </w:pPr>
      <w:r>
        <w:rPr>
          <w:rFonts w:hint="eastAsia" w:hAnsi="宋体"/>
          <w:bCs/>
          <w:sz w:val="24"/>
          <w:szCs w:val="24"/>
        </w:rPr>
        <w:t>采购</w:t>
      </w:r>
      <w:r>
        <w:rPr>
          <w:rFonts w:hint="eastAsia" w:hAnsi="宋体"/>
          <w:sz w:val="24"/>
          <w:szCs w:val="24"/>
        </w:rPr>
        <w:t>项目的编号：</w:t>
      </w:r>
      <w:r>
        <w:rPr>
          <w:rFonts w:hint="eastAsia" w:hAnsi="宋体"/>
          <w:bCs/>
          <w:sz w:val="24"/>
          <w:szCs w:val="24"/>
          <w:u w:val="single"/>
        </w:rPr>
        <w:t xml:space="preserve">                                          </w:t>
      </w:r>
    </w:p>
    <w:p w14:paraId="6D665BFF">
      <w:pPr>
        <w:pStyle w:val="24"/>
        <w:spacing w:line="360" w:lineRule="auto"/>
        <w:ind w:left="25" w:firstLine="472"/>
        <w:rPr>
          <w:rFonts w:hAnsi="宋体"/>
          <w:bCs/>
          <w:sz w:val="24"/>
          <w:szCs w:val="24"/>
          <w:u w:val="single"/>
        </w:rPr>
      </w:pPr>
      <w:r>
        <w:rPr>
          <w:rFonts w:hint="eastAsia" w:hAnsi="宋体"/>
          <w:sz w:val="24"/>
          <w:szCs w:val="24"/>
        </w:rPr>
        <w:t>采购人名称：</w:t>
      </w:r>
      <w:r>
        <w:rPr>
          <w:rFonts w:hint="eastAsia" w:hAnsi="宋体"/>
          <w:bCs/>
          <w:sz w:val="24"/>
          <w:szCs w:val="24"/>
          <w:u w:val="single"/>
        </w:rPr>
        <w:t xml:space="preserve">                                                                        </w:t>
      </w:r>
    </w:p>
    <w:p w14:paraId="0703E736">
      <w:pPr>
        <w:pStyle w:val="24"/>
        <w:spacing w:line="360" w:lineRule="auto"/>
        <w:ind w:left="25" w:firstLine="472"/>
        <w:rPr>
          <w:rFonts w:hAnsi="宋体"/>
          <w:bCs/>
          <w:sz w:val="24"/>
          <w:szCs w:val="24"/>
          <w:u w:val="single"/>
        </w:rPr>
      </w:pPr>
      <w:r>
        <w:rPr>
          <w:rFonts w:hint="eastAsia" w:hAnsi="宋体"/>
          <w:sz w:val="24"/>
          <w:szCs w:val="24"/>
        </w:rPr>
        <w:t>代理机构名称：</w:t>
      </w:r>
      <w:r>
        <w:rPr>
          <w:rFonts w:hint="eastAsia" w:hAnsi="宋体"/>
          <w:bCs/>
          <w:sz w:val="24"/>
          <w:szCs w:val="24"/>
          <w:u w:val="single"/>
        </w:rPr>
        <w:t xml:space="preserve">                                                                      </w:t>
      </w:r>
    </w:p>
    <w:p w14:paraId="5826FC7D">
      <w:pPr>
        <w:pStyle w:val="24"/>
        <w:spacing w:line="360" w:lineRule="auto"/>
        <w:ind w:left="25" w:firstLine="472"/>
        <w:rPr>
          <w:rFonts w:hAnsi="宋体"/>
          <w:bCs/>
          <w:sz w:val="24"/>
          <w:szCs w:val="24"/>
          <w:u w:val="single"/>
        </w:rPr>
      </w:pPr>
      <w:r>
        <w:rPr>
          <w:rFonts w:hint="eastAsia" w:hAnsi="宋体"/>
          <w:bCs/>
          <w:sz w:val="24"/>
          <w:szCs w:val="24"/>
        </w:rPr>
        <w:t>采购文件公告：</w:t>
      </w:r>
      <w:r>
        <w:rPr>
          <w:rFonts w:hint="eastAsia" w:hAnsi="宋体"/>
          <w:bCs/>
          <w:sz w:val="24"/>
          <w:szCs w:val="24"/>
          <w:u w:val="single"/>
        </w:rPr>
        <w:t>是/否</w:t>
      </w:r>
      <w:r>
        <w:rPr>
          <w:rFonts w:hint="eastAsia" w:hAnsi="宋体"/>
          <w:bCs/>
          <w:sz w:val="24"/>
          <w:szCs w:val="24"/>
        </w:rPr>
        <w:t>公告期限：</w:t>
      </w:r>
      <w:r>
        <w:rPr>
          <w:rFonts w:hint="eastAsia" w:hAnsi="宋体"/>
          <w:bCs/>
          <w:sz w:val="24"/>
          <w:szCs w:val="24"/>
          <w:u w:val="single"/>
        </w:rPr>
        <w:t xml:space="preserve">                                                       </w:t>
      </w:r>
    </w:p>
    <w:p w14:paraId="3E977D25">
      <w:pPr>
        <w:pStyle w:val="24"/>
        <w:spacing w:line="360" w:lineRule="auto"/>
        <w:ind w:left="25" w:firstLine="472"/>
        <w:rPr>
          <w:rFonts w:hAnsi="宋体"/>
          <w:b/>
          <w:sz w:val="24"/>
          <w:szCs w:val="24"/>
        </w:rPr>
      </w:pPr>
      <w:r>
        <w:rPr>
          <w:rFonts w:hint="eastAsia" w:hAnsi="宋体"/>
          <w:bCs/>
          <w:sz w:val="24"/>
          <w:szCs w:val="24"/>
        </w:rPr>
        <w:t>采购结果公告：</w:t>
      </w:r>
      <w:r>
        <w:rPr>
          <w:rFonts w:hint="eastAsia" w:hAnsi="宋体"/>
          <w:bCs/>
          <w:sz w:val="24"/>
          <w:szCs w:val="24"/>
          <w:u w:val="single"/>
        </w:rPr>
        <w:t>是/否</w:t>
      </w:r>
      <w:r>
        <w:rPr>
          <w:rFonts w:hint="eastAsia" w:hAnsi="宋体"/>
          <w:bCs/>
          <w:sz w:val="24"/>
          <w:szCs w:val="24"/>
        </w:rPr>
        <w:t>公告期限：</w:t>
      </w:r>
      <w:r>
        <w:rPr>
          <w:rFonts w:hint="eastAsia" w:hAnsi="宋体"/>
          <w:bCs/>
          <w:sz w:val="24"/>
          <w:szCs w:val="24"/>
          <w:u w:val="single"/>
        </w:rPr>
        <w:t xml:space="preserve">                                                       </w:t>
      </w:r>
    </w:p>
    <w:p w14:paraId="75B91135">
      <w:pPr>
        <w:pStyle w:val="24"/>
        <w:spacing w:line="360" w:lineRule="auto"/>
        <w:ind w:left="25" w:firstLine="472"/>
        <w:rPr>
          <w:rFonts w:hAnsi="宋体"/>
          <w:b/>
          <w:sz w:val="24"/>
          <w:szCs w:val="24"/>
        </w:rPr>
      </w:pPr>
      <w:r>
        <w:rPr>
          <w:rFonts w:hint="eastAsia" w:hAnsi="宋体"/>
          <w:b/>
          <w:sz w:val="24"/>
          <w:szCs w:val="24"/>
        </w:rPr>
        <w:t>三、质疑基本情况</w:t>
      </w:r>
    </w:p>
    <w:p w14:paraId="0D66FEC0">
      <w:pPr>
        <w:pStyle w:val="24"/>
        <w:spacing w:line="360" w:lineRule="auto"/>
        <w:ind w:firstLine="480"/>
        <w:rPr>
          <w:rFonts w:hAnsi="宋体"/>
          <w:sz w:val="24"/>
          <w:szCs w:val="24"/>
        </w:rPr>
      </w:pPr>
      <w:r>
        <w:rPr>
          <w:rFonts w:hint="eastAsia" w:hAnsi="宋体"/>
          <w:sz w:val="24"/>
          <w:szCs w:val="24"/>
        </w:rPr>
        <w:t>投诉人于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日，向</w:t>
      </w:r>
      <w:r>
        <w:rPr>
          <w:rFonts w:hint="eastAsia" w:hAnsi="宋体"/>
          <w:sz w:val="24"/>
          <w:szCs w:val="24"/>
          <w:u w:val="single"/>
        </w:rPr>
        <w:t xml:space="preserve">                                </w:t>
      </w:r>
      <w:r>
        <w:rPr>
          <w:rFonts w:hint="eastAsia" w:hAnsi="宋体"/>
          <w:sz w:val="24"/>
          <w:szCs w:val="24"/>
        </w:rPr>
        <w:t>提出质疑，质疑事项为：</w:t>
      </w:r>
    </w:p>
    <w:p w14:paraId="13B7EF6D">
      <w:pPr>
        <w:pStyle w:val="24"/>
        <w:spacing w:line="360" w:lineRule="auto"/>
        <w:ind w:firstLine="241"/>
        <w:rPr>
          <w:rFonts w:hAnsi="宋体"/>
          <w:bCs/>
          <w:sz w:val="24"/>
          <w:szCs w:val="24"/>
          <w:u w:val="single"/>
        </w:rPr>
      </w:pPr>
      <w:r>
        <w:rPr>
          <w:rFonts w:hint="eastAsia" w:hAnsi="宋体"/>
          <w:sz w:val="24"/>
          <w:szCs w:val="24"/>
        </w:rPr>
        <w:t xml:space="preserve">    </w:t>
      </w:r>
      <w:r>
        <w:rPr>
          <w:rFonts w:hint="eastAsia" w:hAnsi="宋体"/>
          <w:bCs/>
          <w:sz w:val="24"/>
          <w:szCs w:val="24"/>
          <w:u w:val="single"/>
        </w:rPr>
        <w:t xml:space="preserve">                                                                                      </w:t>
      </w:r>
    </w:p>
    <w:p w14:paraId="02DE8BC4">
      <w:pPr>
        <w:pStyle w:val="24"/>
        <w:spacing w:line="360" w:lineRule="auto"/>
        <w:ind w:firstLine="241"/>
        <w:rPr>
          <w:rFonts w:hAnsi="宋体"/>
          <w:bCs/>
          <w:sz w:val="24"/>
          <w:szCs w:val="24"/>
          <w:u w:val="single"/>
        </w:rPr>
      </w:pPr>
      <w:r>
        <w:rPr>
          <w:rFonts w:hint="eastAsia" w:hAnsi="宋体"/>
          <w:bCs/>
          <w:sz w:val="24"/>
          <w:szCs w:val="24"/>
        </w:rPr>
        <w:t xml:space="preserve">    </w:t>
      </w:r>
      <w:r>
        <w:rPr>
          <w:rFonts w:hint="eastAsia" w:hAnsi="宋体"/>
          <w:bCs/>
          <w:sz w:val="24"/>
          <w:szCs w:val="24"/>
          <w:u w:val="single"/>
        </w:rPr>
        <w:t xml:space="preserve">                                                                                      </w:t>
      </w:r>
    </w:p>
    <w:p w14:paraId="21D1DF27">
      <w:pPr>
        <w:pStyle w:val="24"/>
        <w:spacing w:line="360" w:lineRule="auto"/>
        <w:ind w:firstLine="480"/>
        <w:rPr>
          <w:rFonts w:hAnsi="宋体"/>
          <w:sz w:val="24"/>
          <w:szCs w:val="24"/>
        </w:rPr>
      </w:pPr>
      <w:r>
        <w:rPr>
          <w:rFonts w:hint="eastAsia" w:hAnsi="宋体"/>
          <w:bCs/>
          <w:sz w:val="24"/>
          <w:szCs w:val="24"/>
          <w:u w:val="single"/>
        </w:rPr>
        <w:t>采购人/代理机构</w:t>
      </w:r>
      <w:r>
        <w:rPr>
          <w:rFonts w:hint="eastAsia" w:hAnsi="宋体"/>
          <w:bCs/>
          <w:sz w:val="24"/>
          <w:szCs w:val="24"/>
        </w:rPr>
        <w:t>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w:t>
      </w:r>
      <w:r>
        <w:rPr>
          <w:rFonts w:hint="eastAsia" w:hAnsi="宋体"/>
          <w:bCs/>
          <w:sz w:val="24"/>
          <w:szCs w:val="24"/>
        </w:rPr>
        <w:t xml:space="preserve">就质疑事项作出了答复/没有在法定期限内作出答复。                                                                                             </w:t>
      </w:r>
    </w:p>
    <w:p w14:paraId="619A898F">
      <w:pPr>
        <w:pStyle w:val="24"/>
        <w:spacing w:line="360" w:lineRule="auto"/>
        <w:ind w:left="25" w:firstLine="472"/>
        <w:rPr>
          <w:rFonts w:hAnsi="宋体"/>
          <w:b/>
          <w:sz w:val="24"/>
          <w:szCs w:val="24"/>
        </w:rPr>
      </w:pPr>
      <w:r>
        <w:rPr>
          <w:rFonts w:hint="eastAsia" w:hAnsi="宋体"/>
          <w:b/>
          <w:sz w:val="24"/>
          <w:szCs w:val="24"/>
        </w:rPr>
        <w:t>四、投诉事项具体内容</w:t>
      </w:r>
    </w:p>
    <w:p w14:paraId="2EDE6DC5">
      <w:pPr>
        <w:pStyle w:val="24"/>
        <w:spacing w:line="360" w:lineRule="auto"/>
        <w:ind w:left="25" w:firstLine="472"/>
        <w:rPr>
          <w:rFonts w:hAnsi="宋体"/>
          <w:bCs/>
          <w:sz w:val="24"/>
          <w:szCs w:val="24"/>
          <w:u w:val="single"/>
        </w:rPr>
      </w:pPr>
      <w:r>
        <w:rPr>
          <w:rFonts w:hint="eastAsia" w:hAnsi="宋体"/>
          <w:sz w:val="24"/>
          <w:szCs w:val="24"/>
        </w:rPr>
        <w:t>投诉事项1：</w:t>
      </w:r>
      <w:r>
        <w:rPr>
          <w:rFonts w:hint="eastAsia" w:hAnsi="宋体"/>
          <w:bCs/>
          <w:sz w:val="24"/>
          <w:szCs w:val="24"/>
          <w:u w:val="single"/>
        </w:rPr>
        <w:t xml:space="preserve">                                                                           </w:t>
      </w:r>
    </w:p>
    <w:p w14:paraId="616C099B">
      <w:pPr>
        <w:pStyle w:val="24"/>
        <w:spacing w:line="360" w:lineRule="auto"/>
        <w:ind w:firstLine="480"/>
        <w:rPr>
          <w:rFonts w:hAnsi="宋体"/>
          <w:bCs/>
          <w:sz w:val="24"/>
          <w:szCs w:val="24"/>
          <w:u w:val="single"/>
        </w:rPr>
      </w:pPr>
      <w:r>
        <w:rPr>
          <w:rFonts w:hint="eastAsia" w:hAnsi="宋体"/>
          <w:bCs/>
          <w:sz w:val="24"/>
          <w:szCs w:val="24"/>
        </w:rPr>
        <w:t>事实依据：</w:t>
      </w:r>
      <w:r>
        <w:rPr>
          <w:rFonts w:hint="eastAsia" w:hAnsi="宋体"/>
          <w:sz w:val="24"/>
          <w:szCs w:val="24"/>
        </w:rPr>
        <w:t xml:space="preserve"> </w:t>
      </w:r>
      <w:r>
        <w:rPr>
          <w:rFonts w:hint="eastAsia" w:hAnsi="宋体"/>
          <w:bCs/>
          <w:sz w:val="24"/>
          <w:szCs w:val="24"/>
          <w:u w:val="single"/>
        </w:rPr>
        <w:t xml:space="preserve">                                                                                      </w:t>
      </w:r>
    </w:p>
    <w:p w14:paraId="1C4B386E">
      <w:pPr>
        <w:pStyle w:val="24"/>
        <w:spacing w:line="360" w:lineRule="auto"/>
        <w:ind w:left="25" w:firstLine="472"/>
        <w:rPr>
          <w:rFonts w:hAnsi="宋体"/>
          <w:sz w:val="24"/>
          <w:szCs w:val="24"/>
        </w:rPr>
      </w:pPr>
      <w:r>
        <w:rPr>
          <w:rFonts w:hint="eastAsia" w:hAnsi="宋体"/>
          <w:bCs/>
          <w:sz w:val="24"/>
          <w:szCs w:val="24"/>
          <w:u w:val="single"/>
        </w:rPr>
        <w:t xml:space="preserve">                                                                                        </w:t>
      </w:r>
    </w:p>
    <w:p w14:paraId="2BEADC28">
      <w:pPr>
        <w:pStyle w:val="24"/>
        <w:spacing w:line="360" w:lineRule="auto"/>
        <w:ind w:firstLine="480"/>
        <w:rPr>
          <w:rFonts w:hAnsi="宋体"/>
          <w:bCs/>
          <w:sz w:val="24"/>
          <w:szCs w:val="24"/>
          <w:u w:val="single"/>
        </w:rPr>
      </w:pPr>
      <w:r>
        <w:rPr>
          <w:rFonts w:hint="eastAsia" w:hAnsi="宋体"/>
          <w:bCs/>
          <w:sz w:val="24"/>
          <w:szCs w:val="24"/>
        </w:rPr>
        <w:t>法律依据：</w:t>
      </w:r>
      <w:r>
        <w:rPr>
          <w:rFonts w:hint="eastAsia" w:hAnsi="宋体"/>
          <w:sz w:val="24"/>
          <w:szCs w:val="24"/>
        </w:rPr>
        <w:t xml:space="preserve"> </w:t>
      </w:r>
      <w:r>
        <w:rPr>
          <w:rFonts w:hint="eastAsia" w:hAnsi="宋体"/>
          <w:bCs/>
          <w:sz w:val="24"/>
          <w:szCs w:val="24"/>
          <w:u w:val="single"/>
        </w:rPr>
        <w:t xml:space="preserve">                                                                                      </w:t>
      </w:r>
    </w:p>
    <w:p w14:paraId="3D7E6A49">
      <w:pPr>
        <w:pStyle w:val="24"/>
        <w:spacing w:line="360" w:lineRule="auto"/>
        <w:ind w:left="25" w:firstLine="352"/>
        <w:rPr>
          <w:rFonts w:hAnsi="宋体"/>
          <w:bCs/>
          <w:sz w:val="24"/>
          <w:szCs w:val="24"/>
          <w:u w:val="single"/>
        </w:rPr>
      </w:pPr>
      <w:r>
        <w:rPr>
          <w:rFonts w:hint="eastAsia" w:hAnsi="宋体"/>
          <w:bCs/>
          <w:sz w:val="24"/>
          <w:szCs w:val="24"/>
        </w:rPr>
        <w:t xml:space="preserve"> </w:t>
      </w:r>
      <w:r>
        <w:rPr>
          <w:rFonts w:hint="eastAsia" w:hAnsi="宋体"/>
          <w:bCs/>
          <w:sz w:val="24"/>
          <w:szCs w:val="24"/>
          <w:u w:val="single"/>
        </w:rPr>
        <w:t xml:space="preserve">                                                                                        </w:t>
      </w:r>
    </w:p>
    <w:p w14:paraId="1AD81008">
      <w:pPr>
        <w:pStyle w:val="24"/>
        <w:spacing w:line="360" w:lineRule="auto"/>
        <w:ind w:left="25" w:firstLine="472"/>
        <w:rPr>
          <w:rFonts w:hAnsi="宋体"/>
          <w:bCs/>
          <w:sz w:val="24"/>
          <w:szCs w:val="24"/>
        </w:rPr>
      </w:pPr>
      <w:r>
        <w:rPr>
          <w:rFonts w:hint="eastAsia" w:hAnsi="宋体"/>
          <w:sz w:val="24"/>
          <w:szCs w:val="24"/>
        </w:rPr>
        <w:t xml:space="preserve">投诉事项2  </w:t>
      </w:r>
      <w:r>
        <w:rPr>
          <w:rFonts w:hint="eastAsia" w:hAnsi="宋体"/>
          <w:bCs/>
          <w:sz w:val="24"/>
          <w:szCs w:val="24"/>
        </w:rPr>
        <w:t xml:space="preserve">   </w:t>
      </w:r>
    </w:p>
    <w:p w14:paraId="2181914B">
      <w:pPr>
        <w:pStyle w:val="24"/>
        <w:spacing w:line="360" w:lineRule="auto"/>
        <w:ind w:left="25" w:firstLine="472"/>
        <w:rPr>
          <w:rFonts w:hAnsi="宋体"/>
          <w:bCs/>
          <w:sz w:val="24"/>
          <w:szCs w:val="24"/>
        </w:rPr>
      </w:pPr>
      <w:r>
        <w:rPr>
          <w:rFonts w:hAnsi="宋体"/>
          <w:bCs/>
          <w:sz w:val="24"/>
          <w:szCs w:val="24"/>
        </w:rPr>
        <w:t>……</w:t>
      </w:r>
    </w:p>
    <w:p w14:paraId="0520BACA">
      <w:pPr>
        <w:pStyle w:val="24"/>
        <w:spacing w:line="360" w:lineRule="auto"/>
        <w:ind w:left="25" w:firstLine="472"/>
        <w:rPr>
          <w:rFonts w:hAnsi="宋体"/>
          <w:b/>
          <w:sz w:val="24"/>
          <w:szCs w:val="24"/>
        </w:rPr>
      </w:pPr>
      <w:r>
        <w:rPr>
          <w:rFonts w:hint="eastAsia" w:hAnsi="宋体"/>
          <w:b/>
          <w:sz w:val="24"/>
          <w:szCs w:val="24"/>
        </w:rPr>
        <w:t>五、与投诉事项相关的投诉请求：</w:t>
      </w:r>
    </w:p>
    <w:p w14:paraId="07031565">
      <w:pPr>
        <w:pStyle w:val="24"/>
        <w:spacing w:line="360" w:lineRule="auto"/>
        <w:ind w:left="25" w:firstLine="472"/>
        <w:rPr>
          <w:rFonts w:hAnsi="宋体"/>
          <w:sz w:val="24"/>
          <w:szCs w:val="24"/>
        </w:rPr>
      </w:pPr>
      <w:r>
        <w:rPr>
          <w:rFonts w:hint="eastAsia" w:hAnsi="宋体"/>
          <w:sz w:val="24"/>
          <w:szCs w:val="24"/>
        </w:rPr>
        <w:t>请求：</w:t>
      </w:r>
      <w:r>
        <w:rPr>
          <w:rFonts w:hint="eastAsia" w:hAnsi="宋体"/>
          <w:bCs/>
          <w:sz w:val="24"/>
          <w:szCs w:val="24"/>
          <w:u w:val="single"/>
        </w:rPr>
        <w:t xml:space="preserve">                                                                                 </w:t>
      </w:r>
    </w:p>
    <w:p w14:paraId="5326EB9C">
      <w:pPr>
        <w:pStyle w:val="24"/>
        <w:spacing w:line="360" w:lineRule="auto"/>
        <w:ind w:left="25" w:firstLine="352"/>
        <w:rPr>
          <w:rFonts w:hAnsi="宋体"/>
          <w:sz w:val="24"/>
          <w:szCs w:val="24"/>
        </w:rPr>
      </w:pPr>
    </w:p>
    <w:p w14:paraId="0912C433">
      <w:pPr>
        <w:pStyle w:val="24"/>
        <w:spacing w:line="360" w:lineRule="auto"/>
        <w:ind w:left="25" w:firstLine="472"/>
        <w:rPr>
          <w:rFonts w:hAnsi="宋体"/>
          <w:sz w:val="24"/>
          <w:szCs w:val="24"/>
        </w:rPr>
      </w:pPr>
      <w:r>
        <w:rPr>
          <w:rFonts w:hint="eastAsia" w:hAnsi="宋体"/>
          <w:sz w:val="24"/>
          <w:szCs w:val="24"/>
        </w:rPr>
        <w:t>签字（签章）：                                       公章：</w:t>
      </w:r>
    </w:p>
    <w:p w14:paraId="5758E0DD">
      <w:pPr>
        <w:pStyle w:val="24"/>
        <w:spacing w:line="360" w:lineRule="auto"/>
        <w:ind w:left="25" w:firstLine="352"/>
        <w:rPr>
          <w:rFonts w:hAnsi="宋体"/>
          <w:sz w:val="24"/>
          <w:szCs w:val="24"/>
        </w:rPr>
      </w:pPr>
    </w:p>
    <w:p w14:paraId="741E5AC4">
      <w:pPr>
        <w:pStyle w:val="24"/>
        <w:spacing w:line="360" w:lineRule="auto"/>
        <w:ind w:left="25" w:firstLine="472"/>
        <w:rPr>
          <w:rFonts w:hAnsi="宋体"/>
          <w:sz w:val="24"/>
          <w:szCs w:val="24"/>
        </w:rPr>
      </w:pPr>
      <w:r>
        <w:rPr>
          <w:rFonts w:hint="eastAsia" w:hAnsi="宋体"/>
          <w:sz w:val="24"/>
          <w:szCs w:val="24"/>
        </w:rPr>
        <w:t>日期：</w:t>
      </w:r>
    </w:p>
    <w:p w14:paraId="58D3154C">
      <w:pPr>
        <w:pStyle w:val="24"/>
        <w:spacing w:line="360" w:lineRule="auto"/>
        <w:ind w:left="25" w:firstLine="472"/>
        <w:rPr>
          <w:rFonts w:hAnsi="宋体"/>
          <w:b/>
          <w:sz w:val="24"/>
          <w:szCs w:val="24"/>
        </w:rPr>
      </w:pPr>
      <w:r>
        <w:rPr>
          <w:rFonts w:hint="eastAsia" w:hAnsi="宋体"/>
          <w:bCs/>
          <w:sz w:val="24"/>
          <w:szCs w:val="24"/>
        </w:rPr>
        <w:t xml:space="preserve">                                                                                 </w:t>
      </w:r>
    </w:p>
    <w:p w14:paraId="7296B393">
      <w:pPr>
        <w:pStyle w:val="24"/>
        <w:spacing w:line="360" w:lineRule="auto"/>
        <w:rPr>
          <w:rFonts w:hAnsi="宋体"/>
          <w:b/>
          <w:sz w:val="24"/>
          <w:szCs w:val="24"/>
        </w:rPr>
      </w:pPr>
      <w:r>
        <w:rPr>
          <w:rFonts w:hint="eastAsia" w:hAnsi="宋体"/>
          <w:b/>
          <w:sz w:val="24"/>
          <w:szCs w:val="24"/>
        </w:rPr>
        <w:t>说明：</w:t>
      </w:r>
    </w:p>
    <w:p w14:paraId="2759FDB2">
      <w:pPr>
        <w:pStyle w:val="24"/>
        <w:spacing w:line="360" w:lineRule="auto"/>
        <w:ind w:left="25" w:firstLine="354"/>
        <w:rPr>
          <w:rFonts w:hAnsi="宋体"/>
          <w:b/>
          <w:bCs/>
          <w:sz w:val="24"/>
          <w:szCs w:val="24"/>
        </w:rPr>
      </w:pPr>
      <w:r>
        <w:rPr>
          <w:rFonts w:hint="eastAsia" w:hAnsi="宋体"/>
          <w:b/>
          <w:sz w:val="24"/>
          <w:szCs w:val="24"/>
        </w:rPr>
        <w:t>1.投诉人提起投诉时，应当提交投诉书和必要的证明材料，并按照被投诉人和与投诉事项有关的供应商数量提供投诉书副本</w:t>
      </w:r>
      <w:r>
        <w:rPr>
          <w:rFonts w:hint="eastAsia" w:hAnsi="宋体"/>
          <w:b/>
          <w:bCs/>
          <w:sz w:val="24"/>
          <w:szCs w:val="24"/>
        </w:rPr>
        <w:t>。</w:t>
      </w:r>
    </w:p>
    <w:p w14:paraId="751E0F10">
      <w:pPr>
        <w:pStyle w:val="24"/>
        <w:spacing w:line="360" w:lineRule="auto"/>
        <w:ind w:left="25" w:firstLine="354"/>
        <w:rPr>
          <w:rFonts w:hAnsi="宋体"/>
          <w:b/>
          <w:sz w:val="24"/>
          <w:szCs w:val="24"/>
        </w:rPr>
      </w:pPr>
      <w:r>
        <w:rPr>
          <w:rFonts w:hint="eastAsia" w:hAnsi="宋体"/>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0B806AD">
      <w:pPr>
        <w:pStyle w:val="24"/>
        <w:spacing w:line="360" w:lineRule="auto"/>
        <w:ind w:left="25" w:firstLine="354"/>
        <w:rPr>
          <w:rFonts w:hAnsi="宋体"/>
          <w:b/>
          <w:sz w:val="24"/>
          <w:szCs w:val="24"/>
        </w:rPr>
      </w:pPr>
      <w:r>
        <w:rPr>
          <w:rFonts w:hint="eastAsia" w:hAnsi="宋体"/>
          <w:b/>
          <w:sz w:val="24"/>
          <w:szCs w:val="24"/>
        </w:rPr>
        <w:t>3.投诉书应简要列明质疑事项，质疑函、质疑答复等作为附件材料提供。</w:t>
      </w:r>
    </w:p>
    <w:p w14:paraId="76400A45">
      <w:pPr>
        <w:pStyle w:val="24"/>
        <w:spacing w:line="360" w:lineRule="auto"/>
        <w:ind w:left="25" w:firstLine="354"/>
        <w:rPr>
          <w:rFonts w:hAnsi="宋体"/>
          <w:b/>
          <w:sz w:val="24"/>
          <w:szCs w:val="24"/>
        </w:rPr>
      </w:pPr>
      <w:r>
        <w:rPr>
          <w:rFonts w:hint="eastAsia" w:hAnsi="宋体"/>
          <w:b/>
          <w:sz w:val="24"/>
          <w:szCs w:val="24"/>
        </w:rPr>
        <w:t>4.投诉书的投诉事项应具体、明确，并有必要的事实依据和法律依据。</w:t>
      </w:r>
    </w:p>
    <w:p w14:paraId="3E5B573D">
      <w:pPr>
        <w:pStyle w:val="24"/>
        <w:spacing w:line="360" w:lineRule="auto"/>
        <w:ind w:left="25" w:firstLine="354"/>
        <w:rPr>
          <w:rFonts w:hAnsi="宋体"/>
          <w:b/>
          <w:sz w:val="24"/>
          <w:szCs w:val="24"/>
        </w:rPr>
      </w:pPr>
      <w:r>
        <w:rPr>
          <w:rFonts w:hint="eastAsia" w:hAnsi="宋体"/>
          <w:b/>
          <w:sz w:val="24"/>
          <w:szCs w:val="24"/>
        </w:rPr>
        <w:t>5.投诉书的投诉请求应与投诉事项相关。</w:t>
      </w:r>
    </w:p>
    <w:p w14:paraId="7A0B7A94">
      <w:pPr>
        <w:pStyle w:val="24"/>
        <w:spacing w:line="360" w:lineRule="auto"/>
        <w:ind w:left="25" w:firstLine="354"/>
        <w:rPr>
          <w:rFonts w:hAnsi="宋体"/>
          <w:b/>
        </w:rPr>
      </w:pPr>
      <w:r>
        <w:rPr>
          <w:rFonts w:hint="eastAsia" w:hAnsi="宋体"/>
          <w:b/>
          <w:sz w:val="24"/>
          <w:szCs w:val="24"/>
        </w:rPr>
        <w:t>6.投诉人为法人或者其他组织的，投诉书应由法定代表人、主要负责人，或者其授权代表签字或者盖章，并加盖公章。</w:t>
      </w:r>
    </w:p>
    <w:p w14:paraId="1B683C04">
      <w:pPr>
        <w:pStyle w:val="3"/>
        <w:jc w:val="center"/>
      </w:pPr>
    </w:p>
    <w:p w14:paraId="2AEF0AC7">
      <w:pPr>
        <w:pStyle w:val="3"/>
        <w:jc w:val="center"/>
      </w:pPr>
    </w:p>
    <w:p w14:paraId="303A4E40">
      <w:pPr>
        <w:pStyle w:val="3"/>
        <w:jc w:val="center"/>
      </w:pPr>
    </w:p>
    <w:p w14:paraId="3CB89475">
      <w:pPr>
        <w:pStyle w:val="3"/>
        <w:jc w:val="center"/>
      </w:pPr>
      <w:r>
        <w:rPr>
          <w:rFonts w:hint="eastAsia"/>
        </w:rPr>
        <w:t>第六章 合同文本</w:t>
      </w:r>
      <w:bookmarkEnd w:id="156"/>
    </w:p>
    <w:p w14:paraId="54D6AEC1">
      <w:r>
        <w:rPr>
          <w:rFonts w:hint="eastAsia"/>
        </w:rPr>
        <w:br w:type="page" w:clear="all"/>
      </w:r>
    </w:p>
    <w:p w14:paraId="65868A60">
      <w:pPr>
        <w:spacing w:line="360" w:lineRule="auto"/>
        <w:jc w:val="center"/>
        <w:rPr>
          <w:rFonts w:ascii="宋体" w:hAnsi="宋体"/>
          <w:b/>
          <w:bCs/>
          <w:sz w:val="32"/>
          <w:szCs w:val="32"/>
        </w:rPr>
      </w:pPr>
      <w:r>
        <w:rPr>
          <w:rFonts w:hint="eastAsia" w:ascii="宋体" w:hAnsi="宋体"/>
          <w:b/>
          <w:bCs/>
          <w:sz w:val="32"/>
          <w:szCs w:val="32"/>
        </w:rPr>
        <w:t>政府采购合同</w:t>
      </w:r>
    </w:p>
    <w:p w14:paraId="0F2EAB3A">
      <w:pPr>
        <w:spacing w:line="360" w:lineRule="auto"/>
        <w:ind w:left="420" w:hanging="420"/>
        <w:rPr>
          <w:rFonts w:ascii="宋体" w:hAnsi="宋体" w:cs="宋体"/>
          <w:bCs/>
          <w:szCs w:val="21"/>
          <w:u w:val="single"/>
        </w:rPr>
      </w:pPr>
      <w:r>
        <w:rPr>
          <w:rFonts w:hint="eastAsia" w:ascii="宋体" w:hAnsi="宋体" w:cs="宋体"/>
          <w:bCs/>
          <w:szCs w:val="21"/>
        </w:rPr>
        <w:t>合同编号：</w:t>
      </w:r>
      <w:r>
        <w:rPr>
          <w:rFonts w:hint="eastAsia" w:ascii="宋体" w:hAnsi="宋体" w:cs="宋体"/>
          <w:bCs/>
          <w:szCs w:val="21"/>
          <w:u w:val="single"/>
        </w:rPr>
        <w:t xml:space="preserve">               </w:t>
      </w:r>
      <w:r>
        <w:rPr>
          <w:rFonts w:hint="eastAsia" w:ascii="宋体" w:hAnsi="宋体" w:cs="宋体"/>
          <w:bCs/>
          <w:szCs w:val="21"/>
        </w:rPr>
        <w:t xml:space="preserve">   </w:t>
      </w:r>
    </w:p>
    <w:p w14:paraId="1A27A4B2">
      <w:pPr>
        <w:spacing w:line="360" w:lineRule="auto"/>
        <w:ind w:left="420" w:hanging="420"/>
        <w:rPr>
          <w:rFonts w:ascii="宋体" w:hAnsi="宋体" w:cs="宋体"/>
          <w:bCs/>
          <w:szCs w:val="21"/>
        </w:rPr>
      </w:pPr>
      <w:r>
        <w:rPr>
          <w:rFonts w:hint="eastAsia" w:ascii="宋体" w:hAnsi="宋体" w:cs="宋体"/>
          <w:bCs/>
          <w:szCs w:val="21"/>
        </w:rPr>
        <w:t>采购人（甲方）：</w:t>
      </w:r>
      <w:r>
        <w:rPr>
          <w:rFonts w:hint="eastAsia" w:ascii="宋体" w:hAnsi="宋体" w:cs="宋体"/>
          <w:bCs/>
          <w:szCs w:val="21"/>
          <w:u w:val="single"/>
        </w:rPr>
        <w:t xml:space="preserve">                          </w:t>
      </w:r>
      <w:r>
        <w:rPr>
          <w:rFonts w:hint="eastAsia" w:ascii="宋体" w:hAnsi="宋体" w:cs="宋体"/>
          <w:bCs/>
          <w:szCs w:val="21"/>
        </w:rPr>
        <w:t xml:space="preserve">     </w:t>
      </w:r>
    </w:p>
    <w:p w14:paraId="46E255A9">
      <w:pPr>
        <w:spacing w:line="360" w:lineRule="auto"/>
        <w:ind w:left="420" w:hanging="420"/>
        <w:rPr>
          <w:rFonts w:ascii="宋体" w:hAnsi="宋体" w:cs="宋体"/>
          <w:bCs/>
          <w:szCs w:val="21"/>
        </w:rPr>
      </w:pPr>
      <w:r>
        <w:rPr>
          <w:rFonts w:hint="eastAsia" w:ascii="宋体" w:hAnsi="宋体" w:cs="宋体"/>
          <w:bCs/>
          <w:szCs w:val="21"/>
        </w:rPr>
        <w:t>成交供应商（乙方）：</w:t>
      </w:r>
      <w:r>
        <w:rPr>
          <w:rFonts w:hint="eastAsia" w:ascii="宋体" w:hAnsi="宋体" w:cs="宋体"/>
          <w:bCs/>
          <w:szCs w:val="21"/>
          <w:u w:val="single"/>
        </w:rPr>
        <w:t xml:space="preserve">                          </w:t>
      </w:r>
      <w:r>
        <w:rPr>
          <w:rFonts w:hint="eastAsia" w:ascii="宋体" w:hAnsi="宋体" w:cs="宋体"/>
          <w:bCs/>
          <w:szCs w:val="21"/>
        </w:rPr>
        <w:t xml:space="preserve"> </w:t>
      </w:r>
    </w:p>
    <w:p w14:paraId="6EB36B19">
      <w:pPr>
        <w:spacing w:line="360" w:lineRule="auto"/>
        <w:ind w:left="420" w:hanging="420"/>
        <w:rPr>
          <w:rFonts w:ascii="宋体" w:hAnsi="宋体" w:cs="宋体"/>
          <w:bCs/>
          <w:szCs w:val="21"/>
          <w:u w:val="single"/>
        </w:rPr>
      </w:pPr>
      <w:r>
        <w:rPr>
          <w:rFonts w:hint="eastAsia" w:ascii="宋体" w:hAnsi="宋体" w:cs="宋体"/>
          <w:bCs/>
          <w:szCs w:val="21"/>
        </w:rPr>
        <w:t>项目名称和编号：</w:t>
      </w:r>
      <w:r>
        <w:rPr>
          <w:rFonts w:hint="eastAsia" w:ascii="宋体" w:hAnsi="宋体" w:cs="宋体"/>
          <w:bCs/>
          <w:szCs w:val="21"/>
          <w:u w:val="single"/>
        </w:rPr>
        <w:t xml:space="preserve">         </w:t>
      </w:r>
    </w:p>
    <w:p w14:paraId="77E70708">
      <w:pPr>
        <w:spacing w:line="360" w:lineRule="auto"/>
        <w:ind w:left="420" w:hanging="420"/>
        <w:rPr>
          <w:rFonts w:ascii="宋体" w:hAnsi="宋体" w:cs="宋体"/>
          <w:bCs/>
          <w:szCs w:val="21"/>
          <w:u w:val="single"/>
        </w:rPr>
      </w:pPr>
      <w:r>
        <w:rPr>
          <w:rFonts w:hint="eastAsia" w:ascii="宋体" w:hAnsi="宋体" w:cs="宋体"/>
          <w:bCs/>
          <w:szCs w:val="21"/>
        </w:rPr>
        <w:t>签  订  地  点：</w:t>
      </w:r>
      <w:r>
        <w:rPr>
          <w:rFonts w:hint="eastAsia" w:ascii="宋体" w:hAnsi="宋体" w:cs="宋体"/>
          <w:bCs/>
          <w:szCs w:val="21"/>
          <w:u w:val="single"/>
        </w:rPr>
        <w:t xml:space="preserve">                 </w:t>
      </w:r>
      <w:r>
        <w:rPr>
          <w:rFonts w:hint="eastAsia" w:ascii="宋体" w:hAnsi="宋体" w:cs="宋体"/>
          <w:bCs/>
          <w:szCs w:val="21"/>
        </w:rPr>
        <w:t xml:space="preserve">      签订时间：</w:t>
      </w:r>
      <w:r>
        <w:rPr>
          <w:rFonts w:hint="eastAsia" w:ascii="宋体" w:hAnsi="宋体" w:cs="宋体"/>
          <w:bCs/>
          <w:szCs w:val="21"/>
          <w:u w:val="single"/>
        </w:rPr>
        <w:t xml:space="preserve">                </w:t>
      </w:r>
    </w:p>
    <w:p w14:paraId="4B98CA7B">
      <w:pPr>
        <w:spacing w:line="360" w:lineRule="auto"/>
        <w:ind w:firstLine="420"/>
        <w:rPr>
          <w:rFonts w:ascii="宋体" w:hAnsi="宋体" w:cs="宋体"/>
          <w:szCs w:val="21"/>
          <w:u w:val="single"/>
        </w:rPr>
      </w:pPr>
      <w:r>
        <w:rPr>
          <w:rFonts w:hint="eastAsia" w:ascii="宋体" w:hAnsi="宋体" w:cs="宋体"/>
          <w:szCs w:val="21"/>
        </w:rPr>
        <w:t>本合同是否为中小企业预留合同：</w:t>
      </w:r>
      <w:r>
        <w:rPr>
          <w:rFonts w:hint="eastAsia" w:ascii="宋体" w:hAnsi="宋体" w:cs="宋体"/>
          <w:szCs w:val="21"/>
          <w:u w:val="single"/>
        </w:rPr>
        <w:t xml:space="preserve">     </w:t>
      </w:r>
    </w:p>
    <w:p w14:paraId="6162CAF9">
      <w:pPr>
        <w:spacing w:line="360" w:lineRule="auto"/>
        <w:ind w:firstLine="420"/>
        <w:rPr>
          <w:rFonts w:ascii="宋体" w:hAnsi="宋体" w:cs="宋体"/>
          <w:szCs w:val="21"/>
        </w:rPr>
      </w:pPr>
      <w:r>
        <w:rPr>
          <w:rFonts w:hint="eastAsia" w:ascii="宋体" w:hAnsi="宋体" w:cs="宋体"/>
          <w:szCs w:val="21"/>
        </w:rPr>
        <w:t>根据《中华人民共和国政府采购法》《中华人民共和国民法典》等法律、法规规定，按照</w:t>
      </w:r>
      <w:r>
        <w:rPr>
          <w:rFonts w:hint="eastAsia" w:ascii="宋体" w:hAnsi="宋体"/>
          <w:szCs w:val="21"/>
        </w:rPr>
        <w:t>磋商文件规定条款和乙方响应文件及其承诺，甲乙双方签订本合同。</w:t>
      </w:r>
    </w:p>
    <w:p w14:paraId="6986870F">
      <w:pPr>
        <w:spacing w:line="360" w:lineRule="auto"/>
        <w:ind w:firstLine="422"/>
        <w:rPr>
          <w:rFonts w:ascii="宋体" w:hAnsi="宋体" w:cs="宋体"/>
          <w:b/>
          <w:szCs w:val="21"/>
        </w:rPr>
      </w:pPr>
      <w:r>
        <w:rPr>
          <w:rFonts w:hint="eastAsia" w:ascii="宋体" w:hAnsi="宋体" w:cs="宋体"/>
          <w:b/>
          <w:szCs w:val="21"/>
        </w:rPr>
        <w:t>第一条　合同标的</w:t>
      </w:r>
    </w:p>
    <w:tbl>
      <w:tblPr>
        <w:tblStyle w:val="268"/>
        <w:tblW w:w="92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4"/>
        <w:gridCol w:w="5656"/>
        <w:gridCol w:w="2870"/>
      </w:tblGrid>
      <w:tr w14:paraId="32D188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jc w:val="center"/>
        </w:trPr>
        <w:tc>
          <w:tcPr>
            <w:tcW w:w="674" w:type="dxa"/>
          </w:tcPr>
          <w:p w14:paraId="58188E58">
            <w:pPr>
              <w:spacing w:line="480" w:lineRule="exact"/>
              <w:jc w:val="center"/>
              <w:rPr>
                <w:rFonts w:ascii="宋体" w:hAnsi="宋体"/>
                <w:b/>
                <w:szCs w:val="21"/>
              </w:rPr>
            </w:pPr>
            <w:r>
              <w:rPr>
                <w:rFonts w:hint="eastAsia" w:ascii="宋体" w:hAnsi="宋体"/>
                <w:b/>
                <w:szCs w:val="21"/>
              </w:rPr>
              <w:t>序号</w:t>
            </w:r>
          </w:p>
        </w:tc>
        <w:tc>
          <w:tcPr>
            <w:tcW w:w="5656" w:type="dxa"/>
          </w:tcPr>
          <w:p w14:paraId="2D0E246C">
            <w:pPr>
              <w:spacing w:line="480" w:lineRule="exact"/>
              <w:ind w:firstLine="422"/>
              <w:jc w:val="center"/>
              <w:rPr>
                <w:rFonts w:ascii="宋体" w:hAnsi="宋体"/>
                <w:b/>
                <w:szCs w:val="21"/>
              </w:rPr>
            </w:pPr>
            <w:r>
              <w:rPr>
                <w:rFonts w:hint="eastAsia" w:ascii="宋体" w:hAnsi="宋体"/>
                <w:b/>
                <w:szCs w:val="21"/>
              </w:rPr>
              <w:t>采购项目</w:t>
            </w:r>
          </w:p>
        </w:tc>
        <w:tc>
          <w:tcPr>
            <w:tcW w:w="2870" w:type="dxa"/>
          </w:tcPr>
          <w:p w14:paraId="78A803EE">
            <w:pPr>
              <w:spacing w:line="480" w:lineRule="exact"/>
              <w:jc w:val="center"/>
              <w:rPr>
                <w:rFonts w:ascii="宋体" w:hAnsi="宋体"/>
                <w:b/>
                <w:szCs w:val="21"/>
              </w:rPr>
            </w:pPr>
            <w:r>
              <w:rPr>
                <w:rFonts w:hint="eastAsia" w:ascii="宋体" w:hAnsi="宋体"/>
                <w:b/>
                <w:szCs w:val="21"/>
              </w:rPr>
              <w:t>成交折扣（%）</w:t>
            </w:r>
          </w:p>
        </w:tc>
      </w:tr>
      <w:tr w14:paraId="6F119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jc w:val="center"/>
        </w:trPr>
        <w:tc>
          <w:tcPr>
            <w:tcW w:w="674" w:type="dxa"/>
          </w:tcPr>
          <w:p w14:paraId="6F0D72E1">
            <w:pPr>
              <w:pStyle w:val="254"/>
              <w:tabs>
                <w:tab w:val="left" w:pos="7560"/>
              </w:tabs>
              <w:spacing w:before="116" w:line="264" w:lineRule="exact"/>
              <w:ind w:right="48"/>
              <w:jc w:val="center"/>
              <w:rPr>
                <w:rFonts w:ascii="宋体" w:hAnsi="宋体"/>
                <w:bCs/>
                <w:szCs w:val="21"/>
              </w:rPr>
            </w:pPr>
            <w:r>
              <w:rPr>
                <w:rFonts w:hint="eastAsia" w:ascii="宋体" w:hAnsi="宋体" w:cs="宋体"/>
                <w:sz w:val="21"/>
                <w:szCs w:val="21"/>
              </w:rPr>
              <w:t>1</w:t>
            </w:r>
          </w:p>
        </w:tc>
        <w:tc>
          <w:tcPr>
            <w:tcW w:w="5656" w:type="dxa"/>
          </w:tcPr>
          <w:p w14:paraId="11DAB940">
            <w:pPr>
              <w:pStyle w:val="254"/>
              <w:tabs>
                <w:tab w:val="left" w:pos="7560"/>
              </w:tabs>
              <w:spacing w:before="116" w:line="264" w:lineRule="exact"/>
              <w:ind w:right="48"/>
              <w:rPr>
                <w:rFonts w:ascii="宋体" w:hAnsi="宋体"/>
                <w:bCs/>
                <w:szCs w:val="21"/>
              </w:rPr>
            </w:pPr>
            <w:r>
              <w:rPr>
                <w:rFonts w:hint="eastAsia" w:ascii="宋体" w:hAnsi="宋体"/>
                <w:color w:val="000000"/>
                <w:szCs w:val="21"/>
                <w:lang w:eastAsia="zh-CN"/>
              </w:rPr>
              <w:t>粮油类（大米、食用油、调味品）</w:t>
            </w:r>
          </w:p>
        </w:tc>
        <w:tc>
          <w:tcPr>
            <w:tcW w:w="2870" w:type="dxa"/>
            <w:vMerge w:val="restart"/>
          </w:tcPr>
          <w:p w14:paraId="2455034A">
            <w:pPr>
              <w:spacing w:line="480" w:lineRule="exact"/>
              <w:ind w:firstLine="422"/>
              <w:rPr>
                <w:rFonts w:ascii="宋体" w:hAnsi="宋体"/>
                <w:bCs/>
                <w:szCs w:val="21"/>
              </w:rPr>
            </w:pPr>
          </w:p>
        </w:tc>
      </w:tr>
      <w:tr w14:paraId="714F2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674" w:type="dxa"/>
          </w:tcPr>
          <w:p w14:paraId="3112114C">
            <w:pPr>
              <w:pStyle w:val="254"/>
              <w:tabs>
                <w:tab w:val="left" w:pos="7560"/>
              </w:tabs>
              <w:spacing w:before="118" w:line="262" w:lineRule="exact"/>
              <w:ind w:right="48"/>
              <w:jc w:val="center"/>
              <w:rPr>
                <w:rFonts w:ascii="宋体" w:hAnsi="宋体"/>
                <w:bCs/>
                <w:szCs w:val="21"/>
              </w:rPr>
            </w:pPr>
            <w:r>
              <w:rPr>
                <w:rFonts w:hint="eastAsia" w:ascii="宋体" w:hAnsi="宋体" w:cs="宋体"/>
                <w:sz w:val="21"/>
                <w:szCs w:val="21"/>
              </w:rPr>
              <w:t>2</w:t>
            </w:r>
          </w:p>
        </w:tc>
        <w:tc>
          <w:tcPr>
            <w:tcW w:w="5656" w:type="dxa"/>
          </w:tcPr>
          <w:p w14:paraId="1A1B1FF9">
            <w:pPr>
              <w:pStyle w:val="254"/>
              <w:tabs>
                <w:tab w:val="left" w:pos="7560"/>
              </w:tabs>
              <w:spacing w:before="118" w:line="262" w:lineRule="exact"/>
              <w:ind w:right="48"/>
              <w:rPr>
                <w:rFonts w:ascii="宋体" w:hAnsi="宋体"/>
                <w:bCs/>
                <w:szCs w:val="21"/>
              </w:rPr>
            </w:pPr>
            <w:r>
              <w:rPr>
                <w:rFonts w:hint="eastAsia" w:ascii="宋体" w:hAnsi="宋体"/>
                <w:color w:val="000000"/>
                <w:szCs w:val="21"/>
                <w:lang w:eastAsia="zh-CN"/>
              </w:rPr>
              <w:t>干货调料、蛋类</w:t>
            </w:r>
          </w:p>
        </w:tc>
        <w:tc>
          <w:tcPr>
            <w:tcW w:w="2870" w:type="dxa"/>
            <w:vMerge w:val="continue"/>
          </w:tcPr>
          <w:p w14:paraId="749E507E">
            <w:pPr>
              <w:spacing w:line="480" w:lineRule="exact"/>
              <w:ind w:firstLine="422"/>
              <w:rPr>
                <w:rFonts w:ascii="宋体" w:hAnsi="宋体"/>
                <w:bCs/>
                <w:szCs w:val="21"/>
              </w:rPr>
            </w:pPr>
          </w:p>
        </w:tc>
      </w:tr>
      <w:tr w14:paraId="13807B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674" w:type="dxa"/>
          </w:tcPr>
          <w:p w14:paraId="36FC08B7">
            <w:pPr>
              <w:pStyle w:val="254"/>
              <w:tabs>
                <w:tab w:val="left" w:pos="7560"/>
              </w:tabs>
              <w:spacing w:before="118" w:line="262" w:lineRule="exact"/>
              <w:ind w:right="48"/>
              <w:jc w:val="center"/>
              <w:rPr>
                <w:rFonts w:ascii="宋体" w:hAnsi="宋体"/>
                <w:bCs/>
                <w:szCs w:val="21"/>
              </w:rPr>
            </w:pPr>
            <w:r>
              <w:rPr>
                <w:rFonts w:hint="eastAsia" w:ascii="宋体" w:hAnsi="宋体" w:cs="宋体"/>
                <w:sz w:val="21"/>
                <w:szCs w:val="21"/>
                <w:lang w:eastAsia="zh-CN"/>
              </w:rPr>
              <w:t>3</w:t>
            </w:r>
          </w:p>
        </w:tc>
        <w:tc>
          <w:tcPr>
            <w:tcW w:w="5656" w:type="dxa"/>
          </w:tcPr>
          <w:p w14:paraId="7B020875">
            <w:pPr>
              <w:pStyle w:val="254"/>
              <w:tabs>
                <w:tab w:val="left" w:pos="7560"/>
              </w:tabs>
              <w:spacing w:before="118" w:line="262" w:lineRule="exact"/>
              <w:ind w:right="48"/>
              <w:rPr>
                <w:rFonts w:ascii="宋体" w:hAnsi="宋体"/>
                <w:bCs/>
                <w:szCs w:val="21"/>
              </w:rPr>
            </w:pPr>
            <w:r>
              <w:rPr>
                <w:rFonts w:hint="eastAsia" w:ascii="宋体" w:hAnsi="宋体"/>
                <w:color w:val="000000"/>
                <w:szCs w:val="21"/>
                <w:lang w:eastAsia="zh-CN"/>
              </w:rPr>
              <w:t xml:space="preserve">冻品类（鸡、鸭、鱼、猪、牛、羊肉、丸类及其它海产品类） </w:t>
            </w:r>
          </w:p>
        </w:tc>
        <w:tc>
          <w:tcPr>
            <w:tcW w:w="2870" w:type="dxa"/>
            <w:vMerge w:val="continue"/>
          </w:tcPr>
          <w:p w14:paraId="5492C205">
            <w:pPr>
              <w:spacing w:line="480" w:lineRule="exact"/>
              <w:ind w:firstLine="422"/>
              <w:rPr>
                <w:rFonts w:ascii="宋体" w:hAnsi="宋体"/>
                <w:bCs/>
                <w:szCs w:val="21"/>
              </w:rPr>
            </w:pPr>
          </w:p>
        </w:tc>
      </w:tr>
      <w:tr w14:paraId="0D0A4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674" w:type="dxa"/>
          </w:tcPr>
          <w:p w14:paraId="6BA28FD4">
            <w:pPr>
              <w:pStyle w:val="254"/>
              <w:tabs>
                <w:tab w:val="left" w:pos="7560"/>
              </w:tabs>
              <w:spacing w:before="117" w:line="264" w:lineRule="exact"/>
              <w:ind w:right="48"/>
              <w:jc w:val="center"/>
              <w:rPr>
                <w:rFonts w:ascii="宋体" w:hAnsi="宋体"/>
                <w:bCs/>
                <w:szCs w:val="21"/>
              </w:rPr>
            </w:pPr>
            <w:r>
              <w:rPr>
                <w:rFonts w:hint="eastAsia" w:ascii="宋体" w:hAnsi="宋体" w:cs="宋体"/>
                <w:sz w:val="21"/>
                <w:szCs w:val="21"/>
                <w:lang w:eastAsia="zh-CN"/>
              </w:rPr>
              <w:t>4</w:t>
            </w:r>
          </w:p>
        </w:tc>
        <w:tc>
          <w:tcPr>
            <w:tcW w:w="5656" w:type="dxa"/>
          </w:tcPr>
          <w:p w14:paraId="107594FA">
            <w:pPr>
              <w:pStyle w:val="254"/>
              <w:tabs>
                <w:tab w:val="left" w:pos="7560"/>
              </w:tabs>
              <w:spacing w:before="88"/>
              <w:ind w:right="48"/>
              <w:rPr>
                <w:rFonts w:ascii="宋体" w:hAnsi="宋体"/>
                <w:bCs/>
                <w:szCs w:val="21"/>
              </w:rPr>
            </w:pPr>
            <w:r>
              <w:rPr>
                <w:rFonts w:hint="eastAsia" w:ascii="宋体" w:hAnsi="宋体"/>
                <w:color w:val="000000"/>
                <w:szCs w:val="21"/>
                <w:lang w:eastAsia="zh-CN"/>
              </w:rPr>
              <w:t>新鲜肉类（鲜猪肉、牛肉、羊肉、鸡、鸭、羊肉、内脏类及其它海产品类）</w:t>
            </w:r>
          </w:p>
        </w:tc>
        <w:tc>
          <w:tcPr>
            <w:tcW w:w="2870" w:type="dxa"/>
            <w:vMerge w:val="continue"/>
          </w:tcPr>
          <w:p w14:paraId="11915D09">
            <w:pPr>
              <w:spacing w:line="480" w:lineRule="exact"/>
              <w:ind w:firstLine="422"/>
              <w:rPr>
                <w:rFonts w:ascii="宋体" w:hAnsi="宋体"/>
                <w:bCs/>
                <w:szCs w:val="21"/>
              </w:rPr>
            </w:pPr>
          </w:p>
        </w:tc>
      </w:tr>
      <w:tr w14:paraId="5AD94D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674" w:type="dxa"/>
          </w:tcPr>
          <w:p w14:paraId="21549877">
            <w:pPr>
              <w:pStyle w:val="254"/>
              <w:tabs>
                <w:tab w:val="left" w:pos="7560"/>
              </w:tabs>
              <w:spacing w:before="116" w:line="262" w:lineRule="exact"/>
              <w:ind w:right="48"/>
              <w:jc w:val="center"/>
              <w:rPr>
                <w:rFonts w:ascii="宋体" w:hAnsi="宋体"/>
                <w:bCs/>
                <w:szCs w:val="21"/>
              </w:rPr>
            </w:pPr>
            <w:r>
              <w:rPr>
                <w:rFonts w:hint="eastAsia" w:ascii="宋体" w:hAnsi="宋体" w:cs="宋体"/>
                <w:sz w:val="21"/>
                <w:szCs w:val="21"/>
                <w:lang w:eastAsia="zh-CN"/>
              </w:rPr>
              <w:t>5</w:t>
            </w:r>
          </w:p>
        </w:tc>
        <w:tc>
          <w:tcPr>
            <w:tcW w:w="5656" w:type="dxa"/>
          </w:tcPr>
          <w:p w14:paraId="05B1AC72">
            <w:pPr>
              <w:pStyle w:val="254"/>
              <w:tabs>
                <w:tab w:val="left" w:pos="7560"/>
              </w:tabs>
              <w:spacing w:before="85"/>
              <w:ind w:right="48"/>
              <w:rPr>
                <w:rFonts w:ascii="宋体" w:hAnsi="宋体"/>
                <w:bCs/>
                <w:szCs w:val="21"/>
              </w:rPr>
            </w:pPr>
            <w:r>
              <w:rPr>
                <w:rFonts w:hint="eastAsia" w:ascii="宋体" w:hAnsi="宋体"/>
                <w:color w:val="000000"/>
                <w:szCs w:val="21"/>
                <w:lang w:eastAsia="zh-CN"/>
              </w:rPr>
              <w:t>新鲜蔬菜类（叶菜类、根茎类、鲜菌类、茄果瓜类、葱姜蒜椒、半加工菜类）</w:t>
            </w:r>
          </w:p>
        </w:tc>
        <w:tc>
          <w:tcPr>
            <w:tcW w:w="2870" w:type="dxa"/>
            <w:vMerge w:val="continue"/>
          </w:tcPr>
          <w:p w14:paraId="26B745EE">
            <w:pPr>
              <w:spacing w:line="480" w:lineRule="exact"/>
              <w:ind w:firstLine="422"/>
              <w:rPr>
                <w:rFonts w:ascii="宋体" w:hAnsi="宋体"/>
                <w:bCs/>
                <w:szCs w:val="21"/>
              </w:rPr>
            </w:pPr>
          </w:p>
        </w:tc>
      </w:tr>
      <w:tr w14:paraId="4D8371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 w:hRule="atLeast"/>
          <w:jc w:val="center"/>
        </w:trPr>
        <w:tc>
          <w:tcPr>
            <w:tcW w:w="674" w:type="dxa"/>
          </w:tcPr>
          <w:p w14:paraId="31FAD884">
            <w:pPr>
              <w:pStyle w:val="254"/>
              <w:tabs>
                <w:tab w:val="left" w:pos="7560"/>
              </w:tabs>
              <w:spacing w:before="116" w:line="264" w:lineRule="exact"/>
              <w:ind w:right="48"/>
              <w:jc w:val="center"/>
              <w:rPr>
                <w:rFonts w:ascii="宋体" w:hAnsi="宋体"/>
                <w:bCs/>
                <w:szCs w:val="21"/>
              </w:rPr>
            </w:pPr>
            <w:r>
              <w:rPr>
                <w:rFonts w:hint="eastAsia" w:ascii="宋体" w:hAnsi="宋体" w:cs="宋体"/>
                <w:sz w:val="21"/>
                <w:szCs w:val="21"/>
                <w:lang w:eastAsia="zh-CN"/>
              </w:rPr>
              <w:t>6</w:t>
            </w:r>
          </w:p>
        </w:tc>
        <w:tc>
          <w:tcPr>
            <w:tcW w:w="5656" w:type="dxa"/>
          </w:tcPr>
          <w:p w14:paraId="3B597A9D">
            <w:pPr>
              <w:spacing w:line="360" w:lineRule="exact"/>
              <w:rPr>
                <w:rFonts w:ascii="宋体" w:hAnsi="宋体"/>
                <w:bCs/>
                <w:szCs w:val="21"/>
              </w:rPr>
            </w:pPr>
            <w:r>
              <w:rPr>
                <w:rFonts w:hint="eastAsia" w:ascii="宋体" w:hAnsi="宋体"/>
                <w:color w:val="000000"/>
                <w:szCs w:val="21"/>
              </w:rPr>
              <w:t xml:space="preserve">新鲜水果类（热销水果、时令水果、热带水果） </w:t>
            </w:r>
          </w:p>
        </w:tc>
        <w:tc>
          <w:tcPr>
            <w:tcW w:w="2870" w:type="dxa"/>
            <w:vMerge w:val="continue"/>
          </w:tcPr>
          <w:p w14:paraId="0189020C">
            <w:pPr>
              <w:spacing w:line="480" w:lineRule="exact"/>
              <w:ind w:firstLine="422"/>
              <w:rPr>
                <w:rFonts w:ascii="宋体" w:hAnsi="宋体"/>
                <w:bCs/>
                <w:szCs w:val="21"/>
              </w:rPr>
            </w:pPr>
          </w:p>
        </w:tc>
      </w:tr>
      <w:tr w14:paraId="0343C5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 w:hRule="atLeast"/>
          <w:jc w:val="center"/>
        </w:trPr>
        <w:tc>
          <w:tcPr>
            <w:tcW w:w="674" w:type="dxa"/>
          </w:tcPr>
          <w:p w14:paraId="4179E58E">
            <w:pPr>
              <w:pStyle w:val="254"/>
              <w:tabs>
                <w:tab w:val="left" w:pos="7560"/>
              </w:tabs>
              <w:spacing w:before="116" w:line="264" w:lineRule="exact"/>
              <w:ind w:right="48"/>
              <w:jc w:val="center"/>
              <w:rPr>
                <w:rFonts w:ascii="宋体" w:hAnsi="宋体"/>
                <w:bCs/>
                <w:szCs w:val="21"/>
                <w:lang w:eastAsia="zh-CN"/>
              </w:rPr>
            </w:pPr>
            <w:r>
              <w:rPr>
                <w:rFonts w:hint="eastAsia" w:ascii="宋体" w:hAnsi="宋体" w:cs="宋体"/>
                <w:sz w:val="21"/>
                <w:szCs w:val="21"/>
                <w:lang w:eastAsia="zh-CN"/>
              </w:rPr>
              <w:t>7</w:t>
            </w:r>
          </w:p>
        </w:tc>
        <w:tc>
          <w:tcPr>
            <w:tcW w:w="5656" w:type="dxa"/>
          </w:tcPr>
          <w:p w14:paraId="574D3B7F">
            <w:pPr>
              <w:pStyle w:val="254"/>
              <w:tabs>
                <w:tab w:val="left" w:pos="7560"/>
              </w:tabs>
              <w:spacing w:before="87"/>
              <w:ind w:right="48"/>
              <w:rPr>
                <w:rFonts w:ascii="宋体" w:hAnsi="宋体"/>
                <w:bCs/>
                <w:szCs w:val="21"/>
              </w:rPr>
            </w:pPr>
            <w:r>
              <w:rPr>
                <w:rFonts w:hint="eastAsia" w:ascii="宋体" w:hAnsi="宋体"/>
                <w:color w:val="000000"/>
                <w:szCs w:val="21"/>
                <w:lang w:eastAsia="zh-CN"/>
              </w:rPr>
              <w:t xml:space="preserve">粉、面、豆制品 </w:t>
            </w:r>
          </w:p>
        </w:tc>
        <w:tc>
          <w:tcPr>
            <w:tcW w:w="2870" w:type="dxa"/>
            <w:vMerge w:val="continue"/>
          </w:tcPr>
          <w:p w14:paraId="3739B59C">
            <w:pPr>
              <w:spacing w:line="480" w:lineRule="exact"/>
              <w:jc w:val="center"/>
              <w:rPr>
                <w:rFonts w:ascii="宋体" w:hAnsi="宋体"/>
                <w:bCs/>
                <w:szCs w:val="21"/>
              </w:rPr>
            </w:pPr>
          </w:p>
        </w:tc>
      </w:tr>
      <w:tr w14:paraId="0BD93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674" w:type="dxa"/>
          </w:tcPr>
          <w:p w14:paraId="0629B420">
            <w:pPr>
              <w:pStyle w:val="254"/>
              <w:tabs>
                <w:tab w:val="left" w:pos="7560"/>
              </w:tabs>
              <w:spacing w:before="116" w:line="264" w:lineRule="exact"/>
              <w:ind w:right="48"/>
              <w:jc w:val="center"/>
              <w:rPr>
                <w:rFonts w:ascii="宋体" w:hAnsi="宋体"/>
                <w:bCs/>
                <w:szCs w:val="21"/>
                <w:lang w:eastAsia="zh-CN"/>
              </w:rPr>
            </w:pPr>
            <w:r>
              <w:rPr>
                <w:rFonts w:hint="eastAsia" w:ascii="宋体" w:hAnsi="宋体" w:cs="宋体"/>
                <w:sz w:val="21"/>
                <w:szCs w:val="21"/>
                <w:lang w:eastAsia="zh-CN"/>
              </w:rPr>
              <w:t>8</w:t>
            </w:r>
          </w:p>
        </w:tc>
        <w:tc>
          <w:tcPr>
            <w:tcW w:w="5656" w:type="dxa"/>
          </w:tcPr>
          <w:p w14:paraId="487DB8CF">
            <w:pPr>
              <w:spacing w:line="360" w:lineRule="exact"/>
              <w:rPr>
                <w:rFonts w:ascii="宋体" w:hAnsi="宋体"/>
                <w:bCs/>
                <w:szCs w:val="21"/>
              </w:rPr>
            </w:pPr>
            <w:r>
              <w:rPr>
                <w:rFonts w:hint="eastAsia" w:ascii="宋体" w:hAnsi="宋体"/>
                <w:color w:val="000000"/>
                <w:szCs w:val="21"/>
              </w:rPr>
              <w:t>杂物类（烘焙、烧烤食材；洗洁精、保鲜膜、清洁用纯碱等）</w:t>
            </w:r>
          </w:p>
        </w:tc>
        <w:tc>
          <w:tcPr>
            <w:tcW w:w="2870" w:type="dxa"/>
            <w:vMerge w:val="continue"/>
          </w:tcPr>
          <w:p w14:paraId="0A458876">
            <w:pPr>
              <w:spacing w:line="480" w:lineRule="exact"/>
              <w:jc w:val="center"/>
              <w:rPr>
                <w:rFonts w:ascii="宋体" w:hAnsi="宋体"/>
                <w:bCs/>
                <w:szCs w:val="21"/>
              </w:rPr>
            </w:pPr>
          </w:p>
        </w:tc>
      </w:tr>
      <w:tr w14:paraId="55D000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4" w:hRule="atLeast"/>
          <w:jc w:val="center"/>
        </w:trPr>
        <w:tc>
          <w:tcPr>
            <w:tcW w:w="9200" w:type="dxa"/>
            <w:gridSpan w:val="3"/>
          </w:tcPr>
          <w:p w14:paraId="4A219A2E">
            <w:pPr>
              <w:spacing w:line="480" w:lineRule="exact"/>
              <w:ind w:firstLine="422"/>
              <w:rPr>
                <w:rFonts w:ascii="宋体" w:hAnsi="宋体"/>
                <w:bCs/>
                <w:szCs w:val="21"/>
              </w:rPr>
            </w:pPr>
            <w:r>
              <w:rPr>
                <w:rFonts w:hint="eastAsia" w:ascii="宋体" w:hAnsi="宋体" w:cs="宋体"/>
                <w:szCs w:val="21"/>
              </w:rPr>
              <w:t>结算单价=基准价×成交折扣，基准价以每月5日前，由甲方指定人员与乙方在梧州市内各市农贸市场、蔬菜批发市场、大型超市等选取三家(或以上)进行市场询价，双方根据市场询价的平均价为基准提出建议价，报甲方食品采购小组审核批准，再由双方代表签字及单位盖章确定，结算单价=甲方食品釆购小组审核批准的价格乘以成交折扣，作为下一批次物品釆购价执行。结算价款按实际采购数量乘以结算单价。</w:t>
            </w:r>
          </w:p>
        </w:tc>
      </w:tr>
    </w:tbl>
    <w:p w14:paraId="70DFBB7D">
      <w:pPr>
        <w:spacing w:line="480" w:lineRule="exact"/>
        <w:ind w:firstLine="422"/>
        <w:rPr>
          <w:rFonts w:ascii="宋体" w:hAnsi="宋体"/>
          <w:szCs w:val="21"/>
        </w:rPr>
      </w:pPr>
      <w:r>
        <w:rPr>
          <w:rFonts w:hint="eastAsia" w:ascii="宋体" w:hAnsi="宋体" w:cs="宋体"/>
          <w:b/>
          <w:szCs w:val="21"/>
        </w:rPr>
        <w:t>第二条  履行时间（期限）、地点和方式</w:t>
      </w:r>
    </w:p>
    <w:p w14:paraId="7560662B">
      <w:pPr>
        <w:spacing w:line="480" w:lineRule="exact"/>
        <w:ind w:firstLine="420"/>
        <w:rPr>
          <w:rFonts w:ascii="宋体" w:hAnsi="宋体"/>
          <w:iCs/>
          <w:szCs w:val="21"/>
          <w:u w:val="single"/>
        </w:rPr>
      </w:pPr>
      <w:r>
        <w:rPr>
          <w:rFonts w:hint="eastAsia" w:ascii="宋体" w:hAnsi="宋体" w:cs="宋体"/>
          <w:szCs w:val="21"/>
        </w:rPr>
        <w:t>1.履行时间（期限）：</w:t>
      </w:r>
      <w:r>
        <w:rPr>
          <w:rFonts w:hint="eastAsia" w:ascii="宋体" w:hAnsi="宋体"/>
          <w:iCs/>
          <w:szCs w:val="21"/>
          <w:u w:val="single"/>
        </w:rPr>
        <w:t xml:space="preserve">               </w:t>
      </w:r>
    </w:p>
    <w:p w14:paraId="793C8194">
      <w:pPr>
        <w:spacing w:line="480" w:lineRule="exact"/>
        <w:ind w:firstLine="420"/>
        <w:rPr>
          <w:rFonts w:ascii="宋体" w:hAnsi="宋体" w:cs="宋体"/>
          <w:szCs w:val="21"/>
          <w:u w:val="single"/>
        </w:rPr>
      </w:pPr>
      <w:r>
        <w:rPr>
          <w:rFonts w:hint="eastAsia" w:ascii="宋体" w:hAnsi="宋体" w:cs="宋体"/>
          <w:szCs w:val="21"/>
        </w:rPr>
        <w:t>2.履行地点：</w:t>
      </w:r>
      <w:r>
        <w:rPr>
          <w:rFonts w:hint="eastAsia" w:ascii="宋体" w:hAnsi="宋体" w:cs="宋体"/>
          <w:szCs w:val="21"/>
          <w:u w:val="single"/>
        </w:rPr>
        <w:t xml:space="preserve">                         </w:t>
      </w:r>
    </w:p>
    <w:p w14:paraId="5A9F9E77">
      <w:pPr>
        <w:spacing w:line="480" w:lineRule="exact"/>
        <w:ind w:firstLine="422"/>
        <w:rPr>
          <w:rFonts w:ascii="宋体" w:hAnsi="宋体" w:cs="宋体"/>
          <w:b/>
          <w:szCs w:val="21"/>
        </w:rPr>
      </w:pPr>
      <w:r>
        <w:rPr>
          <w:rFonts w:hint="eastAsia" w:ascii="宋体" w:hAnsi="宋体" w:cs="宋体"/>
          <w:b/>
          <w:szCs w:val="21"/>
        </w:rPr>
        <w:t>第三条　</w:t>
      </w:r>
      <w:r>
        <w:rPr>
          <w:rFonts w:hint="eastAsia" w:ascii="宋体" w:hAnsi="宋体" w:cs="宋体"/>
          <w:b/>
          <w:bCs/>
          <w:szCs w:val="21"/>
        </w:rPr>
        <w:t>送货要求</w:t>
      </w:r>
    </w:p>
    <w:p w14:paraId="5A583BB1">
      <w:pPr>
        <w:spacing w:line="360" w:lineRule="auto"/>
        <w:ind w:firstLine="420" w:firstLineChars="200"/>
        <w:rPr>
          <w:rFonts w:ascii="宋体" w:hAnsi="宋体"/>
          <w:color w:val="000000"/>
          <w:szCs w:val="21"/>
        </w:rPr>
      </w:pPr>
    </w:p>
    <w:p w14:paraId="2EBFF373">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1.一般供货要求：</w:t>
      </w:r>
      <w:r>
        <w:rPr>
          <w:rFonts w:hint="eastAsia" w:ascii="宋体" w:hAnsi="宋体" w:cs="宋体"/>
          <w:szCs w:val="21"/>
          <w:highlight w:val="none"/>
        </w:rPr>
        <w:t>乙方</w:t>
      </w:r>
      <w:r>
        <w:rPr>
          <w:rFonts w:hint="eastAsia" w:ascii="宋体" w:hAnsi="宋体" w:cs="宋体"/>
          <w:color w:val="000000"/>
          <w:szCs w:val="21"/>
          <w:highlight w:val="none"/>
        </w:rPr>
        <w:t>必须按照甲方通知的时间、数量、品种、品质要求及商定的价格准时送货，经验收合格后签字确认。</w:t>
      </w:r>
      <w:r>
        <w:rPr>
          <w:rFonts w:hint="eastAsia" w:ascii="宋体" w:hAnsi="宋体" w:cs="宋体"/>
          <w:szCs w:val="21"/>
          <w:highlight w:val="none"/>
        </w:rPr>
        <w:t>乙方</w:t>
      </w:r>
      <w:r>
        <w:rPr>
          <w:rFonts w:hint="eastAsia" w:ascii="宋体" w:hAnsi="宋体" w:cs="宋体"/>
          <w:color w:val="000000"/>
          <w:szCs w:val="21"/>
          <w:highlight w:val="none"/>
        </w:rPr>
        <w:t>不能以任何理由推托配送任务，一旦影响到甲方工作的正常运转，将按5000 元/次进行罚款，造成经济损失按实际情况由</w:t>
      </w:r>
      <w:r>
        <w:rPr>
          <w:rFonts w:hint="eastAsia" w:ascii="宋体" w:hAnsi="宋体" w:cs="宋体"/>
          <w:szCs w:val="21"/>
          <w:highlight w:val="none"/>
        </w:rPr>
        <w:t>乙方</w:t>
      </w:r>
      <w:r>
        <w:rPr>
          <w:rFonts w:hint="eastAsia" w:ascii="宋体" w:hAnsi="宋体" w:cs="宋体"/>
          <w:color w:val="000000"/>
          <w:szCs w:val="21"/>
          <w:highlight w:val="none"/>
        </w:rPr>
        <w:t>赔偿。</w:t>
      </w:r>
    </w:p>
    <w:p w14:paraId="2B0C328D">
      <w:pPr>
        <w:spacing w:line="360" w:lineRule="auto"/>
        <w:ind w:firstLine="420" w:firstLineChars="200"/>
        <w:rPr>
          <w:rFonts w:ascii="宋体" w:hAnsi="宋体" w:cs="宋体"/>
          <w:bCs/>
          <w:szCs w:val="21"/>
          <w:highlight w:val="none"/>
        </w:rPr>
      </w:pPr>
      <w:r>
        <w:rPr>
          <w:rFonts w:hint="eastAsia" w:ascii="宋体" w:hAnsi="宋体" w:cs="宋体"/>
          <w:color w:val="000000"/>
          <w:szCs w:val="21"/>
          <w:highlight w:val="none"/>
        </w:rPr>
        <w:t>2.紧急供货要求：在收到甲方发出紧急供货通知后，甲方应在采购人规定的时间内完成当次现场供货。</w:t>
      </w:r>
    </w:p>
    <w:p w14:paraId="3632A7C5">
      <w:pPr>
        <w:spacing w:line="480" w:lineRule="exact"/>
        <w:ind w:firstLine="422"/>
        <w:rPr>
          <w:rFonts w:ascii="宋体" w:hAnsi="宋体"/>
          <w:b/>
          <w:szCs w:val="21"/>
        </w:rPr>
      </w:pPr>
      <w:r>
        <w:rPr>
          <w:rFonts w:hint="eastAsia" w:ascii="宋体" w:hAnsi="宋体"/>
          <w:b/>
          <w:szCs w:val="21"/>
        </w:rPr>
        <w:t>第四条　合同价款及支付</w:t>
      </w:r>
    </w:p>
    <w:p w14:paraId="6C09E25B">
      <w:pPr>
        <w:pStyle w:val="24"/>
        <w:spacing w:line="480" w:lineRule="exact"/>
        <w:ind w:firstLine="420"/>
        <w:rPr>
          <w:rFonts w:hAnsi="宋体"/>
          <w:sz w:val="21"/>
        </w:rPr>
      </w:pPr>
      <w:r>
        <w:rPr>
          <w:rFonts w:hint="eastAsia" w:hAnsi="宋体"/>
          <w:sz w:val="21"/>
        </w:rPr>
        <w:t>1.本合同以人民币付款。</w:t>
      </w:r>
    </w:p>
    <w:p w14:paraId="785056AE">
      <w:pPr>
        <w:pStyle w:val="24"/>
        <w:spacing w:line="480" w:lineRule="exact"/>
        <w:ind w:firstLine="420"/>
        <w:rPr>
          <w:rFonts w:hAnsi="宋体"/>
        </w:rPr>
      </w:pPr>
      <w:r>
        <w:rPr>
          <w:rFonts w:hint="eastAsia" w:hAnsi="宋体"/>
          <w:sz w:val="21"/>
        </w:rPr>
        <w:t>2.合同金额：</w:t>
      </w:r>
      <w:r>
        <w:rPr>
          <w:rFonts w:hint="eastAsia" w:hAnsi="宋体"/>
          <w:sz w:val="21"/>
          <w:u w:val="single"/>
        </w:rPr>
        <w:t xml:space="preserve">                </w:t>
      </w:r>
      <w:r>
        <w:rPr>
          <w:rFonts w:hint="eastAsia" w:hAnsi="宋体"/>
          <w:u w:val="single"/>
        </w:rPr>
        <w:t xml:space="preserve"> </w:t>
      </w:r>
      <w:r>
        <w:rPr>
          <w:rFonts w:hint="eastAsia" w:hAnsi="宋体"/>
        </w:rPr>
        <w:t>。</w:t>
      </w:r>
    </w:p>
    <w:p w14:paraId="393C5960">
      <w:pPr>
        <w:spacing w:line="480" w:lineRule="exact"/>
        <w:ind w:firstLine="420"/>
        <w:rPr>
          <w:rFonts w:ascii="宋体" w:hAnsi="宋体"/>
          <w:szCs w:val="21"/>
        </w:rPr>
      </w:pPr>
      <w:r>
        <w:rPr>
          <w:rFonts w:hint="eastAsia" w:ascii="宋体" w:hAnsi="宋体"/>
          <w:szCs w:val="21"/>
        </w:rPr>
        <w:t>3.</w:t>
      </w:r>
      <w:r>
        <w:rPr>
          <w:rFonts w:hint="eastAsia" w:ascii="宋体" w:hAnsi="宋体" w:cs="宋体"/>
          <w:szCs w:val="21"/>
          <w:u w:val="single"/>
        </w:rPr>
        <w:t>合同价款（含税）原料费、运输费、人工费、交货验收费、税费等。</w:t>
      </w:r>
    </w:p>
    <w:p w14:paraId="66C5FD99">
      <w:pPr>
        <w:spacing w:line="480" w:lineRule="exact"/>
        <w:ind w:firstLine="420"/>
        <w:rPr>
          <w:rFonts w:ascii="宋体" w:hAnsi="宋体"/>
          <w:szCs w:val="21"/>
          <w:highlight w:val="none"/>
          <w:u w:val="single"/>
        </w:rPr>
      </w:pPr>
      <w:r>
        <w:rPr>
          <w:rFonts w:hint="eastAsia" w:ascii="宋体" w:hAnsi="宋体" w:cs="宋体"/>
          <w:bCs/>
        </w:rPr>
        <w:t>4.</w:t>
      </w:r>
      <w:r>
        <w:rPr>
          <w:rFonts w:hint="eastAsia" w:ascii="宋体" w:hAnsi="宋体" w:cs="宋体"/>
        </w:rPr>
        <w:t>付款进度安排</w:t>
      </w:r>
      <w:r>
        <w:rPr>
          <w:rFonts w:hint="eastAsia" w:ascii="宋体" w:hAnsi="宋体" w:cs="宋体"/>
          <w:iCs/>
        </w:rPr>
        <w:t>：</w:t>
      </w:r>
      <w:r>
        <w:rPr>
          <w:rFonts w:hint="eastAsia" w:ascii="宋体" w:hAnsi="宋体" w:cs="宋体"/>
          <w:bCs/>
          <w:szCs w:val="21"/>
          <w:highlight w:val="none"/>
          <w:u w:val="single"/>
        </w:rPr>
        <w:t>当月采购的货款于次月30日前进行结算。甲方按月进行公对公账户转账，以甲方实际购买的种类及数量据实核算。乙方必须提供详细的物品销售清单与甲方的收货单核对无误后，由乙方按照甲方财务规定出具乙方为名头的正式发票，甲方才予以付款，并于收到正式发票之日起30日内付清完毕。乙方的送货单必须详细注明商品的时间、品种、单价、数量、送货单不得涂改。标记不清的，甲方指定人员将拒绝签收。双方成交的物品对清后签字确认，结算期末乙方还应提供送货清单供甲方结算。结算期因乙方原因未及时提供结算的详细的物品销售清单、或与开具的正式发票存在差异的，甲方有权暂缓付款，由乙方无条件重开并承担全部损失，甲方不承担违约责任。</w:t>
      </w:r>
    </w:p>
    <w:p w14:paraId="33C141E5">
      <w:pPr>
        <w:spacing w:line="480" w:lineRule="exact"/>
        <w:ind w:firstLine="420"/>
        <w:rPr>
          <w:rFonts w:ascii="宋体" w:hAnsi="宋体"/>
          <w:b/>
          <w:szCs w:val="21"/>
        </w:rPr>
      </w:pPr>
      <w:r>
        <w:rPr>
          <w:rFonts w:hint="eastAsia" w:hAnsi="宋体"/>
        </w:rPr>
        <w:t>5</w:t>
      </w:r>
      <w:r>
        <w:rPr>
          <w:rFonts w:hAnsi="宋体"/>
        </w:rPr>
        <w:t>.</w:t>
      </w:r>
      <w:r>
        <w:rPr>
          <w:rFonts w:hint="eastAsia" w:hAnsi="宋体"/>
        </w:rPr>
        <w:t>资金支付方式：</w:t>
      </w:r>
      <w:r>
        <w:rPr>
          <w:rFonts w:hint="eastAsia" w:hAnsi="宋体"/>
          <w:u w:val="single"/>
        </w:rPr>
        <w:t>银行转账</w:t>
      </w:r>
      <w:r>
        <w:rPr>
          <w:rFonts w:hAnsi="宋体"/>
          <w:u w:val="single"/>
        </w:rPr>
        <w:t xml:space="preserve"> </w:t>
      </w:r>
      <w:r>
        <w:rPr>
          <w:rFonts w:hint="eastAsia" w:hAnsi="宋体"/>
        </w:rPr>
        <w:t>。</w:t>
      </w:r>
    </w:p>
    <w:p w14:paraId="05EF1500">
      <w:pPr>
        <w:spacing w:line="480" w:lineRule="exact"/>
        <w:ind w:firstLine="422"/>
        <w:rPr>
          <w:rFonts w:ascii="宋体" w:hAnsi="宋体"/>
          <w:b/>
          <w:szCs w:val="21"/>
        </w:rPr>
      </w:pPr>
      <w:r>
        <w:rPr>
          <w:rFonts w:hint="eastAsia" w:ascii="宋体" w:hAnsi="宋体"/>
          <w:b/>
          <w:szCs w:val="21"/>
        </w:rPr>
        <w:t>第五条　验收、交付标准和方法</w:t>
      </w:r>
    </w:p>
    <w:p w14:paraId="490B350E">
      <w:pPr>
        <w:spacing w:line="480" w:lineRule="exact"/>
        <w:ind w:firstLine="420"/>
        <w:rPr>
          <w:rFonts w:ascii="宋体" w:hAnsi="宋体"/>
          <w:szCs w:val="21"/>
        </w:rPr>
      </w:pPr>
      <w:r>
        <w:rPr>
          <w:rFonts w:hint="eastAsia" w:ascii="宋体" w:hAnsi="宋体"/>
          <w:szCs w:val="21"/>
        </w:rPr>
        <w:t>1.验收标准和方法</w:t>
      </w:r>
    </w:p>
    <w:p w14:paraId="3820FAB9">
      <w:pPr>
        <w:spacing w:line="480" w:lineRule="exact"/>
        <w:ind w:firstLine="420"/>
        <w:rPr>
          <w:rFonts w:ascii="宋体" w:hAnsi="宋体" w:cs="宋体"/>
          <w:szCs w:val="21"/>
          <w:highlight w:val="none"/>
        </w:rPr>
      </w:pPr>
      <w:r>
        <w:rPr>
          <w:rFonts w:hint="eastAsia" w:ascii="宋体" w:hAnsi="宋体"/>
          <w:szCs w:val="21"/>
          <w:highlight w:val="none"/>
        </w:rPr>
        <w:t>（1）验收标准：</w:t>
      </w:r>
      <w:r>
        <w:rPr>
          <w:rFonts w:hint="eastAsia" w:ascii="宋体" w:hAnsi="宋体" w:cs="宋体"/>
          <w:szCs w:val="21"/>
          <w:highlight w:val="none"/>
        </w:rPr>
        <w:t>符合本项目竞争性磋商文件、响应文件及合同中关于此次服务的所有内容的服务要求。</w:t>
      </w:r>
    </w:p>
    <w:p w14:paraId="600E5465">
      <w:pPr>
        <w:spacing w:line="360" w:lineRule="auto"/>
        <w:ind w:firstLine="420" w:firstLineChars="200"/>
        <w:rPr>
          <w:rFonts w:ascii="宋体" w:hAnsi="宋体"/>
          <w:color w:val="000000"/>
          <w:szCs w:val="21"/>
          <w:highlight w:val="none"/>
        </w:rPr>
      </w:pPr>
      <w:r>
        <w:rPr>
          <w:rFonts w:hint="eastAsia" w:ascii="宋体" w:hAnsi="宋体"/>
          <w:szCs w:val="21"/>
          <w:highlight w:val="none"/>
        </w:rPr>
        <w:t>（2）验收方法：</w:t>
      </w:r>
      <w:r>
        <w:rPr>
          <w:rFonts w:ascii="宋体" w:hAnsi="宋体"/>
          <w:color w:val="000000"/>
          <w:szCs w:val="21"/>
          <w:highlight w:val="none"/>
        </w:rPr>
        <w:t>产品的验收工作由</w:t>
      </w:r>
      <w:r>
        <w:rPr>
          <w:rFonts w:hint="eastAsia" w:ascii="宋体" w:hAnsi="宋体"/>
          <w:color w:val="000000"/>
          <w:szCs w:val="21"/>
          <w:highlight w:val="none"/>
        </w:rPr>
        <w:t>甲方</w:t>
      </w:r>
      <w:r>
        <w:rPr>
          <w:rFonts w:ascii="宋体" w:hAnsi="宋体"/>
          <w:color w:val="000000"/>
          <w:szCs w:val="21"/>
          <w:highlight w:val="none"/>
        </w:rPr>
        <w:t>和</w:t>
      </w:r>
      <w:r>
        <w:rPr>
          <w:rFonts w:hint="eastAsia" w:ascii="宋体" w:hAnsi="宋体"/>
          <w:color w:val="000000"/>
          <w:szCs w:val="21"/>
          <w:highlight w:val="none"/>
        </w:rPr>
        <w:t>乙方</w:t>
      </w:r>
      <w:r>
        <w:rPr>
          <w:rFonts w:ascii="宋体" w:hAnsi="宋体"/>
          <w:color w:val="000000"/>
          <w:szCs w:val="21"/>
          <w:highlight w:val="none"/>
        </w:rPr>
        <w:t>共同进行。</w:t>
      </w:r>
      <w:r>
        <w:rPr>
          <w:rFonts w:hint="eastAsia" w:ascii="宋体" w:hAnsi="宋体"/>
          <w:color w:val="000000"/>
          <w:szCs w:val="21"/>
          <w:highlight w:val="none"/>
        </w:rPr>
        <w:t>乙方</w:t>
      </w:r>
      <w:r>
        <w:rPr>
          <w:rFonts w:ascii="宋体" w:hAnsi="宋体"/>
          <w:color w:val="000000"/>
          <w:szCs w:val="21"/>
          <w:highlight w:val="none"/>
        </w:rPr>
        <w:t>提供的产品须经过</w:t>
      </w:r>
      <w:r>
        <w:rPr>
          <w:rFonts w:hint="eastAsia" w:ascii="宋体" w:hAnsi="宋体"/>
          <w:color w:val="000000"/>
          <w:szCs w:val="21"/>
          <w:highlight w:val="none"/>
        </w:rPr>
        <w:t>甲方</w:t>
      </w:r>
      <w:r>
        <w:rPr>
          <w:rFonts w:ascii="宋体" w:hAnsi="宋体"/>
          <w:color w:val="000000"/>
          <w:szCs w:val="21"/>
          <w:highlight w:val="none"/>
        </w:rPr>
        <w:t>验收人员的感官检验、外观检验和试用检验，若产品外观、包装、形式不符合要求、感官检验不能达到食品卫生要求，当即拒收，</w:t>
      </w:r>
      <w:r>
        <w:rPr>
          <w:rFonts w:hint="eastAsia" w:ascii="宋体" w:hAnsi="宋体"/>
          <w:color w:val="000000"/>
          <w:szCs w:val="21"/>
          <w:highlight w:val="none"/>
        </w:rPr>
        <w:t>乙方</w:t>
      </w:r>
      <w:r>
        <w:rPr>
          <w:rFonts w:ascii="宋体" w:hAnsi="宋体"/>
          <w:color w:val="000000"/>
          <w:szCs w:val="21"/>
          <w:highlight w:val="none"/>
        </w:rPr>
        <w:t>需在</w:t>
      </w:r>
      <w:r>
        <w:rPr>
          <w:rFonts w:hint="eastAsia" w:ascii="宋体" w:hAnsi="宋体"/>
          <w:color w:val="000000"/>
          <w:szCs w:val="21"/>
          <w:highlight w:val="none"/>
        </w:rPr>
        <w:t>2</w:t>
      </w:r>
      <w:r>
        <w:rPr>
          <w:rFonts w:ascii="宋体" w:hAnsi="宋体"/>
          <w:color w:val="000000"/>
          <w:szCs w:val="21"/>
          <w:highlight w:val="none"/>
        </w:rPr>
        <w:t>小时内更换不合格产品。</w:t>
      </w:r>
      <w:r>
        <w:rPr>
          <w:rFonts w:hint="eastAsia" w:ascii="宋体" w:hAnsi="宋体"/>
          <w:color w:val="000000"/>
          <w:szCs w:val="21"/>
          <w:highlight w:val="none"/>
        </w:rPr>
        <w:t>乙方</w:t>
      </w:r>
      <w:r>
        <w:rPr>
          <w:rFonts w:ascii="宋体" w:hAnsi="宋体"/>
          <w:color w:val="000000"/>
          <w:szCs w:val="21"/>
          <w:highlight w:val="none"/>
        </w:rPr>
        <w:t>不能满足食品的质量及售后服务要求时，造成经济损失按实际情况</w:t>
      </w:r>
      <w:r>
        <w:rPr>
          <w:rFonts w:hint="eastAsia" w:ascii="宋体" w:hAnsi="宋体"/>
          <w:color w:val="000000"/>
          <w:szCs w:val="21"/>
          <w:highlight w:val="none"/>
        </w:rPr>
        <w:t>由乙方</w:t>
      </w:r>
      <w:r>
        <w:rPr>
          <w:rFonts w:ascii="宋体" w:hAnsi="宋体"/>
          <w:color w:val="000000"/>
          <w:szCs w:val="21"/>
          <w:highlight w:val="none"/>
        </w:rPr>
        <w:t>赔偿。</w:t>
      </w:r>
    </w:p>
    <w:p w14:paraId="15AD56F3">
      <w:pPr>
        <w:spacing w:line="360" w:lineRule="auto"/>
        <w:ind w:firstLine="420" w:firstLineChars="200"/>
        <w:rPr>
          <w:rFonts w:ascii="宋体" w:hAnsi="宋体"/>
          <w:color w:val="000000"/>
          <w:szCs w:val="21"/>
          <w:highlight w:val="none"/>
        </w:rPr>
      </w:pPr>
      <w:r>
        <w:rPr>
          <w:rFonts w:hint="eastAsia" w:ascii="宋体" w:hAnsi="宋体" w:cs="宋体"/>
          <w:szCs w:val="21"/>
          <w:highlight w:val="none"/>
        </w:rPr>
        <w:t>验收工作的一般程序为：</w:t>
      </w:r>
      <w:r>
        <w:rPr>
          <w:rFonts w:ascii="宋体" w:hAnsi="宋体"/>
          <w:color w:val="000000"/>
          <w:szCs w:val="21"/>
          <w:highlight w:val="none"/>
        </w:rPr>
        <w:t>根据采购清单的具体要求，对所购产品进行清点、外观检查以及对产品的各项指标和性能进行实测。检测结束后，验收人员在验收单上签字。对未能通过验收的，一律退货、更换直至验收合格。</w:t>
      </w:r>
    </w:p>
    <w:p w14:paraId="454CD77B">
      <w:pPr>
        <w:spacing w:line="360" w:lineRule="auto"/>
        <w:ind w:firstLine="420"/>
        <w:rPr>
          <w:rFonts w:ascii="宋体" w:hAnsi="宋体" w:cs="宋体"/>
          <w:szCs w:val="21"/>
          <w:highlight w:val="none"/>
        </w:rPr>
      </w:pPr>
      <w:r>
        <w:rPr>
          <w:rFonts w:hint="eastAsia" w:ascii="宋体" w:hAnsi="宋体" w:cs="宋体"/>
          <w:szCs w:val="21"/>
          <w:highlight w:val="none"/>
        </w:rPr>
        <w:t>来货量大于订货量时按订货量验收，来货量小于订货量85%，则告知乙方必须在1小时内补齐，若无法补齐数量，则按缺货金额的10%在当月货款中进行扣罚。</w:t>
      </w:r>
    </w:p>
    <w:p w14:paraId="769344C8">
      <w:pPr>
        <w:pStyle w:val="2"/>
      </w:pPr>
    </w:p>
    <w:p w14:paraId="477CF0E0">
      <w:pPr>
        <w:spacing w:line="480" w:lineRule="exact"/>
        <w:ind w:left="-61" w:firstLine="517"/>
        <w:rPr>
          <w:rFonts w:ascii="宋体" w:hAnsi="宋体"/>
          <w:b/>
          <w:szCs w:val="21"/>
        </w:rPr>
      </w:pPr>
      <w:r>
        <w:rPr>
          <w:rFonts w:hint="eastAsia" w:ascii="宋体" w:hAnsi="宋体"/>
          <w:b/>
          <w:szCs w:val="21"/>
        </w:rPr>
        <w:t>第六条  交货相关事宜</w:t>
      </w:r>
    </w:p>
    <w:p w14:paraId="76262481">
      <w:pPr>
        <w:spacing w:line="480" w:lineRule="exact"/>
        <w:ind w:left="-61" w:firstLine="517"/>
        <w:rPr>
          <w:rFonts w:ascii="宋体" w:hAnsi="宋体"/>
          <w:bCs/>
          <w:szCs w:val="21"/>
        </w:rPr>
      </w:pPr>
      <w:r>
        <w:rPr>
          <w:rFonts w:hint="eastAsia" w:ascii="宋体" w:hAnsi="宋体"/>
          <w:bCs/>
          <w:szCs w:val="21"/>
        </w:rPr>
        <w:t>1. 一般供货以订货单为准，紧急供货以通知为准。</w:t>
      </w:r>
    </w:p>
    <w:p w14:paraId="495E3ED9">
      <w:pPr>
        <w:spacing w:line="480" w:lineRule="exact"/>
        <w:ind w:left="-61" w:firstLine="517"/>
        <w:rPr>
          <w:rFonts w:ascii="宋体" w:hAnsi="宋体"/>
          <w:bCs/>
          <w:szCs w:val="21"/>
        </w:rPr>
      </w:pPr>
      <w:r>
        <w:rPr>
          <w:rFonts w:hint="eastAsia" w:ascii="宋体" w:hAnsi="宋体"/>
          <w:bCs/>
          <w:szCs w:val="21"/>
        </w:rPr>
        <w:t>2.乙方必须将合法有效的营业执照、《食品卫生许可证》或《食品经营许可证》、 送货人员健康证等原件送甲方查验，将上述证件的复印件及单位经营负责人身份证复印件一并交甲方备案。</w:t>
      </w:r>
    </w:p>
    <w:p w14:paraId="44F25BBB">
      <w:pPr>
        <w:spacing w:line="480" w:lineRule="exact"/>
        <w:ind w:left="-61" w:firstLine="517"/>
        <w:rPr>
          <w:rFonts w:ascii="宋体" w:hAnsi="宋体"/>
          <w:bCs/>
          <w:szCs w:val="21"/>
        </w:rPr>
      </w:pPr>
      <w:r>
        <w:rPr>
          <w:rFonts w:hint="eastAsia" w:ascii="宋体" w:hAnsi="宋体"/>
          <w:bCs/>
          <w:szCs w:val="21"/>
        </w:rPr>
        <w:t>3.乙方按照甲方指定的食品名称、规格、数量等要求在规定时间内将货物送到甲方要求地点。乙方供货不符合要求的，甲方有权立即退货。乙方应按甲方的要求及时补货，具体交货时间以约定为准。</w:t>
      </w:r>
    </w:p>
    <w:p w14:paraId="1E524919">
      <w:pPr>
        <w:spacing w:line="480" w:lineRule="exact"/>
        <w:ind w:left="-61" w:firstLine="517"/>
        <w:rPr>
          <w:rFonts w:ascii="宋体" w:hAnsi="宋体"/>
          <w:bCs/>
          <w:szCs w:val="21"/>
        </w:rPr>
      </w:pPr>
      <w:r>
        <w:rPr>
          <w:rFonts w:hint="eastAsia" w:ascii="宋体" w:hAnsi="宋体"/>
          <w:bCs/>
          <w:szCs w:val="21"/>
        </w:rPr>
        <w:t>4.乙方必须由有健康证的固定人员长期送货。如临时非固定人员送货，须取得甲方同意。</w:t>
      </w:r>
    </w:p>
    <w:p w14:paraId="665DFCF1">
      <w:pPr>
        <w:spacing w:line="480" w:lineRule="exact"/>
        <w:ind w:left="-61" w:firstLine="517"/>
        <w:rPr>
          <w:rFonts w:ascii="宋体" w:hAnsi="宋体"/>
          <w:bCs/>
          <w:szCs w:val="21"/>
        </w:rPr>
      </w:pPr>
      <w:r>
        <w:rPr>
          <w:rFonts w:hint="eastAsia" w:ascii="宋体" w:hAnsi="宋体"/>
          <w:bCs/>
          <w:szCs w:val="21"/>
        </w:rPr>
        <w:t>5.依据产品质量监督检验所提供的质量标准，乙方提供的产品必须是经过质量监督管理部门检验并取得合格证明的产品，每批次产品提供时应交存货物质量合格证明、 产品质量检测合格报告或检疫报告复印件。鲜(冻)鸡鸭、鸡副产品必须具有动物检验检疫证明(适用于肉类定点供应项目)。</w:t>
      </w:r>
    </w:p>
    <w:p w14:paraId="01032B3F">
      <w:pPr>
        <w:spacing w:line="480" w:lineRule="exact"/>
        <w:ind w:left="-61" w:firstLine="517"/>
        <w:rPr>
          <w:rFonts w:ascii="宋体" w:hAnsi="宋体"/>
          <w:bCs/>
          <w:szCs w:val="21"/>
        </w:rPr>
      </w:pPr>
      <w:r>
        <w:rPr>
          <w:rFonts w:hint="eastAsia" w:ascii="宋体" w:hAnsi="宋体"/>
          <w:bCs/>
          <w:szCs w:val="21"/>
        </w:rPr>
        <w:t>6.乙方应严格遵守《食品安全法》和《</w:t>
      </w:r>
      <w:r>
        <w:t>动物防疫法</w:t>
      </w:r>
      <w:r>
        <w:rPr>
          <w:rFonts w:hint="eastAsia" w:ascii="宋体" w:hAnsi="宋体"/>
          <w:bCs/>
          <w:szCs w:val="21"/>
        </w:rPr>
        <w:t>》等相关规定，所提供的产品是合格安全的产品。甲方有权对乙方所送的货物进行抽检，对一经发现供应以下食品，甲方除全部退货外，将立即取消乙方的供货资格，不予退还全部履约保证金，乙方并承担由此造成的经济责任和法律责任。</w:t>
      </w:r>
    </w:p>
    <w:p w14:paraId="4BB5E1A6">
      <w:pPr>
        <w:spacing w:line="480" w:lineRule="exact"/>
        <w:ind w:left="-61" w:firstLine="517"/>
        <w:rPr>
          <w:rFonts w:ascii="宋体" w:hAnsi="宋体"/>
          <w:bCs/>
          <w:szCs w:val="21"/>
        </w:rPr>
      </w:pPr>
      <w:r>
        <w:rPr>
          <w:rFonts w:hint="eastAsia" w:ascii="宋体" w:hAnsi="宋体"/>
          <w:bCs/>
          <w:szCs w:val="21"/>
        </w:rPr>
        <w:t>(1) 腐败变质、油脂酸败、霉变、生虫、污秽不洁、混有异物或者其他感官性状异常，对人体健康有害的；</w:t>
      </w:r>
    </w:p>
    <w:p w14:paraId="187FADD9">
      <w:pPr>
        <w:spacing w:line="480" w:lineRule="exact"/>
        <w:ind w:left="-61" w:firstLine="517"/>
        <w:rPr>
          <w:rFonts w:ascii="宋体" w:hAnsi="宋体"/>
          <w:bCs/>
          <w:szCs w:val="21"/>
        </w:rPr>
      </w:pPr>
      <w:r>
        <w:rPr>
          <w:rFonts w:hint="eastAsia" w:ascii="宋体" w:hAnsi="宋体"/>
          <w:bCs/>
          <w:szCs w:val="21"/>
        </w:rPr>
        <w:t>(2)含有毒、有害物质或者被有害物质污染，对人体健康有害的；</w:t>
      </w:r>
    </w:p>
    <w:p w14:paraId="6C8059F0">
      <w:pPr>
        <w:spacing w:line="480" w:lineRule="exact"/>
        <w:ind w:left="-61" w:firstLine="517"/>
        <w:rPr>
          <w:rFonts w:ascii="宋体" w:hAnsi="宋体"/>
          <w:bCs/>
          <w:szCs w:val="21"/>
        </w:rPr>
      </w:pPr>
      <w:r>
        <w:rPr>
          <w:rFonts w:hint="eastAsia" w:ascii="宋体" w:hAnsi="宋体"/>
          <w:bCs/>
          <w:szCs w:val="21"/>
        </w:rPr>
        <w:t>(3)含有致病性寄生虫、微生物或者微生物含量超过国家限定标准的；</w:t>
      </w:r>
    </w:p>
    <w:p w14:paraId="1CCE66B5">
      <w:pPr>
        <w:spacing w:line="480" w:lineRule="exact"/>
        <w:ind w:left="-61" w:firstLine="517"/>
        <w:rPr>
          <w:rFonts w:ascii="宋体" w:hAnsi="宋体"/>
          <w:bCs/>
          <w:szCs w:val="21"/>
        </w:rPr>
      </w:pPr>
      <w:r>
        <w:rPr>
          <w:rFonts w:hint="eastAsia" w:ascii="宋体" w:hAnsi="宋体"/>
          <w:bCs/>
          <w:szCs w:val="21"/>
        </w:rPr>
        <w:t>(4)未经动物检疫部门检疫、检验或者检疫、检验不合格的肉类及其制品；</w:t>
      </w:r>
    </w:p>
    <w:p w14:paraId="055058F5">
      <w:pPr>
        <w:spacing w:line="480" w:lineRule="exact"/>
        <w:ind w:left="-61" w:firstLine="517"/>
        <w:rPr>
          <w:rFonts w:ascii="宋体" w:hAnsi="宋体"/>
          <w:bCs/>
          <w:szCs w:val="21"/>
        </w:rPr>
      </w:pPr>
      <w:r>
        <w:rPr>
          <w:rFonts w:hint="eastAsia" w:ascii="宋体" w:hAnsi="宋体"/>
          <w:bCs/>
          <w:szCs w:val="21"/>
        </w:rPr>
        <w:t>(5)病死、毒死或者死因不明的禽、畜、兽、水产动物等及其制品；</w:t>
      </w:r>
    </w:p>
    <w:p w14:paraId="62156F6C">
      <w:pPr>
        <w:spacing w:line="480" w:lineRule="exact"/>
        <w:ind w:left="-61" w:firstLine="517"/>
        <w:rPr>
          <w:rFonts w:ascii="宋体" w:hAnsi="宋体"/>
          <w:bCs/>
          <w:szCs w:val="21"/>
        </w:rPr>
      </w:pPr>
      <w:r>
        <w:rPr>
          <w:rFonts w:hint="eastAsia" w:ascii="宋体" w:hAnsi="宋体"/>
          <w:bCs/>
          <w:szCs w:val="21"/>
        </w:rPr>
        <w:t>(6)掺假、掺杂、伪造，影响营养、卫生的；</w:t>
      </w:r>
    </w:p>
    <w:p w14:paraId="12D0C282">
      <w:pPr>
        <w:spacing w:line="480" w:lineRule="exact"/>
        <w:ind w:left="-61" w:firstLine="517"/>
        <w:rPr>
          <w:rFonts w:ascii="宋体" w:hAnsi="宋体"/>
          <w:bCs/>
          <w:szCs w:val="21"/>
        </w:rPr>
      </w:pPr>
      <w:r>
        <w:rPr>
          <w:rFonts w:hint="eastAsia" w:ascii="宋体" w:hAnsi="宋体"/>
          <w:bCs/>
          <w:szCs w:val="21"/>
        </w:rPr>
        <w:t>(7)用非食品原料加工的，加入非食品用化学物质或者将非食品当作食品的；</w:t>
      </w:r>
    </w:p>
    <w:p w14:paraId="15DAAB36">
      <w:pPr>
        <w:spacing w:line="480" w:lineRule="exact"/>
        <w:ind w:left="-61" w:firstLine="517"/>
        <w:rPr>
          <w:rFonts w:ascii="宋体" w:hAnsi="宋体"/>
          <w:bCs/>
          <w:szCs w:val="21"/>
        </w:rPr>
      </w:pPr>
      <w:r>
        <w:rPr>
          <w:rFonts w:hint="eastAsia" w:ascii="宋体" w:hAnsi="宋体"/>
          <w:bCs/>
          <w:szCs w:val="21"/>
        </w:rPr>
        <w:t>(8)农药残留超标的；</w:t>
      </w:r>
    </w:p>
    <w:p w14:paraId="7EB10081">
      <w:pPr>
        <w:spacing w:line="480" w:lineRule="exact"/>
        <w:ind w:left="-61" w:firstLine="517"/>
        <w:rPr>
          <w:rFonts w:ascii="宋体" w:hAnsi="宋体"/>
          <w:bCs/>
          <w:szCs w:val="21"/>
        </w:rPr>
      </w:pPr>
      <w:r>
        <w:rPr>
          <w:rFonts w:hint="eastAsia" w:ascii="宋体" w:hAnsi="宋体"/>
          <w:bCs/>
          <w:szCs w:val="21"/>
        </w:rPr>
        <w:t>(9)超过保质期限的。</w:t>
      </w:r>
    </w:p>
    <w:p w14:paraId="32F7E65F">
      <w:pPr>
        <w:spacing w:line="480" w:lineRule="exact"/>
        <w:ind w:left="-61" w:firstLine="517"/>
        <w:rPr>
          <w:rFonts w:ascii="宋体" w:hAnsi="宋体"/>
          <w:bCs/>
          <w:szCs w:val="21"/>
        </w:rPr>
      </w:pPr>
      <w:r>
        <w:rPr>
          <w:rFonts w:hint="eastAsia" w:ascii="宋体" w:hAnsi="宋体"/>
          <w:bCs/>
          <w:szCs w:val="21"/>
        </w:rPr>
        <w:t>7.价格确定：</w:t>
      </w:r>
    </w:p>
    <w:p w14:paraId="4FF6B87F">
      <w:pPr>
        <w:spacing w:line="360" w:lineRule="auto"/>
        <w:ind w:left="-61" w:firstLine="517"/>
        <w:rPr>
          <w:rFonts w:ascii="宋体" w:hAnsi="宋体"/>
          <w:bCs/>
          <w:szCs w:val="21"/>
          <w:highlight w:val="none"/>
        </w:rPr>
      </w:pPr>
      <w:r>
        <w:rPr>
          <w:rFonts w:hint="eastAsia" w:ascii="宋体" w:hAnsi="宋体"/>
          <w:bCs/>
          <w:szCs w:val="21"/>
          <w:highlight w:val="none"/>
        </w:rPr>
        <w:t>(1)结算单价=基准价×成交折扣，基准价以每月5日前，由甲方指定人员与乙方在梧州市内各市农贸市场、蔬菜批发市场、大型超市等选取三家(或以上)进行市场询价，双方根据市场询价的平均价为基准提出建议价，报甲方食品釆购小组审核批准，再由双方代表签字及单位盖章确定，结算单价=甲方食品釆购小组审核批准的价格乘以成交折扣，作为下一批次物品釆购价执行。结算价款按实际采购数量乘以结算单价。</w:t>
      </w:r>
    </w:p>
    <w:p w14:paraId="3A6B3626">
      <w:pPr>
        <w:pStyle w:val="2"/>
        <w:spacing w:line="360" w:lineRule="auto"/>
        <w:rPr>
          <w:highlight w:val="none"/>
        </w:rPr>
      </w:pPr>
      <w:r>
        <w:rPr>
          <w:rFonts w:hint="eastAsia" w:ascii="宋体" w:hAnsi="宋体" w:cs="宋体"/>
          <w:color w:val="000000"/>
          <w:szCs w:val="21"/>
          <w:highlight w:val="none"/>
        </w:rPr>
        <w:t>(2)结算价是指</w:t>
      </w:r>
      <w:r>
        <w:rPr>
          <w:rFonts w:hint="eastAsia" w:ascii="宋体" w:hAnsi="宋体"/>
          <w:bCs/>
          <w:szCs w:val="21"/>
          <w:highlight w:val="none"/>
        </w:rPr>
        <w:t>乙方</w:t>
      </w:r>
      <w:r>
        <w:rPr>
          <w:rFonts w:hint="eastAsia" w:ascii="宋体" w:hAnsi="宋体" w:cs="宋体"/>
          <w:color w:val="000000"/>
          <w:szCs w:val="21"/>
          <w:highlight w:val="none"/>
        </w:rPr>
        <w:t>送达食材到</w:t>
      </w:r>
      <w:r>
        <w:rPr>
          <w:rFonts w:hint="eastAsia" w:ascii="宋体" w:hAnsi="宋体"/>
          <w:bCs/>
          <w:szCs w:val="21"/>
          <w:highlight w:val="none"/>
        </w:rPr>
        <w:t>甲方</w:t>
      </w:r>
      <w:r>
        <w:rPr>
          <w:rFonts w:hint="eastAsia" w:ascii="宋体" w:hAnsi="宋体" w:cs="宋体"/>
          <w:color w:val="000000"/>
          <w:szCs w:val="21"/>
          <w:highlight w:val="none"/>
        </w:rPr>
        <w:t>指定地点交货价，已包</w:t>
      </w:r>
      <w:r>
        <w:rPr>
          <w:rFonts w:hint="eastAsia" w:ascii="宋体" w:hAnsi="宋体" w:cs="宋体"/>
          <w:szCs w:val="21"/>
          <w:highlight w:val="none"/>
        </w:rPr>
        <w:t>含（税费）原料费、运输费、人工费、交货验收费、税费等。</w:t>
      </w:r>
    </w:p>
    <w:p w14:paraId="401C0BB4">
      <w:pPr>
        <w:spacing w:line="360" w:lineRule="auto"/>
        <w:ind w:left="-61" w:firstLine="517"/>
        <w:rPr>
          <w:rFonts w:ascii="宋体" w:hAnsi="宋体"/>
          <w:bCs/>
          <w:szCs w:val="21"/>
          <w:highlight w:val="none"/>
        </w:rPr>
      </w:pPr>
      <w:r>
        <w:rPr>
          <w:rFonts w:hint="eastAsia" w:ascii="宋体" w:hAnsi="宋体"/>
          <w:bCs/>
          <w:szCs w:val="21"/>
          <w:highlight w:val="none"/>
        </w:rPr>
        <w:t>(3)在采购过程中，如某一期间内的某货物(食品)价格出现较大变动的，乙方应及时向甲方反映情况；由甲方核实后，作出相应调整措施，经双方单位同意后，按调整后的计划继续执行。</w:t>
      </w:r>
    </w:p>
    <w:p w14:paraId="39DC8A16">
      <w:pPr>
        <w:spacing w:line="360" w:lineRule="auto"/>
        <w:ind w:firstLine="420" w:firstLineChars="200"/>
        <w:rPr>
          <w:rFonts w:ascii="宋体" w:hAnsi="宋体" w:cs="宋体"/>
          <w:szCs w:val="21"/>
          <w:highlight w:val="none"/>
        </w:rPr>
      </w:pPr>
      <w:r>
        <w:rPr>
          <w:rFonts w:hint="eastAsia" w:ascii="宋体" w:hAnsi="宋体" w:cs="宋体"/>
          <w:szCs w:val="21"/>
          <w:highlight w:val="none"/>
        </w:rPr>
        <w:t>8.其他要求：</w:t>
      </w:r>
    </w:p>
    <w:p w14:paraId="308F8991">
      <w:pPr>
        <w:widowControl/>
        <w:shd w:val="clear" w:color="auto" w:fill="FFFFFF"/>
        <w:spacing w:line="340" w:lineRule="exact"/>
        <w:ind w:firstLine="210" w:firstLineChars="100"/>
        <w:rPr>
          <w:rFonts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bCs/>
          <w:szCs w:val="21"/>
          <w:highlight w:val="none"/>
        </w:rPr>
        <w:t>乙方</w:t>
      </w:r>
      <w:r>
        <w:rPr>
          <w:rFonts w:hint="eastAsia" w:ascii="宋体" w:hAnsi="宋体" w:cs="宋体"/>
          <w:color w:val="000000"/>
          <w:szCs w:val="21"/>
          <w:highlight w:val="none"/>
        </w:rPr>
        <w:t>不得将合同转让他人，也不得将中标的项目分解后转让他人，如有此类情况</w:t>
      </w:r>
      <w:r>
        <w:rPr>
          <w:rFonts w:hint="eastAsia" w:ascii="宋体" w:hAnsi="宋体"/>
          <w:bCs/>
          <w:szCs w:val="21"/>
          <w:highlight w:val="none"/>
        </w:rPr>
        <w:t>甲方</w:t>
      </w:r>
      <w:r>
        <w:rPr>
          <w:rFonts w:hint="eastAsia" w:ascii="宋体" w:hAnsi="宋体" w:cs="宋体"/>
          <w:color w:val="000000"/>
          <w:szCs w:val="21"/>
          <w:highlight w:val="none"/>
        </w:rPr>
        <w:t>有权单方面终止合同。</w:t>
      </w:r>
    </w:p>
    <w:p w14:paraId="2D1B26F1">
      <w:pPr>
        <w:widowControl/>
        <w:shd w:val="clear" w:color="auto" w:fill="FFFFFF"/>
        <w:spacing w:line="340" w:lineRule="exact"/>
        <w:ind w:firstLine="210" w:firstLineChars="100"/>
        <w:rPr>
          <w:rFonts w:ascii="宋体" w:hAnsi="宋体" w:cs="宋体"/>
          <w:color w:val="000000"/>
          <w:szCs w:val="21"/>
          <w:highlight w:val="none"/>
        </w:rPr>
      </w:pPr>
    </w:p>
    <w:p w14:paraId="5E7C3302">
      <w:pPr>
        <w:tabs>
          <w:tab w:val="left" w:pos="180"/>
          <w:tab w:val="left" w:pos="1620"/>
        </w:tabs>
        <w:spacing w:line="360" w:lineRule="auto"/>
        <w:ind w:firstLine="210" w:firstLineChars="100"/>
        <w:rPr>
          <w:rFonts w:ascii="宋体" w:hAnsi="宋体" w:cs="宋体"/>
          <w:color w:val="000000"/>
          <w:szCs w:val="21"/>
          <w:highlight w:val="none"/>
        </w:rPr>
      </w:pPr>
      <w:r>
        <w:rPr>
          <w:rFonts w:hint="eastAsia" w:ascii="宋体" w:hAnsi="宋体" w:cs="宋体"/>
          <w:color w:val="000000"/>
          <w:szCs w:val="21"/>
          <w:highlight w:val="none"/>
        </w:rPr>
        <w:t>(2)若在配送服务期限内，</w:t>
      </w:r>
      <w:r>
        <w:rPr>
          <w:rFonts w:hint="eastAsia" w:ascii="宋体" w:hAnsi="宋体" w:cs="宋体"/>
          <w:szCs w:val="21"/>
          <w:highlight w:val="none"/>
        </w:rPr>
        <w:t>如某一期间内的某货物（食品）价格出现较大变动的，</w:t>
      </w:r>
      <w:r>
        <w:rPr>
          <w:rFonts w:hint="eastAsia" w:ascii="宋体" w:hAnsi="宋体"/>
          <w:bCs/>
          <w:szCs w:val="21"/>
          <w:highlight w:val="none"/>
        </w:rPr>
        <w:t>乙方</w:t>
      </w:r>
      <w:r>
        <w:rPr>
          <w:rFonts w:hint="eastAsia" w:ascii="宋体" w:hAnsi="宋体" w:cs="宋体"/>
          <w:szCs w:val="21"/>
          <w:highlight w:val="none"/>
        </w:rPr>
        <w:t>应及时向</w:t>
      </w:r>
      <w:r>
        <w:rPr>
          <w:rFonts w:hint="eastAsia" w:ascii="宋体" w:hAnsi="宋体"/>
          <w:bCs/>
          <w:szCs w:val="21"/>
          <w:highlight w:val="none"/>
        </w:rPr>
        <w:t>甲方</w:t>
      </w:r>
      <w:r>
        <w:rPr>
          <w:rFonts w:hint="eastAsia" w:ascii="宋体" w:hAnsi="宋体" w:cs="宋体"/>
          <w:szCs w:val="21"/>
          <w:highlight w:val="none"/>
        </w:rPr>
        <w:t>反映情况；由</w:t>
      </w:r>
      <w:r>
        <w:rPr>
          <w:rFonts w:hint="eastAsia" w:ascii="宋体" w:hAnsi="宋体"/>
          <w:bCs/>
          <w:szCs w:val="21"/>
          <w:highlight w:val="none"/>
        </w:rPr>
        <w:t>甲方</w:t>
      </w:r>
      <w:r>
        <w:rPr>
          <w:rFonts w:hint="eastAsia" w:ascii="宋体" w:hAnsi="宋体" w:cs="宋体"/>
          <w:szCs w:val="21"/>
          <w:highlight w:val="none"/>
        </w:rPr>
        <w:t>核实后，作出相应调整措施，经双方同意后，按调整后的计划继续执行。</w:t>
      </w:r>
    </w:p>
    <w:p w14:paraId="3CBC1A72">
      <w:pPr>
        <w:numPr>
          <w:ilvl w:val="0"/>
          <w:numId w:val="5"/>
        </w:numPr>
        <w:spacing w:line="480" w:lineRule="exact"/>
        <w:ind w:left="-61" w:firstLine="517"/>
        <w:rPr>
          <w:rFonts w:ascii="宋体" w:hAnsi="宋体"/>
          <w:b/>
          <w:szCs w:val="21"/>
          <w:highlight w:val="none"/>
        </w:rPr>
      </w:pPr>
      <w:r>
        <w:rPr>
          <w:rFonts w:hint="eastAsia" w:ascii="宋体" w:hAnsi="宋体"/>
          <w:b/>
          <w:szCs w:val="21"/>
          <w:highlight w:val="none"/>
        </w:rPr>
        <w:t>履约保证金</w:t>
      </w:r>
    </w:p>
    <w:p w14:paraId="56831F64">
      <w:pPr>
        <w:pStyle w:val="2"/>
        <w:ind w:firstLine="0"/>
        <w:rPr>
          <w:highlight w:val="none"/>
        </w:rPr>
      </w:pPr>
      <w:r>
        <w:rPr>
          <w:rFonts w:hint="eastAsia"/>
          <w:highlight w:val="none"/>
        </w:rPr>
        <w:t xml:space="preserve">      本项目不收取履约保证金</w:t>
      </w:r>
    </w:p>
    <w:p w14:paraId="6C2B7ED5">
      <w:pPr>
        <w:spacing w:line="480" w:lineRule="exact"/>
        <w:ind w:firstLine="422"/>
        <w:rPr>
          <w:rFonts w:ascii="宋体" w:hAnsi="宋体"/>
          <w:b/>
          <w:szCs w:val="21"/>
          <w:highlight w:val="none"/>
        </w:rPr>
      </w:pPr>
      <w:r>
        <w:rPr>
          <w:rFonts w:hint="eastAsia" w:ascii="宋体" w:hAnsi="宋体"/>
          <w:b/>
          <w:szCs w:val="21"/>
          <w:highlight w:val="none"/>
        </w:rPr>
        <w:t>第八条　违约责任</w:t>
      </w:r>
    </w:p>
    <w:p w14:paraId="3E3FE577">
      <w:pPr>
        <w:pStyle w:val="24"/>
        <w:spacing w:line="360" w:lineRule="auto"/>
        <w:ind w:firstLine="413"/>
        <w:rPr>
          <w:rFonts w:hAnsi="宋体"/>
          <w:bCs/>
          <w:sz w:val="21"/>
          <w:highlight w:val="none"/>
        </w:rPr>
      </w:pPr>
      <w:r>
        <w:rPr>
          <w:rFonts w:hint="eastAsia" w:hAnsi="宋体"/>
          <w:bCs/>
          <w:sz w:val="21"/>
          <w:highlight w:val="none"/>
        </w:rPr>
        <w:t>1.乙方所提供的货物规格、食材原料等质量不合格的，甲方可拒绝接收及提出更换要求，更换不及时的按逾期交货处罚；因质量问题有特殊情况甲方同意接收的，乙方应向甲方支付当批次品目违约货款额的5%违约金并赔偿甲方经济损失。</w:t>
      </w:r>
    </w:p>
    <w:p w14:paraId="068AF6AA">
      <w:pPr>
        <w:pStyle w:val="24"/>
        <w:spacing w:line="360" w:lineRule="auto"/>
        <w:ind w:firstLine="413"/>
        <w:rPr>
          <w:rFonts w:hAnsi="宋体"/>
          <w:bCs/>
          <w:sz w:val="21"/>
          <w:highlight w:val="none"/>
        </w:rPr>
      </w:pPr>
      <w:r>
        <w:rPr>
          <w:rFonts w:hint="eastAsia" w:hAnsi="宋体"/>
          <w:bCs/>
          <w:sz w:val="21"/>
          <w:highlight w:val="none"/>
        </w:rPr>
        <w:t>2.乙方提供的货物如侵犯了第三方合法权益而引发的任何纠纷或诉讼，均由乙方负责交涉并承担全部责任，如甲方因此支出律师费、诉讼费、赔偿费等均由乙方承担。</w:t>
      </w:r>
    </w:p>
    <w:p w14:paraId="222E3068">
      <w:pPr>
        <w:pStyle w:val="24"/>
        <w:spacing w:line="360" w:lineRule="auto"/>
        <w:ind w:firstLine="413"/>
        <w:rPr>
          <w:rFonts w:hAnsi="宋体"/>
          <w:bCs/>
          <w:sz w:val="21"/>
          <w:highlight w:val="none"/>
        </w:rPr>
      </w:pPr>
      <w:r>
        <w:rPr>
          <w:rFonts w:hint="eastAsia" w:hAnsi="宋体"/>
          <w:bCs/>
          <w:sz w:val="21"/>
          <w:highlight w:val="none"/>
        </w:rPr>
        <w:t>3.因包装、运输引起的货物损坏，按质量不合格处罚。</w:t>
      </w:r>
    </w:p>
    <w:p w14:paraId="187303AE">
      <w:pPr>
        <w:pStyle w:val="24"/>
        <w:spacing w:line="360" w:lineRule="auto"/>
        <w:ind w:firstLine="413"/>
        <w:rPr>
          <w:rFonts w:hAnsi="宋体"/>
          <w:bCs/>
          <w:sz w:val="21"/>
          <w:highlight w:val="none"/>
        </w:rPr>
      </w:pPr>
      <w:r>
        <w:rPr>
          <w:rFonts w:hint="eastAsia" w:hAnsi="宋体"/>
          <w:bCs/>
          <w:sz w:val="21"/>
          <w:highlight w:val="none"/>
        </w:rPr>
        <w:t>4.甲方无故延期接收货物、乙方逾期交货的，每天向对方偿付当批次品目违约货款额3</w:t>
      </w:r>
      <w:r>
        <w:rPr>
          <w:rFonts w:hint="eastAsia"/>
          <w:sz w:val="21"/>
          <w:highlight w:val="none"/>
        </w:rPr>
        <w:t>%</w:t>
      </w:r>
      <w:r>
        <w:rPr>
          <w:rFonts w:hint="eastAsia" w:hAnsi="宋体"/>
          <w:bCs/>
          <w:sz w:val="21"/>
          <w:highlight w:val="none"/>
        </w:rPr>
        <w:t>违约金，但违约金累计不得超过当批次品目违约货款额5%。</w:t>
      </w:r>
      <w:r>
        <w:rPr>
          <w:rFonts w:hint="eastAsia" w:hAnsi="宋体" w:cs="宋体"/>
          <w:sz w:val="21"/>
          <w:highlight w:val="none"/>
        </w:rPr>
        <w:t>乙方逾期交货超过半天、或年度累计逾期达3次的，甲方有权依法解除合同，乙方承担因此给甲方造成的经济损失，同时甲方有权要求乙方支付违约损失的3%作为违约金，但违约金不超过总货款的5%</w:t>
      </w:r>
      <w:r>
        <w:rPr>
          <w:rFonts w:hint="eastAsia" w:hAnsi="宋体" w:cs="宋体"/>
          <w:bCs/>
          <w:sz w:val="21"/>
          <w:highlight w:val="none"/>
        </w:rPr>
        <w:t>；</w:t>
      </w:r>
      <w:r>
        <w:rPr>
          <w:rFonts w:hint="eastAsia" w:hAnsi="宋体"/>
          <w:bCs/>
          <w:sz w:val="21"/>
          <w:highlight w:val="none"/>
        </w:rPr>
        <w:t>甲方延期付货款的，每天向乙方偿付当批次延期货款额的3%作为滞纳金，但滞纳金累计不得超过当批次延期货款额5%。</w:t>
      </w:r>
    </w:p>
    <w:p w14:paraId="02FC8709">
      <w:pPr>
        <w:pStyle w:val="24"/>
        <w:spacing w:line="360" w:lineRule="auto"/>
        <w:ind w:firstLine="413"/>
        <w:rPr>
          <w:rFonts w:hAnsi="宋体"/>
          <w:bCs/>
          <w:sz w:val="21"/>
          <w:highlight w:val="none"/>
        </w:rPr>
      </w:pPr>
      <w:r>
        <w:rPr>
          <w:rFonts w:hint="eastAsia" w:hAnsi="宋体"/>
          <w:bCs/>
          <w:sz w:val="21"/>
          <w:highlight w:val="none"/>
        </w:rPr>
        <w:t>5.乙方未按本合同和响应文件中规定的服务承诺提供售后服务的，乙方应按甲方已履约部分合计金额的5%向甲方支付违约金。</w:t>
      </w:r>
    </w:p>
    <w:p w14:paraId="78B31AD5">
      <w:pPr>
        <w:pStyle w:val="24"/>
        <w:spacing w:line="360" w:lineRule="auto"/>
        <w:ind w:firstLine="413"/>
        <w:rPr>
          <w:rFonts w:hAnsi="宋体"/>
          <w:bCs/>
          <w:sz w:val="21"/>
          <w:highlight w:val="none"/>
        </w:rPr>
      </w:pPr>
      <w:r>
        <w:rPr>
          <w:rFonts w:hint="eastAsia" w:hAnsi="宋体"/>
          <w:bCs/>
          <w:sz w:val="21"/>
          <w:highlight w:val="none"/>
        </w:rPr>
        <w:t>6.乙方违约甲方主张解除合同的或乙方无正当理由解除合同的，应自合同解除之日起10个工作日内向甲方退回已收取的全部款项并一次性支付</w:t>
      </w:r>
      <w:r>
        <w:rPr>
          <w:rFonts w:hint="eastAsia" w:hAnsi="宋体" w:cs="仿宋_GB2312"/>
          <w:sz w:val="21"/>
          <w:highlight w:val="none"/>
        </w:rPr>
        <w:t>甲方已履约部分合计金额</w:t>
      </w:r>
      <w:r>
        <w:rPr>
          <w:rFonts w:hint="eastAsia" w:hAnsi="宋体"/>
          <w:bCs/>
          <w:sz w:val="21"/>
          <w:highlight w:val="none"/>
        </w:rPr>
        <w:t>10%的违约金。乙方逾期退回所收款项及违约金的，每逾期一天，应按所退款项及违约金总额的万分之五向甲方支付违约金。</w:t>
      </w:r>
    </w:p>
    <w:p w14:paraId="12822638">
      <w:pPr>
        <w:widowControl/>
        <w:shd w:val="clear" w:color="auto" w:fill="FFFFFF"/>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7.若</w:t>
      </w:r>
      <w:r>
        <w:rPr>
          <w:rFonts w:hint="eastAsia" w:hAnsi="宋体"/>
          <w:bCs/>
          <w:highlight w:val="none"/>
        </w:rPr>
        <w:t>乙方</w:t>
      </w:r>
      <w:r>
        <w:rPr>
          <w:rFonts w:hint="eastAsia" w:ascii="宋体" w:hAnsi="宋体" w:cs="宋体"/>
          <w:color w:val="000000"/>
          <w:szCs w:val="21"/>
          <w:highlight w:val="none"/>
        </w:rPr>
        <w:t>不能满足</w:t>
      </w:r>
      <w:r>
        <w:rPr>
          <w:rFonts w:hint="eastAsia" w:hAnsi="宋体"/>
          <w:bCs/>
          <w:highlight w:val="none"/>
        </w:rPr>
        <w:t>甲方</w:t>
      </w:r>
      <w:r>
        <w:rPr>
          <w:rFonts w:hint="eastAsia" w:ascii="宋体" w:hAnsi="宋体" w:cs="宋体"/>
          <w:color w:val="000000"/>
          <w:szCs w:val="21"/>
          <w:highlight w:val="none"/>
        </w:rPr>
        <w:t>供货要求履行合同时，须提前不少于1个月书面通知</w:t>
      </w:r>
      <w:r>
        <w:rPr>
          <w:rFonts w:hint="eastAsia" w:hAnsi="宋体"/>
          <w:bCs/>
          <w:highlight w:val="none"/>
        </w:rPr>
        <w:t>甲方</w:t>
      </w:r>
      <w:r>
        <w:rPr>
          <w:rFonts w:hint="eastAsia" w:ascii="宋体" w:hAnsi="宋体" w:cs="宋体"/>
          <w:color w:val="000000"/>
          <w:szCs w:val="21"/>
          <w:highlight w:val="none"/>
        </w:rPr>
        <w:t>，</w:t>
      </w:r>
      <w:r>
        <w:rPr>
          <w:rFonts w:hint="eastAsia" w:hAnsi="宋体"/>
          <w:bCs/>
          <w:highlight w:val="none"/>
        </w:rPr>
        <w:t>甲方</w:t>
      </w:r>
      <w:r>
        <w:rPr>
          <w:rFonts w:hint="eastAsia" w:ascii="宋体" w:hAnsi="宋体" w:cs="宋体"/>
          <w:color w:val="000000"/>
          <w:szCs w:val="21"/>
          <w:highlight w:val="none"/>
        </w:rPr>
        <w:t>同意后方可终止合同。</w:t>
      </w:r>
    </w:p>
    <w:p w14:paraId="03A638F1">
      <w:pPr>
        <w:pStyle w:val="222"/>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lang w:val="en-US"/>
        </w:rPr>
        <w:t>8.</w:t>
      </w:r>
      <w:r>
        <w:rPr>
          <w:rFonts w:hint="eastAsia" w:ascii="宋体" w:hAnsi="宋体" w:cs="宋体"/>
          <w:color w:val="000000"/>
          <w:szCs w:val="21"/>
          <w:highlight w:val="none"/>
        </w:rPr>
        <w:t>乙方有下列行为之一的，甲方可根据其情节轻重不予结清相应货款或取消其定点采购供货资格：</w:t>
      </w:r>
    </w:p>
    <w:p w14:paraId="342FB056">
      <w:pPr>
        <w:pStyle w:val="222"/>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①无正当理由拒绝承接采购人业务 2 次以上（含 2 次）的；</w:t>
      </w:r>
    </w:p>
    <w:p w14:paraId="06C67796">
      <w:pPr>
        <w:pStyle w:val="222"/>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②擅自提高物料的价格或未按规定给予优惠的；</w:t>
      </w:r>
    </w:p>
    <w:p w14:paraId="5B1297E9">
      <w:pPr>
        <w:pStyle w:val="222"/>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③达不到合同规定的质量标准，以次充好，提供假冒伪劣产品的；</w:t>
      </w:r>
    </w:p>
    <w:p w14:paraId="0A08F6FE">
      <w:pPr>
        <w:pStyle w:val="222"/>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④出现重大责任事故的；</w:t>
      </w:r>
    </w:p>
    <w:p w14:paraId="75B6EC78">
      <w:pPr>
        <w:pStyle w:val="222"/>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⑤拒绝接受监督、检查的；</w:t>
      </w:r>
    </w:p>
    <w:p w14:paraId="5FC13542">
      <w:pPr>
        <w:pStyle w:val="222"/>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⑥不如实反映情况，提供虚假材料的；</w:t>
      </w:r>
    </w:p>
    <w:p w14:paraId="3FDEE227">
      <w:pPr>
        <w:pStyle w:val="222"/>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⑦定点有效期内，被行业行政主管部门取消行业经营资格的；</w:t>
      </w:r>
    </w:p>
    <w:p w14:paraId="13B20922">
      <w:pPr>
        <w:pStyle w:val="222"/>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⑧其他违反法律、法规和采购合同的行为。</w:t>
      </w:r>
    </w:p>
    <w:p w14:paraId="1C0807AA">
      <w:pPr>
        <w:pStyle w:val="24"/>
        <w:spacing w:line="360" w:lineRule="auto"/>
        <w:ind w:firstLine="413"/>
        <w:rPr>
          <w:highlight w:val="none"/>
        </w:rPr>
      </w:pPr>
      <w:r>
        <w:rPr>
          <w:rFonts w:hint="eastAsia" w:hAnsi="宋体"/>
          <w:bCs/>
          <w:sz w:val="21"/>
          <w:highlight w:val="none"/>
        </w:rPr>
        <w:t>9.其它违约行为按违约货款额5%收取违约金并赔偿经济损失。</w:t>
      </w:r>
    </w:p>
    <w:p w14:paraId="493A3881">
      <w:pPr>
        <w:pStyle w:val="24"/>
        <w:spacing w:line="360" w:lineRule="auto"/>
        <w:ind w:firstLine="413"/>
        <w:rPr>
          <w:rFonts w:hAnsi="宋体"/>
          <w:b/>
          <w:sz w:val="21"/>
          <w:highlight w:val="none"/>
        </w:rPr>
      </w:pPr>
      <w:r>
        <w:rPr>
          <w:rFonts w:hint="eastAsia" w:hAnsi="宋体"/>
          <w:b/>
          <w:sz w:val="21"/>
          <w:highlight w:val="none"/>
        </w:rPr>
        <w:t>第九条  不可抗力事件处理</w:t>
      </w:r>
    </w:p>
    <w:p w14:paraId="73A35EAB">
      <w:pPr>
        <w:pStyle w:val="24"/>
        <w:spacing w:line="360" w:lineRule="auto"/>
        <w:ind w:firstLine="420"/>
        <w:rPr>
          <w:rFonts w:hAnsi="宋体"/>
          <w:sz w:val="21"/>
          <w:highlight w:val="none"/>
        </w:rPr>
      </w:pPr>
      <w:r>
        <w:rPr>
          <w:rFonts w:hint="eastAsia" w:hAnsi="宋体"/>
          <w:sz w:val="21"/>
          <w:highlight w:val="none"/>
        </w:rPr>
        <w:t>1.在合同有效期内，任何一方因不可抗力事件导致不能履行合同，则合同履行期可延长，其延长期与不可抗力影响期相同。</w:t>
      </w:r>
    </w:p>
    <w:p w14:paraId="3614A4FC">
      <w:pPr>
        <w:pStyle w:val="24"/>
        <w:spacing w:line="480" w:lineRule="exact"/>
        <w:ind w:firstLine="420"/>
        <w:rPr>
          <w:rFonts w:hAnsi="宋体"/>
          <w:sz w:val="21"/>
          <w:highlight w:val="none"/>
        </w:rPr>
      </w:pPr>
      <w:r>
        <w:rPr>
          <w:rFonts w:hint="eastAsia" w:hAnsi="宋体"/>
          <w:sz w:val="21"/>
          <w:highlight w:val="none"/>
        </w:rPr>
        <w:t>2.不可抗力事件发生后，应立即通知对方，并寄送有关权威机构出具的证明。</w:t>
      </w:r>
    </w:p>
    <w:p w14:paraId="4FC318B7">
      <w:pPr>
        <w:spacing w:line="480" w:lineRule="exact"/>
        <w:ind w:firstLine="420"/>
        <w:rPr>
          <w:rFonts w:ascii="宋体" w:hAnsi="宋体"/>
          <w:szCs w:val="21"/>
          <w:highlight w:val="none"/>
        </w:rPr>
      </w:pPr>
      <w:r>
        <w:rPr>
          <w:rFonts w:hint="eastAsia" w:ascii="宋体" w:hAnsi="宋体"/>
          <w:szCs w:val="21"/>
          <w:highlight w:val="none"/>
        </w:rPr>
        <w:t>3.不可抗力事件延续六十天以上，双方应通过友好协商，确定是否继续履行合同。</w:t>
      </w:r>
    </w:p>
    <w:p w14:paraId="357A2DC8">
      <w:pPr>
        <w:spacing w:line="480" w:lineRule="exact"/>
        <w:ind w:firstLine="422"/>
        <w:rPr>
          <w:rFonts w:ascii="宋体" w:hAnsi="宋体"/>
          <w:szCs w:val="21"/>
          <w:highlight w:val="none"/>
        </w:rPr>
      </w:pPr>
      <w:r>
        <w:rPr>
          <w:rFonts w:hint="eastAsia" w:ascii="宋体" w:hAnsi="宋体"/>
          <w:b/>
          <w:szCs w:val="21"/>
          <w:highlight w:val="none"/>
        </w:rPr>
        <w:t>第十条  合同争议解决</w:t>
      </w:r>
    </w:p>
    <w:p w14:paraId="4E6BC856">
      <w:pPr>
        <w:spacing w:line="480" w:lineRule="exact"/>
        <w:ind w:firstLine="420"/>
        <w:rPr>
          <w:rFonts w:ascii="宋体" w:hAnsi="宋体"/>
          <w:szCs w:val="21"/>
          <w:highlight w:val="none"/>
        </w:rPr>
      </w:pPr>
      <w:r>
        <w:rPr>
          <w:rFonts w:hint="eastAsia" w:ascii="宋体" w:hAnsi="宋体"/>
          <w:szCs w:val="21"/>
          <w:highlight w:val="none"/>
        </w:rPr>
        <w:t>1.因服务质量问题发生争议的，应邀请国家认可的质量检测机构或专家组进行鉴定。服务符合标准的，鉴定费由甲方承担；服务不符合标准的，鉴定费由乙方承担。</w:t>
      </w:r>
    </w:p>
    <w:p w14:paraId="567F590D">
      <w:pPr>
        <w:spacing w:line="480" w:lineRule="exact"/>
        <w:ind w:left="100" w:right="42" w:firstLine="420"/>
        <w:rPr>
          <w:rFonts w:ascii="宋体" w:hAnsi="宋体"/>
          <w:szCs w:val="21"/>
        </w:rPr>
      </w:pPr>
      <w:r>
        <w:rPr>
          <w:rFonts w:hint="eastAsia" w:ascii="宋体" w:hAnsi="宋体"/>
          <w:szCs w:val="21"/>
          <w:highlight w:val="none"/>
        </w:rPr>
        <w:t>2.因履行</w:t>
      </w:r>
      <w:r>
        <w:rPr>
          <w:rFonts w:hint="eastAsia" w:ascii="宋体" w:hAnsi="宋体"/>
          <w:szCs w:val="21"/>
        </w:rPr>
        <w:t>本合同引起的或者与本合同有关的争议，甲乙双方应首先通过友好协商解决，如果协商不能解决，按下列</w:t>
      </w:r>
      <w:r>
        <w:rPr>
          <w:rFonts w:hint="eastAsia" w:ascii="宋体" w:hAnsi="宋体"/>
          <w:szCs w:val="21"/>
          <w:u w:val="single"/>
        </w:rPr>
        <w:t xml:space="preserve"> （2） </w:t>
      </w:r>
      <w:r>
        <w:rPr>
          <w:rFonts w:hint="eastAsia" w:ascii="宋体" w:hAnsi="宋体"/>
          <w:szCs w:val="21"/>
        </w:rPr>
        <w:t>方式解决：</w:t>
      </w:r>
    </w:p>
    <w:p w14:paraId="446B770F">
      <w:pPr>
        <w:spacing w:line="480" w:lineRule="exact"/>
        <w:ind w:right="40" w:firstLine="420"/>
        <w:rPr>
          <w:rFonts w:ascii="宋体" w:hAnsi="宋体"/>
          <w:szCs w:val="21"/>
        </w:rPr>
      </w:pPr>
      <w:r>
        <w:rPr>
          <w:rFonts w:hint="eastAsia" w:ascii="宋体" w:hAnsi="宋体"/>
          <w:szCs w:val="21"/>
        </w:rPr>
        <w:t>（1）向</w:t>
      </w:r>
      <w:r>
        <w:rPr>
          <w:rFonts w:hint="eastAsia" w:ascii="宋体" w:hAnsi="宋体"/>
          <w:szCs w:val="21"/>
          <w:u w:val="single"/>
        </w:rPr>
        <w:t xml:space="preserve">     </w:t>
      </w:r>
      <w:r>
        <w:rPr>
          <w:rFonts w:hint="eastAsia" w:ascii="宋体" w:hAnsi="宋体"/>
          <w:szCs w:val="21"/>
        </w:rPr>
        <w:t>仲裁委员会申请仲裁；</w:t>
      </w:r>
    </w:p>
    <w:p w14:paraId="1F7E3F1A">
      <w:pPr>
        <w:spacing w:line="480" w:lineRule="exact"/>
        <w:ind w:right="40" w:firstLine="420"/>
        <w:rPr>
          <w:rFonts w:ascii="宋体" w:hAnsi="宋体"/>
          <w:szCs w:val="21"/>
        </w:rPr>
      </w:pPr>
      <w:r>
        <w:rPr>
          <w:rFonts w:hint="eastAsia" w:ascii="宋体" w:hAnsi="宋体"/>
          <w:szCs w:val="21"/>
        </w:rPr>
        <w:t>（2）向甲方所在地人民法院提起诉讼。</w:t>
      </w:r>
    </w:p>
    <w:p w14:paraId="4087BF48">
      <w:pPr>
        <w:spacing w:line="480" w:lineRule="exact"/>
        <w:ind w:firstLine="422"/>
        <w:rPr>
          <w:rFonts w:ascii="宋体" w:hAnsi="宋体"/>
          <w:b/>
          <w:szCs w:val="21"/>
        </w:rPr>
      </w:pPr>
      <w:r>
        <w:rPr>
          <w:rFonts w:hint="eastAsia" w:ascii="宋体" w:hAnsi="宋体"/>
          <w:b/>
          <w:szCs w:val="21"/>
        </w:rPr>
        <w:t>第十一条　合同的变更、中止或者终止</w:t>
      </w:r>
    </w:p>
    <w:p w14:paraId="36D62ECF">
      <w:pPr>
        <w:spacing w:line="480" w:lineRule="exact"/>
        <w:ind w:firstLine="422"/>
        <w:rPr>
          <w:rFonts w:ascii="宋体" w:hAnsi="宋体"/>
          <w:bCs/>
          <w:szCs w:val="21"/>
        </w:rPr>
      </w:pPr>
      <w:r>
        <w:rPr>
          <w:rFonts w:hint="eastAsia" w:ascii="宋体" w:hAnsi="宋体"/>
          <w:bCs/>
          <w:szCs w:val="21"/>
        </w:rPr>
        <w:t>1. 除《中华人民共和国政府采购法》第五十条规定的情形外，本合同一经签订，甲乙双方不得擅自变更、中止或者终止合同。</w:t>
      </w:r>
    </w:p>
    <w:p w14:paraId="6A4FCE52">
      <w:pPr>
        <w:spacing w:line="480" w:lineRule="exact"/>
        <w:ind w:firstLine="422"/>
        <w:rPr>
          <w:rFonts w:ascii="宋体" w:hAnsi="宋体"/>
          <w:bCs/>
          <w:szCs w:val="21"/>
        </w:rPr>
      </w:pPr>
      <w:r>
        <w:rPr>
          <w:rFonts w:hint="eastAsia" w:ascii="宋体" w:hAnsi="宋体"/>
          <w:bCs/>
          <w:szCs w:val="21"/>
        </w:rPr>
        <w:t>2.采购合同继续履行将损害国家利益和社会公共利益的，双方当事人应当变更、中止或者终止合同。有过错的一方应当承担赔偿责任，双方都有过错的，各自承担相应的责任。</w:t>
      </w:r>
    </w:p>
    <w:p w14:paraId="4811C662">
      <w:pPr>
        <w:spacing w:line="480" w:lineRule="exact"/>
        <w:ind w:firstLine="422"/>
        <w:rPr>
          <w:rFonts w:ascii="宋体" w:hAnsi="宋体"/>
          <w:bCs/>
          <w:szCs w:val="21"/>
        </w:rPr>
      </w:pPr>
      <w:r>
        <w:rPr>
          <w:rFonts w:hint="eastAsia" w:ascii="宋体" w:hAnsi="宋体"/>
          <w:bCs/>
          <w:szCs w:val="21"/>
        </w:rPr>
        <w:t>3.乙方不得擅自转让其应履行的合同义务。</w:t>
      </w:r>
    </w:p>
    <w:p w14:paraId="55C46CA1">
      <w:pPr>
        <w:spacing w:line="480" w:lineRule="exact"/>
        <w:ind w:firstLine="422"/>
        <w:rPr>
          <w:rFonts w:ascii="宋体" w:hAnsi="宋体"/>
          <w:b/>
          <w:szCs w:val="21"/>
        </w:rPr>
      </w:pPr>
      <w:r>
        <w:rPr>
          <w:rFonts w:hint="eastAsia" w:ascii="宋体" w:hAnsi="宋体"/>
          <w:b/>
          <w:szCs w:val="21"/>
        </w:rPr>
        <w:t>第十二条　</w:t>
      </w:r>
      <w:r>
        <w:rPr>
          <w:rFonts w:hint="eastAsia" w:ascii="宋体" w:hAnsi="宋体" w:cs="微软雅黑"/>
          <w:b/>
          <w:szCs w:val="21"/>
        </w:rPr>
        <w:t>合</w:t>
      </w:r>
      <w:r>
        <w:rPr>
          <w:rFonts w:hint="eastAsia" w:ascii="宋体" w:hAnsi="宋体" w:cs="微软雅黑"/>
          <w:b/>
          <w:spacing w:val="-2"/>
          <w:szCs w:val="21"/>
        </w:rPr>
        <w:t>同</w:t>
      </w:r>
      <w:r>
        <w:rPr>
          <w:rFonts w:hint="eastAsia" w:ascii="宋体" w:hAnsi="宋体" w:cs="微软雅黑"/>
          <w:b/>
          <w:szCs w:val="21"/>
        </w:rPr>
        <w:t>文</w:t>
      </w:r>
      <w:r>
        <w:rPr>
          <w:rFonts w:hint="eastAsia" w:ascii="宋体" w:hAnsi="宋体" w:cs="微软雅黑"/>
          <w:b/>
          <w:spacing w:val="-2"/>
          <w:szCs w:val="21"/>
        </w:rPr>
        <w:t>件构成</w:t>
      </w:r>
    </w:p>
    <w:p w14:paraId="4F88488F">
      <w:pPr>
        <w:pStyle w:val="24"/>
        <w:spacing w:line="480" w:lineRule="exact"/>
        <w:ind w:left="420"/>
        <w:rPr>
          <w:rFonts w:hAnsi="宋体"/>
          <w:sz w:val="21"/>
        </w:rPr>
      </w:pPr>
      <w:r>
        <w:rPr>
          <w:rFonts w:hint="eastAsia" w:hAnsi="宋体"/>
          <w:sz w:val="21"/>
        </w:rPr>
        <w:t>1.政府采购合同</w:t>
      </w:r>
    </w:p>
    <w:p w14:paraId="75C2FFC9">
      <w:pPr>
        <w:pStyle w:val="24"/>
        <w:spacing w:line="480" w:lineRule="exact"/>
        <w:ind w:left="420"/>
        <w:rPr>
          <w:rFonts w:hAnsi="宋体"/>
          <w:sz w:val="21"/>
        </w:rPr>
      </w:pPr>
      <w:r>
        <w:rPr>
          <w:rFonts w:hint="eastAsia" w:hAnsi="宋体"/>
          <w:sz w:val="21"/>
        </w:rPr>
        <w:t>2.成交通知书；</w:t>
      </w:r>
    </w:p>
    <w:p w14:paraId="5E4E8480">
      <w:pPr>
        <w:pStyle w:val="24"/>
        <w:spacing w:line="480" w:lineRule="exact"/>
        <w:ind w:left="420"/>
        <w:rPr>
          <w:rFonts w:hAnsi="宋体"/>
          <w:sz w:val="21"/>
        </w:rPr>
      </w:pPr>
      <w:r>
        <w:rPr>
          <w:rFonts w:hint="eastAsia" w:hAnsi="宋体"/>
          <w:sz w:val="21"/>
        </w:rPr>
        <w:t>3.响应文件；</w:t>
      </w:r>
    </w:p>
    <w:p w14:paraId="3B2214A7">
      <w:pPr>
        <w:pStyle w:val="24"/>
        <w:spacing w:line="480" w:lineRule="exact"/>
        <w:ind w:left="420"/>
        <w:rPr>
          <w:rFonts w:hAnsi="宋体"/>
          <w:sz w:val="21"/>
        </w:rPr>
      </w:pPr>
      <w:r>
        <w:rPr>
          <w:rFonts w:hint="eastAsia" w:hAnsi="宋体"/>
          <w:sz w:val="21"/>
        </w:rPr>
        <w:t>4.采购文件及更正公告（澄清或补充通知）；</w:t>
      </w:r>
    </w:p>
    <w:p w14:paraId="5C7B82B3">
      <w:pPr>
        <w:pStyle w:val="24"/>
        <w:spacing w:line="480" w:lineRule="exact"/>
        <w:ind w:left="420"/>
        <w:rPr>
          <w:rFonts w:hAnsi="宋体"/>
          <w:sz w:val="21"/>
        </w:rPr>
      </w:pPr>
      <w:r>
        <w:rPr>
          <w:rFonts w:hint="eastAsia" w:hAnsi="宋体"/>
          <w:sz w:val="21"/>
        </w:rPr>
        <w:t>5.标准、规范及有关技术文件；</w:t>
      </w:r>
    </w:p>
    <w:p w14:paraId="4A5F64F7">
      <w:pPr>
        <w:pStyle w:val="24"/>
        <w:spacing w:line="480" w:lineRule="exact"/>
        <w:ind w:left="420"/>
        <w:rPr>
          <w:rFonts w:hAnsi="宋体"/>
          <w:sz w:val="21"/>
        </w:rPr>
      </w:pPr>
      <w:r>
        <w:rPr>
          <w:rFonts w:hint="eastAsia" w:hAnsi="宋体"/>
          <w:sz w:val="21"/>
        </w:rPr>
        <w:t>6.双方约定的其他合同文件。</w:t>
      </w:r>
    </w:p>
    <w:p w14:paraId="6C0DDEC0">
      <w:pPr>
        <w:pStyle w:val="24"/>
        <w:spacing w:line="480" w:lineRule="exact"/>
        <w:ind w:firstLine="420"/>
        <w:rPr>
          <w:rFonts w:hAnsi="宋体"/>
          <w:sz w:val="21"/>
        </w:rPr>
      </w:pPr>
      <w:r>
        <w:rPr>
          <w:rFonts w:hint="eastAsia" w:hAnsi="宋体"/>
          <w:sz w:val="21"/>
        </w:rPr>
        <w:t>上述合同文件互相补充和解释。如果合同文件之间存在矛盾或者不一致之处，以上述文件的排列顺序在先者为准。</w:t>
      </w:r>
    </w:p>
    <w:p w14:paraId="67C1D67C">
      <w:pPr>
        <w:pStyle w:val="24"/>
        <w:spacing w:line="480" w:lineRule="exact"/>
        <w:ind w:firstLine="413"/>
        <w:rPr>
          <w:rFonts w:hAnsi="宋体"/>
          <w:b/>
          <w:sz w:val="21"/>
        </w:rPr>
      </w:pPr>
      <w:r>
        <w:rPr>
          <w:rFonts w:hint="eastAsia" w:hAnsi="宋体"/>
          <w:b/>
          <w:sz w:val="21"/>
        </w:rPr>
        <w:t>第十三条  合同生效及其他</w:t>
      </w:r>
    </w:p>
    <w:p w14:paraId="07FC4C62">
      <w:pPr>
        <w:pStyle w:val="24"/>
        <w:spacing w:line="480" w:lineRule="exact"/>
        <w:ind w:firstLine="420"/>
        <w:rPr>
          <w:rFonts w:hAnsi="宋体"/>
          <w:sz w:val="21"/>
        </w:rPr>
      </w:pPr>
      <w:r>
        <w:rPr>
          <w:rFonts w:hint="eastAsia" w:hAnsi="宋体"/>
          <w:sz w:val="21"/>
        </w:rPr>
        <w:t>1.合同经双方法定代表人或者委托代理人签字并加盖单位公章后生效（委托代理人签字的需后附授权委托书，格式自拟）。</w:t>
      </w:r>
    </w:p>
    <w:p w14:paraId="6DC61BB7">
      <w:pPr>
        <w:pStyle w:val="24"/>
        <w:spacing w:line="480" w:lineRule="exact"/>
        <w:ind w:firstLine="420"/>
        <w:rPr>
          <w:rFonts w:hAnsi="宋体"/>
          <w:sz w:val="21"/>
        </w:rPr>
      </w:pPr>
      <w:r>
        <w:rPr>
          <w:rFonts w:hint="eastAsia" w:hAnsi="宋体"/>
          <w:sz w:val="21"/>
        </w:rPr>
        <w:t>2.合同执行中涉及采购资金和采购内容修改或者补充的，并签书面补充协议报财政部门备案，方可作为主合同不可分割的一部分。</w:t>
      </w:r>
    </w:p>
    <w:p w14:paraId="42B7B7B3">
      <w:pPr>
        <w:pStyle w:val="24"/>
        <w:spacing w:line="480" w:lineRule="exact"/>
        <w:ind w:firstLine="420"/>
        <w:rPr>
          <w:rFonts w:hAnsi="宋体"/>
          <w:sz w:val="21"/>
        </w:rPr>
      </w:pPr>
      <w:r>
        <w:rPr>
          <w:rFonts w:hint="eastAsia" w:hAnsi="宋体"/>
          <w:sz w:val="21"/>
        </w:rPr>
        <w:t>3.合同生效后，甲乙双方不得因姓名、名称的变更或者法定代表人、负责人、承办人的变动而不履行合同义务。</w:t>
      </w:r>
    </w:p>
    <w:p w14:paraId="54AE9400">
      <w:pPr>
        <w:pStyle w:val="24"/>
        <w:spacing w:line="480" w:lineRule="exact"/>
        <w:ind w:left="420"/>
        <w:rPr>
          <w:rFonts w:hAnsi="宋体"/>
          <w:sz w:val="21"/>
        </w:rPr>
      </w:pPr>
      <w:r>
        <w:rPr>
          <w:rFonts w:hint="eastAsia" w:hAnsi="宋体"/>
          <w:sz w:val="21"/>
        </w:rPr>
        <w:t>4.本合同未尽事宜，遵照《中华人民共和国民法典》有关条文执行。</w:t>
      </w:r>
    </w:p>
    <w:p w14:paraId="18189734">
      <w:pPr>
        <w:spacing w:line="480" w:lineRule="exact"/>
        <w:ind w:firstLine="420"/>
        <w:rPr>
          <w:rFonts w:ascii="宋体" w:hAnsi="宋体"/>
          <w:szCs w:val="21"/>
        </w:rPr>
      </w:pPr>
      <w:r>
        <w:rPr>
          <w:rFonts w:hint="eastAsia" w:ascii="宋体" w:hAnsi="宋体"/>
          <w:szCs w:val="21"/>
        </w:rPr>
        <w:t>5.</w:t>
      </w:r>
      <w:r>
        <w:rPr>
          <w:rFonts w:hint="eastAsia" w:ascii="宋体" w:hAnsi="宋体" w:cs="宋体"/>
          <w:bCs/>
          <w:szCs w:val="21"/>
        </w:rPr>
        <w:t>本合同由甲乙双方在广西政府采购云平台线上审核并签章，签订完成后可在广西政府采购云平台下载存档电子采购合同</w:t>
      </w:r>
      <w:r>
        <w:rPr>
          <w:rFonts w:hint="eastAsia" w:ascii="宋体" w:hAnsi="宋体"/>
          <w:szCs w:val="21"/>
        </w:rPr>
        <w:t>。</w:t>
      </w:r>
    </w:p>
    <w:p w14:paraId="11113D52">
      <w:pPr>
        <w:spacing w:line="480" w:lineRule="exact"/>
        <w:ind w:firstLine="420"/>
        <w:rPr>
          <w:rFonts w:ascii="宋体" w:hAnsi="宋体"/>
          <w:szCs w:val="21"/>
        </w:rPr>
      </w:pPr>
      <w:r>
        <w:rPr>
          <w:rFonts w:hint="eastAsia" w:ascii="宋体" w:hAnsi="宋体"/>
          <w:szCs w:val="21"/>
        </w:rPr>
        <w:t>6.本合同落款处甲乙双方所留联系方式均为真实、合法、有效信息，作为双方通知、法院诉讼文书等送达地址；任何一方联系方式变更的，应在变更之日起2日内书面通知对方，否则因此导致的一切不利后果均由未尽到通知义务的一方承担；双方通知、法院诉讼文书等根据所留信息送达，一经发出，满3日均视为送达成功。</w:t>
      </w:r>
    </w:p>
    <w:p w14:paraId="49910107">
      <w:pPr>
        <w:tabs>
          <w:tab w:val="left" w:pos="4395"/>
        </w:tabs>
        <w:spacing w:line="480" w:lineRule="exact"/>
        <w:rPr>
          <w:rFonts w:ascii="宋体" w:hAnsi="宋体"/>
          <w:b/>
          <w:szCs w:val="21"/>
        </w:rPr>
      </w:pPr>
      <w:r>
        <w:rPr>
          <w:rFonts w:hint="eastAsia" w:ascii="宋体" w:hAnsi="宋体"/>
          <w:b/>
          <w:szCs w:val="21"/>
        </w:rPr>
        <w:t>甲方（盖章）：</w:t>
      </w:r>
      <w:r>
        <w:rPr>
          <w:rFonts w:hint="eastAsia" w:ascii="宋体" w:hAnsi="宋体"/>
          <w:b/>
          <w:szCs w:val="21"/>
        </w:rPr>
        <w:tab/>
      </w:r>
      <w:r>
        <w:rPr>
          <w:rFonts w:hint="eastAsia" w:ascii="宋体" w:hAnsi="宋体"/>
          <w:b/>
          <w:szCs w:val="21"/>
        </w:rPr>
        <w:t>乙方（盖章）：</w:t>
      </w:r>
    </w:p>
    <w:p w14:paraId="1F77F947">
      <w:pPr>
        <w:tabs>
          <w:tab w:val="left" w:pos="4395"/>
        </w:tabs>
        <w:spacing w:line="480" w:lineRule="exact"/>
        <w:rPr>
          <w:rFonts w:ascii="宋体" w:hAnsi="宋体"/>
          <w:b/>
          <w:szCs w:val="21"/>
        </w:rPr>
      </w:pPr>
      <w:r>
        <w:rPr>
          <w:rFonts w:hint="eastAsia" w:ascii="宋体" w:hAnsi="宋体"/>
          <w:bCs/>
          <w:szCs w:val="21"/>
        </w:rPr>
        <w:t>法定代表人或者委托代理人（签字）</w:t>
      </w:r>
      <w:r>
        <w:rPr>
          <w:rFonts w:hint="eastAsia" w:ascii="宋体" w:hAnsi="宋体"/>
          <w:b/>
          <w:szCs w:val="21"/>
        </w:rPr>
        <w:t>：</w:t>
      </w:r>
      <w:r>
        <w:rPr>
          <w:rFonts w:hint="eastAsia" w:ascii="宋体" w:hAnsi="宋体"/>
          <w:b/>
          <w:szCs w:val="21"/>
        </w:rPr>
        <w:tab/>
      </w:r>
      <w:r>
        <w:rPr>
          <w:rFonts w:hint="eastAsia" w:ascii="宋体" w:hAnsi="宋体"/>
          <w:bCs/>
          <w:szCs w:val="21"/>
        </w:rPr>
        <w:t>法定代表人或者委托代理人（签字）</w:t>
      </w:r>
      <w:r>
        <w:rPr>
          <w:rFonts w:hint="eastAsia" w:ascii="宋体" w:hAnsi="宋体"/>
          <w:b/>
          <w:szCs w:val="21"/>
        </w:rPr>
        <w:t xml:space="preserve">： </w:t>
      </w:r>
    </w:p>
    <w:p w14:paraId="11674739">
      <w:pPr>
        <w:tabs>
          <w:tab w:val="left" w:pos="4395"/>
        </w:tabs>
        <w:spacing w:line="480" w:lineRule="exact"/>
        <w:rPr>
          <w:rFonts w:ascii="宋体" w:hAnsi="宋体"/>
          <w:szCs w:val="21"/>
        </w:rPr>
      </w:pPr>
    </w:p>
    <w:p w14:paraId="059B302A">
      <w:pPr>
        <w:tabs>
          <w:tab w:val="left" w:pos="4395"/>
        </w:tabs>
        <w:spacing w:line="480" w:lineRule="exact"/>
        <w:rPr>
          <w:rFonts w:ascii="宋体" w:hAnsi="宋体"/>
          <w:szCs w:val="21"/>
        </w:rPr>
      </w:pPr>
      <w:r>
        <w:rPr>
          <w:rFonts w:hint="eastAsia" w:ascii="宋体" w:hAnsi="宋体"/>
          <w:szCs w:val="21"/>
        </w:rPr>
        <w:t>签订日期：　　　年　　月　　日</w:t>
      </w:r>
      <w:r>
        <w:rPr>
          <w:rFonts w:hint="eastAsia" w:ascii="宋体" w:hAnsi="宋体"/>
          <w:szCs w:val="21"/>
        </w:rPr>
        <w:tab/>
      </w:r>
      <w:r>
        <w:rPr>
          <w:rFonts w:hint="eastAsia" w:ascii="宋体" w:hAnsi="宋体"/>
          <w:szCs w:val="21"/>
        </w:rPr>
        <w:t>签订日期：　　　年　　月　　日</w:t>
      </w:r>
    </w:p>
    <w:p w14:paraId="103D7D50">
      <w:pPr>
        <w:tabs>
          <w:tab w:val="left" w:pos="4395"/>
        </w:tabs>
        <w:spacing w:line="480" w:lineRule="exact"/>
        <w:rPr>
          <w:rFonts w:ascii="宋体" w:hAnsi="宋体"/>
          <w:szCs w:val="21"/>
        </w:rPr>
      </w:pPr>
      <w:r>
        <w:rPr>
          <w:rFonts w:hint="eastAsia" w:ascii="宋体" w:hAnsi="宋体"/>
          <w:szCs w:val="21"/>
        </w:rPr>
        <w:tab/>
      </w:r>
      <w:r>
        <w:rPr>
          <w:rFonts w:hint="eastAsia" w:ascii="宋体" w:hAnsi="宋体"/>
          <w:szCs w:val="21"/>
        </w:rPr>
        <w:t>开户名称：</w:t>
      </w:r>
    </w:p>
    <w:p w14:paraId="33FDC7FF">
      <w:pPr>
        <w:tabs>
          <w:tab w:val="left" w:pos="4395"/>
        </w:tabs>
        <w:spacing w:line="480" w:lineRule="exact"/>
        <w:rPr>
          <w:rFonts w:ascii="宋体" w:hAnsi="宋体"/>
          <w:szCs w:val="21"/>
        </w:rPr>
      </w:pPr>
      <w:r>
        <w:rPr>
          <w:rFonts w:hint="eastAsia" w:ascii="宋体" w:hAnsi="宋体"/>
          <w:szCs w:val="21"/>
        </w:rPr>
        <w:tab/>
      </w:r>
      <w:r>
        <w:rPr>
          <w:rFonts w:hint="eastAsia" w:ascii="宋体" w:hAnsi="宋体"/>
          <w:szCs w:val="21"/>
        </w:rPr>
        <w:t>银行账号：</w:t>
      </w:r>
    </w:p>
    <w:p w14:paraId="3F32CA74">
      <w:pPr>
        <w:tabs>
          <w:tab w:val="left" w:pos="4395"/>
        </w:tabs>
        <w:spacing w:line="480" w:lineRule="exact"/>
        <w:rPr>
          <w:rFonts w:ascii="宋体" w:hAnsi="宋体" w:cs="宋体"/>
          <w:sz w:val="6"/>
          <w:szCs w:val="6"/>
        </w:rPr>
      </w:pPr>
      <w:r>
        <w:rPr>
          <w:rFonts w:hint="eastAsia" w:ascii="宋体" w:hAnsi="宋体"/>
          <w:szCs w:val="21"/>
        </w:rPr>
        <w:tab/>
      </w:r>
      <w:r>
        <w:rPr>
          <w:rFonts w:hint="eastAsia" w:ascii="宋体" w:hAnsi="宋体"/>
          <w:szCs w:val="21"/>
        </w:rPr>
        <w:t>开 户 行：</w:t>
      </w:r>
    </w:p>
    <w:sectPr>
      <w:footerReference r:id="rId8" w:type="default"/>
      <w:pgSz w:w="11906" w:h="16838"/>
      <w:pgMar w:top="1327" w:right="1253" w:bottom="1327" w:left="1253"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swiss"/>
    <w:pitch w:val="default"/>
    <w:sig w:usb0="A00002EF" w:usb1="4000207B" w:usb2="00000000" w:usb3="00000000" w:csb0="2000019F" w:csb1="00000000"/>
  </w:font>
  <w:font w:name="等线 Light">
    <w:altName w:val="宋体"/>
    <w:panose1 w:val="00000000000000000000"/>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华文楷体">
    <w:panose1 w:val="02010600040101010101"/>
    <w:charset w:val="86"/>
    <w:family w:val="auto"/>
    <w:pitch w:val="default"/>
    <w:sig w:usb0="00000287" w:usb1="080F0000" w:usb2="00000000" w:usb3="00000000" w:csb0="0004009F" w:csb1="DFD70000"/>
  </w:font>
  <w:font w:name="方正小标宋简体">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华文新魏">
    <w:panose1 w:val="02010800040101010101"/>
    <w:charset w:val="86"/>
    <w:family w:val="auto"/>
    <w:pitch w:val="default"/>
    <w:sig w:usb0="00000001" w:usb1="080F0000" w:usb2="00000000" w:usb3="00000000" w:csb0="00040000"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9DD15">
    <w:pPr>
      <w:pStyle w:val="29"/>
      <w:tabs>
        <w:tab w:val="center" w:pos="4439"/>
        <w:tab w:val="clear" w:pos="4153"/>
      </w:tabs>
      <w:jc w:val="both"/>
    </w:pPr>
    <w:r>
      <w:pict>
        <v:shape id="文本框 5123" o:spid="_x0000_s2051"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OqXm5zwAAAAUBAAAPAAAAAAAAAAEAIAAAACIAAABkcnMv&#10;ZG93bnJldi54bWxQSwECFAAUAAAACACHTuJAXTDArtMBAACsAwAADgAAAAAAAAABACAAAAAeAQAA&#10;ZHJzL2Uyb0RvYy54bWxQSwUGAAAAAAYABgBZAQAAYwUAAAAA&#10;">
          <v:path/>
          <v:fill on="f" focussize="0,0"/>
          <v:stroke on="f" joinstyle="miter"/>
          <v:imagedata o:title=""/>
          <o:lock v:ext="edit"/>
          <v:textbox inset="0mm,0mm,0mm,0mm" style="mso-fit-shape-to-text:t;">
            <w:txbxContent>
              <w:p w14:paraId="47D4BDAC">
                <w:pPr>
                  <w:pStyle w:val="29"/>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72596">
    <w:pPr>
      <w:pStyle w:val="29"/>
      <w:tabs>
        <w:tab w:val="center" w:pos="4439"/>
        <w:tab w:val="clear" w:pos="4153"/>
      </w:tabs>
    </w:pPr>
    <w:r>
      <w:pict>
        <v:shape id="文本框 5124" o:spid="_x0000_s2052"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DFyFGp1QEAAKwDAAAOAAAAAAAAAAEAIAAAAB4B&#10;AABkcnMvZTJvRG9jLnhtbFBLBQYAAAAABgAGAFkBAABlBQAAAAA=&#10;">
          <v:path/>
          <v:fill on="f" focussize="0,0"/>
          <v:stroke on="f" joinstyle="miter"/>
          <v:imagedata o:title=""/>
          <o:lock v:ext="edit"/>
          <v:textbox inset="0mm,0mm,0mm,0mm" style="mso-fit-shape-to-text:t;">
            <w:txbxContent>
              <w:p w14:paraId="2B92FB61"/>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D5395">
    <w:pPr>
      <w:pStyle w:val="29"/>
      <w:jc w:val="center"/>
    </w:pPr>
    <w:r>
      <w:pict>
        <v:shape id="文本框 5121" o:spid="_x0000_s2050"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l5uc8AAAAFAQAADwAAAAAAAAABACAAAAAiAAAAZHJz&#10;L2Rvd25yZXYueG1sUEsBAhQAFAAAAAgAh07iQExv09vUAQAArAMAAA4AAAAAAAAAAQAgAAAAHgEA&#10;AGRycy9lMm9Eb2MueG1sUEsFBgAAAAAGAAYAWQEAAGQFAAAAAA==&#10;">
          <v:path/>
          <v:fill on="f" focussize="0,0"/>
          <v:stroke on="f" joinstyle="miter"/>
          <v:imagedata o:title=""/>
          <o:lock v:ext="edit"/>
          <v:textbox inset="0mm,0mm,0mm,0mm" style="mso-fit-shape-to-text:t;">
            <w:txbxContent>
              <w:p w14:paraId="3C5691D3">
                <w:pPr>
                  <w:pStyle w:val="29"/>
                  <w:jc w:val="center"/>
                </w:pPr>
                <w:r>
                  <w:fldChar w:fldCharType="begin"/>
                </w:r>
                <w:r>
                  <w:instrText xml:space="preserve"> PAGE  \* MERGEFORMAT </w:instrText>
                </w:r>
                <w:r>
                  <w:fldChar w:fldCharType="separate"/>
                </w:r>
                <w:r>
                  <w:t>26</w:t>
                </w:r>
                <w:r>
                  <w:fldChar w:fldCharType="end"/>
                </w:r>
              </w:p>
            </w:txbxContent>
          </v:textbox>
        </v:shape>
      </w:pict>
    </w:r>
  </w:p>
  <w:p w14:paraId="0AABFA2D">
    <w:pPr>
      <w:pStyle w:val="2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FB83D">
    <w:pPr>
      <w:spacing w:before="1" w:line="183" w:lineRule="auto"/>
      <w:rPr>
        <w:rFonts w:ascii="宋体" w:hAnsi="宋体" w:cs="宋体"/>
        <w:sz w:val="27"/>
        <w:szCs w:val="27"/>
      </w:rPr>
    </w:pPr>
    <w:r>
      <w:rPr>
        <w:sz w:val="27"/>
      </w:rPr>
      <w:pict>
        <v:shape id="_x0000_s2049" o:spid="_x0000_s2049"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BrlXWHzAEAAJsDAAAOAAAAAAAAAAEAIAAAAB4BAABkcnMvZTJv&#10;RG9jLnhtbFBLBQYAAAAABgAGAFkBAABcBQAAAAA=&#10;">
          <v:path/>
          <v:fill on="f" focussize="0,0"/>
          <v:stroke on="f" joinstyle="miter"/>
          <v:imagedata o:title=""/>
          <o:lock v:ext="edit"/>
          <v:textbox inset="0mm,0mm,0mm,0mm" style="mso-fit-shape-to-text:t;">
            <w:txbxContent>
              <w:p w14:paraId="7BDE7D5D">
                <w:pPr>
                  <w:pStyle w:val="29"/>
                </w:pPr>
                <w:r>
                  <w:fldChar w:fldCharType="begin"/>
                </w:r>
                <w:r>
                  <w:instrText xml:space="preserve"> PAGE  \* MERGEFORMAT </w:instrText>
                </w:r>
                <w:r>
                  <w:fldChar w:fldCharType="separate"/>
                </w:r>
                <w:r>
                  <w:t>70</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D15A6">
    <w:pPr>
      <w:pStyle w:val="30"/>
      <w:pBdr>
        <w:bottom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21948">
    <w:pPr>
      <w:pStyle w:val="30"/>
      <w:pBdr>
        <w:bottom w:val="none" w:color="000000"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B8E2FF"/>
    <w:multiLevelType w:val="singleLevel"/>
    <w:tmpl w:val="D4B8E2FF"/>
    <w:lvl w:ilvl="0" w:tentative="0">
      <w:start w:val="5"/>
      <w:numFmt w:val="decimal"/>
      <w:suff w:val="nothing"/>
      <w:lvlText w:val="%1、"/>
      <w:lvlJc w:val="left"/>
    </w:lvl>
  </w:abstractNum>
  <w:abstractNum w:abstractNumId="1">
    <w:nsid w:val="4B63EC45"/>
    <w:multiLevelType w:val="multilevel"/>
    <w:tmpl w:val="4B63EC45"/>
    <w:lvl w:ilvl="0" w:tentative="0">
      <w:start w:val="1"/>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5A04C243"/>
    <w:multiLevelType w:val="singleLevel"/>
    <w:tmpl w:val="5A04C24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3">
    <w:nsid w:val="5C0FC85E"/>
    <w:multiLevelType w:val="singleLevel"/>
    <w:tmpl w:val="5C0FC85E"/>
    <w:lvl w:ilvl="0" w:tentative="0">
      <w:start w:val="1"/>
      <w:numFmt w:val="decimal"/>
      <w:lvlText w:val="%1."/>
      <w:lvlJc w:val="left"/>
      <w:pPr>
        <w:tabs>
          <w:tab w:val="left" w:pos="312"/>
        </w:tabs>
      </w:pPr>
    </w:lvl>
  </w:abstractNum>
  <w:abstractNum w:abstractNumId="4">
    <w:nsid w:val="7D1283A2"/>
    <w:multiLevelType w:val="singleLevel"/>
    <w:tmpl w:val="7D1283A2"/>
    <w:lvl w:ilvl="0" w:tentative="0">
      <w:start w:val="7"/>
      <w:numFmt w:val="chineseCounting"/>
      <w:suff w:val="nothing"/>
      <w:lvlText w:val="第%1条　"/>
      <w:lvlJc w:val="left"/>
      <w:rPr>
        <w:rFonts w:hint="eastAsia"/>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2"/>
    </o:shapelayout>
  </w:hdrShapeDefaults>
  <w:compat>
    <w:balanceSingleByteDoubleByteWidth/>
    <w:ulTrailSpace/>
    <w:doNotExpandShiftReturn/>
    <w:doNotWrapTextWithPunct/>
    <w:doNotUseEastAsianBreakRules/>
    <w:useFELayout/>
    <w:compatSetting w:name="compatibilityMode" w:uri="http://schemas.microsoft.com/office/word" w:val="12"/>
  </w:compat>
  <w:rsids>
    <w:rsidRoot w:val="0052374D"/>
    <w:rsid w:val="00177F37"/>
    <w:rsid w:val="00351550"/>
    <w:rsid w:val="00446001"/>
    <w:rsid w:val="0052374D"/>
    <w:rsid w:val="00674877"/>
    <w:rsid w:val="00766A94"/>
    <w:rsid w:val="0081514A"/>
    <w:rsid w:val="008F2874"/>
    <w:rsid w:val="00A15752"/>
    <w:rsid w:val="00B37307"/>
    <w:rsid w:val="00D679B0"/>
    <w:rsid w:val="036C5C8C"/>
    <w:rsid w:val="045E62B6"/>
    <w:rsid w:val="07927268"/>
    <w:rsid w:val="07A8344F"/>
    <w:rsid w:val="08524B50"/>
    <w:rsid w:val="08646E76"/>
    <w:rsid w:val="092103E2"/>
    <w:rsid w:val="09324FA1"/>
    <w:rsid w:val="0F2F3F41"/>
    <w:rsid w:val="104B26C9"/>
    <w:rsid w:val="11431AB1"/>
    <w:rsid w:val="11473DDF"/>
    <w:rsid w:val="11C5666A"/>
    <w:rsid w:val="130045F5"/>
    <w:rsid w:val="13BB781A"/>
    <w:rsid w:val="141F79F6"/>
    <w:rsid w:val="14A55CA3"/>
    <w:rsid w:val="16A8689C"/>
    <w:rsid w:val="17472737"/>
    <w:rsid w:val="18B409A9"/>
    <w:rsid w:val="198F229E"/>
    <w:rsid w:val="199A412C"/>
    <w:rsid w:val="19D02238"/>
    <w:rsid w:val="1E7B10B7"/>
    <w:rsid w:val="1EA2746D"/>
    <w:rsid w:val="20C229C0"/>
    <w:rsid w:val="211C6F9B"/>
    <w:rsid w:val="22431452"/>
    <w:rsid w:val="24167039"/>
    <w:rsid w:val="2683390D"/>
    <w:rsid w:val="26BE6C47"/>
    <w:rsid w:val="28185E93"/>
    <w:rsid w:val="28241E61"/>
    <w:rsid w:val="29410593"/>
    <w:rsid w:val="2ADD3A5F"/>
    <w:rsid w:val="2C122193"/>
    <w:rsid w:val="2D2233D4"/>
    <w:rsid w:val="2E0D1E8E"/>
    <w:rsid w:val="2F6F317C"/>
    <w:rsid w:val="2F7964B4"/>
    <w:rsid w:val="2FAC584A"/>
    <w:rsid w:val="2FBB6ACC"/>
    <w:rsid w:val="306D4751"/>
    <w:rsid w:val="32236B94"/>
    <w:rsid w:val="32577639"/>
    <w:rsid w:val="35D3234E"/>
    <w:rsid w:val="364B3696"/>
    <w:rsid w:val="36BE49AD"/>
    <w:rsid w:val="37ED7A3F"/>
    <w:rsid w:val="39F74BA5"/>
    <w:rsid w:val="3CF03B2D"/>
    <w:rsid w:val="3F1735F3"/>
    <w:rsid w:val="3F2F4410"/>
    <w:rsid w:val="3FCF4895"/>
    <w:rsid w:val="44F6117F"/>
    <w:rsid w:val="45470D73"/>
    <w:rsid w:val="46511253"/>
    <w:rsid w:val="477D2291"/>
    <w:rsid w:val="4BEE4C27"/>
    <w:rsid w:val="4CDF7E46"/>
    <w:rsid w:val="4DCC692F"/>
    <w:rsid w:val="4E920EE8"/>
    <w:rsid w:val="4F043D9E"/>
    <w:rsid w:val="50905540"/>
    <w:rsid w:val="52202266"/>
    <w:rsid w:val="52CE7E71"/>
    <w:rsid w:val="54212386"/>
    <w:rsid w:val="55733821"/>
    <w:rsid w:val="56E66275"/>
    <w:rsid w:val="57EF4CB5"/>
    <w:rsid w:val="588A51F4"/>
    <w:rsid w:val="58D15FFB"/>
    <w:rsid w:val="59567CB1"/>
    <w:rsid w:val="5A5474AF"/>
    <w:rsid w:val="5AAE70AA"/>
    <w:rsid w:val="5B34049B"/>
    <w:rsid w:val="5BCF115F"/>
    <w:rsid w:val="5BFF63FF"/>
    <w:rsid w:val="5CA2497B"/>
    <w:rsid w:val="5E027A71"/>
    <w:rsid w:val="5FDA4E0C"/>
    <w:rsid w:val="5FF94923"/>
    <w:rsid w:val="616E6B17"/>
    <w:rsid w:val="621A6DD3"/>
    <w:rsid w:val="630C0E9B"/>
    <w:rsid w:val="655234C7"/>
    <w:rsid w:val="659B4A46"/>
    <w:rsid w:val="66173D55"/>
    <w:rsid w:val="66E10831"/>
    <w:rsid w:val="679F4AF4"/>
    <w:rsid w:val="67B90406"/>
    <w:rsid w:val="67EE0AE5"/>
    <w:rsid w:val="68273FF7"/>
    <w:rsid w:val="68EB7A82"/>
    <w:rsid w:val="69276457"/>
    <w:rsid w:val="6A0C1D28"/>
    <w:rsid w:val="6A625F67"/>
    <w:rsid w:val="6C261800"/>
    <w:rsid w:val="6CAA68AA"/>
    <w:rsid w:val="6D851EEC"/>
    <w:rsid w:val="6DDF2A40"/>
    <w:rsid w:val="6F4D2181"/>
    <w:rsid w:val="718524BB"/>
    <w:rsid w:val="7408282F"/>
    <w:rsid w:val="74291630"/>
    <w:rsid w:val="752C3307"/>
    <w:rsid w:val="75DE58E9"/>
    <w:rsid w:val="7908351A"/>
    <w:rsid w:val="79133EC0"/>
    <w:rsid w:val="79F24465"/>
    <w:rsid w:val="7BB67C52"/>
    <w:rsid w:val="7C013085"/>
    <w:rsid w:val="7C3E04C9"/>
    <w:rsid w:val="7CAA2C27"/>
    <w:rsid w:val="7CAC7E7B"/>
    <w:rsid w:val="7D08044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iPriority="9" w:semiHidden="0" w:name="heading 7"/>
    <w:lsdException w:qFormat="1" w:unhideWhenUsed="0"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qFormat="1" w:unhideWhenUsed="0" w:uiPriority="0" w:semiHidden="0" w:name="envelope return"/>
    <w:lsdException w:qFormat="1" w:uiPriority="99" w:name="footnote reference"/>
    <w:lsdException w:qFormat="1" w:unhideWhenUsed="0" w:uiPriority="0" w:semiHidden="0" w:name="annotation reference"/>
    <w:lsdException w:uiPriority="99" w:name="line number"/>
    <w:lsdException w:uiPriority="99" w:name="page number"/>
    <w:lsdException w:qFormat="1" w:uiPriority="99" w:semiHidden="0" w:name="endnote reference"/>
    <w:lsdException w:qFormat="1" w:uiPriority="99" w:name="endnote text"/>
    <w:lsdException w:qFormat="1" w:uiPriority="0" w:semiHidden="0"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nhideWhenUsed="0" w:uiPriority="99" w:semiHidden="0" w:name="Body Text First Indent 2"/>
    <w:lsdException w:uiPriority="99" w:name="Note Heading"/>
    <w:lsdException w:uiPriority="99" w:name="Body Text 2"/>
    <w:lsdException w:qFormat="1" w:uiPriority="99" w:semiHidden="0"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1"/>
      <w:szCs w:val="24"/>
      <w:lang w:val="en-US" w:eastAsia="zh-CN" w:bidi="ar-SA"/>
    </w:rPr>
  </w:style>
  <w:style w:type="paragraph" w:styleId="3">
    <w:name w:val="heading 1"/>
    <w:basedOn w:val="1"/>
    <w:next w:val="1"/>
    <w:link w:val="224"/>
    <w:qFormat/>
    <w:uiPriority w:val="9"/>
    <w:pPr>
      <w:keepNext/>
      <w:keepLines/>
      <w:spacing w:before="340" w:after="330" w:line="578" w:lineRule="auto"/>
      <w:outlineLvl w:val="0"/>
    </w:pPr>
    <w:rPr>
      <w:b/>
      <w:bCs/>
      <w:sz w:val="44"/>
      <w:szCs w:val="44"/>
    </w:rPr>
  </w:style>
  <w:style w:type="paragraph" w:styleId="4">
    <w:name w:val="heading 2"/>
    <w:basedOn w:val="1"/>
    <w:next w:val="1"/>
    <w:link w:val="225"/>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197"/>
    <w:unhideWhenUsed/>
    <w:qFormat/>
    <w:uiPriority w:val="9"/>
    <w:pPr>
      <w:keepNext/>
      <w:keepLines/>
      <w:spacing w:before="160" w:after="80"/>
      <w:outlineLvl w:val="2"/>
    </w:pPr>
    <w:rPr>
      <w:rFonts w:ascii="Arial" w:hAnsi="Arial" w:eastAsia="Arial" w:cs="Arial"/>
      <w:color w:val="366091" w:themeColor="accent1" w:themeShade="BF"/>
      <w:sz w:val="28"/>
      <w:szCs w:val="28"/>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2"/>
    <w:link w:val="226"/>
    <w:qFormat/>
    <w:uiPriority w:val="9"/>
    <w:pPr>
      <w:keepNext/>
      <w:keepLines/>
      <w:spacing w:before="280" w:after="290" w:line="376" w:lineRule="auto"/>
      <w:outlineLvl w:val="4"/>
    </w:pPr>
    <w:rPr>
      <w:b/>
      <w:bCs/>
      <w:sz w:val="28"/>
      <w:szCs w:val="28"/>
    </w:rPr>
  </w:style>
  <w:style w:type="paragraph" w:styleId="8">
    <w:name w:val="heading 6"/>
    <w:basedOn w:val="1"/>
    <w:next w:val="1"/>
    <w:qFormat/>
    <w:uiPriority w:val="0"/>
    <w:pPr>
      <w:keepNext/>
      <w:keepLines/>
      <w:spacing w:before="240" w:after="64" w:line="320" w:lineRule="auto"/>
      <w:outlineLvl w:val="5"/>
    </w:pPr>
    <w:rPr>
      <w:rFonts w:ascii="Calibri Light" w:hAnsi="Calibri Light"/>
      <w:b/>
      <w:bCs/>
      <w:sz w:val="24"/>
    </w:rPr>
  </w:style>
  <w:style w:type="paragraph" w:styleId="9">
    <w:name w:val="heading 7"/>
    <w:basedOn w:val="1"/>
    <w:next w:val="1"/>
    <w:link w:val="201"/>
    <w:unhideWhenUsed/>
    <w:qFormat/>
    <w:uiPriority w:val="9"/>
    <w:pPr>
      <w:keepNext/>
      <w:keepLines/>
      <w:spacing w:before="40"/>
      <w:outlineLvl w:val="6"/>
    </w:pPr>
    <w:rPr>
      <w:rFonts w:ascii="Arial" w:hAnsi="Arial" w:eastAsia="Arial" w:cs="Arial"/>
      <w:color w:val="585858" w:themeColor="text1" w:themeTint="A6"/>
    </w:rPr>
  </w:style>
  <w:style w:type="paragraph" w:styleId="10">
    <w:name w:val="heading 8"/>
    <w:basedOn w:val="1"/>
    <w:next w:val="1"/>
    <w:link w:val="227"/>
    <w:qFormat/>
    <w:uiPriority w:val="9"/>
    <w:pPr>
      <w:keepNext/>
      <w:keepLines/>
      <w:spacing w:before="240" w:after="64" w:line="320" w:lineRule="auto"/>
      <w:outlineLvl w:val="7"/>
    </w:pPr>
    <w:rPr>
      <w:rFonts w:ascii="等线 Light" w:hAnsi="等线 Light" w:eastAsia="等线 Light"/>
      <w:sz w:val="24"/>
    </w:rPr>
  </w:style>
  <w:style w:type="paragraph" w:styleId="11">
    <w:name w:val="heading 9"/>
    <w:basedOn w:val="1"/>
    <w:next w:val="1"/>
    <w:link w:val="203"/>
    <w:unhideWhenUsed/>
    <w:qFormat/>
    <w:uiPriority w:val="9"/>
    <w:pPr>
      <w:keepNext/>
      <w:keepLines/>
      <w:outlineLvl w:val="8"/>
    </w:pPr>
    <w:rPr>
      <w:rFonts w:ascii="Arial" w:hAnsi="Arial" w:eastAsia="Arial" w:cs="Arial"/>
      <w:i/>
      <w:iCs/>
      <w:color w:val="252525" w:themeColor="text1" w:themeTint="D9"/>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12">
    <w:name w:val="toc 7"/>
    <w:basedOn w:val="1"/>
    <w:next w:val="1"/>
    <w:unhideWhenUsed/>
    <w:qFormat/>
    <w:uiPriority w:val="39"/>
    <w:pPr>
      <w:spacing w:after="100"/>
      <w:ind w:left="1320"/>
    </w:pPr>
  </w:style>
  <w:style w:type="paragraph" w:styleId="13">
    <w:name w:val="table of authorities"/>
    <w:basedOn w:val="1"/>
    <w:next w:val="1"/>
    <w:unhideWhenUsed/>
    <w:qFormat/>
    <w:uiPriority w:val="0"/>
    <w:pPr>
      <w:spacing w:line="560" w:lineRule="exact"/>
      <w:ind w:left="420"/>
    </w:pPr>
  </w:style>
  <w:style w:type="paragraph" w:styleId="14">
    <w:name w:val="List Number"/>
    <w:basedOn w:val="1"/>
    <w:qFormat/>
    <w:uiPriority w:val="0"/>
    <w:pPr>
      <w:widowControl/>
      <w:tabs>
        <w:tab w:val="left" w:pos="454"/>
        <w:tab w:val="left" w:pos="720"/>
        <w:tab w:val="left" w:pos="840"/>
      </w:tabs>
      <w:ind w:left="454" w:hanging="284"/>
      <w:jc w:val="left"/>
    </w:pPr>
    <w:rPr>
      <w:sz w:val="24"/>
      <w:szCs w:val="20"/>
    </w:rPr>
  </w:style>
  <w:style w:type="paragraph" w:styleId="15">
    <w:name w:val="caption"/>
    <w:basedOn w:val="1"/>
    <w:next w:val="1"/>
    <w:unhideWhenUsed/>
    <w:qFormat/>
    <w:uiPriority w:val="35"/>
    <w:pPr>
      <w:spacing w:after="200"/>
    </w:pPr>
    <w:rPr>
      <w:i/>
      <w:iCs/>
      <w:color w:val="1F497D" w:themeColor="text2"/>
      <w:sz w:val="18"/>
      <w:szCs w:val="18"/>
    </w:rPr>
  </w:style>
  <w:style w:type="paragraph" w:styleId="16">
    <w:name w:val="annotation text"/>
    <w:basedOn w:val="1"/>
    <w:link w:val="228"/>
    <w:qFormat/>
    <w:uiPriority w:val="0"/>
    <w:pPr>
      <w:jc w:val="left"/>
    </w:pPr>
  </w:style>
  <w:style w:type="paragraph" w:styleId="17">
    <w:name w:val="Body Text 3"/>
    <w:basedOn w:val="1"/>
    <w:link w:val="229"/>
    <w:unhideWhenUsed/>
    <w:qFormat/>
    <w:uiPriority w:val="99"/>
    <w:pPr>
      <w:spacing w:after="120"/>
    </w:pPr>
    <w:rPr>
      <w:sz w:val="16"/>
      <w:szCs w:val="16"/>
    </w:rPr>
  </w:style>
  <w:style w:type="paragraph" w:styleId="18">
    <w:name w:val="Body Text"/>
    <w:basedOn w:val="1"/>
    <w:link w:val="230"/>
    <w:unhideWhenUsed/>
    <w:qFormat/>
    <w:uiPriority w:val="0"/>
    <w:pPr>
      <w:spacing w:after="120"/>
    </w:pPr>
  </w:style>
  <w:style w:type="paragraph" w:styleId="19">
    <w:name w:val="Body Text Indent"/>
    <w:basedOn w:val="1"/>
    <w:next w:val="20"/>
    <w:link w:val="231"/>
    <w:qFormat/>
    <w:uiPriority w:val="0"/>
    <w:pPr>
      <w:ind w:firstLine="830"/>
    </w:pPr>
    <w:rPr>
      <w:rFonts w:ascii="仿宋_GB2312" w:eastAsia="仿宋_GB2312"/>
      <w:sz w:val="32"/>
      <w:szCs w:val="20"/>
    </w:rPr>
  </w:style>
  <w:style w:type="paragraph" w:styleId="20">
    <w:name w:val="envelope return"/>
    <w:basedOn w:val="1"/>
    <w:qFormat/>
    <w:uiPriority w:val="0"/>
    <w:pPr>
      <w:widowControl/>
      <w:spacing w:after="200"/>
      <w:jc w:val="left"/>
    </w:pPr>
    <w:rPr>
      <w:rFonts w:ascii="Arial" w:hAnsi="Arial" w:eastAsia="微软雅黑"/>
      <w:sz w:val="22"/>
      <w:szCs w:val="22"/>
    </w:rPr>
  </w:style>
  <w:style w:type="paragraph" w:styleId="21">
    <w:name w:val="List 2"/>
    <w:basedOn w:val="1"/>
    <w:unhideWhenUsed/>
    <w:qFormat/>
    <w:uiPriority w:val="99"/>
    <w:pPr>
      <w:ind w:left="100" w:hanging="200"/>
      <w:contextualSpacing/>
    </w:pPr>
  </w:style>
  <w:style w:type="paragraph" w:styleId="22">
    <w:name w:val="toc 5"/>
    <w:basedOn w:val="1"/>
    <w:next w:val="1"/>
    <w:unhideWhenUsed/>
    <w:qFormat/>
    <w:uiPriority w:val="39"/>
    <w:pPr>
      <w:spacing w:after="100"/>
      <w:ind w:left="880"/>
    </w:pPr>
  </w:style>
  <w:style w:type="paragraph" w:styleId="23">
    <w:name w:val="toc 3"/>
    <w:basedOn w:val="1"/>
    <w:next w:val="1"/>
    <w:unhideWhenUsed/>
    <w:qFormat/>
    <w:uiPriority w:val="39"/>
    <w:pPr>
      <w:spacing w:after="100"/>
      <w:ind w:left="440"/>
    </w:pPr>
  </w:style>
  <w:style w:type="paragraph" w:styleId="24">
    <w:name w:val="Plain Text"/>
    <w:basedOn w:val="1"/>
    <w:next w:val="6"/>
    <w:link w:val="232"/>
    <w:qFormat/>
    <w:uiPriority w:val="0"/>
    <w:rPr>
      <w:rFonts w:ascii="宋体" w:hAnsi="Courier New"/>
      <w:sz w:val="20"/>
      <w:szCs w:val="21"/>
    </w:rPr>
  </w:style>
  <w:style w:type="paragraph" w:styleId="25">
    <w:name w:val="toc 8"/>
    <w:basedOn w:val="1"/>
    <w:next w:val="1"/>
    <w:unhideWhenUsed/>
    <w:qFormat/>
    <w:uiPriority w:val="39"/>
    <w:pPr>
      <w:spacing w:after="100"/>
      <w:ind w:left="1540"/>
    </w:pPr>
  </w:style>
  <w:style w:type="paragraph" w:styleId="26">
    <w:name w:val="Date"/>
    <w:basedOn w:val="1"/>
    <w:next w:val="1"/>
    <w:link w:val="233"/>
    <w:unhideWhenUsed/>
    <w:qFormat/>
    <w:uiPriority w:val="99"/>
    <w:pPr>
      <w:ind w:left="100"/>
    </w:pPr>
  </w:style>
  <w:style w:type="paragraph" w:styleId="27">
    <w:name w:val="endnote text"/>
    <w:basedOn w:val="1"/>
    <w:link w:val="219"/>
    <w:semiHidden/>
    <w:unhideWhenUsed/>
    <w:qFormat/>
    <w:uiPriority w:val="99"/>
    <w:rPr>
      <w:sz w:val="20"/>
      <w:szCs w:val="20"/>
    </w:rPr>
  </w:style>
  <w:style w:type="paragraph" w:styleId="28">
    <w:name w:val="Balloon Text"/>
    <w:basedOn w:val="1"/>
    <w:semiHidden/>
    <w:qFormat/>
    <w:uiPriority w:val="0"/>
    <w:rPr>
      <w:sz w:val="18"/>
      <w:szCs w:val="18"/>
    </w:rPr>
  </w:style>
  <w:style w:type="paragraph" w:styleId="29">
    <w:name w:val="footer"/>
    <w:basedOn w:val="1"/>
    <w:link w:val="234"/>
    <w:unhideWhenUsed/>
    <w:qFormat/>
    <w:uiPriority w:val="99"/>
    <w:pPr>
      <w:tabs>
        <w:tab w:val="center" w:pos="4153"/>
        <w:tab w:val="right" w:pos="8306"/>
      </w:tabs>
      <w:jc w:val="left"/>
    </w:pPr>
    <w:rPr>
      <w:sz w:val="18"/>
      <w:szCs w:val="18"/>
    </w:rPr>
  </w:style>
  <w:style w:type="paragraph" w:styleId="30">
    <w:name w:val="header"/>
    <w:basedOn w:val="1"/>
    <w:link w:val="235"/>
    <w:unhideWhenUsed/>
    <w:qFormat/>
    <w:uiPriority w:val="99"/>
    <w:pPr>
      <w:pBdr>
        <w:bottom w:val="single" w:color="000000" w:sz="6" w:space="1"/>
      </w:pBdr>
      <w:tabs>
        <w:tab w:val="center" w:pos="4153"/>
        <w:tab w:val="right" w:pos="8306"/>
      </w:tabs>
      <w:jc w:val="center"/>
    </w:pPr>
    <w:rPr>
      <w:sz w:val="18"/>
      <w:szCs w:val="18"/>
    </w:rPr>
  </w:style>
  <w:style w:type="paragraph" w:styleId="31">
    <w:name w:val="toc 1"/>
    <w:basedOn w:val="1"/>
    <w:next w:val="1"/>
    <w:unhideWhenUsed/>
    <w:qFormat/>
    <w:uiPriority w:val="39"/>
  </w:style>
  <w:style w:type="paragraph" w:styleId="32">
    <w:name w:val="toc 4"/>
    <w:basedOn w:val="1"/>
    <w:next w:val="1"/>
    <w:unhideWhenUsed/>
    <w:qFormat/>
    <w:uiPriority w:val="39"/>
    <w:pPr>
      <w:spacing w:after="100"/>
      <w:ind w:left="660"/>
    </w:pPr>
  </w:style>
  <w:style w:type="paragraph" w:styleId="33">
    <w:name w:val="Subtitle"/>
    <w:basedOn w:val="1"/>
    <w:next w:val="1"/>
    <w:link w:val="205"/>
    <w:qFormat/>
    <w:uiPriority w:val="11"/>
    <w:rPr>
      <w:color w:val="585858" w:themeColor="text1" w:themeTint="A6"/>
      <w:spacing w:val="15"/>
      <w:sz w:val="28"/>
      <w:szCs w:val="28"/>
    </w:rPr>
  </w:style>
  <w:style w:type="paragraph" w:styleId="34">
    <w:name w:val="footnote text"/>
    <w:basedOn w:val="1"/>
    <w:link w:val="218"/>
    <w:semiHidden/>
    <w:unhideWhenUsed/>
    <w:qFormat/>
    <w:uiPriority w:val="99"/>
    <w:rPr>
      <w:sz w:val="20"/>
      <w:szCs w:val="20"/>
    </w:rPr>
  </w:style>
  <w:style w:type="paragraph" w:styleId="35">
    <w:name w:val="toc 6"/>
    <w:basedOn w:val="1"/>
    <w:next w:val="1"/>
    <w:unhideWhenUsed/>
    <w:qFormat/>
    <w:uiPriority w:val="39"/>
    <w:pPr>
      <w:spacing w:after="100"/>
      <w:ind w:left="1100"/>
    </w:p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unhideWhenUsed/>
    <w:qFormat/>
    <w:uiPriority w:val="99"/>
  </w:style>
  <w:style w:type="paragraph" w:styleId="38">
    <w:name w:val="toc 2"/>
    <w:basedOn w:val="1"/>
    <w:next w:val="1"/>
    <w:unhideWhenUsed/>
    <w:qFormat/>
    <w:uiPriority w:val="39"/>
    <w:pPr>
      <w:tabs>
        <w:tab w:val="right" w:leader="dot" w:pos="8296"/>
      </w:tabs>
      <w:ind w:left="420"/>
    </w:pPr>
  </w:style>
  <w:style w:type="paragraph" w:styleId="39">
    <w:name w:val="toc 9"/>
    <w:basedOn w:val="1"/>
    <w:next w:val="1"/>
    <w:unhideWhenUsed/>
    <w:qFormat/>
    <w:uiPriority w:val="39"/>
    <w:pPr>
      <w:spacing w:after="100"/>
      <w:ind w:left="1760"/>
    </w:pPr>
  </w:style>
  <w:style w:type="paragraph" w:styleId="40">
    <w:name w:val="Normal (Web)"/>
    <w:basedOn w:val="1"/>
    <w:unhideWhenUsed/>
    <w:qFormat/>
    <w:uiPriority w:val="99"/>
    <w:rPr>
      <w:rFonts w:ascii="Calibri" w:hAnsi="Calibri"/>
      <w:sz w:val="24"/>
    </w:rPr>
  </w:style>
  <w:style w:type="paragraph" w:styleId="41">
    <w:name w:val="Title"/>
    <w:basedOn w:val="1"/>
    <w:next w:val="1"/>
    <w:link w:val="204"/>
    <w:qFormat/>
    <w:uiPriority w:val="10"/>
    <w:pPr>
      <w:spacing w:after="80"/>
      <w:contextualSpacing/>
    </w:pPr>
    <w:rPr>
      <w:rFonts w:ascii="Arial" w:hAnsi="Arial" w:eastAsia="Arial" w:cs="Arial"/>
      <w:spacing w:val="-10"/>
      <w:sz w:val="56"/>
      <w:szCs w:val="56"/>
    </w:rPr>
  </w:style>
  <w:style w:type="paragraph" w:styleId="42">
    <w:name w:val="annotation subject"/>
    <w:basedOn w:val="16"/>
    <w:next w:val="16"/>
    <w:link w:val="236"/>
    <w:qFormat/>
    <w:uiPriority w:val="99"/>
    <w:rPr>
      <w:b/>
      <w:bCs/>
    </w:rPr>
  </w:style>
  <w:style w:type="paragraph" w:styleId="43">
    <w:name w:val="Body Text First Indent 2"/>
    <w:basedOn w:val="19"/>
    <w:qFormat/>
    <w:uiPriority w:val="99"/>
    <w:pPr>
      <w:widowControl/>
      <w:spacing w:line="360" w:lineRule="auto"/>
      <w:ind w:left="-358" w:firstLine="560"/>
      <w:jc w:val="left"/>
    </w:pPr>
    <w:rPr>
      <w:sz w:val="28"/>
    </w:rPr>
  </w:style>
  <w:style w:type="table" w:styleId="45">
    <w:name w:val="Table Grid"/>
    <w:basedOn w:val="4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47">
    <w:name w:val="Strong"/>
    <w:basedOn w:val="46"/>
    <w:qFormat/>
    <w:uiPriority w:val="22"/>
    <w:rPr>
      <w:b/>
    </w:rPr>
  </w:style>
  <w:style w:type="character" w:styleId="48">
    <w:name w:val="endnote reference"/>
    <w:unhideWhenUsed/>
    <w:qFormat/>
    <w:uiPriority w:val="99"/>
    <w:rPr>
      <w:vertAlign w:val="superscript"/>
    </w:rPr>
  </w:style>
  <w:style w:type="character" w:styleId="49">
    <w:name w:val="FollowedHyperlink"/>
    <w:basedOn w:val="46"/>
    <w:semiHidden/>
    <w:unhideWhenUsed/>
    <w:qFormat/>
    <w:uiPriority w:val="99"/>
    <w:rPr>
      <w:color w:val="800080" w:themeColor="followedHyperlink"/>
      <w:u w:val="single"/>
    </w:rPr>
  </w:style>
  <w:style w:type="character" w:styleId="50">
    <w:name w:val="Emphasis"/>
    <w:basedOn w:val="46"/>
    <w:qFormat/>
    <w:uiPriority w:val="20"/>
    <w:rPr>
      <w:i/>
    </w:rPr>
  </w:style>
  <w:style w:type="character" w:styleId="51">
    <w:name w:val="Hyperlink"/>
    <w:unhideWhenUsed/>
    <w:qFormat/>
    <w:uiPriority w:val="99"/>
    <w:rPr>
      <w:color w:val="0000FF"/>
      <w:u w:val="single"/>
    </w:rPr>
  </w:style>
  <w:style w:type="character" w:styleId="52">
    <w:name w:val="annotation reference"/>
    <w:qFormat/>
    <w:uiPriority w:val="0"/>
    <w:rPr>
      <w:sz w:val="21"/>
      <w:szCs w:val="21"/>
    </w:rPr>
  </w:style>
  <w:style w:type="character" w:styleId="53">
    <w:name w:val="footnote reference"/>
    <w:basedOn w:val="46"/>
    <w:semiHidden/>
    <w:unhideWhenUsed/>
    <w:qFormat/>
    <w:uiPriority w:val="99"/>
    <w:rPr>
      <w:vertAlign w:val="superscript"/>
    </w:rPr>
  </w:style>
  <w:style w:type="paragraph" w:customStyle="1" w:styleId="54">
    <w:name w:val="表格文字"/>
    <w:basedOn w:val="1"/>
    <w:qFormat/>
    <w:uiPriority w:val="0"/>
    <w:pPr>
      <w:spacing w:before="25" w:after="25"/>
      <w:jc w:val="left"/>
    </w:pPr>
    <w:rPr>
      <w:rFonts w:hint="eastAsia"/>
      <w:spacing w:val="10"/>
      <w:sz w:val="24"/>
      <w:szCs w:val="20"/>
    </w:rPr>
  </w:style>
  <w:style w:type="table" w:customStyle="1" w:styleId="55">
    <w:name w:val="无格式表格 11"/>
    <w:basedOn w:val="44"/>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56">
    <w:name w:val="无格式表格 21"/>
    <w:basedOn w:val="44"/>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57">
    <w:name w:val="无格式表格 31"/>
    <w:basedOn w:val="44"/>
    <w:qFormat/>
    <w:uiPriority w:val="99"/>
    <w:tblPr>
      <w:tblCellMar>
        <w:top w:w="0" w:type="dxa"/>
        <w:left w:w="108" w:type="dxa"/>
        <w:bottom w:w="0" w:type="dxa"/>
        <w:right w:w="108"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8">
    <w:name w:val="无格式表格 41"/>
    <w:basedOn w:val="44"/>
    <w:qFormat/>
    <w:uiPriority w:val="99"/>
    <w:tblPr>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9">
    <w:name w:val="无格式表格 51"/>
    <w:basedOn w:val="44"/>
    <w:qFormat/>
    <w:uiPriority w:val="99"/>
    <w:tblPr>
      <w:tblCellMar>
        <w:top w:w="0" w:type="dxa"/>
        <w:left w:w="108" w:type="dxa"/>
        <w:bottom w:w="0" w:type="dxa"/>
        <w:right w:w="108"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0">
    <w:name w:val="网格表 1 浅色1"/>
    <w:basedOn w:val="44"/>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108" w:type="dxa"/>
        <w:bottom w:w="0" w:type="dxa"/>
        <w:right w:w="108"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1">
    <w:name w:val="网格表 21"/>
    <w:basedOn w:val="44"/>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2">
    <w:name w:val="网格表 31"/>
    <w:basedOn w:val="44"/>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3">
    <w:name w:val="网格表 41"/>
    <w:basedOn w:val="44"/>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4">
    <w:name w:val="网格表 5 深色1"/>
    <w:basedOn w:val="4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65">
    <w:name w:val="网格表 6 彩色1"/>
    <w:basedOn w:val="44"/>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b/>
        <w:color w:val="7E7E7E" w:themeColor="text1" w:themeTint="80"/>
      </w:rPr>
      <w:tcPr>
        <w:tcBorders>
          <w:bottom w:val="single" w:color="7E7E7E" w:themeColor="text1" w:themeTint="80" w:sz="12" w:space="0"/>
        </w:tcBorders>
      </w:tcPr>
    </w:tblStylePr>
    <w:tblStylePr w:type="lastRow">
      <w:rPr>
        <w:b/>
        <w:color w:val="7E7E7E" w:themeColor="text1" w:themeTint="80"/>
      </w:rPr>
    </w:tblStylePr>
    <w:tblStylePr w:type="firstCol">
      <w:rPr>
        <w:b/>
        <w:color w:val="7E7E7E" w:themeColor="text1" w:themeTint="80"/>
      </w:rPr>
    </w:tblStylePr>
    <w:tblStylePr w:type="lastCol">
      <w:rPr>
        <w:b/>
        <w:color w:val="7E7E7E" w:themeColor="text1" w:themeTint="80"/>
      </w:rPr>
    </w:tblStylePr>
    <w:tblStylePr w:type="band1Vert">
      <w:tcPr>
        <w:shd w:val="clear" w:color="CACACA" w:themeColor="text1" w:themeTint="34" w:fill="CACACA" w:themeFill="text1" w:themeFillTint="34"/>
      </w:tcPr>
    </w:tblStylePr>
    <w:tblStylePr w:type="band1Horz">
      <w:rPr>
        <w:rFonts w:ascii="Arial" w:hAnsi="Arial"/>
        <w:color w:val="7E7E7E" w:themeColor="text1" w:themeTint="80"/>
        <w:sz w:val="22"/>
      </w:rPr>
      <w:tcPr>
        <w:shd w:val="clear" w:color="CACACA" w:themeColor="text1" w:themeTint="34" w:fill="CACACA" w:themeFill="text1" w:themeFillTint="34"/>
      </w:tcPr>
    </w:tblStylePr>
    <w:tblStylePr w:type="band2Horz">
      <w:rPr>
        <w:rFonts w:ascii="Arial" w:hAnsi="Arial"/>
        <w:color w:val="7E7E7E" w:themeColor="text1" w:themeTint="80"/>
        <w:sz w:val="22"/>
      </w:rPr>
    </w:tblStylePr>
  </w:style>
  <w:style w:type="table" w:customStyle="1" w:styleId="66">
    <w:name w:val="网格表 7 彩色1"/>
    <w:basedOn w:val="44"/>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rFonts w:ascii="Arial" w:hAnsi="Arial"/>
        <w:b/>
        <w:color w:val="7E7E7E" w:themeColor="text1"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7E7E7E" w:themeColor="text1"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7E7E7E" w:themeColor="text1" w:themeTint="80"/>
        <w:sz w:val="22"/>
      </w:rPr>
      <w:tcPr>
        <w:shd w:val="clear" w:color="F1F1F1" w:themeColor="text1" w:themeTint="0D" w:fill="F1F1F1" w:themeFill="text1" w:themeFillTint="0D"/>
      </w:tcPr>
    </w:tblStylePr>
    <w:tblStylePr w:type="band2Horz">
      <w:rPr>
        <w:rFonts w:ascii="Arial" w:hAnsi="Arial"/>
        <w:color w:val="7E7E7E" w:themeColor="text1" w:themeTint="80"/>
        <w:sz w:val="22"/>
      </w:rPr>
    </w:tblStylePr>
  </w:style>
  <w:style w:type="table" w:customStyle="1" w:styleId="67">
    <w:name w:val="清单表 1 浅色1"/>
    <w:basedOn w:val="44"/>
    <w:qFormat/>
    <w:uiPriority w:val="99"/>
    <w:tblPr>
      <w:tblCellMar>
        <w:top w:w="0" w:type="dxa"/>
        <w:left w:w="108" w:type="dxa"/>
        <w:bottom w:w="0" w:type="dxa"/>
        <w:right w:w="108"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68">
    <w:name w:val="清单表 21"/>
    <w:basedOn w:val="44"/>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69">
    <w:name w:val="清单表 31"/>
    <w:basedOn w:val="44"/>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70">
    <w:name w:val="清单表 41"/>
    <w:basedOn w:val="44"/>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71">
    <w:name w:val="清单表 5 深色1"/>
    <w:basedOn w:val="44"/>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108" w:type="dxa"/>
        <w:bottom w:w="0" w:type="dxa"/>
        <w:right w:w="108" w:type="dxa"/>
      </w:tblCellMar>
    </w:tblPr>
    <w:tblStylePr w:type="firstRow">
      <w:rPr>
        <w:rFonts w:ascii="Arial" w:hAnsi="Arial"/>
        <w:b/>
        <w:color w:val="FFFFFF" w:themeColor="light1"/>
        <w:sz w:val="22"/>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72">
    <w:name w:val="清单表 6 彩色1"/>
    <w:basedOn w:val="44"/>
    <w:qFormat/>
    <w:uiPriority w:val="99"/>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color w:val="000000" w:themeColor="text1"/>
      </w:rPr>
      <w:tcPr>
        <w:tcBorders>
          <w:bottom w:val="single" w:color="7E7E7E" w:themeColor="text1" w:themeTint="80" w:sz="4" w:space="0"/>
        </w:tcBorders>
      </w:tcPr>
    </w:tblStylePr>
    <w:tblStylePr w:type="lastRow">
      <w:rPr>
        <w:b/>
        <w:color w:val="000000" w:themeColor="text1"/>
      </w:rPr>
      <w:tcPr>
        <w:tcBorders>
          <w:top w:val="single" w:color="7E7E7E" w:themeColor="text1" w:themeTint="80" w:sz="4" w:space="0"/>
        </w:tcBorders>
      </w:tcPr>
    </w:tblStylePr>
    <w:tblStylePr w:type="firstCol">
      <w:rPr>
        <w:b/>
        <w:color w:val="000000" w:themeColor="text1"/>
      </w:rPr>
    </w:tblStylePr>
    <w:tblStylePr w:type="lastCol">
      <w:rPr>
        <w:b/>
        <w:color w:val="000000" w:themeColor="text1"/>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rPr>
      <w:tcPr>
        <w:shd w:val="clear" w:color="BEBEBE" w:themeColor="text1" w:themeTint="40" w:fill="BEBEBE" w:themeFill="text1" w:themeFillTint="40"/>
      </w:tcPr>
    </w:tblStylePr>
    <w:tblStylePr w:type="band2Horz">
      <w:rPr>
        <w:rFonts w:ascii="Arial" w:hAnsi="Arial"/>
        <w:color w:val="000000" w:themeColor="text1"/>
        <w:sz w:val="22"/>
      </w:rPr>
    </w:tblStylePr>
  </w:style>
  <w:style w:type="table" w:customStyle="1" w:styleId="73">
    <w:name w:val="清单表 7 彩色1"/>
    <w:basedOn w:val="44"/>
    <w:qFormat/>
    <w:uiPriority w:val="99"/>
    <w:tblPr>
      <w:tblBorders>
        <w:right w:val="single" w:color="7E7E7E" w:themeColor="text1" w:themeTint="80" w:sz="4" w:space="0"/>
      </w:tblBorders>
      <w:tblCellMar>
        <w:top w:w="0" w:type="dxa"/>
        <w:left w:w="108" w:type="dxa"/>
        <w:bottom w:w="0" w:type="dxa"/>
        <w:right w:w="108" w:type="dxa"/>
      </w:tblCellMar>
    </w:tblPr>
    <w:tblStylePr w:type="firstRow">
      <w:rPr>
        <w:rFonts w:ascii="Arial" w:hAnsi="Arial"/>
        <w:i/>
        <w:color w:val="7E7E7E" w:themeColor="text1"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7E7E7E" w:themeColor="text1"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7E7E7E" w:themeColor="text1" w:themeTint="80"/>
        <w:sz w:val="22"/>
      </w:rPr>
      <w:tcPr>
        <w:shd w:val="clear" w:color="BEBEBE" w:themeColor="text1" w:themeTint="40" w:fill="BEBEBE" w:themeFill="text1" w:themeFillTint="40"/>
      </w:tcPr>
    </w:tblStylePr>
    <w:tblStylePr w:type="band2Horz">
      <w:rPr>
        <w:rFonts w:ascii="Arial" w:hAnsi="Arial"/>
        <w:color w:val="7E7E7E" w:themeColor="text1" w:themeTint="80"/>
        <w:sz w:val="22"/>
      </w:rPr>
    </w:tblStylePr>
  </w:style>
  <w:style w:type="character" w:customStyle="1" w:styleId="74">
    <w:name w:val="Heading 3 Char"/>
    <w:basedOn w:val="46"/>
    <w:qFormat/>
    <w:uiPriority w:val="9"/>
    <w:rPr>
      <w:rFonts w:ascii="Arial" w:hAnsi="Arial" w:eastAsia="Arial" w:cs="Arial"/>
      <w:color w:val="366091" w:themeColor="accent1" w:themeShade="BF"/>
      <w:sz w:val="28"/>
      <w:szCs w:val="28"/>
    </w:rPr>
  </w:style>
  <w:style w:type="character" w:customStyle="1" w:styleId="75">
    <w:name w:val="Heading 7 Char"/>
    <w:basedOn w:val="46"/>
    <w:qFormat/>
    <w:uiPriority w:val="9"/>
    <w:rPr>
      <w:rFonts w:ascii="Arial" w:hAnsi="Arial" w:eastAsia="Arial" w:cs="Arial"/>
      <w:color w:val="585858" w:themeColor="text1" w:themeTint="A6"/>
    </w:rPr>
  </w:style>
  <w:style w:type="character" w:customStyle="1" w:styleId="76">
    <w:name w:val="Heading 9 Char"/>
    <w:basedOn w:val="46"/>
    <w:qFormat/>
    <w:uiPriority w:val="9"/>
    <w:rPr>
      <w:rFonts w:ascii="Arial" w:hAnsi="Arial" w:eastAsia="Arial" w:cs="Arial"/>
      <w:i/>
      <w:iCs/>
      <w:color w:val="252525" w:themeColor="text1" w:themeTint="D9"/>
    </w:rPr>
  </w:style>
  <w:style w:type="character" w:customStyle="1" w:styleId="77">
    <w:name w:val="Title Char"/>
    <w:basedOn w:val="46"/>
    <w:qFormat/>
    <w:uiPriority w:val="10"/>
    <w:rPr>
      <w:rFonts w:ascii="Arial" w:hAnsi="Arial" w:eastAsia="Arial" w:cs="Arial"/>
      <w:spacing w:val="-10"/>
      <w:sz w:val="56"/>
      <w:szCs w:val="56"/>
    </w:rPr>
  </w:style>
  <w:style w:type="character" w:customStyle="1" w:styleId="78">
    <w:name w:val="Subtitle Char"/>
    <w:basedOn w:val="46"/>
    <w:qFormat/>
    <w:uiPriority w:val="11"/>
    <w:rPr>
      <w:color w:val="585858" w:themeColor="text1" w:themeTint="A6"/>
      <w:spacing w:val="15"/>
      <w:sz w:val="28"/>
      <w:szCs w:val="28"/>
    </w:rPr>
  </w:style>
  <w:style w:type="character" w:customStyle="1" w:styleId="79">
    <w:name w:val="Quote Char"/>
    <w:basedOn w:val="46"/>
    <w:qFormat/>
    <w:uiPriority w:val="29"/>
    <w:rPr>
      <w:i/>
      <w:iCs/>
      <w:color w:val="3F3F3F" w:themeColor="text1" w:themeTint="BF"/>
    </w:rPr>
  </w:style>
  <w:style w:type="character" w:customStyle="1" w:styleId="80">
    <w:name w:val="明显强调1"/>
    <w:basedOn w:val="46"/>
    <w:qFormat/>
    <w:uiPriority w:val="21"/>
    <w:rPr>
      <w:i/>
      <w:iCs/>
      <w:color w:val="366091" w:themeColor="accent1" w:themeShade="BF"/>
    </w:rPr>
  </w:style>
  <w:style w:type="character" w:customStyle="1" w:styleId="81">
    <w:name w:val="Intense Quote Char"/>
    <w:basedOn w:val="46"/>
    <w:qFormat/>
    <w:uiPriority w:val="30"/>
    <w:rPr>
      <w:i/>
      <w:iCs/>
      <w:color w:val="366091" w:themeColor="accent1" w:themeShade="BF"/>
    </w:rPr>
  </w:style>
  <w:style w:type="character" w:customStyle="1" w:styleId="82">
    <w:name w:val="明显参考1"/>
    <w:basedOn w:val="46"/>
    <w:qFormat/>
    <w:uiPriority w:val="32"/>
    <w:rPr>
      <w:b/>
      <w:bCs/>
      <w:smallCaps/>
      <w:color w:val="366091" w:themeColor="accent1" w:themeShade="BF"/>
      <w:spacing w:val="5"/>
    </w:rPr>
  </w:style>
  <w:style w:type="character" w:customStyle="1" w:styleId="83">
    <w:name w:val="不明显强调1"/>
    <w:basedOn w:val="46"/>
    <w:qFormat/>
    <w:uiPriority w:val="19"/>
    <w:rPr>
      <w:i/>
      <w:iCs/>
      <w:color w:val="3F3F3F" w:themeColor="text1" w:themeTint="BF"/>
    </w:rPr>
  </w:style>
  <w:style w:type="character" w:customStyle="1" w:styleId="84">
    <w:name w:val="不明显参考1"/>
    <w:basedOn w:val="46"/>
    <w:qFormat/>
    <w:uiPriority w:val="31"/>
    <w:rPr>
      <w:smallCaps/>
      <w:color w:val="585858" w:themeColor="text1" w:themeTint="A6"/>
    </w:rPr>
  </w:style>
  <w:style w:type="character" w:customStyle="1" w:styleId="85">
    <w:name w:val="书籍标题1"/>
    <w:basedOn w:val="46"/>
    <w:qFormat/>
    <w:uiPriority w:val="33"/>
    <w:rPr>
      <w:b/>
      <w:bCs/>
      <w:i/>
      <w:iCs/>
      <w:spacing w:val="5"/>
    </w:rPr>
  </w:style>
  <w:style w:type="character" w:customStyle="1" w:styleId="86">
    <w:name w:val="Footnote Text Char"/>
    <w:basedOn w:val="46"/>
    <w:semiHidden/>
    <w:qFormat/>
    <w:uiPriority w:val="99"/>
    <w:rPr>
      <w:sz w:val="20"/>
      <w:szCs w:val="20"/>
    </w:rPr>
  </w:style>
  <w:style w:type="character" w:customStyle="1" w:styleId="87">
    <w:name w:val="Endnote Text Char"/>
    <w:basedOn w:val="46"/>
    <w:semiHidden/>
    <w:qFormat/>
    <w:uiPriority w:val="99"/>
    <w:rPr>
      <w:sz w:val="20"/>
      <w:szCs w:val="20"/>
    </w:rPr>
  </w:style>
  <w:style w:type="paragraph" w:customStyle="1" w:styleId="88">
    <w:name w:val="TOC 标题1"/>
    <w:unhideWhenUsed/>
    <w:qFormat/>
    <w:uiPriority w:val="39"/>
    <w:rPr>
      <w:rFonts w:ascii="Times New Roman" w:hAnsi="Times New Roman" w:eastAsia="宋体" w:cs="Times New Roman"/>
      <w:lang w:val="en-US" w:eastAsia="zh-CN" w:bidi="ar-SA"/>
    </w:rPr>
  </w:style>
  <w:style w:type="table" w:customStyle="1" w:styleId="89">
    <w:name w:val="Table Grid Light"/>
    <w:basedOn w:val="44"/>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90">
    <w:name w:val="Grid Table 1 Light - Accent 1"/>
    <w:basedOn w:val="44"/>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91">
    <w:name w:val="Grid Table 1 Light - Accent 2"/>
    <w:basedOn w:val="44"/>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92">
    <w:name w:val="Grid Table 1 Light - Accent 3"/>
    <w:basedOn w:val="44"/>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93">
    <w:name w:val="Grid Table 1 Light - Accent 4"/>
    <w:basedOn w:val="44"/>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94">
    <w:name w:val="Grid Table 1 Light - Accent 5"/>
    <w:basedOn w:val="44"/>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95">
    <w:name w:val="Grid Table 1 Light - Accent 6"/>
    <w:basedOn w:val="44"/>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96">
    <w:name w:val="Grid Table 2 - Accent 1"/>
    <w:basedOn w:val="44"/>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97">
    <w:name w:val="Grid Table 2 - Accent 2"/>
    <w:basedOn w:val="44"/>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98">
    <w:name w:val="Grid Table 2 - Accent 3"/>
    <w:basedOn w:val="44"/>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99">
    <w:name w:val="Grid Table 2 - Accent 4"/>
    <w:basedOn w:val="44"/>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00">
    <w:name w:val="Grid Table 2 - Accent 5"/>
    <w:basedOn w:val="44"/>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01">
    <w:name w:val="Grid Table 2 - Accent 6"/>
    <w:basedOn w:val="44"/>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02">
    <w:name w:val="Grid Table 3 - Accent 1"/>
    <w:basedOn w:val="44"/>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103">
    <w:name w:val="Grid Table 3 - Accent 2"/>
    <w:basedOn w:val="44"/>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04">
    <w:name w:val="Grid Table 3 - Accent 3"/>
    <w:basedOn w:val="44"/>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05">
    <w:name w:val="Grid Table 3 - Accent 4"/>
    <w:basedOn w:val="44"/>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06">
    <w:name w:val="Grid Table 3 - Accent 5"/>
    <w:basedOn w:val="44"/>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07">
    <w:name w:val="Grid Table 3 - Accent 6"/>
    <w:basedOn w:val="44"/>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08">
    <w:name w:val="Grid Table 4 - Accent 1"/>
    <w:basedOn w:val="44"/>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109">
    <w:name w:val="Grid Table 4 - Accent 2"/>
    <w:basedOn w:val="44"/>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10">
    <w:name w:val="Grid Table 4 - Accent 3"/>
    <w:basedOn w:val="44"/>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11">
    <w:name w:val="Grid Table 4 - Accent 4"/>
    <w:basedOn w:val="44"/>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12">
    <w:name w:val="Grid Table 4 - Accent 5"/>
    <w:basedOn w:val="44"/>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13">
    <w:name w:val="Grid Table 4 - Accent 6"/>
    <w:basedOn w:val="44"/>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14">
    <w:name w:val="Grid Table 5 Dark- Accent 1"/>
    <w:basedOn w:val="4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115">
    <w:name w:val="Grid Table 5 Dark - Accent 2"/>
    <w:basedOn w:val="4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116">
    <w:name w:val="Grid Table 5 Dark - Accent 3"/>
    <w:basedOn w:val="4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117">
    <w:name w:val="Grid Table 5 Dark- Accent 4"/>
    <w:basedOn w:val="4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118">
    <w:name w:val="Grid Table 5 Dark - Accent 5"/>
    <w:basedOn w:val="4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19">
    <w:name w:val="Grid Table 5 Dark - Accent 6"/>
    <w:basedOn w:val="4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20">
    <w:name w:val="Grid Table 6 Colorful - Accent 1"/>
    <w:basedOn w:val="44"/>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val="A6BFDD" w:themeColor="accent1" w:themeTint="80"/>
      </w:rPr>
      <w:tcPr>
        <w:tcBorders>
          <w:bottom w:val="single" w:color="A6BFDD" w:themeColor="accent1" w:themeTint="80" w:sz="12" w:space="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cPr>
        <w:shd w:val="clear" w:color="DBE5F1" w:themeColor="accent1" w:themeTint="34" w:fill="DBE5F1" w:themeFill="accent1" w:themeFillTint="34"/>
      </w:tcPr>
    </w:tblStylePr>
    <w:tblStylePr w:type="band1Horz">
      <w:rPr>
        <w:rFonts w:ascii="Arial" w:hAnsi="Arial"/>
        <w:color w:val="A6BFDD" w:themeColor="accent1" w:themeTint="80"/>
        <w:sz w:val="22"/>
      </w:rPr>
      <w:tcPr>
        <w:shd w:val="clear" w:color="DBE5F1" w:themeColor="accent1" w:themeTint="34" w:fill="DBE5F1" w:themeFill="accent1" w:themeFillTint="34"/>
      </w:tcPr>
    </w:tblStylePr>
    <w:tblStylePr w:type="band2Horz">
      <w:rPr>
        <w:rFonts w:ascii="Arial" w:hAnsi="Arial"/>
        <w:color w:val="A6BFDD" w:themeColor="accent1" w:themeTint="80"/>
        <w:sz w:val="22"/>
      </w:rPr>
    </w:tblStylePr>
  </w:style>
  <w:style w:type="table" w:customStyle="1" w:styleId="121">
    <w:name w:val="Grid Table 6 Colorful - Accent 2"/>
    <w:basedOn w:val="44"/>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D99896" w:themeColor="accent2" w:themeTint="96"/>
      </w:rPr>
      <w:tcPr>
        <w:tcBorders>
          <w:bottom w:val="single" w:color="D99795" w:themeColor="accent2" w:themeTint="97" w:sz="12" w:space="0"/>
        </w:tcBorders>
      </w:tcPr>
    </w:tblStylePr>
    <w:tblStylePr w:type="lastRow">
      <w:rPr>
        <w:b/>
        <w:color w:val="D99896" w:themeColor="accent2" w:themeTint="96"/>
      </w:rPr>
    </w:tblStylePr>
    <w:tblStylePr w:type="firstCol">
      <w:rPr>
        <w:b/>
        <w:color w:val="D99896" w:themeColor="accent2" w:themeTint="96"/>
      </w:rPr>
    </w:tblStylePr>
    <w:tblStylePr w:type="lastCol">
      <w:rPr>
        <w:b/>
        <w:color w:val="D99896" w:themeColor="accent2" w:themeTint="96"/>
      </w:rPr>
    </w:tblStylePr>
    <w:tblStylePr w:type="band1Vert">
      <w:tcPr>
        <w:shd w:val="clear" w:color="F2DCDC" w:themeColor="accent2" w:themeTint="32" w:fill="F2DCDC" w:themeFill="accent2" w:themeFillTint="32"/>
      </w:tcPr>
    </w:tblStylePr>
    <w:tblStylePr w:type="band1Horz">
      <w:rPr>
        <w:rFonts w:ascii="Arial" w:hAnsi="Arial"/>
        <w:color w:val="D99896" w:themeColor="accent2" w:themeTint="96"/>
        <w:sz w:val="22"/>
      </w:rPr>
      <w:tcPr>
        <w:shd w:val="clear" w:color="F2DCDC" w:themeColor="accent2" w:themeTint="32" w:fill="F2DCDC" w:themeFill="accent2" w:themeFillTint="32"/>
      </w:tcPr>
    </w:tblStylePr>
    <w:tblStylePr w:type="band2Horz">
      <w:rPr>
        <w:rFonts w:ascii="Arial" w:hAnsi="Arial"/>
        <w:color w:val="D99896" w:themeColor="accent2" w:themeTint="96"/>
        <w:sz w:val="22"/>
      </w:rPr>
    </w:tblStylePr>
  </w:style>
  <w:style w:type="table" w:customStyle="1" w:styleId="122">
    <w:name w:val="Grid Table 6 Colorful - Accent 3"/>
    <w:basedOn w:val="44"/>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9BBB59" w:themeColor="accent3"/>
      </w:rPr>
      <w:tcPr>
        <w:tcBorders>
          <w:bottom w:val="single" w:color="9BBB59" w:themeColor="accent3" w:themeTint="FE" w:sz="12" w:space="0"/>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rPr>
      <w:tcPr>
        <w:shd w:val="clear" w:color="EAF1DD" w:themeColor="accent3" w:themeTint="34" w:fill="EAF1DD" w:themeFill="accent3" w:themeFillTint="34"/>
      </w:tcPr>
    </w:tblStylePr>
    <w:tblStylePr w:type="band2Horz">
      <w:rPr>
        <w:rFonts w:ascii="Arial" w:hAnsi="Arial"/>
        <w:color w:val="9BBB59" w:themeColor="accent3"/>
        <w:sz w:val="22"/>
      </w:rPr>
    </w:tblStylePr>
  </w:style>
  <w:style w:type="table" w:customStyle="1" w:styleId="123">
    <w:name w:val="Grid Table 6 Colorful - Accent 4"/>
    <w:basedOn w:val="44"/>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B2A1C7" w:themeColor="accent4" w:themeTint="99"/>
      </w:rPr>
      <w:tcPr>
        <w:tcBorders>
          <w:bottom w:val="single" w:color="B2A1C6" w:themeColor="accent4" w:themeTint="9A" w:sz="12" w:space="0"/>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cPr>
        <w:shd w:val="clear" w:color="E5DFEC" w:themeColor="accent4" w:themeTint="34" w:fill="E5DFEC" w:themeFill="accent4" w:themeFillTint="34"/>
      </w:tcPr>
    </w:tblStylePr>
    <w:tblStylePr w:type="band1Horz">
      <w:rPr>
        <w:rFonts w:ascii="Arial" w:hAnsi="Arial"/>
        <w:color w:val="B2A1C7" w:themeColor="accent4" w:themeTint="99"/>
        <w:sz w:val="22"/>
      </w:r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124">
    <w:name w:val="Grid Table 6 Colorful - Accent 5"/>
    <w:basedOn w:val="44"/>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266678" w:themeColor="accent5" w:themeShade="94"/>
      </w:rPr>
      <w:tcPr>
        <w:tcBorders>
          <w:bottom w:val="single" w:color="4BACC6" w:themeColor="accent5" w:sz="12" w:space="0"/>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678" w:themeColor="accent5" w:themeShade="94"/>
        <w:sz w:val="22"/>
      </w:r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125">
    <w:name w:val="Grid Table 6 Colorful - Accent 6"/>
    <w:basedOn w:val="44"/>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266678" w:themeColor="accent5" w:themeShade="94"/>
      </w:rPr>
      <w:tcPr>
        <w:tcBorders>
          <w:bottom w:val="single" w:color="F79646" w:themeColor="accent6" w:sz="12" w:space="0"/>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678" w:themeColor="accent5" w:themeShade="94"/>
        <w:sz w:val="22"/>
      </w:rPr>
      <w:tcPr>
        <w:shd w:val="clear" w:color="FDE9D9" w:themeColor="accent6" w:themeTint="34" w:fill="FDE9D9" w:themeFill="accent6" w:themeFillTint="34"/>
      </w:tcPr>
    </w:tblStylePr>
    <w:tblStylePr w:type="band2Horz">
      <w:rPr>
        <w:rFonts w:ascii="Arial" w:hAnsi="Arial"/>
        <w:color w:val="266678" w:themeColor="accent5" w:themeShade="94"/>
        <w:sz w:val="22"/>
      </w:rPr>
    </w:tblStylePr>
  </w:style>
  <w:style w:type="table" w:customStyle="1" w:styleId="126">
    <w:name w:val="Grid Table 7 Colorful - Accent 1"/>
    <w:basedOn w:val="44"/>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rFonts w:ascii="Arial" w:hAnsi="Arial"/>
        <w:b/>
        <w:color w:val="A6BFDD" w:themeColor="accent1" w:themeTint="80"/>
        <w:sz w:val="22"/>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6BFDD" w:themeColor="accent1" w:themeTint="80"/>
        <w:sz w:val="22"/>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Tint="80"/>
        <w:sz w:val="22"/>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6BFDD" w:themeColor="accent1" w:themeTint="80"/>
        <w:sz w:val="22"/>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6BFDD" w:themeColor="accent1" w:themeTint="80"/>
        <w:sz w:val="22"/>
      </w:rPr>
      <w:tcPr>
        <w:shd w:val="clear" w:color="DBE5F1" w:themeColor="accent1" w:themeTint="34" w:fill="DBE5F1" w:themeFill="accent1" w:themeFillTint="34"/>
      </w:tcPr>
    </w:tblStylePr>
    <w:tblStylePr w:type="band2Horz">
      <w:rPr>
        <w:rFonts w:ascii="Arial" w:hAnsi="Arial"/>
        <w:color w:val="A6BFDD" w:themeColor="accent1" w:themeTint="80"/>
        <w:sz w:val="22"/>
      </w:rPr>
    </w:tblStylePr>
  </w:style>
  <w:style w:type="table" w:customStyle="1" w:styleId="127">
    <w:name w:val="Grid Table 7 Colorful - Accent 2"/>
    <w:basedOn w:val="44"/>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rFonts w:ascii="Arial" w:hAnsi="Arial"/>
        <w:b/>
        <w:color w:val="D99896" w:themeColor="accent2" w:themeTint="96"/>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99896" w:themeColor="accent2" w:themeTint="96"/>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896" w:themeColor="accent2" w:themeTint="96"/>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896" w:themeColor="accent2" w:themeTint="96"/>
        <w:sz w:val="22"/>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99896" w:themeColor="accent2" w:themeTint="96"/>
        <w:sz w:val="22"/>
      </w:rPr>
      <w:tcPr>
        <w:shd w:val="clear" w:color="F2DCDC" w:themeColor="accent2" w:themeTint="32" w:fill="F2DCDC" w:themeFill="accent2" w:themeFillTint="32"/>
      </w:tcPr>
    </w:tblStylePr>
    <w:tblStylePr w:type="band2Horz">
      <w:rPr>
        <w:rFonts w:ascii="Arial" w:hAnsi="Arial"/>
        <w:color w:val="D99896" w:themeColor="accent2" w:themeTint="96"/>
        <w:sz w:val="22"/>
      </w:rPr>
    </w:tblStylePr>
  </w:style>
  <w:style w:type="table" w:customStyle="1" w:styleId="128">
    <w:name w:val="Grid Table 7 Colorful - Accent 3"/>
    <w:basedOn w:val="44"/>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rFonts w:ascii="Arial" w:hAnsi="Arial"/>
        <w:b/>
        <w:color w:val="9BBB59" w:themeColor="accent3"/>
        <w:sz w:val="22"/>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rPr>
      <w:tcPr>
        <w:shd w:val="clear" w:color="EAF1DD" w:themeColor="accent3" w:themeTint="34" w:fill="EAF1DD" w:themeFill="accent3" w:themeFillTint="34"/>
      </w:tcPr>
    </w:tblStylePr>
    <w:tblStylePr w:type="band2Horz">
      <w:rPr>
        <w:rFonts w:ascii="Arial" w:hAnsi="Arial"/>
        <w:color w:val="9BBB59" w:themeColor="accent3"/>
        <w:sz w:val="22"/>
      </w:rPr>
    </w:tblStylePr>
  </w:style>
  <w:style w:type="table" w:customStyle="1" w:styleId="129">
    <w:name w:val="Grid Table 7 Colorful - Accent 4"/>
    <w:basedOn w:val="44"/>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rFonts w:ascii="Arial" w:hAnsi="Arial"/>
        <w:b/>
        <w:color w:val="B2A1C7" w:themeColor="accent4" w:themeTint="99"/>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2A1C7" w:themeColor="accent4" w:themeTint="99"/>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7" w:themeColor="accent4" w:themeTint="99"/>
        <w:sz w:val="22"/>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2A1C7" w:themeColor="accent4" w:themeTint="99"/>
        <w:sz w:val="22"/>
      </w:r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130">
    <w:name w:val="Grid Table 7 Colorful - Accent 5"/>
    <w:basedOn w:val="44"/>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2666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6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6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6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678" w:themeColor="accent5" w:themeShade="94"/>
        <w:sz w:val="22"/>
      </w:r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131">
    <w:name w:val="Grid Table 7 Colorful - Accent 6"/>
    <w:basedOn w:val="44"/>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B05307"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307"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307"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307"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307" w:themeColor="accent6" w:themeShade="94"/>
        <w:sz w:val="22"/>
      </w:rPr>
      <w:tcPr>
        <w:shd w:val="clear" w:color="FDE9D9" w:themeColor="accent6" w:themeTint="34" w:fill="FDE9D9" w:themeFill="accent6" w:themeFillTint="34"/>
      </w:tcPr>
    </w:tblStylePr>
    <w:tblStylePr w:type="band2Horz">
      <w:rPr>
        <w:rFonts w:ascii="Arial" w:hAnsi="Arial"/>
        <w:color w:val="B05307" w:themeColor="accent6" w:themeShade="94"/>
        <w:sz w:val="22"/>
      </w:rPr>
    </w:tblStylePr>
  </w:style>
  <w:style w:type="table" w:customStyle="1" w:styleId="132">
    <w:name w:val="List Table 1 Light - Accent 1"/>
    <w:basedOn w:val="44"/>
    <w:qFormat/>
    <w:uiPriority w:val="99"/>
    <w:tblPr>
      <w:tblCellMar>
        <w:top w:w="0" w:type="dxa"/>
        <w:left w:w="108" w:type="dxa"/>
        <w:bottom w:w="0" w:type="dxa"/>
        <w:right w:w="108" w:type="dxa"/>
      </w:tblCellMar>
    </w:tbl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33">
    <w:name w:val="List Table 1 Light - Accent 2"/>
    <w:basedOn w:val="44"/>
    <w:qFormat/>
    <w:uiPriority w:val="99"/>
    <w:tblPr>
      <w:tblCellMar>
        <w:top w:w="0" w:type="dxa"/>
        <w:left w:w="108" w:type="dxa"/>
        <w:bottom w:w="0" w:type="dxa"/>
        <w:right w:w="108" w:type="dxa"/>
      </w:tblCellMar>
    </w:tbl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34">
    <w:name w:val="List Table 1 Light - Accent 3"/>
    <w:basedOn w:val="44"/>
    <w:qFormat/>
    <w:uiPriority w:val="99"/>
    <w:tblPr>
      <w:tblCellMar>
        <w:top w:w="0" w:type="dxa"/>
        <w:left w:w="108" w:type="dxa"/>
        <w:bottom w:w="0" w:type="dxa"/>
        <w:right w:w="108" w:type="dxa"/>
      </w:tblCellMar>
    </w:tbl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35">
    <w:name w:val="List Table 1 Light - Accent 4"/>
    <w:basedOn w:val="44"/>
    <w:qFormat/>
    <w:uiPriority w:val="99"/>
    <w:tblPr>
      <w:tblCellMar>
        <w:top w:w="0" w:type="dxa"/>
        <w:left w:w="108" w:type="dxa"/>
        <w:bottom w:w="0" w:type="dxa"/>
        <w:right w:w="108" w:type="dxa"/>
      </w:tblCellMar>
    </w:tbl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36">
    <w:name w:val="List Table 1 Light - Accent 5"/>
    <w:basedOn w:val="44"/>
    <w:qFormat/>
    <w:uiPriority w:val="99"/>
    <w:tblPr>
      <w:tblCellMar>
        <w:top w:w="0" w:type="dxa"/>
        <w:left w:w="108" w:type="dxa"/>
        <w:bottom w:w="0" w:type="dxa"/>
        <w:right w:w="108" w:type="dxa"/>
      </w:tblCellMar>
    </w:tbl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37">
    <w:name w:val="List Table 1 Light - Accent 6"/>
    <w:basedOn w:val="44"/>
    <w:qFormat/>
    <w:uiPriority w:val="99"/>
    <w:tblPr>
      <w:tblCellMar>
        <w:top w:w="0" w:type="dxa"/>
        <w:left w:w="108" w:type="dxa"/>
        <w:bottom w:w="0" w:type="dxa"/>
        <w:right w:w="108" w:type="dxa"/>
      </w:tblCellMar>
    </w:tbl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38">
    <w:name w:val="List Table 2 - Accent 1"/>
    <w:basedOn w:val="44"/>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39">
    <w:name w:val="List Table 2 - Accent 2"/>
    <w:basedOn w:val="44"/>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40">
    <w:name w:val="List Table 2 - Accent 3"/>
    <w:basedOn w:val="44"/>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41">
    <w:name w:val="List Table 2 - Accent 4"/>
    <w:basedOn w:val="44"/>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42">
    <w:name w:val="List Table 2 - Accent 5"/>
    <w:basedOn w:val="44"/>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43">
    <w:name w:val="List Table 2 - Accent 6"/>
    <w:basedOn w:val="44"/>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44">
    <w:name w:val="List Table 3 - Accent 1"/>
    <w:basedOn w:val="44"/>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45">
    <w:name w:val="List Table 3 - Accent 2"/>
    <w:basedOn w:val="44"/>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CellMar>
        <w:top w:w="0" w:type="dxa"/>
        <w:left w:w="108" w:type="dxa"/>
        <w:bottom w:w="0" w:type="dxa"/>
        <w:right w:w="108" w:type="dxa"/>
      </w:tblCellMar>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46">
    <w:name w:val="List Table 3 - Accent 3"/>
    <w:basedOn w:val="44"/>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CellMar>
        <w:top w:w="0" w:type="dxa"/>
        <w:left w:w="108" w:type="dxa"/>
        <w:bottom w:w="0" w:type="dxa"/>
        <w:right w:w="108" w:type="dxa"/>
      </w:tblCellMar>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47">
    <w:name w:val="List Table 3 - Accent 4"/>
    <w:basedOn w:val="44"/>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108" w:type="dxa"/>
        <w:bottom w:w="0" w:type="dxa"/>
        <w:right w:w="108" w:type="dxa"/>
      </w:tblCellMar>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48">
    <w:name w:val="List Table 3 - Accent 5"/>
    <w:basedOn w:val="44"/>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108" w:type="dxa"/>
        <w:bottom w:w="0" w:type="dxa"/>
        <w:right w:w="108" w:type="dxa"/>
      </w:tblCellMar>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49">
    <w:name w:val="List Table 3 - Accent 6"/>
    <w:basedOn w:val="44"/>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108" w:type="dxa"/>
        <w:bottom w:w="0" w:type="dxa"/>
        <w:right w:w="108" w:type="dxa"/>
      </w:tblCellMar>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50">
    <w:name w:val="List Table 4 - Accent 1"/>
    <w:basedOn w:val="44"/>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51">
    <w:name w:val="List Table 4 - Accent 2"/>
    <w:basedOn w:val="44"/>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52">
    <w:name w:val="List Table 4 - Accent 3"/>
    <w:basedOn w:val="44"/>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53">
    <w:name w:val="List Table 4 - Accent 4"/>
    <w:basedOn w:val="44"/>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54">
    <w:name w:val="List Table 4 - Accent 5"/>
    <w:basedOn w:val="44"/>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55">
    <w:name w:val="List Table 4 - Accent 6"/>
    <w:basedOn w:val="44"/>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56">
    <w:name w:val="List Table 5 Dark - Accent 1"/>
    <w:basedOn w:val="44"/>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108" w:type="dxa"/>
        <w:bottom w:w="0" w:type="dxa"/>
        <w:right w:w="108" w:type="dxa"/>
      </w:tblCellMar>
    </w:tblPr>
    <w:tblStylePr w:type="firstRow">
      <w:rPr>
        <w:rFonts w:ascii="Arial" w:hAnsi="Arial"/>
        <w:b/>
        <w:color w:val="FFFFFF" w:themeColor="light1"/>
        <w:sz w:val="22"/>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57">
    <w:name w:val="List Table 5 Dark - Accent 2"/>
    <w:basedOn w:val="44"/>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CellMar>
        <w:top w:w="0" w:type="dxa"/>
        <w:left w:w="108" w:type="dxa"/>
        <w:bottom w:w="0" w:type="dxa"/>
        <w:right w:w="108" w:type="dxa"/>
      </w:tblCellMar>
    </w:tblPr>
    <w:tblStylePr w:type="firstRow">
      <w:rPr>
        <w:rFonts w:ascii="Arial" w:hAnsi="Arial"/>
        <w:b/>
        <w:color w:val="FFFFFF" w:themeColor="light1"/>
        <w:sz w:val="22"/>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58">
    <w:name w:val="List Table 5 Dark - Accent 3"/>
    <w:basedOn w:val="44"/>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CellMar>
        <w:top w:w="0" w:type="dxa"/>
        <w:left w:w="108" w:type="dxa"/>
        <w:bottom w:w="0" w:type="dxa"/>
        <w:right w:w="108" w:type="dxa"/>
      </w:tblCellMar>
    </w:tblPr>
    <w:tblStylePr w:type="firstRow">
      <w:rPr>
        <w:rFonts w:ascii="Arial" w:hAnsi="Arial"/>
        <w:b/>
        <w:color w:val="FFFFFF" w:themeColor="light1"/>
        <w:sz w:val="22"/>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59">
    <w:name w:val="List Table 5 Dark - Accent 4"/>
    <w:basedOn w:val="44"/>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108" w:type="dxa"/>
        <w:bottom w:w="0" w:type="dxa"/>
        <w:right w:w="108" w:type="dxa"/>
      </w:tblCellMar>
    </w:tblPr>
    <w:tblStylePr w:type="firstRow">
      <w:rPr>
        <w:rFonts w:ascii="Arial" w:hAnsi="Arial"/>
        <w:b/>
        <w:color w:val="FFFFFF" w:themeColor="light1"/>
        <w:sz w:val="22"/>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60">
    <w:name w:val="List Table 5 Dark - Accent 5"/>
    <w:basedOn w:val="44"/>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108" w:type="dxa"/>
        <w:bottom w:w="0" w:type="dxa"/>
        <w:right w:w="108" w:type="dxa"/>
      </w:tblCellMar>
    </w:tblPr>
    <w:tblStylePr w:type="firstRow">
      <w:rPr>
        <w:rFonts w:ascii="Arial" w:hAnsi="Arial"/>
        <w:b/>
        <w:color w:val="FFFFFF" w:themeColor="light1"/>
        <w:sz w:val="22"/>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61">
    <w:name w:val="List Table 5 Dark - Accent 6"/>
    <w:basedOn w:val="44"/>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108" w:type="dxa"/>
        <w:bottom w:w="0" w:type="dxa"/>
        <w:right w:w="108" w:type="dxa"/>
      </w:tblCellMar>
    </w:tblPr>
    <w:tblStylePr w:type="firstRow">
      <w:rPr>
        <w:rFonts w:ascii="Arial" w:hAnsi="Arial"/>
        <w:b/>
        <w:color w:val="FFFFFF" w:themeColor="light1"/>
        <w:sz w:val="22"/>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62">
    <w:name w:val="List Table 6 Colorful - Accent 1"/>
    <w:basedOn w:val="44"/>
    <w:qFormat/>
    <w:uiPriority w:val="99"/>
    <w:tblPr>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color w:val="2A4A71" w:themeColor="accent1" w:themeShade="94"/>
      </w:rPr>
      <w:tcPr>
        <w:tcBorders>
          <w:bottom w:val="single" w:color="4F81BD" w:themeColor="accent1" w:sz="4" w:space="0"/>
        </w:tcBorders>
      </w:tcPr>
    </w:tblStylePr>
    <w:tblStylePr w:type="lastRow">
      <w:rPr>
        <w:b/>
        <w:color w:val="2A4A71" w:themeColor="accent1" w:themeShade="94"/>
      </w:rPr>
      <w:tcPr>
        <w:tcBorders>
          <w:top w:val="single" w:color="4F81BD" w:themeColor="accent1" w:sz="4" w:space="0"/>
        </w:tcBorders>
      </w:tcPr>
    </w:tblStylePr>
    <w:tblStylePr w:type="firstCol">
      <w:rPr>
        <w:b/>
        <w:color w:val="2A4A71" w:themeColor="accent1" w:themeShade="94"/>
      </w:rPr>
    </w:tblStylePr>
    <w:tblStylePr w:type="lastCol">
      <w:rPr>
        <w:b/>
        <w:color w:val="2A4A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A71" w:themeColor="accent1" w:themeShade="94"/>
        <w:sz w:val="22"/>
      </w:rPr>
      <w:tcPr>
        <w:shd w:val="clear" w:color="D2DFEE" w:themeColor="accent1" w:themeTint="40" w:fill="D2DFEE" w:themeFill="accent1" w:themeFillTint="40"/>
      </w:tcPr>
    </w:tblStylePr>
    <w:tblStylePr w:type="band2Horz">
      <w:rPr>
        <w:rFonts w:ascii="Arial" w:hAnsi="Arial"/>
        <w:color w:val="2A4A71" w:themeColor="accent1" w:themeShade="94"/>
        <w:sz w:val="22"/>
      </w:rPr>
    </w:tblStylePr>
  </w:style>
  <w:style w:type="table" w:customStyle="1" w:styleId="163">
    <w:name w:val="List Table 6 Colorful - Accent 2"/>
    <w:basedOn w:val="44"/>
    <w:qFormat/>
    <w:uiPriority w:val="99"/>
    <w:tblPr>
      <w:tblBorders>
        <w:top w:val="single" w:color="D99795" w:themeColor="accent2" w:themeTint="97" w:sz="4" w:space="0"/>
        <w:bottom w:val="single" w:color="D99795" w:themeColor="accent2" w:themeTint="97" w:sz="4" w:space="0"/>
      </w:tblBorders>
      <w:tblCellMar>
        <w:top w:w="0" w:type="dxa"/>
        <w:left w:w="108" w:type="dxa"/>
        <w:bottom w:w="0" w:type="dxa"/>
        <w:right w:w="108" w:type="dxa"/>
      </w:tblCellMar>
    </w:tblPr>
    <w:tblStylePr w:type="firstRow">
      <w:rPr>
        <w:b/>
        <w:color w:val="D99896" w:themeColor="accent2" w:themeTint="96"/>
      </w:rPr>
      <w:tcPr>
        <w:tcBorders>
          <w:bottom w:val="single" w:color="D99795" w:themeColor="accent2" w:themeTint="97" w:sz="4" w:space="0"/>
        </w:tcBorders>
      </w:tcPr>
    </w:tblStylePr>
    <w:tblStylePr w:type="lastRow">
      <w:rPr>
        <w:b/>
        <w:color w:val="D99896" w:themeColor="accent2" w:themeTint="96"/>
      </w:rPr>
      <w:tcPr>
        <w:tcBorders>
          <w:top w:val="single" w:color="D99795" w:themeColor="accent2" w:themeTint="97" w:sz="4" w:space="0"/>
        </w:tcBorders>
      </w:tcPr>
    </w:tblStylePr>
    <w:tblStylePr w:type="firstCol">
      <w:rPr>
        <w:b/>
        <w:color w:val="D99896" w:themeColor="accent2" w:themeTint="96"/>
      </w:rPr>
    </w:tblStylePr>
    <w:tblStylePr w:type="lastCol">
      <w:rPr>
        <w:b/>
        <w:color w:val="D99896" w:themeColor="accent2" w:themeTint="96"/>
      </w:rPr>
    </w:tblStylePr>
    <w:tblStylePr w:type="band1Vert">
      <w:tcPr>
        <w:shd w:val="clear" w:color="EFD3D2" w:themeColor="accent2" w:themeTint="40" w:fill="EFD3D2" w:themeFill="accent2" w:themeFillTint="40"/>
      </w:tcPr>
    </w:tblStylePr>
    <w:tblStylePr w:type="band1Horz">
      <w:rPr>
        <w:rFonts w:ascii="Arial" w:hAnsi="Arial"/>
        <w:color w:val="D99896" w:themeColor="accent2" w:themeTint="96"/>
        <w:sz w:val="22"/>
      </w:rPr>
      <w:tcPr>
        <w:shd w:val="clear" w:color="EFD3D2" w:themeColor="accent2" w:themeTint="40" w:fill="EFD3D2" w:themeFill="accent2" w:themeFillTint="40"/>
      </w:tcPr>
    </w:tblStylePr>
    <w:tblStylePr w:type="band2Horz">
      <w:rPr>
        <w:rFonts w:ascii="Arial" w:hAnsi="Arial"/>
        <w:color w:val="D99896" w:themeColor="accent2" w:themeTint="96"/>
        <w:sz w:val="22"/>
      </w:rPr>
    </w:tblStylePr>
  </w:style>
  <w:style w:type="table" w:customStyle="1" w:styleId="164">
    <w:name w:val="List Table 6 Colorful - Accent 3"/>
    <w:basedOn w:val="44"/>
    <w:qFormat/>
    <w:uiPriority w:val="99"/>
    <w:tblPr>
      <w:tblBorders>
        <w:top w:val="single" w:color="C3D69C" w:themeColor="accent3" w:themeTint="98" w:sz="4" w:space="0"/>
        <w:bottom w:val="single" w:color="C3D69C" w:themeColor="accent3" w:themeTint="98" w:sz="4" w:space="0"/>
      </w:tblBorders>
      <w:tblCellMar>
        <w:top w:w="0" w:type="dxa"/>
        <w:left w:w="108" w:type="dxa"/>
        <w:bottom w:w="0" w:type="dxa"/>
        <w:right w:w="108" w:type="dxa"/>
      </w:tblCellMar>
    </w:tblPr>
    <w:tblStylePr w:type="firstRow">
      <w:rPr>
        <w:b/>
        <w:color w:val="C2D69B" w:themeColor="accent3" w:themeTint="99"/>
      </w:rPr>
      <w:tcPr>
        <w:tcBorders>
          <w:bottom w:val="single" w:color="C3D69C" w:themeColor="accent3" w:themeTint="98" w:sz="4" w:space="0"/>
        </w:tcBorders>
      </w:tcPr>
    </w:tblStylePr>
    <w:tblStylePr w:type="lastRow">
      <w:rPr>
        <w:b/>
        <w:color w:val="C2D69B" w:themeColor="accent3" w:themeTint="99"/>
      </w:rPr>
      <w:tcPr>
        <w:tcBorders>
          <w:top w:val="single" w:color="C3D69C" w:themeColor="accent3" w:themeTint="98" w:sz="4" w:space="0"/>
        </w:tcBorders>
      </w:tcPr>
    </w:tblStylePr>
    <w:tblStylePr w:type="firstCol">
      <w:rPr>
        <w:b/>
        <w:color w:val="C2D69B" w:themeColor="accent3" w:themeTint="99"/>
      </w:rPr>
    </w:tblStylePr>
    <w:tblStylePr w:type="lastCol">
      <w:rPr>
        <w:b/>
        <w:color w:val="C2D69B" w:themeColor="accent3" w:themeTint="99"/>
      </w:rPr>
    </w:tblStylePr>
    <w:tblStylePr w:type="band1Vert">
      <w:tcPr>
        <w:shd w:val="clear" w:color="E5EDD5" w:themeColor="accent3" w:themeTint="40" w:fill="E5EDD5" w:themeFill="accent3" w:themeFillTint="40"/>
      </w:tcPr>
    </w:tblStylePr>
    <w:tblStylePr w:type="band1Horz">
      <w:rPr>
        <w:rFonts w:ascii="Arial" w:hAnsi="Arial"/>
        <w:color w:val="C2D69B" w:themeColor="accent3" w:themeTint="99"/>
        <w:sz w:val="22"/>
      </w:rPr>
      <w:tcPr>
        <w:shd w:val="clear" w:color="E5EDD5" w:themeColor="accent3" w:themeTint="40" w:fill="E5EDD5" w:themeFill="accent3" w:themeFillTint="40"/>
      </w:tcPr>
    </w:tblStylePr>
    <w:tblStylePr w:type="band2Horz">
      <w:rPr>
        <w:rFonts w:ascii="Arial" w:hAnsi="Arial"/>
        <w:color w:val="C2D69B" w:themeColor="accent3" w:themeTint="99"/>
        <w:sz w:val="22"/>
      </w:rPr>
    </w:tblStylePr>
  </w:style>
  <w:style w:type="table" w:customStyle="1" w:styleId="165">
    <w:name w:val="List Table 6 Colorful - Accent 4"/>
    <w:basedOn w:val="44"/>
    <w:qFormat/>
    <w:uiPriority w:val="99"/>
    <w:tblPr>
      <w:tblBorders>
        <w:top w:val="single" w:color="B2A1C6" w:themeColor="accent4" w:themeTint="9A" w:sz="4" w:space="0"/>
        <w:bottom w:val="single" w:color="B2A1C6" w:themeColor="accent4" w:themeTint="9A" w:sz="4" w:space="0"/>
      </w:tblBorders>
      <w:tblCellMar>
        <w:top w:w="0" w:type="dxa"/>
        <w:left w:w="108" w:type="dxa"/>
        <w:bottom w:w="0" w:type="dxa"/>
        <w:right w:w="108" w:type="dxa"/>
      </w:tblCellMar>
    </w:tblPr>
    <w:tblStylePr w:type="firstRow">
      <w:rPr>
        <w:b/>
        <w:color w:val="B2A1C7" w:themeColor="accent4" w:themeTint="99"/>
      </w:rPr>
      <w:tcPr>
        <w:tcBorders>
          <w:bottom w:val="single" w:color="B2A1C6" w:themeColor="accent4" w:themeTint="9A" w:sz="4" w:space="0"/>
        </w:tcBorders>
      </w:tcPr>
    </w:tblStylePr>
    <w:tblStylePr w:type="lastRow">
      <w:rPr>
        <w:b/>
        <w:color w:val="B2A1C7" w:themeColor="accent4" w:themeTint="99"/>
      </w:rPr>
      <w:tcPr>
        <w:tcBorders>
          <w:top w:val="single" w:color="B2A1C6" w:themeColor="accent4" w:themeTint="9A" w:sz="4" w:space="0"/>
        </w:tcBorders>
      </w:tcPr>
    </w:tblStylePr>
    <w:tblStylePr w:type="firstCol">
      <w:rPr>
        <w:b/>
        <w:color w:val="B2A1C7" w:themeColor="accent4" w:themeTint="99"/>
      </w:rPr>
    </w:tblStylePr>
    <w:tblStylePr w:type="lastCol">
      <w:rPr>
        <w:b/>
        <w:color w:val="B2A1C7" w:themeColor="accent4" w:themeTint="99"/>
      </w:rPr>
    </w:tblStylePr>
    <w:tblStylePr w:type="band1Vert">
      <w:tcPr>
        <w:shd w:val="clear" w:color="DFD8E7" w:themeColor="accent4" w:themeTint="40" w:fill="DFD8E7" w:themeFill="accent4" w:themeFillTint="40"/>
      </w:tcPr>
    </w:tblStylePr>
    <w:tblStylePr w:type="band1Horz">
      <w:rPr>
        <w:rFonts w:ascii="Arial" w:hAnsi="Arial"/>
        <w:color w:val="B2A1C7" w:themeColor="accent4" w:themeTint="99"/>
        <w:sz w:val="22"/>
      </w:r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166">
    <w:name w:val="List Table 6 Colorful - Accent 5"/>
    <w:basedOn w:val="44"/>
    <w:qFormat/>
    <w:uiPriority w:val="99"/>
    <w:tblPr>
      <w:tblBorders>
        <w:top w:val="single" w:color="92CCDC" w:themeColor="accent5" w:themeTint="9A" w:sz="4" w:space="0"/>
        <w:bottom w:val="single" w:color="92CCDC" w:themeColor="accent5" w:themeTint="9A" w:sz="4" w:space="0"/>
      </w:tblBorders>
      <w:tblCellMar>
        <w:top w:w="0" w:type="dxa"/>
        <w:left w:w="108" w:type="dxa"/>
        <w:bottom w:w="0" w:type="dxa"/>
        <w:right w:w="108" w:type="dxa"/>
      </w:tblCellMar>
    </w:tblPr>
    <w:tblStylePr w:type="firstRow">
      <w:rPr>
        <w:b/>
        <w:color w:val="92CDDC" w:themeColor="accent5" w:themeTint="99"/>
      </w:rPr>
      <w:tcPr>
        <w:tcBorders>
          <w:bottom w:val="single" w:color="92CCDC" w:themeColor="accent5" w:themeTint="9A" w:sz="4" w:space="0"/>
        </w:tcBorders>
      </w:tcPr>
    </w:tblStylePr>
    <w:tblStylePr w:type="lastRow">
      <w:rPr>
        <w:b/>
        <w:color w:val="92CDDC" w:themeColor="accent5" w:themeTint="99"/>
      </w:rPr>
      <w:tcPr>
        <w:tcBorders>
          <w:top w:val="single" w:color="92CCDC" w:themeColor="accent5" w:themeTint="9A" w:sz="4" w:space="0"/>
        </w:tcBorders>
      </w:tcPr>
    </w:tblStylePr>
    <w:tblStylePr w:type="firstCol">
      <w:rPr>
        <w:b/>
        <w:color w:val="92CDDC" w:themeColor="accent5" w:themeTint="99"/>
      </w:rPr>
    </w:tblStylePr>
    <w:tblStylePr w:type="lastCol">
      <w:rPr>
        <w:b/>
        <w:color w:val="92CDDC" w:themeColor="accent5" w:themeTint="99"/>
      </w:rPr>
    </w:tblStylePr>
    <w:tblStylePr w:type="band1Vert">
      <w:tcPr>
        <w:shd w:val="clear" w:color="D1EAF0" w:themeColor="accent5" w:themeTint="40" w:fill="D1EAF0" w:themeFill="accent5" w:themeFillTint="40"/>
      </w:tcPr>
    </w:tblStylePr>
    <w:tblStylePr w:type="band1Horz">
      <w:rPr>
        <w:rFonts w:ascii="Arial" w:hAnsi="Arial"/>
        <w:color w:val="92CDDC" w:themeColor="accent5" w:themeTint="99"/>
        <w:sz w:val="22"/>
      </w:r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167">
    <w:name w:val="List Table 6 Colorful - Accent 6"/>
    <w:basedOn w:val="44"/>
    <w:qFormat/>
    <w:uiPriority w:val="99"/>
    <w:tblPr>
      <w:tblBorders>
        <w:top w:val="single" w:color="FAC090" w:themeColor="accent6" w:themeTint="98" w:sz="4" w:space="0"/>
        <w:bottom w:val="single" w:color="FAC090" w:themeColor="accent6" w:themeTint="98" w:sz="4" w:space="0"/>
      </w:tblBorders>
      <w:tblCellMar>
        <w:top w:w="0" w:type="dxa"/>
        <w:left w:w="108" w:type="dxa"/>
        <w:bottom w:w="0" w:type="dxa"/>
        <w:right w:w="108" w:type="dxa"/>
      </w:tblCellMar>
    </w:tblPr>
    <w:tblStylePr w:type="firstRow">
      <w:rPr>
        <w:b/>
        <w:color w:val="FABF8F" w:themeColor="accent6" w:themeTint="99"/>
      </w:rPr>
      <w:tcPr>
        <w:tcBorders>
          <w:bottom w:val="single" w:color="FAC090" w:themeColor="accent6" w:themeTint="98" w:sz="4" w:space="0"/>
        </w:tcBorders>
      </w:tcPr>
    </w:tblStylePr>
    <w:tblStylePr w:type="lastRow">
      <w:rPr>
        <w:b/>
        <w:color w:val="FABF8F" w:themeColor="accent6" w:themeTint="99"/>
      </w:rPr>
      <w:tcPr>
        <w:tcBorders>
          <w:top w:val="single" w:color="FAC090" w:themeColor="accent6" w:themeTint="98" w:sz="4" w:space="0"/>
        </w:tcBorders>
      </w:tcPr>
    </w:tblStylePr>
    <w:tblStylePr w:type="firstCol">
      <w:rPr>
        <w:b/>
        <w:color w:val="FABF8F" w:themeColor="accent6" w:themeTint="99"/>
      </w:rPr>
    </w:tblStylePr>
    <w:tblStylePr w:type="lastCol">
      <w:rPr>
        <w:b/>
        <w:color w:val="FABF8F" w:themeColor="accent6" w:themeTint="99"/>
      </w:rPr>
    </w:tblStylePr>
    <w:tblStylePr w:type="band1Vert">
      <w:tcPr>
        <w:shd w:val="clear" w:color="FCE4D0" w:themeColor="accent6" w:themeTint="40" w:fill="FCE4D0" w:themeFill="accent6" w:themeFillTint="40"/>
      </w:tcPr>
    </w:tblStylePr>
    <w:tblStylePr w:type="band1Horz">
      <w:rPr>
        <w:rFonts w:ascii="Arial" w:hAnsi="Arial"/>
        <w:color w:val="FABF8F" w:themeColor="accent6" w:themeTint="99"/>
        <w:sz w:val="22"/>
      </w:rPr>
      <w:tcPr>
        <w:shd w:val="clear" w:color="FCE4D0" w:themeColor="accent6" w:themeTint="40" w:fill="FCE4D0" w:themeFill="accent6" w:themeFillTint="40"/>
      </w:tcPr>
    </w:tblStylePr>
    <w:tblStylePr w:type="band2Horz">
      <w:rPr>
        <w:rFonts w:ascii="Arial" w:hAnsi="Arial"/>
        <w:color w:val="FABF8F" w:themeColor="accent6" w:themeTint="99"/>
        <w:sz w:val="22"/>
      </w:rPr>
    </w:tblStylePr>
  </w:style>
  <w:style w:type="table" w:customStyle="1" w:styleId="168">
    <w:name w:val="List Table 7 Colorful - Accent 1"/>
    <w:basedOn w:val="44"/>
    <w:qFormat/>
    <w:uiPriority w:val="99"/>
    <w:tblPr>
      <w:tblBorders>
        <w:right w:val="single" w:color="4F81BD" w:themeColor="accent1" w:sz="4" w:space="0"/>
      </w:tblBorders>
      <w:tblCellMar>
        <w:top w:w="0" w:type="dxa"/>
        <w:left w:w="108" w:type="dxa"/>
        <w:bottom w:w="0" w:type="dxa"/>
        <w:right w:w="108" w:type="dxa"/>
      </w:tblCellMar>
    </w:tblPr>
    <w:tblStylePr w:type="firstRow">
      <w:rPr>
        <w:rFonts w:ascii="Arial" w:hAnsi="Arial"/>
        <w:i/>
        <w:color w:val="2A4A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A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A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A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A71" w:themeColor="accent1" w:themeShade="94"/>
        <w:sz w:val="22"/>
      </w:rPr>
      <w:tcPr>
        <w:shd w:val="clear" w:color="D2DFEE" w:themeColor="accent1" w:themeTint="40" w:fill="D2DFEE" w:themeFill="accent1" w:themeFillTint="40"/>
      </w:tcPr>
    </w:tblStylePr>
    <w:tblStylePr w:type="band2Horz">
      <w:rPr>
        <w:rFonts w:ascii="Arial" w:hAnsi="Arial"/>
        <w:color w:val="2A4A71" w:themeColor="accent1" w:themeShade="94"/>
        <w:sz w:val="22"/>
      </w:rPr>
    </w:tblStylePr>
  </w:style>
  <w:style w:type="table" w:customStyle="1" w:styleId="169">
    <w:name w:val="List Table 7 Colorful - Accent 2"/>
    <w:basedOn w:val="44"/>
    <w:qFormat/>
    <w:uiPriority w:val="99"/>
    <w:tblPr>
      <w:tblBorders>
        <w:right w:val="single" w:color="D99795" w:themeColor="accent2" w:themeTint="97" w:sz="4" w:space="0"/>
      </w:tblBorders>
      <w:tblCellMar>
        <w:top w:w="0" w:type="dxa"/>
        <w:left w:w="108" w:type="dxa"/>
        <w:bottom w:w="0" w:type="dxa"/>
        <w:right w:w="108" w:type="dxa"/>
      </w:tblCellMar>
    </w:tblPr>
    <w:tblStylePr w:type="firstRow">
      <w:rPr>
        <w:rFonts w:ascii="Arial" w:hAnsi="Arial"/>
        <w:i/>
        <w:color w:val="D99896" w:themeColor="accent2" w:themeTint="96"/>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99896" w:themeColor="accent2" w:themeTint="96"/>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896" w:themeColor="accent2" w:themeTint="96"/>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896" w:themeColor="accent2" w:themeTint="96"/>
        <w:sz w:val="22"/>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99896" w:themeColor="accent2" w:themeTint="96"/>
        <w:sz w:val="22"/>
      </w:rPr>
      <w:tcPr>
        <w:shd w:val="clear" w:color="EFD3D2" w:themeColor="accent2" w:themeTint="40" w:fill="EFD3D2" w:themeFill="accent2" w:themeFillTint="40"/>
      </w:tcPr>
    </w:tblStylePr>
    <w:tblStylePr w:type="band2Horz">
      <w:rPr>
        <w:rFonts w:ascii="Arial" w:hAnsi="Arial"/>
        <w:color w:val="D99896" w:themeColor="accent2" w:themeTint="96"/>
        <w:sz w:val="22"/>
      </w:rPr>
    </w:tblStylePr>
  </w:style>
  <w:style w:type="table" w:customStyle="1" w:styleId="170">
    <w:name w:val="List Table 7 Colorful - Accent 3"/>
    <w:basedOn w:val="44"/>
    <w:qFormat/>
    <w:uiPriority w:val="99"/>
    <w:tblPr>
      <w:tblBorders>
        <w:right w:val="single" w:color="C3D69C" w:themeColor="accent3" w:themeTint="98" w:sz="4" w:space="0"/>
      </w:tblBorders>
      <w:tblCellMar>
        <w:top w:w="0" w:type="dxa"/>
        <w:left w:w="108" w:type="dxa"/>
        <w:bottom w:w="0" w:type="dxa"/>
        <w:right w:w="108" w:type="dxa"/>
      </w:tblCellMar>
    </w:tblPr>
    <w:tblStylePr w:type="firstRow">
      <w:rPr>
        <w:rFonts w:ascii="Arial" w:hAnsi="Arial"/>
        <w:i/>
        <w:color w:val="C2D69B" w:themeColor="accent3" w:themeTint="99"/>
        <w:sz w:val="22"/>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2D69B" w:themeColor="accent3" w:themeTint="99"/>
        <w:sz w:val="22"/>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2D69B" w:themeColor="accent3" w:themeTint="99"/>
        <w:sz w:val="22"/>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2D69B" w:themeColor="accent3" w:themeTint="99"/>
        <w:sz w:val="22"/>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2D69B" w:themeColor="accent3" w:themeTint="99"/>
        <w:sz w:val="22"/>
      </w:rPr>
      <w:tcPr>
        <w:shd w:val="clear" w:color="E5EDD5" w:themeColor="accent3" w:themeTint="40" w:fill="E5EDD5" w:themeFill="accent3" w:themeFillTint="40"/>
      </w:tcPr>
    </w:tblStylePr>
    <w:tblStylePr w:type="band2Horz">
      <w:rPr>
        <w:rFonts w:ascii="Arial" w:hAnsi="Arial"/>
        <w:color w:val="C2D69B" w:themeColor="accent3" w:themeTint="99"/>
        <w:sz w:val="22"/>
      </w:rPr>
    </w:tblStylePr>
  </w:style>
  <w:style w:type="table" w:customStyle="1" w:styleId="171">
    <w:name w:val="List Table 7 Colorful - Accent 4"/>
    <w:basedOn w:val="44"/>
    <w:qFormat/>
    <w:uiPriority w:val="99"/>
    <w:tblPr>
      <w:tblBorders>
        <w:right w:val="single" w:color="B2A1C6" w:themeColor="accent4" w:themeTint="9A" w:sz="4" w:space="0"/>
      </w:tblBorders>
      <w:tblCellMar>
        <w:top w:w="0" w:type="dxa"/>
        <w:left w:w="108" w:type="dxa"/>
        <w:bottom w:w="0" w:type="dxa"/>
        <w:right w:w="108" w:type="dxa"/>
      </w:tblCellMar>
    </w:tblPr>
    <w:tblStylePr w:type="firstRow">
      <w:rPr>
        <w:rFonts w:ascii="Arial" w:hAnsi="Arial"/>
        <w:i/>
        <w:color w:val="B2A1C7" w:themeColor="accent4" w:themeTint="99"/>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2A1C7" w:themeColor="accent4" w:themeTint="99"/>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7" w:themeColor="accent4" w:themeTint="99"/>
        <w:sz w:val="22"/>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2A1C7" w:themeColor="accent4" w:themeTint="99"/>
        <w:sz w:val="22"/>
      </w:r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172">
    <w:name w:val="List Table 7 Colorful - Accent 5"/>
    <w:basedOn w:val="44"/>
    <w:qFormat/>
    <w:uiPriority w:val="99"/>
    <w:tblPr>
      <w:tblBorders>
        <w:right w:val="single" w:color="92CCDC" w:themeColor="accent5" w:themeTint="9A" w:sz="4" w:space="0"/>
      </w:tblBorders>
      <w:tblCellMar>
        <w:top w:w="0" w:type="dxa"/>
        <w:left w:w="108" w:type="dxa"/>
        <w:bottom w:w="0" w:type="dxa"/>
        <w:right w:w="108" w:type="dxa"/>
      </w:tblCellMar>
    </w:tblPr>
    <w:tblStylePr w:type="firstRow">
      <w:rPr>
        <w:rFonts w:ascii="Arial" w:hAnsi="Arial"/>
        <w:i/>
        <w:color w:val="92CDDC" w:themeColor="accent5" w:themeTint="99"/>
        <w:sz w:val="22"/>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2CDDC" w:themeColor="accent5" w:themeTint="99"/>
        <w:sz w:val="22"/>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2CDDC" w:themeColor="accent5" w:themeTint="99"/>
        <w:sz w:val="22"/>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2CDDC" w:themeColor="accent5" w:themeTint="99"/>
        <w:sz w:val="22"/>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2CDDC" w:themeColor="accent5" w:themeTint="99"/>
        <w:sz w:val="22"/>
      </w:r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173">
    <w:name w:val="List Table 7 Colorful - Accent 6"/>
    <w:basedOn w:val="44"/>
    <w:qFormat/>
    <w:uiPriority w:val="99"/>
    <w:tblPr>
      <w:tblBorders>
        <w:right w:val="single" w:color="FAC090" w:themeColor="accent6" w:themeTint="98" w:sz="4" w:space="0"/>
      </w:tblBorders>
      <w:tblCellMar>
        <w:top w:w="0" w:type="dxa"/>
        <w:left w:w="108" w:type="dxa"/>
        <w:bottom w:w="0" w:type="dxa"/>
        <w:right w:w="108" w:type="dxa"/>
      </w:tblCellMar>
    </w:tblPr>
    <w:tblStylePr w:type="firstRow">
      <w:rPr>
        <w:rFonts w:ascii="Arial" w:hAnsi="Arial"/>
        <w:i/>
        <w:color w:val="FABF8F" w:themeColor="accent6" w:themeTint="99"/>
        <w:sz w:val="22"/>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BF8F" w:themeColor="accent6" w:themeTint="99"/>
        <w:sz w:val="22"/>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BF8F" w:themeColor="accent6" w:themeTint="99"/>
        <w:sz w:val="22"/>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BF8F" w:themeColor="accent6" w:themeTint="99"/>
        <w:sz w:val="22"/>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BF8F" w:themeColor="accent6" w:themeTint="99"/>
        <w:sz w:val="22"/>
      </w:rPr>
      <w:tcPr>
        <w:shd w:val="clear" w:color="FCE4D0" w:themeColor="accent6" w:themeTint="40" w:fill="FCE4D0" w:themeFill="accent6" w:themeFillTint="40"/>
      </w:tcPr>
    </w:tblStylePr>
    <w:tblStylePr w:type="band2Horz">
      <w:rPr>
        <w:rFonts w:ascii="Arial" w:hAnsi="Arial"/>
        <w:color w:val="FABF8F" w:themeColor="accent6" w:themeTint="99"/>
        <w:sz w:val="22"/>
      </w:rPr>
    </w:tblStylePr>
  </w:style>
  <w:style w:type="table" w:customStyle="1" w:styleId="174">
    <w:name w:val="Lined - Accent"/>
    <w:basedOn w:val="4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5">
    <w:name w:val="Lined - Accent 1"/>
    <w:basedOn w:val="4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6">
    <w:name w:val="Lined - Accent 2"/>
    <w:basedOn w:val="4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7">
    <w:name w:val="Lined - Accent 3"/>
    <w:basedOn w:val="4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8">
    <w:name w:val="Lined - Accent 4"/>
    <w:basedOn w:val="4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9">
    <w:name w:val="Lined - Accent 5"/>
    <w:basedOn w:val="4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80">
    <w:name w:val="Lined - Accent 6"/>
    <w:basedOn w:val="4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81">
    <w:name w:val="Bordered &amp; Lined - Accent"/>
    <w:basedOn w:val="44"/>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82">
    <w:name w:val="Bordered &amp; Lined - Accent 1"/>
    <w:basedOn w:val="44"/>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83">
    <w:name w:val="Bordered &amp; Lined - Accent 2"/>
    <w:basedOn w:val="44"/>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84">
    <w:name w:val="Bordered &amp; Lined - Accent 3"/>
    <w:basedOn w:val="44"/>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85">
    <w:name w:val="Bordered &amp; Lined - Accent 4"/>
    <w:basedOn w:val="44"/>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86">
    <w:name w:val="Bordered &amp; Lined - Accent 5"/>
    <w:basedOn w:val="44"/>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87">
    <w:name w:val="Bordered &amp; Lined - Accent 6"/>
    <w:basedOn w:val="44"/>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88">
    <w:name w:val="Bordered"/>
    <w:basedOn w:val="44"/>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108" w:type="dxa"/>
        <w:bottom w:w="0" w:type="dxa"/>
        <w:right w:w="108"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89">
    <w:name w:val="Bordered - Accent 1"/>
    <w:basedOn w:val="44"/>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90">
    <w:name w:val="Bordered - Accent 2"/>
    <w:basedOn w:val="44"/>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91">
    <w:name w:val="Bordered - Accent 3"/>
    <w:basedOn w:val="44"/>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92">
    <w:name w:val="Bordered - Accent 4"/>
    <w:basedOn w:val="44"/>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93">
    <w:name w:val="Bordered - Accent 5"/>
    <w:basedOn w:val="44"/>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94">
    <w:name w:val="Bordered - Accent 6"/>
    <w:basedOn w:val="44"/>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95">
    <w:name w:val="Heading 1 Char"/>
    <w:basedOn w:val="46"/>
    <w:qFormat/>
    <w:uiPriority w:val="9"/>
    <w:rPr>
      <w:rFonts w:ascii="Arial" w:hAnsi="Arial" w:eastAsia="Arial" w:cs="Arial"/>
      <w:color w:val="366091" w:themeColor="accent1" w:themeShade="BF"/>
      <w:sz w:val="40"/>
      <w:szCs w:val="40"/>
    </w:rPr>
  </w:style>
  <w:style w:type="character" w:customStyle="1" w:styleId="196">
    <w:name w:val="Heading 2 Char"/>
    <w:basedOn w:val="46"/>
    <w:qFormat/>
    <w:uiPriority w:val="9"/>
    <w:rPr>
      <w:rFonts w:ascii="Arial" w:hAnsi="Arial" w:eastAsia="Arial" w:cs="Arial"/>
      <w:color w:val="366091" w:themeColor="accent1" w:themeShade="BF"/>
      <w:sz w:val="32"/>
      <w:szCs w:val="32"/>
    </w:rPr>
  </w:style>
  <w:style w:type="character" w:customStyle="1" w:styleId="197">
    <w:name w:val="标题 3 Char"/>
    <w:basedOn w:val="46"/>
    <w:link w:val="5"/>
    <w:qFormat/>
    <w:uiPriority w:val="9"/>
    <w:rPr>
      <w:rFonts w:ascii="Arial" w:hAnsi="Arial" w:eastAsia="Arial" w:cs="Arial"/>
      <w:color w:val="366091" w:themeColor="accent1" w:themeShade="BF"/>
      <w:sz w:val="28"/>
      <w:szCs w:val="28"/>
    </w:rPr>
  </w:style>
  <w:style w:type="character" w:customStyle="1" w:styleId="198">
    <w:name w:val="Heading 4 Char"/>
    <w:basedOn w:val="46"/>
    <w:qFormat/>
    <w:uiPriority w:val="9"/>
    <w:rPr>
      <w:rFonts w:ascii="Arial" w:hAnsi="Arial" w:eastAsia="Arial" w:cs="Arial"/>
      <w:i/>
      <w:iCs/>
      <w:color w:val="366091" w:themeColor="accent1" w:themeShade="BF"/>
    </w:rPr>
  </w:style>
  <w:style w:type="character" w:customStyle="1" w:styleId="199">
    <w:name w:val="Heading 5 Char"/>
    <w:basedOn w:val="46"/>
    <w:qFormat/>
    <w:uiPriority w:val="9"/>
    <w:rPr>
      <w:rFonts w:ascii="Arial" w:hAnsi="Arial" w:eastAsia="Arial" w:cs="Arial"/>
      <w:color w:val="366091" w:themeColor="accent1" w:themeShade="BF"/>
    </w:rPr>
  </w:style>
  <w:style w:type="character" w:customStyle="1" w:styleId="200">
    <w:name w:val="Heading 6 Char"/>
    <w:basedOn w:val="46"/>
    <w:qFormat/>
    <w:uiPriority w:val="9"/>
    <w:rPr>
      <w:rFonts w:ascii="Arial" w:hAnsi="Arial" w:eastAsia="Arial" w:cs="Arial"/>
      <w:i/>
      <w:iCs/>
      <w:color w:val="585858" w:themeColor="text1" w:themeTint="A6"/>
    </w:rPr>
  </w:style>
  <w:style w:type="character" w:customStyle="1" w:styleId="201">
    <w:name w:val="标题 7 Char"/>
    <w:basedOn w:val="46"/>
    <w:link w:val="9"/>
    <w:qFormat/>
    <w:uiPriority w:val="9"/>
    <w:rPr>
      <w:rFonts w:ascii="Arial" w:hAnsi="Arial" w:eastAsia="Arial" w:cs="Arial"/>
      <w:color w:val="585858" w:themeColor="text1" w:themeTint="A6"/>
    </w:rPr>
  </w:style>
  <w:style w:type="character" w:customStyle="1" w:styleId="202">
    <w:name w:val="Heading 8 Char"/>
    <w:basedOn w:val="46"/>
    <w:qFormat/>
    <w:uiPriority w:val="9"/>
    <w:rPr>
      <w:rFonts w:ascii="Arial" w:hAnsi="Arial" w:eastAsia="Arial" w:cs="Arial"/>
      <w:i/>
      <w:iCs/>
      <w:color w:val="252525" w:themeColor="text1" w:themeTint="D9"/>
    </w:rPr>
  </w:style>
  <w:style w:type="character" w:customStyle="1" w:styleId="203">
    <w:name w:val="标题 9 Char"/>
    <w:basedOn w:val="46"/>
    <w:link w:val="11"/>
    <w:qFormat/>
    <w:uiPriority w:val="9"/>
    <w:rPr>
      <w:rFonts w:ascii="Arial" w:hAnsi="Arial" w:eastAsia="Arial" w:cs="Arial"/>
      <w:i/>
      <w:iCs/>
      <w:color w:val="252525" w:themeColor="text1" w:themeTint="D9"/>
    </w:rPr>
  </w:style>
  <w:style w:type="character" w:customStyle="1" w:styleId="204">
    <w:name w:val="标题 Char"/>
    <w:basedOn w:val="46"/>
    <w:link w:val="41"/>
    <w:qFormat/>
    <w:uiPriority w:val="10"/>
    <w:rPr>
      <w:rFonts w:ascii="Arial" w:hAnsi="Arial" w:eastAsia="Arial" w:cs="Arial"/>
      <w:spacing w:val="-10"/>
      <w:sz w:val="56"/>
      <w:szCs w:val="56"/>
    </w:rPr>
  </w:style>
  <w:style w:type="character" w:customStyle="1" w:styleId="205">
    <w:name w:val="副标题 Char"/>
    <w:basedOn w:val="46"/>
    <w:link w:val="33"/>
    <w:qFormat/>
    <w:uiPriority w:val="11"/>
    <w:rPr>
      <w:color w:val="585858" w:themeColor="text1" w:themeTint="A6"/>
      <w:spacing w:val="15"/>
      <w:sz w:val="28"/>
      <w:szCs w:val="28"/>
    </w:rPr>
  </w:style>
  <w:style w:type="paragraph" w:styleId="206">
    <w:name w:val="Quote"/>
    <w:basedOn w:val="1"/>
    <w:next w:val="1"/>
    <w:link w:val="207"/>
    <w:qFormat/>
    <w:uiPriority w:val="29"/>
    <w:pPr>
      <w:spacing w:before="160"/>
      <w:jc w:val="center"/>
    </w:pPr>
    <w:rPr>
      <w:i/>
      <w:iCs/>
      <w:color w:val="3F3F3F" w:themeColor="text1" w:themeTint="BF"/>
    </w:rPr>
  </w:style>
  <w:style w:type="character" w:customStyle="1" w:styleId="207">
    <w:name w:val="引用 Char"/>
    <w:basedOn w:val="46"/>
    <w:link w:val="206"/>
    <w:qFormat/>
    <w:uiPriority w:val="29"/>
    <w:rPr>
      <w:i/>
      <w:iCs/>
      <w:color w:val="3F3F3F" w:themeColor="text1" w:themeTint="BF"/>
    </w:rPr>
  </w:style>
  <w:style w:type="character" w:customStyle="1" w:styleId="208">
    <w:name w:val="明显强调11"/>
    <w:basedOn w:val="46"/>
    <w:qFormat/>
    <w:uiPriority w:val="21"/>
    <w:rPr>
      <w:i/>
      <w:iCs/>
      <w:color w:val="366091" w:themeColor="accent1" w:themeShade="BF"/>
    </w:rPr>
  </w:style>
  <w:style w:type="paragraph" w:styleId="209">
    <w:name w:val="Intense Quote"/>
    <w:basedOn w:val="1"/>
    <w:next w:val="1"/>
    <w:link w:val="210"/>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66091" w:themeColor="accent1" w:themeShade="BF"/>
    </w:rPr>
  </w:style>
  <w:style w:type="character" w:customStyle="1" w:styleId="210">
    <w:name w:val="明显引用 Char"/>
    <w:basedOn w:val="46"/>
    <w:link w:val="209"/>
    <w:qFormat/>
    <w:uiPriority w:val="30"/>
    <w:rPr>
      <w:i/>
      <w:iCs/>
      <w:color w:val="366091" w:themeColor="accent1" w:themeShade="BF"/>
    </w:rPr>
  </w:style>
  <w:style w:type="character" w:customStyle="1" w:styleId="211">
    <w:name w:val="明显参考11"/>
    <w:basedOn w:val="46"/>
    <w:qFormat/>
    <w:uiPriority w:val="32"/>
    <w:rPr>
      <w:b/>
      <w:bCs/>
      <w:smallCaps/>
      <w:color w:val="366091" w:themeColor="accent1" w:themeShade="BF"/>
      <w:spacing w:val="5"/>
    </w:rPr>
  </w:style>
  <w:style w:type="paragraph" w:styleId="212">
    <w:name w:val="No Spacing"/>
    <w:basedOn w:val="1"/>
    <w:qFormat/>
    <w:uiPriority w:val="1"/>
  </w:style>
  <w:style w:type="character" w:customStyle="1" w:styleId="213">
    <w:name w:val="不明显强调11"/>
    <w:basedOn w:val="46"/>
    <w:qFormat/>
    <w:uiPriority w:val="19"/>
    <w:rPr>
      <w:i/>
      <w:iCs/>
      <w:color w:val="3F3F3F" w:themeColor="text1" w:themeTint="BF"/>
    </w:rPr>
  </w:style>
  <w:style w:type="character" w:customStyle="1" w:styleId="214">
    <w:name w:val="不明显参考11"/>
    <w:basedOn w:val="46"/>
    <w:qFormat/>
    <w:uiPriority w:val="31"/>
    <w:rPr>
      <w:smallCaps/>
      <w:color w:val="585858" w:themeColor="text1" w:themeTint="A6"/>
    </w:rPr>
  </w:style>
  <w:style w:type="character" w:customStyle="1" w:styleId="215">
    <w:name w:val="书籍标题11"/>
    <w:basedOn w:val="46"/>
    <w:qFormat/>
    <w:uiPriority w:val="33"/>
    <w:rPr>
      <w:b/>
      <w:bCs/>
      <w:i/>
      <w:iCs/>
      <w:spacing w:val="5"/>
    </w:rPr>
  </w:style>
  <w:style w:type="character" w:customStyle="1" w:styleId="216">
    <w:name w:val="Header Char"/>
    <w:basedOn w:val="46"/>
    <w:qFormat/>
    <w:uiPriority w:val="99"/>
  </w:style>
  <w:style w:type="character" w:customStyle="1" w:styleId="217">
    <w:name w:val="Footer Char"/>
    <w:basedOn w:val="46"/>
    <w:qFormat/>
    <w:uiPriority w:val="99"/>
  </w:style>
  <w:style w:type="character" w:customStyle="1" w:styleId="218">
    <w:name w:val="脚注文本 Char"/>
    <w:basedOn w:val="46"/>
    <w:link w:val="34"/>
    <w:semiHidden/>
    <w:qFormat/>
    <w:uiPriority w:val="99"/>
    <w:rPr>
      <w:sz w:val="20"/>
      <w:szCs w:val="20"/>
    </w:rPr>
  </w:style>
  <w:style w:type="character" w:customStyle="1" w:styleId="219">
    <w:name w:val="尾注文本 Char"/>
    <w:basedOn w:val="46"/>
    <w:link w:val="27"/>
    <w:semiHidden/>
    <w:qFormat/>
    <w:uiPriority w:val="99"/>
    <w:rPr>
      <w:sz w:val="20"/>
      <w:szCs w:val="20"/>
    </w:rPr>
  </w:style>
  <w:style w:type="character" w:styleId="220">
    <w:name w:val="Placeholder Text"/>
    <w:basedOn w:val="46"/>
    <w:semiHidden/>
    <w:qFormat/>
    <w:uiPriority w:val="99"/>
    <w:rPr>
      <w:color w:val="666666"/>
    </w:rPr>
  </w:style>
  <w:style w:type="paragraph" w:customStyle="1" w:styleId="221">
    <w:name w:val="TOC 标题11"/>
    <w:unhideWhenUsed/>
    <w:qFormat/>
    <w:uiPriority w:val="39"/>
    <w:rPr>
      <w:rFonts w:ascii="Times New Roman" w:hAnsi="Times New Roman" w:eastAsia="宋体" w:cs="Times New Roman"/>
      <w:lang w:val="en-US" w:eastAsia="zh-CN" w:bidi="ar-SA"/>
    </w:rPr>
  </w:style>
  <w:style w:type="paragraph" w:customStyle="1" w:styleId="222">
    <w:name w:val="首行缩进"/>
    <w:basedOn w:val="1"/>
    <w:qFormat/>
    <w:uiPriority w:val="99"/>
    <w:pPr>
      <w:ind w:firstLine="480"/>
    </w:pPr>
    <w:rPr>
      <w:lang w:val="zh-CN"/>
    </w:rPr>
  </w:style>
  <w:style w:type="paragraph" w:customStyle="1" w:styleId="223">
    <w:name w:val="Default"/>
    <w:next w:val="1"/>
    <w:qFormat/>
    <w:uiPriority w:val="0"/>
    <w:pPr>
      <w:widowControl w:val="0"/>
    </w:pPr>
    <w:rPr>
      <w:rFonts w:ascii="Times New Roman" w:hAnsi="Times New Roman" w:eastAsia="宋体" w:cs="Calibri"/>
      <w:color w:val="000000"/>
      <w:sz w:val="24"/>
      <w:szCs w:val="24"/>
      <w:lang w:val="en-US" w:eastAsia="zh-CN" w:bidi="ar-SA"/>
    </w:rPr>
  </w:style>
  <w:style w:type="character" w:customStyle="1" w:styleId="224">
    <w:name w:val="标题 1 Char"/>
    <w:link w:val="3"/>
    <w:qFormat/>
    <w:uiPriority w:val="9"/>
    <w:rPr>
      <w:b/>
      <w:bCs/>
      <w:sz w:val="44"/>
      <w:szCs w:val="44"/>
    </w:rPr>
  </w:style>
  <w:style w:type="character" w:customStyle="1" w:styleId="225">
    <w:name w:val="标题 2 Char1"/>
    <w:link w:val="4"/>
    <w:qFormat/>
    <w:uiPriority w:val="9"/>
    <w:rPr>
      <w:rFonts w:ascii="Cambria" w:hAnsi="Cambria" w:eastAsia="宋体" w:cs="Times New Roman"/>
      <w:b/>
      <w:bCs/>
      <w:sz w:val="32"/>
      <w:szCs w:val="32"/>
    </w:rPr>
  </w:style>
  <w:style w:type="character" w:customStyle="1" w:styleId="226">
    <w:name w:val="标题 5 Char"/>
    <w:link w:val="7"/>
    <w:semiHidden/>
    <w:qFormat/>
    <w:uiPriority w:val="9"/>
    <w:rPr>
      <w:rFonts w:ascii="Times New Roman" w:hAnsi="Times New Roman"/>
      <w:b/>
      <w:bCs/>
      <w:sz w:val="28"/>
      <w:szCs w:val="28"/>
    </w:rPr>
  </w:style>
  <w:style w:type="character" w:customStyle="1" w:styleId="227">
    <w:name w:val="标题 8 Char1"/>
    <w:link w:val="10"/>
    <w:semiHidden/>
    <w:qFormat/>
    <w:uiPriority w:val="9"/>
    <w:rPr>
      <w:rFonts w:ascii="等线 Light" w:hAnsi="等线 Light" w:eastAsia="等线 Light" w:cs="Times New Roman"/>
      <w:sz w:val="24"/>
      <w:szCs w:val="24"/>
    </w:rPr>
  </w:style>
  <w:style w:type="character" w:customStyle="1" w:styleId="228">
    <w:name w:val="批注文字 Char1"/>
    <w:link w:val="16"/>
    <w:qFormat/>
    <w:uiPriority w:val="0"/>
    <w:rPr>
      <w:rFonts w:ascii="Times New Roman" w:hAnsi="Times New Roman"/>
      <w:sz w:val="21"/>
      <w:szCs w:val="24"/>
    </w:rPr>
  </w:style>
  <w:style w:type="character" w:customStyle="1" w:styleId="229">
    <w:name w:val="正文文本 3 Char"/>
    <w:link w:val="17"/>
    <w:semiHidden/>
    <w:qFormat/>
    <w:uiPriority w:val="99"/>
    <w:rPr>
      <w:sz w:val="16"/>
      <w:szCs w:val="16"/>
    </w:rPr>
  </w:style>
  <w:style w:type="character" w:customStyle="1" w:styleId="230">
    <w:name w:val="正文文本 Char1"/>
    <w:link w:val="18"/>
    <w:qFormat/>
    <w:uiPriority w:val="0"/>
    <w:rPr>
      <w:rFonts w:ascii="Times New Roman" w:hAnsi="Times New Roman"/>
      <w:sz w:val="21"/>
      <w:szCs w:val="24"/>
    </w:rPr>
  </w:style>
  <w:style w:type="character" w:customStyle="1" w:styleId="231">
    <w:name w:val="正文文本缩进 Char"/>
    <w:link w:val="19"/>
    <w:qFormat/>
    <w:uiPriority w:val="0"/>
    <w:rPr>
      <w:rFonts w:ascii="仿宋_GB2312" w:hAnsi="Times New Roman" w:eastAsia="仿宋_GB2312" w:cs="Times New Roman"/>
      <w:sz w:val="32"/>
      <w:szCs w:val="20"/>
    </w:rPr>
  </w:style>
  <w:style w:type="character" w:customStyle="1" w:styleId="232">
    <w:name w:val="纯文本 Char1"/>
    <w:link w:val="24"/>
    <w:qFormat/>
    <w:uiPriority w:val="0"/>
    <w:rPr>
      <w:rFonts w:ascii="宋体" w:hAnsi="Courier New" w:eastAsia="宋体" w:cs="Courier New"/>
      <w:szCs w:val="21"/>
    </w:rPr>
  </w:style>
  <w:style w:type="character" w:customStyle="1" w:styleId="233">
    <w:name w:val="日期 Char"/>
    <w:link w:val="26"/>
    <w:semiHidden/>
    <w:qFormat/>
    <w:uiPriority w:val="99"/>
    <w:rPr>
      <w:rFonts w:ascii="Times New Roman" w:hAnsi="Times New Roman"/>
      <w:sz w:val="21"/>
      <w:szCs w:val="24"/>
    </w:rPr>
  </w:style>
  <w:style w:type="character" w:customStyle="1" w:styleId="234">
    <w:name w:val="页脚 Char"/>
    <w:link w:val="29"/>
    <w:qFormat/>
    <w:uiPriority w:val="99"/>
    <w:rPr>
      <w:sz w:val="18"/>
      <w:szCs w:val="18"/>
    </w:rPr>
  </w:style>
  <w:style w:type="character" w:customStyle="1" w:styleId="235">
    <w:name w:val="页眉 Char"/>
    <w:link w:val="30"/>
    <w:qFormat/>
    <w:uiPriority w:val="99"/>
    <w:rPr>
      <w:sz w:val="18"/>
      <w:szCs w:val="18"/>
    </w:rPr>
  </w:style>
  <w:style w:type="character" w:customStyle="1" w:styleId="236">
    <w:name w:val="批注主题 Char"/>
    <w:link w:val="42"/>
    <w:qFormat/>
    <w:uiPriority w:val="99"/>
    <w:rPr>
      <w:rFonts w:ascii="Times New Roman" w:hAnsi="Times New Roman"/>
      <w:b/>
      <w:bCs/>
      <w:sz w:val="21"/>
      <w:szCs w:val="24"/>
    </w:rPr>
  </w:style>
  <w:style w:type="character" w:customStyle="1" w:styleId="237">
    <w:name w:val="标题 1 字符1"/>
    <w:qFormat/>
    <w:uiPriority w:val="0"/>
    <w:rPr>
      <w:b/>
      <w:bCs/>
      <w:sz w:val="44"/>
      <w:szCs w:val="44"/>
    </w:rPr>
  </w:style>
  <w:style w:type="character" w:customStyle="1" w:styleId="238">
    <w:name w:val="textcontents"/>
    <w:qFormat/>
    <w:uiPriority w:val="0"/>
  </w:style>
  <w:style w:type="character" w:customStyle="1" w:styleId="239">
    <w:name w:val="批注文字 Char"/>
    <w:qFormat/>
    <w:uiPriority w:val="0"/>
    <w:rPr>
      <w:rFonts w:ascii="Times New Roman" w:hAnsi="Times New Roman"/>
      <w:sz w:val="21"/>
      <w:szCs w:val="24"/>
    </w:rPr>
  </w:style>
  <w:style w:type="character" w:customStyle="1" w:styleId="240">
    <w:name w:val="纯文本 字符"/>
    <w:qFormat/>
    <w:uiPriority w:val="0"/>
    <w:rPr>
      <w:rFonts w:ascii="宋体" w:hAnsi="Courier New" w:eastAsia="宋体" w:cs="Courier New"/>
      <w:szCs w:val="21"/>
    </w:rPr>
  </w:style>
  <w:style w:type="character" w:customStyle="1" w:styleId="241">
    <w:name w:val="纯文本 Char"/>
    <w:qFormat/>
    <w:uiPriority w:val="0"/>
    <w:rPr>
      <w:rFonts w:ascii="宋体" w:hAnsi="Courier New" w:eastAsia="宋体" w:cs="Courier New"/>
      <w:szCs w:val="21"/>
    </w:rPr>
  </w:style>
  <w:style w:type="character" w:customStyle="1" w:styleId="242">
    <w:name w:val="纯文本 字符2"/>
    <w:qFormat/>
    <w:uiPriority w:val="0"/>
    <w:rPr>
      <w:rFonts w:ascii="宋体" w:hAnsi="Courier New" w:eastAsia="宋体" w:cs="Courier New"/>
      <w:szCs w:val="21"/>
    </w:rPr>
  </w:style>
  <w:style w:type="character" w:customStyle="1" w:styleId="243">
    <w:name w:val="批注文字 字符1"/>
    <w:qFormat/>
    <w:uiPriority w:val="0"/>
    <w:rPr>
      <w:rFonts w:ascii="Times New Roman" w:hAnsi="Times New Roman"/>
      <w:sz w:val="21"/>
      <w:szCs w:val="24"/>
    </w:rPr>
  </w:style>
  <w:style w:type="character" w:customStyle="1" w:styleId="244">
    <w:name w:val="正文文本 (26) + 间距 0 pt"/>
    <w:qFormat/>
    <w:uiPriority w:val="0"/>
    <w:rPr>
      <w:rFonts w:ascii="宋体" w:hAnsi="宋体" w:eastAsia="宋体" w:cs="宋体"/>
      <w:color w:val="000000"/>
      <w:spacing w:val="0"/>
      <w:position w:val="0"/>
      <w:sz w:val="22"/>
      <w:szCs w:val="22"/>
      <w:u w:val="none"/>
      <w:lang w:val="zh-CN" w:eastAsia="zh-CN" w:bidi="zh-CN"/>
    </w:rPr>
  </w:style>
  <w:style w:type="character" w:customStyle="1" w:styleId="245">
    <w:name w:val="纯文本 字符1"/>
    <w:qFormat/>
    <w:uiPriority w:val="0"/>
    <w:rPr>
      <w:rFonts w:ascii="宋体" w:hAnsi="Courier New"/>
    </w:rPr>
  </w:style>
  <w:style w:type="character" w:customStyle="1" w:styleId="246">
    <w:name w:val="正文文本 Char"/>
    <w:qFormat/>
    <w:uiPriority w:val="99"/>
    <w:rPr>
      <w:rFonts w:ascii="Times New Roman" w:hAnsi="Times New Roman"/>
      <w:sz w:val="21"/>
      <w:szCs w:val="24"/>
    </w:rPr>
  </w:style>
  <w:style w:type="character" w:customStyle="1" w:styleId="247">
    <w:name w:val="批注文字 字符"/>
    <w:qFormat/>
    <w:uiPriority w:val="0"/>
    <w:rPr>
      <w:rFonts w:ascii="Times New Roman" w:hAnsi="Times New Roman"/>
      <w:sz w:val="21"/>
      <w:szCs w:val="24"/>
    </w:rPr>
  </w:style>
  <w:style w:type="character" w:customStyle="1" w:styleId="248">
    <w:name w:val="标题 2 Char"/>
    <w:qFormat/>
    <w:uiPriority w:val="9"/>
    <w:rPr>
      <w:rFonts w:ascii="Cambria" w:hAnsi="Cambria" w:eastAsia="宋体" w:cs="Times New Roman"/>
      <w:b/>
      <w:bCs/>
      <w:sz w:val="32"/>
      <w:szCs w:val="32"/>
    </w:rPr>
  </w:style>
  <w:style w:type="character" w:customStyle="1" w:styleId="249">
    <w:name w:val="标题 8 Char"/>
    <w:qFormat/>
    <w:uiPriority w:val="0"/>
    <w:rPr>
      <w:rFonts w:ascii="Arial" w:hAnsi="Arial" w:eastAsia="黑体"/>
      <w:sz w:val="24"/>
      <w:szCs w:val="24"/>
    </w:rPr>
  </w:style>
  <w:style w:type="character" w:customStyle="1" w:styleId="250">
    <w:name w:val="apple-style-span"/>
    <w:qFormat/>
    <w:uiPriority w:val="0"/>
  </w:style>
  <w:style w:type="paragraph" w:customStyle="1" w:styleId="251">
    <w:name w:val="默认段落字体 Para Char Char Char Char Char Char Char Char Char1 Char Char Char Char"/>
    <w:basedOn w:val="1"/>
    <w:qFormat/>
    <w:uiPriority w:val="0"/>
    <w:rPr>
      <w:rFonts w:ascii="Tahoma" w:hAnsi="Tahoma"/>
      <w:sz w:val="24"/>
      <w:szCs w:val="20"/>
    </w:rPr>
  </w:style>
  <w:style w:type="paragraph" w:customStyle="1" w:styleId="252">
    <w:name w:val="表内文字"/>
    <w:basedOn w:val="1"/>
    <w:qFormat/>
    <w:uiPriority w:val="0"/>
    <w:pPr>
      <w:spacing w:before="50" w:after="50"/>
      <w:jc w:val="center"/>
    </w:pPr>
    <w:rPr>
      <w:rFonts w:ascii="仿宋_GB2312" w:hAnsi="宋体" w:eastAsia="仿宋_GB2312"/>
      <w:b/>
      <w:color w:val="000000"/>
      <w:sz w:val="32"/>
      <w:szCs w:val="32"/>
    </w:rPr>
  </w:style>
  <w:style w:type="paragraph" w:styleId="253">
    <w:name w:val="List Paragraph"/>
    <w:basedOn w:val="1"/>
    <w:qFormat/>
    <w:uiPriority w:val="34"/>
    <w:pPr>
      <w:ind w:firstLine="420"/>
    </w:pPr>
  </w:style>
  <w:style w:type="paragraph" w:customStyle="1" w:styleId="254">
    <w:name w:val="Table Paragraph"/>
    <w:basedOn w:val="1"/>
    <w:qFormat/>
    <w:uiPriority w:val="1"/>
    <w:pPr>
      <w:jc w:val="left"/>
    </w:pPr>
    <w:rPr>
      <w:rFonts w:ascii="Calibri" w:hAnsi="Calibri"/>
      <w:sz w:val="22"/>
      <w:szCs w:val="22"/>
      <w:lang w:eastAsia="en-US"/>
    </w:rPr>
  </w:style>
  <w:style w:type="character" w:customStyle="1" w:styleId="255">
    <w:name w:val="正文文本 字符"/>
    <w:qFormat/>
    <w:uiPriority w:val="0"/>
    <w:rPr>
      <w:rFonts w:ascii="Times New Roman" w:hAnsi="Times New Roman"/>
      <w:sz w:val="21"/>
      <w:szCs w:val="24"/>
    </w:rPr>
  </w:style>
  <w:style w:type="character" w:customStyle="1" w:styleId="256">
    <w:name w:val="批注文字 Char2"/>
    <w:qFormat/>
    <w:uiPriority w:val="0"/>
    <w:rPr>
      <w:rFonts w:ascii="Times New Roman" w:hAnsi="Times New Roman"/>
      <w:sz w:val="21"/>
      <w:szCs w:val="24"/>
    </w:rPr>
  </w:style>
  <w:style w:type="character" w:customStyle="1" w:styleId="257">
    <w:name w:val="正文2 Char Char"/>
    <w:link w:val="258"/>
    <w:qFormat/>
    <w:uiPriority w:val="0"/>
    <w:rPr>
      <w:sz w:val="24"/>
    </w:rPr>
  </w:style>
  <w:style w:type="paragraph" w:customStyle="1" w:styleId="258">
    <w:name w:val="正文2"/>
    <w:basedOn w:val="1"/>
    <w:link w:val="257"/>
    <w:qFormat/>
    <w:uiPriority w:val="0"/>
    <w:pPr>
      <w:spacing w:before="156" w:line="360" w:lineRule="auto"/>
      <w:ind w:firstLine="510"/>
    </w:pPr>
    <w:rPr>
      <w:sz w:val="24"/>
      <w:szCs w:val="20"/>
    </w:rPr>
  </w:style>
  <w:style w:type="paragraph" w:customStyle="1" w:styleId="259">
    <w:name w:val="AONormal"/>
    <w:qFormat/>
    <w:uiPriority w:val="0"/>
    <w:pPr>
      <w:spacing w:line="400" w:lineRule="exact"/>
      <w:ind w:firstLine="440"/>
    </w:pPr>
    <w:rPr>
      <w:rFonts w:ascii="华文楷体" w:hAnsi="华文楷体" w:eastAsia="华文楷体" w:cs="华文楷体"/>
      <w:sz w:val="22"/>
      <w:szCs w:val="21"/>
      <w:lang w:val="en-US" w:eastAsia="zh-CN" w:bidi="ar-SA"/>
    </w:rPr>
  </w:style>
  <w:style w:type="paragraph" w:customStyle="1" w:styleId="260">
    <w:name w:val="列出段落1"/>
    <w:basedOn w:val="1"/>
    <w:qFormat/>
    <w:uiPriority w:val="0"/>
    <w:pPr>
      <w:ind w:firstLine="420"/>
    </w:pPr>
    <w:rPr>
      <w:szCs w:val="21"/>
    </w:rPr>
  </w:style>
  <w:style w:type="paragraph" w:customStyle="1" w:styleId="261">
    <w:name w:val="Char"/>
    <w:basedOn w:val="1"/>
    <w:qFormat/>
    <w:uiPriority w:val="0"/>
  </w:style>
  <w:style w:type="character" w:customStyle="1" w:styleId="262">
    <w:name w:val="0正文K Char"/>
    <w:link w:val="263"/>
    <w:qFormat/>
    <w:uiPriority w:val="0"/>
    <w:rPr>
      <w:rFonts w:asciiTheme="minorHAnsi" w:hAnsiTheme="minorHAnsi" w:eastAsiaTheme="minorEastAsia" w:cstheme="minorBidi"/>
      <w:color w:val="000000"/>
    </w:rPr>
  </w:style>
  <w:style w:type="paragraph" w:customStyle="1" w:styleId="263">
    <w:name w:val="0正文K"/>
    <w:basedOn w:val="1"/>
    <w:next w:val="264"/>
    <w:link w:val="262"/>
    <w:qFormat/>
    <w:uiPriority w:val="0"/>
    <w:rPr>
      <w:rFonts w:asciiTheme="minorHAnsi" w:hAnsiTheme="minorHAnsi" w:eastAsiaTheme="minorEastAsia" w:cstheme="minorBidi"/>
      <w:color w:val="000000"/>
    </w:rPr>
  </w:style>
  <w:style w:type="paragraph" w:customStyle="1" w:styleId="264">
    <w:name w:val="0正文"/>
    <w:basedOn w:val="1"/>
    <w:qFormat/>
    <w:uiPriority w:val="0"/>
    <w:rPr>
      <w:szCs w:val="28"/>
    </w:rPr>
  </w:style>
  <w:style w:type="paragraph" w:customStyle="1" w:styleId="265">
    <w:name w:val="修订1"/>
    <w:hidden/>
    <w:unhideWhenUsed/>
    <w:qFormat/>
    <w:uiPriority w:val="99"/>
    <w:rPr>
      <w:rFonts w:ascii="Times New Roman" w:hAnsi="Times New Roman" w:eastAsia="宋体" w:cs="Times New Roman"/>
      <w:sz w:val="21"/>
      <w:szCs w:val="24"/>
      <w:lang w:val="en-US" w:eastAsia="zh-CN" w:bidi="ar-SA"/>
    </w:rPr>
  </w:style>
  <w:style w:type="paragraph" w:customStyle="1" w:styleId="266">
    <w:name w:val="修订2"/>
    <w:hidden/>
    <w:unhideWhenUsed/>
    <w:qFormat/>
    <w:uiPriority w:val="99"/>
    <w:rPr>
      <w:rFonts w:ascii="Times New Roman" w:hAnsi="Times New Roman" w:eastAsia="宋体" w:cs="Times New Roman"/>
      <w:sz w:val="21"/>
      <w:szCs w:val="24"/>
      <w:lang w:val="en-US" w:eastAsia="zh-CN" w:bidi="ar-SA"/>
    </w:rPr>
  </w:style>
  <w:style w:type="paragraph" w:customStyle="1" w:styleId="267">
    <w:name w:val="Table Text"/>
    <w:basedOn w:val="1"/>
    <w:semiHidden/>
    <w:qFormat/>
    <w:uiPriority w:val="0"/>
    <w:rPr>
      <w:rFonts w:ascii="宋体" w:hAnsi="宋体" w:cs="宋体"/>
      <w:sz w:val="20"/>
      <w:szCs w:val="20"/>
    </w:rPr>
  </w:style>
  <w:style w:type="table" w:customStyle="1" w:styleId="268">
    <w:name w:val="Table Normal"/>
    <w:unhideWhenUsed/>
    <w:qFormat/>
    <w:uiPriority w:val="0"/>
    <w:tblPr>
      <w:tblCellMar>
        <w:top w:w="0" w:type="dxa"/>
        <w:left w:w="0" w:type="dxa"/>
        <w:bottom w:w="0" w:type="dxa"/>
        <w:right w:w="0" w:type="dxa"/>
      </w:tblCellMar>
    </w:tblPr>
  </w:style>
  <w:style w:type="paragraph" w:customStyle="1" w:styleId="269">
    <w:name w:val="pa-1"/>
    <w:basedOn w:val="1"/>
    <w:qFormat/>
    <w:uiPriority w:val="0"/>
    <w:pPr>
      <w:widowControl/>
      <w:spacing w:line="280" w:lineRule="atLeast"/>
    </w:pPr>
    <w:rPr>
      <w:rFonts w:ascii="宋体" w:hAnsi="宋体" w:cs="宋体"/>
      <w:sz w:val="24"/>
    </w:rPr>
  </w:style>
  <w:style w:type="character" w:customStyle="1" w:styleId="270">
    <w:name w:val="ca-21"/>
    <w:basedOn w:val="46"/>
    <w:qFormat/>
    <w:uiPriority w:val="0"/>
    <w:rPr>
      <w:rFonts w:hint="eastAsia" w:ascii="宋体" w:hAnsi="宋体" w:eastAsia="宋体"/>
      <w:sz w:val="21"/>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1"/>
    <customShpInfo spid="_x0000_s2052"/>
    <customShpInfo spid="_x0000_s2050"/>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广西云龙招标有限公司</Company>
  <Pages>70</Pages>
  <Words>32530</Words>
  <Characters>34350</Characters>
  <Lines>362</Lines>
  <Paragraphs>102</Paragraphs>
  <TotalTime>279</TotalTime>
  <ScaleCrop>false</ScaleCrop>
  <LinksUpToDate>false</LinksUpToDate>
  <CharactersWithSpaces>34905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2024-05-10T00:44:00Z</dcterms:created>
  <dc:creator>唐冰</dc:creator>
  <cp:lastModifiedBy>海</cp:lastModifiedBy>
  <cp:lastPrinted>2026-07-21T03:45:00Z</cp:lastPrinted>
  <dcterms:modified xsi:type="dcterms:W3CDTF">2026-09-08T07:43:10Z</dcterms:modified>
  <dc:title>竞争性谈判文件规范</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CDDBF7D990A54A13B31CCDFA5A7115CA_13</vt:lpwstr>
  </property>
  <property fmtid="{D5CDD505-2E9C-101B-9397-08002B2CF9AE}" pid="4" name="KSOTemplateDocerSaveRecord">
    <vt:lpwstr>eyJoZGlkIjoiZjY3YTc4NDAyZWY1Njk2ODY1YTZmYmQyOTUxYjJhNDkiLCJ1c2VySWQiOiI3ODA4NTU5NzcifQ==</vt:lpwstr>
  </property>
</Properties>
</file>