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B4404D">
      <w:pPr>
        <w:pStyle w:val="3"/>
        <w:rPr>
          <w:rFonts w:hint="eastAsia" w:ascii="宋体" w:hAnsi="宋体" w:cs="宋体"/>
          <w:color w:val="auto"/>
          <w:spacing w:val="30"/>
          <w:kern w:val="52"/>
          <w:sz w:val="64"/>
          <w:szCs w:val="64"/>
          <w:highlight w:val="none"/>
        </w:rPr>
      </w:pPr>
    </w:p>
    <w:p w14:paraId="0C8E9363">
      <w:pPr>
        <w:pStyle w:val="7"/>
        <w:rPr>
          <w:rFonts w:cs="宋体"/>
          <w:color w:val="auto"/>
          <w:spacing w:val="30"/>
          <w:kern w:val="52"/>
          <w:sz w:val="64"/>
          <w:szCs w:val="64"/>
          <w:highlight w:val="none"/>
        </w:rPr>
      </w:pPr>
    </w:p>
    <w:p w14:paraId="742427F3">
      <w:pPr>
        <w:pStyle w:val="25"/>
        <w:jc w:val="center"/>
        <w:rPr>
          <w:rFonts w:hint="eastAsia" w:hAnsi="宋体" w:cs="宋体"/>
          <w:color w:val="auto"/>
          <w:spacing w:val="30"/>
          <w:kern w:val="52"/>
          <w:sz w:val="64"/>
          <w:szCs w:val="64"/>
          <w:highlight w:val="none"/>
        </w:rPr>
      </w:pPr>
      <w:r>
        <w:rPr>
          <w:rFonts w:hint="eastAsia" w:hAnsi="宋体" w:cs="宋体"/>
          <w:color w:val="auto"/>
          <w:spacing w:val="30"/>
          <w:kern w:val="52"/>
          <w:sz w:val="64"/>
          <w:szCs w:val="64"/>
          <w:highlight w:val="none"/>
        </w:rPr>
        <w:t>广西科文招标有限公司</w:t>
      </w:r>
    </w:p>
    <w:p w14:paraId="2C896112">
      <w:pPr>
        <w:pStyle w:val="25"/>
        <w:jc w:val="center"/>
        <w:rPr>
          <w:rFonts w:hint="eastAsia" w:hAnsi="宋体" w:cs="宋体"/>
          <w:color w:val="auto"/>
          <w:spacing w:val="28"/>
          <w:sz w:val="64"/>
          <w:szCs w:val="64"/>
          <w:highlight w:val="none"/>
        </w:rPr>
      </w:pPr>
      <w:r>
        <w:rPr>
          <w:rFonts w:hint="eastAsia" w:hAnsi="宋体" w:cs="宋体"/>
          <w:b/>
          <w:color w:val="auto"/>
          <w:spacing w:val="-18"/>
          <w:sz w:val="64"/>
          <w:szCs w:val="64"/>
          <w:highlight w:val="none"/>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5486400" cy="0"/>
                <wp:effectExtent l="0" t="6350" r="0" b="6350"/>
                <wp:wrapNone/>
                <wp:docPr id="1" name="Line 2"/>
                <wp:cNvGraphicFramePr/>
                <a:graphic xmlns:a="http://schemas.openxmlformats.org/drawingml/2006/main">
                  <a:graphicData uri="http://schemas.microsoft.com/office/word/2010/wordprocessingShape">
                    <wps:wsp>
                      <wps:cNvCnPr/>
                      <wps:spPr>
                        <a:xfrm>
                          <a:off x="0" y="0"/>
                          <a:ext cx="5486400" cy="0"/>
                        </a:xfrm>
                        <a:prstGeom prst="line">
                          <a:avLst/>
                        </a:prstGeom>
                        <a:ln w="12700" cap="flat" cmpd="sng">
                          <a:solidFill>
                            <a:srgbClr val="000000"/>
                          </a:solidFill>
                          <a:prstDash val="solid"/>
                          <a:headEnd type="none" w="med" len="med"/>
                          <a:tailEnd type="none" w="med" len="med"/>
                        </a:ln>
                        <a:effectLst/>
                      </wps:spPr>
                      <wps:bodyPr/>
                    </wps:wsp>
                  </a:graphicData>
                </a:graphic>
              </wp:anchor>
            </w:drawing>
          </mc:Choice>
          <mc:Fallback>
            <w:pict>
              <v:line id="Line 2" o:spid="_x0000_s1026" o:spt="20" style="position:absolute;left:0pt;margin-left:27pt;margin-top:7.8pt;height:0pt;width:432pt;z-index:251659264;mso-width-relative:page;mso-height-relative:page;" filled="f" stroked="t" coordsize="21600,21600" o:gfxdata="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qhQAKNYAAAAIAQAADwAAAAAAAAABACAA&#10;AAAiAAAAZHJzL2Rvd25yZXYueG1sUEsBAhQAFAAAAAgAh07iQCXds+HWAQAA3AMAAA4AAAAAAAAA&#10;AQAgAAAAJQEAAGRycy9lMm9Eb2MueG1sUEsFBgAAAAAGAAYAWQEAAG0FAAAAAA==&#10;">
                <v:fill on="f" focussize="0,0"/>
                <v:stroke weight="1pt" color="#000000" joinstyle="round"/>
                <v:imagedata o:title=""/>
                <o:lock v:ext="edit" aspectratio="f"/>
              </v:line>
            </w:pict>
          </mc:Fallback>
        </mc:AlternateContent>
      </w:r>
    </w:p>
    <w:p w14:paraId="09777FA5">
      <w:pPr>
        <w:snapToGrid w:val="0"/>
        <w:spacing w:line="360" w:lineRule="auto"/>
        <w:jc w:val="center"/>
        <w:rPr>
          <w:rFonts w:hint="eastAsia" w:ascii="宋体" w:hAnsi="宋体" w:cs="宋体"/>
          <w:color w:val="auto"/>
          <w:sz w:val="120"/>
          <w:szCs w:val="120"/>
          <w:highlight w:val="none"/>
        </w:rPr>
      </w:pPr>
      <w:r>
        <w:rPr>
          <w:rFonts w:hint="eastAsia" w:ascii="宋体" w:hAnsi="宋体" w:cs="宋体"/>
          <w:b/>
          <w:bCs/>
          <w:color w:val="auto"/>
          <w:spacing w:val="400"/>
          <w:kern w:val="0"/>
          <w:sz w:val="120"/>
          <w:szCs w:val="120"/>
          <w:highlight w:val="none"/>
          <w:fitText w:val="7200" w:id="1780160492"/>
        </w:rPr>
        <w:t>招标文</w:t>
      </w:r>
      <w:r>
        <w:rPr>
          <w:rFonts w:hint="eastAsia" w:ascii="宋体" w:hAnsi="宋体" w:cs="宋体"/>
          <w:b/>
          <w:bCs/>
          <w:color w:val="auto"/>
          <w:spacing w:val="0"/>
          <w:kern w:val="0"/>
          <w:sz w:val="120"/>
          <w:szCs w:val="120"/>
          <w:highlight w:val="none"/>
          <w:fitText w:val="7200" w:id="1780160492"/>
        </w:rPr>
        <w:t>件</w:t>
      </w:r>
    </w:p>
    <w:p w14:paraId="6BE9D931">
      <w:pPr>
        <w:spacing w:before="240" w:beforeLines="100" w:after="120" w:afterLines="50" w:line="360" w:lineRule="auto"/>
        <w:jc w:val="center"/>
        <w:rPr>
          <w:rFonts w:hint="eastAsia" w:ascii="宋体" w:hAnsi="宋体" w:cs="宋体"/>
          <w:color w:val="auto"/>
          <w:sz w:val="28"/>
          <w:szCs w:val="21"/>
          <w:highlight w:val="none"/>
        </w:rPr>
      </w:pPr>
      <w:r>
        <w:rPr>
          <w:rFonts w:hint="eastAsia" w:ascii="宋体" w:hAnsi="宋体" w:cs="宋体"/>
          <w:color w:val="auto"/>
          <w:sz w:val="28"/>
          <w:szCs w:val="21"/>
          <w:highlight w:val="none"/>
        </w:rPr>
        <w:t>（全流程电子化评标）</w:t>
      </w:r>
    </w:p>
    <w:p w14:paraId="1A85CBA0">
      <w:pPr>
        <w:pStyle w:val="25"/>
        <w:snapToGrid w:val="0"/>
        <w:spacing w:line="360" w:lineRule="auto"/>
        <w:ind w:firstLine="1977" w:firstLineChars="691"/>
        <w:rPr>
          <w:rFonts w:hint="eastAsia" w:hAnsi="宋体" w:cs="宋体"/>
          <w:b/>
          <w:bCs/>
          <w:color w:val="auto"/>
          <w:w w:val="95"/>
          <w:sz w:val="30"/>
          <w:szCs w:val="30"/>
          <w:highlight w:val="none"/>
        </w:rPr>
      </w:pPr>
    </w:p>
    <w:p w14:paraId="7503EA40">
      <w:pPr>
        <w:pStyle w:val="25"/>
        <w:snapToGrid w:val="0"/>
        <w:spacing w:line="360" w:lineRule="auto"/>
        <w:ind w:firstLine="1977" w:firstLineChars="691"/>
        <w:rPr>
          <w:rFonts w:hint="eastAsia" w:hAnsi="宋体" w:cs="宋体"/>
          <w:b/>
          <w:bCs/>
          <w:color w:val="auto"/>
          <w:w w:val="95"/>
          <w:sz w:val="30"/>
          <w:szCs w:val="30"/>
          <w:highlight w:val="none"/>
        </w:rPr>
      </w:pPr>
    </w:p>
    <w:p w14:paraId="5CA9F9B4">
      <w:pPr>
        <w:pStyle w:val="25"/>
        <w:snapToGrid w:val="0"/>
        <w:spacing w:line="360" w:lineRule="auto"/>
        <w:ind w:left="596" w:leftChars="284" w:firstLine="1145" w:firstLineChars="400"/>
        <w:rPr>
          <w:rFonts w:hint="eastAsia" w:hAnsi="宋体" w:cs="宋体"/>
          <w:b/>
          <w:bCs/>
          <w:color w:val="auto"/>
          <w:w w:val="95"/>
          <w:sz w:val="30"/>
          <w:szCs w:val="30"/>
          <w:highlight w:val="none"/>
        </w:rPr>
      </w:pPr>
      <w:r>
        <w:rPr>
          <w:rFonts w:hint="eastAsia" w:hAnsi="宋体" w:cs="宋体"/>
          <w:b/>
          <w:bCs/>
          <w:color w:val="auto"/>
          <w:w w:val="95"/>
          <w:sz w:val="30"/>
          <w:szCs w:val="30"/>
          <w:highlight w:val="none"/>
        </w:rPr>
        <w:t>项目名称：2026年梧州监狱罪犯生活物资采购项目</w:t>
      </w:r>
    </w:p>
    <w:p w14:paraId="1E9206D3">
      <w:pPr>
        <w:pStyle w:val="25"/>
        <w:snapToGrid w:val="0"/>
        <w:spacing w:line="360" w:lineRule="auto"/>
        <w:ind w:firstLine="1717" w:firstLineChars="600"/>
        <w:rPr>
          <w:rFonts w:hint="eastAsia" w:hAnsi="宋体" w:eastAsia="宋体" w:cs="宋体"/>
          <w:b/>
          <w:bCs/>
          <w:color w:val="auto"/>
          <w:w w:val="95"/>
          <w:sz w:val="30"/>
          <w:szCs w:val="30"/>
          <w:highlight w:val="none"/>
          <w:lang w:eastAsia="zh-CN"/>
        </w:rPr>
      </w:pPr>
      <w:r>
        <w:rPr>
          <w:rFonts w:hint="eastAsia" w:hAnsi="宋体" w:cs="宋体"/>
          <w:b/>
          <w:bCs/>
          <w:color w:val="auto"/>
          <w:w w:val="95"/>
          <w:sz w:val="30"/>
          <w:szCs w:val="30"/>
          <w:highlight w:val="none"/>
        </w:rPr>
        <w:t>项目编号：</w:t>
      </w:r>
      <w:r>
        <w:rPr>
          <w:rFonts w:hint="eastAsia" w:hAnsi="宋体" w:cs="宋体"/>
          <w:b/>
          <w:bCs/>
          <w:color w:val="auto"/>
          <w:w w:val="95"/>
          <w:sz w:val="30"/>
          <w:szCs w:val="30"/>
          <w:highlight w:val="none"/>
          <w:lang w:eastAsia="zh-CN"/>
        </w:rPr>
        <w:t>GXZC2026-G1-002858-KWZB</w:t>
      </w:r>
    </w:p>
    <w:p w14:paraId="2A70803B">
      <w:pPr>
        <w:pStyle w:val="25"/>
        <w:snapToGrid w:val="0"/>
        <w:spacing w:line="360" w:lineRule="auto"/>
        <w:ind w:firstLine="1977" w:firstLineChars="691"/>
        <w:rPr>
          <w:rFonts w:hint="eastAsia" w:hAnsi="宋体" w:cs="宋体"/>
          <w:b/>
          <w:bCs/>
          <w:color w:val="auto"/>
          <w:w w:val="95"/>
          <w:sz w:val="30"/>
          <w:szCs w:val="30"/>
          <w:highlight w:val="none"/>
        </w:rPr>
      </w:pPr>
    </w:p>
    <w:p w14:paraId="3E77E58D">
      <w:pPr>
        <w:pStyle w:val="25"/>
        <w:snapToGrid w:val="0"/>
        <w:spacing w:line="360" w:lineRule="auto"/>
        <w:ind w:firstLine="1977" w:firstLineChars="691"/>
        <w:rPr>
          <w:rFonts w:hint="eastAsia" w:hAnsi="宋体" w:cs="宋体"/>
          <w:b/>
          <w:bCs/>
          <w:color w:val="auto"/>
          <w:w w:val="95"/>
          <w:sz w:val="30"/>
          <w:szCs w:val="30"/>
          <w:highlight w:val="none"/>
        </w:rPr>
      </w:pPr>
    </w:p>
    <w:p w14:paraId="288AF662">
      <w:pPr>
        <w:pStyle w:val="25"/>
        <w:snapToGrid w:val="0"/>
        <w:spacing w:line="360" w:lineRule="auto"/>
        <w:ind w:firstLine="1977" w:firstLineChars="691"/>
        <w:rPr>
          <w:rFonts w:hint="eastAsia" w:hAnsi="宋体" w:cs="宋体"/>
          <w:b/>
          <w:bCs/>
          <w:color w:val="auto"/>
          <w:w w:val="95"/>
          <w:sz w:val="30"/>
          <w:szCs w:val="30"/>
          <w:highlight w:val="none"/>
        </w:rPr>
      </w:pPr>
    </w:p>
    <w:p w14:paraId="26644765">
      <w:pPr>
        <w:pStyle w:val="25"/>
        <w:snapToGrid w:val="0"/>
        <w:spacing w:line="360" w:lineRule="auto"/>
        <w:ind w:firstLine="1977" w:firstLineChars="691"/>
        <w:rPr>
          <w:rFonts w:hint="eastAsia" w:hAnsi="宋体" w:cs="宋体"/>
          <w:b/>
          <w:bCs/>
          <w:color w:val="auto"/>
          <w:w w:val="95"/>
          <w:sz w:val="30"/>
          <w:szCs w:val="30"/>
          <w:highlight w:val="none"/>
        </w:rPr>
      </w:pPr>
      <w:r>
        <w:rPr>
          <w:rFonts w:hint="eastAsia" w:hAnsi="宋体" w:cs="宋体"/>
          <w:b/>
          <w:bCs/>
          <w:color w:val="auto"/>
          <w:w w:val="95"/>
          <w:sz w:val="30"/>
          <w:szCs w:val="30"/>
          <w:highlight w:val="none"/>
        </w:rPr>
        <w:t>采购人：广西壮族自治区梧州监狱</w:t>
      </w:r>
    </w:p>
    <w:p w14:paraId="65D43ABF">
      <w:pPr>
        <w:pStyle w:val="25"/>
        <w:snapToGrid w:val="0"/>
        <w:spacing w:line="360" w:lineRule="auto"/>
        <w:ind w:firstLine="1977" w:firstLineChars="691"/>
        <w:rPr>
          <w:rFonts w:hint="eastAsia" w:hAnsi="宋体" w:cs="宋体"/>
          <w:b/>
          <w:bCs/>
          <w:color w:val="auto"/>
          <w:w w:val="95"/>
          <w:sz w:val="30"/>
          <w:szCs w:val="30"/>
          <w:highlight w:val="none"/>
        </w:rPr>
      </w:pPr>
      <w:r>
        <w:rPr>
          <w:rFonts w:hint="eastAsia" w:hAnsi="宋体" w:cs="宋体"/>
          <w:b/>
          <w:bCs/>
          <w:color w:val="auto"/>
          <w:w w:val="95"/>
          <w:sz w:val="30"/>
          <w:szCs w:val="30"/>
          <w:highlight w:val="none"/>
        </w:rPr>
        <w:t>采购代理机构：广西科文招标有限公司</w:t>
      </w:r>
    </w:p>
    <w:p w14:paraId="6AD7ABD8">
      <w:pPr>
        <w:pStyle w:val="25"/>
        <w:snapToGrid w:val="0"/>
        <w:spacing w:line="360" w:lineRule="auto"/>
        <w:ind w:firstLine="1125" w:firstLineChars="393"/>
        <w:rPr>
          <w:rFonts w:hint="eastAsia" w:hAnsi="宋体" w:cs="宋体"/>
          <w:b/>
          <w:bCs/>
          <w:color w:val="auto"/>
          <w:w w:val="95"/>
          <w:sz w:val="30"/>
          <w:szCs w:val="30"/>
          <w:highlight w:val="none"/>
        </w:rPr>
      </w:pPr>
    </w:p>
    <w:p w14:paraId="6F7B2E59">
      <w:pPr>
        <w:pStyle w:val="25"/>
        <w:snapToGrid w:val="0"/>
        <w:spacing w:line="360" w:lineRule="auto"/>
        <w:jc w:val="center"/>
        <w:rPr>
          <w:rFonts w:hint="eastAsia" w:hAnsi="宋体" w:eastAsia="宋体" w:cs="宋体"/>
          <w:color w:val="auto"/>
          <w:sz w:val="40"/>
          <w:highlight w:val="none"/>
          <w:lang w:eastAsia="zh-CN"/>
        </w:rPr>
        <w:sectPr>
          <w:footerReference r:id="rId4" w:type="first"/>
          <w:headerReference r:id="rId3" w:type="default"/>
          <w:pgSz w:w="11906" w:h="16838"/>
          <w:pgMar w:top="1440" w:right="1080" w:bottom="1440" w:left="1080" w:header="851" w:footer="567" w:gutter="0"/>
          <w:pgNumType w:start="1"/>
          <w:cols w:space="720" w:num="1"/>
          <w:docGrid w:linePitch="312" w:charSpace="0"/>
        </w:sectPr>
      </w:pPr>
      <w:bookmarkStart w:id="152" w:name="_GoBack"/>
      <w:bookmarkEnd w:id="152"/>
      <w:r>
        <w:rPr>
          <w:rFonts w:hint="eastAsia" w:hAnsi="宋体" w:cs="宋体"/>
          <w:b/>
          <w:bCs/>
          <w:color w:val="auto"/>
          <w:w w:val="95"/>
          <w:sz w:val="30"/>
          <w:szCs w:val="30"/>
          <w:highlight w:val="none"/>
          <w:lang w:eastAsia="zh-CN"/>
        </w:rPr>
        <w:t>2026年9月1日</w:t>
      </w:r>
    </w:p>
    <w:p w14:paraId="6361F4F0">
      <w:pPr>
        <w:rPr>
          <w:rFonts w:hint="eastAsia" w:ascii="宋体" w:hAnsi="宋体" w:cs="宋体"/>
          <w:color w:val="auto"/>
          <w:highlight w:val="none"/>
        </w:rPr>
      </w:pPr>
    </w:p>
    <w:p w14:paraId="6553A076">
      <w:pPr>
        <w:rPr>
          <w:rFonts w:hint="eastAsia" w:ascii="宋体" w:hAnsi="宋体" w:cs="宋体"/>
          <w:color w:val="auto"/>
          <w:highlight w:val="none"/>
        </w:rPr>
      </w:pPr>
    </w:p>
    <w:p w14:paraId="3E3680ED">
      <w:pPr>
        <w:pStyle w:val="25"/>
        <w:spacing w:before="120" w:after="120" w:line="360" w:lineRule="auto"/>
        <w:jc w:val="center"/>
        <w:rPr>
          <w:rFonts w:hint="eastAsia" w:hAnsi="宋体" w:cs="宋体"/>
          <w:color w:val="auto"/>
          <w:highlight w:val="none"/>
        </w:rPr>
      </w:pPr>
    </w:p>
    <w:p w14:paraId="777CA555">
      <w:pPr>
        <w:spacing w:line="360" w:lineRule="auto"/>
        <w:jc w:val="center"/>
        <w:rPr>
          <w:rFonts w:hint="eastAsia" w:ascii="宋体" w:hAnsi="宋体" w:cs="宋体"/>
          <w:b/>
          <w:color w:val="auto"/>
          <w:sz w:val="44"/>
          <w:szCs w:val="44"/>
          <w:highlight w:val="none"/>
        </w:rPr>
      </w:pPr>
      <w:r>
        <w:rPr>
          <w:rFonts w:hint="eastAsia" w:ascii="宋体" w:hAnsi="宋体" w:cs="宋体"/>
          <w:b/>
          <w:color w:val="auto"/>
          <w:sz w:val="44"/>
          <w:szCs w:val="44"/>
          <w:highlight w:val="none"/>
        </w:rPr>
        <w:t>目  录</w:t>
      </w:r>
    </w:p>
    <w:p w14:paraId="6D76702B">
      <w:pPr>
        <w:pStyle w:val="33"/>
        <w:tabs>
          <w:tab w:val="right" w:leader="dot" w:pos="9746"/>
          <w:tab w:val="clear" w:pos="8398"/>
        </w:tabs>
        <w:spacing w:line="480" w:lineRule="auto"/>
        <w:ind w:firstLine="320"/>
        <w:rPr>
          <w:rFonts w:hint="eastAsia"/>
          <w:color w:val="auto"/>
          <w:sz w:val="32"/>
          <w:szCs w:val="32"/>
          <w:highlight w:val="none"/>
        </w:rPr>
      </w:pPr>
      <w:r>
        <w:rPr>
          <w:rFonts w:hint="eastAsia" w:cs="宋体"/>
          <w:b w:val="0"/>
          <w:color w:val="auto"/>
          <w:sz w:val="32"/>
          <w:szCs w:val="32"/>
          <w:highlight w:val="none"/>
        </w:rPr>
        <w:fldChar w:fldCharType="begin"/>
      </w:r>
      <w:r>
        <w:rPr>
          <w:rFonts w:hint="eastAsia" w:cs="宋体"/>
          <w:b w:val="0"/>
          <w:color w:val="auto"/>
          <w:sz w:val="32"/>
          <w:szCs w:val="32"/>
          <w:highlight w:val="none"/>
        </w:rPr>
        <w:instrText xml:space="preserve">TOC \o "1-2" \h \z \u</w:instrText>
      </w:r>
      <w:r>
        <w:rPr>
          <w:rFonts w:hint="eastAsia" w:cs="宋体"/>
          <w:b w:val="0"/>
          <w:color w:val="auto"/>
          <w:sz w:val="32"/>
          <w:szCs w:val="32"/>
          <w:highlight w:val="none"/>
        </w:rPr>
        <w:fldChar w:fldCharType="separate"/>
      </w:r>
      <w:r>
        <w:rPr>
          <w:color w:val="auto"/>
          <w:highlight w:val="none"/>
        </w:rPr>
        <w:fldChar w:fldCharType="begin"/>
      </w:r>
      <w:r>
        <w:rPr>
          <w:color w:val="auto"/>
          <w:highlight w:val="none"/>
        </w:rPr>
        <w:instrText xml:space="preserve"> HYPERLINK \l "_Toc7664" </w:instrText>
      </w:r>
      <w:r>
        <w:rPr>
          <w:color w:val="auto"/>
          <w:highlight w:val="none"/>
        </w:rPr>
        <w:fldChar w:fldCharType="separate"/>
      </w:r>
      <w:r>
        <w:rPr>
          <w:rFonts w:hint="eastAsia" w:cs="宋体"/>
          <w:color w:val="auto"/>
          <w:sz w:val="32"/>
          <w:szCs w:val="32"/>
          <w:highlight w:val="none"/>
        </w:rPr>
        <w:t>第一章  招标公告</w:t>
      </w:r>
      <w:r>
        <w:rPr>
          <w:color w:val="auto"/>
          <w:sz w:val="32"/>
          <w:szCs w:val="32"/>
          <w:highlight w:val="none"/>
        </w:rPr>
        <w:tab/>
      </w:r>
      <w:r>
        <w:rPr>
          <w:color w:val="auto"/>
          <w:sz w:val="32"/>
          <w:szCs w:val="32"/>
          <w:highlight w:val="none"/>
        </w:rPr>
        <w:fldChar w:fldCharType="begin"/>
      </w:r>
      <w:r>
        <w:rPr>
          <w:color w:val="auto"/>
          <w:sz w:val="32"/>
          <w:szCs w:val="32"/>
          <w:highlight w:val="none"/>
        </w:rPr>
        <w:instrText xml:space="preserve"> PAGEREF _Toc7664 \h </w:instrText>
      </w:r>
      <w:r>
        <w:rPr>
          <w:color w:val="auto"/>
          <w:sz w:val="32"/>
          <w:szCs w:val="32"/>
          <w:highlight w:val="none"/>
        </w:rPr>
        <w:fldChar w:fldCharType="separate"/>
      </w:r>
      <w:r>
        <w:rPr>
          <w:color w:val="auto"/>
          <w:sz w:val="32"/>
          <w:szCs w:val="32"/>
          <w:highlight w:val="none"/>
        </w:rPr>
        <w:t>2</w:t>
      </w:r>
      <w:r>
        <w:rPr>
          <w:color w:val="auto"/>
          <w:sz w:val="32"/>
          <w:szCs w:val="32"/>
          <w:highlight w:val="none"/>
        </w:rPr>
        <w:fldChar w:fldCharType="end"/>
      </w:r>
      <w:r>
        <w:rPr>
          <w:color w:val="auto"/>
          <w:sz w:val="32"/>
          <w:szCs w:val="32"/>
          <w:highlight w:val="none"/>
        </w:rPr>
        <w:fldChar w:fldCharType="end"/>
      </w:r>
    </w:p>
    <w:p w14:paraId="4639C633">
      <w:pPr>
        <w:pStyle w:val="33"/>
        <w:tabs>
          <w:tab w:val="right" w:leader="dot" w:pos="9746"/>
          <w:tab w:val="clear" w:pos="8398"/>
        </w:tabs>
        <w:spacing w:line="480" w:lineRule="auto"/>
        <w:ind w:firstLine="321"/>
        <w:rPr>
          <w:rFonts w:hint="eastAsia"/>
          <w:color w:val="auto"/>
          <w:sz w:val="32"/>
          <w:szCs w:val="32"/>
          <w:highlight w:val="none"/>
        </w:rPr>
      </w:pPr>
      <w:r>
        <w:rPr>
          <w:color w:val="auto"/>
          <w:highlight w:val="none"/>
        </w:rPr>
        <w:fldChar w:fldCharType="begin"/>
      </w:r>
      <w:r>
        <w:rPr>
          <w:color w:val="auto"/>
          <w:highlight w:val="none"/>
        </w:rPr>
        <w:instrText xml:space="preserve"> HYPERLINK \l "_Toc16028" </w:instrText>
      </w:r>
      <w:r>
        <w:rPr>
          <w:color w:val="auto"/>
          <w:highlight w:val="none"/>
        </w:rPr>
        <w:fldChar w:fldCharType="separate"/>
      </w:r>
      <w:r>
        <w:rPr>
          <w:rFonts w:hint="eastAsia" w:cs="宋体"/>
          <w:color w:val="auto"/>
          <w:sz w:val="32"/>
          <w:szCs w:val="32"/>
          <w:highlight w:val="none"/>
        </w:rPr>
        <w:t>第二章  采购需求</w:t>
      </w:r>
      <w:r>
        <w:rPr>
          <w:color w:val="auto"/>
          <w:sz w:val="32"/>
          <w:szCs w:val="32"/>
          <w:highlight w:val="none"/>
        </w:rPr>
        <w:tab/>
      </w:r>
      <w:r>
        <w:rPr>
          <w:color w:val="auto"/>
          <w:sz w:val="32"/>
          <w:szCs w:val="32"/>
          <w:highlight w:val="none"/>
        </w:rPr>
        <w:fldChar w:fldCharType="begin"/>
      </w:r>
      <w:r>
        <w:rPr>
          <w:color w:val="auto"/>
          <w:sz w:val="32"/>
          <w:szCs w:val="32"/>
          <w:highlight w:val="none"/>
        </w:rPr>
        <w:instrText xml:space="preserve"> PAGEREF _Toc16028 \h </w:instrText>
      </w:r>
      <w:r>
        <w:rPr>
          <w:color w:val="auto"/>
          <w:sz w:val="32"/>
          <w:szCs w:val="32"/>
          <w:highlight w:val="none"/>
        </w:rPr>
        <w:fldChar w:fldCharType="separate"/>
      </w:r>
      <w:r>
        <w:rPr>
          <w:color w:val="auto"/>
          <w:sz w:val="32"/>
          <w:szCs w:val="32"/>
          <w:highlight w:val="none"/>
        </w:rPr>
        <w:t>7</w:t>
      </w:r>
      <w:r>
        <w:rPr>
          <w:color w:val="auto"/>
          <w:sz w:val="32"/>
          <w:szCs w:val="32"/>
          <w:highlight w:val="none"/>
        </w:rPr>
        <w:fldChar w:fldCharType="end"/>
      </w:r>
      <w:r>
        <w:rPr>
          <w:color w:val="auto"/>
          <w:sz w:val="32"/>
          <w:szCs w:val="32"/>
          <w:highlight w:val="none"/>
        </w:rPr>
        <w:fldChar w:fldCharType="end"/>
      </w:r>
    </w:p>
    <w:p w14:paraId="6B24B8FF">
      <w:pPr>
        <w:pStyle w:val="33"/>
        <w:tabs>
          <w:tab w:val="right" w:leader="dot" w:pos="9746"/>
          <w:tab w:val="clear" w:pos="8398"/>
        </w:tabs>
        <w:spacing w:line="480" w:lineRule="auto"/>
        <w:ind w:firstLine="321"/>
        <w:rPr>
          <w:rFonts w:hint="eastAsia"/>
          <w:color w:val="auto"/>
          <w:sz w:val="32"/>
          <w:szCs w:val="32"/>
          <w:highlight w:val="none"/>
        </w:rPr>
      </w:pPr>
      <w:r>
        <w:rPr>
          <w:color w:val="auto"/>
          <w:highlight w:val="none"/>
        </w:rPr>
        <w:fldChar w:fldCharType="begin"/>
      </w:r>
      <w:r>
        <w:rPr>
          <w:color w:val="auto"/>
          <w:highlight w:val="none"/>
        </w:rPr>
        <w:instrText xml:space="preserve"> HYPERLINK \l "_Toc30470" </w:instrText>
      </w:r>
      <w:r>
        <w:rPr>
          <w:color w:val="auto"/>
          <w:highlight w:val="none"/>
        </w:rPr>
        <w:fldChar w:fldCharType="separate"/>
      </w:r>
      <w:r>
        <w:rPr>
          <w:rFonts w:hint="eastAsia" w:cs="宋体"/>
          <w:color w:val="auto"/>
          <w:sz w:val="32"/>
          <w:szCs w:val="32"/>
          <w:highlight w:val="none"/>
        </w:rPr>
        <w:t>第三章  投标人须知</w:t>
      </w:r>
      <w:r>
        <w:rPr>
          <w:color w:val="auto"/>
          <w:sz w:val="32"/>
          <w:szCs w:val="32"/>
          <w:highlight w:val="none"/>
        </w:rPr>
        <w:tab/>
      </w:r>
      <w:r>
        <w:rPr>
          <w:color w:val="auto"/>
          <w:sz w:val="32"/>
          <w:szCs w:val="32"/>
          <w:highlight w:val="none"/>
        </w:rPr>
        <w:fldChar w:fldCharType="begin"/>
      </w:r>
      <w:r>
        <w:rPr>
          <w:color w:val="auto"/>
          <w:sz w:val="32"/>
          <w:szCs w:val="32"/>
          <w:highlight w:val="none"/>
        </w:rPr>
        <w:instrText xml:space="preserve"> PAGEREF _Toc30470 \h </w:instrText>
      </w:r>
      <w:r>
        <w:rPr>
          <w:color w:val="auto"/>
          <w:sz w:val="32"/>
          <w:szCs w:val="32"/>
          <w:highlight w:val="none"/>
        </w:rPr>
        <w:fldChar w:fldCharType="separate"/>
      </w:r>
      <w:r>
        <w:rPr>
          <w:color w:val="auto"/>
          <w:sz w:val="32"/>
          <w:szCs w:val="32"/>
          <w:highlight w:val="none"/>
        </w:rPr>
        <w:t>35</w:t>
      </w:r>
      <w:r>
        <w:rPr>
          <w:color w:val="auto"/>
          <w:sz w:val="32"/>
          <w:szCs w:val="32"/>
          <w:highlight w:val="none"/>
        </w:rPr>
        <w:fldChar w:fldCharType="end"/>
      </w:r>
      <w:r>
        <w:rPr>
          <w:color w:val="auto"/>
          <w:sz w:val="32"/>
          <w:szCs w:val="32"/>
          <w:highlight w:val="none"/>
        </w:rPr>
        <w:fldChar w:fldCharType="end"/>
      </w:r>
    </w:p>
    <w:p w14:paraId="6F711D46">
      <w:pPr>
        <w:pStyle w:val="33"/>
        <w:tabs>
          <w:tab w:val="right" w:leader="dot" w:pos="9746"/>
          <w:tab w:val="clear" w:pos="8398"/>
        </w:tabs>
        <w:spacing w:line="480" w:lineRule="auto"/>
        <w:ind w:firstLine="321"/>
        <w:rPr>
          <w:rFonts w:hint="eastAsia"/>
          <w:color w:val="auto"/>
          <w:sz w:val="32"/>
          <w:szCs w:val="32"/>
          <w:highlight w:val="none"/>
        </w:rPr>
      </w:pPr>
      <w:r>
        <w:rPr>
          <w:color w:val="auto"/>
          <w:highlight w:val="none"/>
        </w:rPr>
        <w:fldChar w:fldCharType="begin"/>
      </w:r>
      <w:r>
        <w:rPr>
          <w:color w:val="auto"/>
          <w:highlight w:val="none"/>
        </w:rPr>
        <w:instrText xml:space="preserve"> HYPERLINK \l "_Toc25073" </w:instrText>
      </w:r>
      <w:r>
        <w:rPr>
          <w:color w:val="auto"/>
          <w:highlight w:val="none"/>
        </w:rPr>
        <w:fldChar w:fldCharType="separate"/>
      </w:r>
      <w:r>
        <w:rPr>
          <w:rFonts w:hint="eastAsia" w:cs="宋体"/>
          <w:color w:val="auto"/>
          <w:sz w:val="32"/>
          <w:szCs w:val="32"/>
          <w:highlight w:val="none"/>
        </w:rPr>
        <w:t>第四章  评标方法及评标标准</w:t>
      </w:r>
      <w:r>
        <w:rPr>
          <w:color w:val="auto"/>
          <w:sz w:val="32"/>
          <w:szCs w:val="32"/>
          <w:highlight w:val="none"/>
        </w:rPr>
        <w:tab/>
      </w:r>
      <w:r>
        <w:rPr>
          <w:color w:val="auto"/>
          <w:sz w:val="32"/>
          <w:szCs w:val="32"/>
          <w:highlight w:val="none"/>
        </w:rPr>
        <w:fldChar w:fldCharType="begin"/>
      </w:r>
      <w:r>
        <w:rPr>
          <w:color w:val="auto"/>
          <w:sz w:val="32"/>
          <w:szCs w:val="32"/>
          <w:highlight w:val="none"/>
        </w:rPr>
        <w:instrText xml:space="preserve"> PAGEREF _Toc25073 \h </w:instrText>
      </w:r>
      <w:r>
        <w:rPr>
          <w:color w:val="auto"/>
          <w:sz w:val="32"/>
          <w:szCs w:val="32"/>
          <w:highlight w:val="none"/>
        </w:rPr>
        <w:fldChar w:fldCharType="separate"/>
      </w:r>
      <w:r>
        <w:rPr>
          <w:color w:val="auto"/>
          <w:sz w:val="32"/>
          <w:szCs w:val="32"/>
          <w:highlight w:val="none"/>
        </w:rPr>
        <w:t>57</w:t>
      </w:r>
      <w:r>
        <w:rPr>
          <w:color w:val="auto"/>
          <w:sz w:val="32"/>
          <w:szCs w:val="32"/>
          <w:highlight w:val="none"/>
        </w:rPr>
        <w:fldChar w:fldCharType="end"/>
      </w:r>
      <w:r>
        <w:rPr>
          <w:color w:val="auto"/>
          <w:sz w:val="32"/>
          <w:szCs w:val="32"/>
          <w:highlight w:val="none"/>
        </w:rPr>
        <w:fldChar w:fldCharType="end"/>
      </w:r>
    </w:p>
    <w:p w14:paraId="1EEE4C1E">
      <w:pPr>
        <w:pStyle w:val="33"/>
        <w:tabs>
          <w:tab w:val="right" w:leader="dot" w:pos="9746"/>
          <w:tab w:val="clear" w:pos="8398"/>
        </w:tabs>
        <w:spacing w:line="480" w:lineRule="auto"/>
        <w:ind w:firstLine="321"/>
        <w:rPr>
          <w:rFonts w:hint="eastAsia"/>
          <w:color w:val="auto"/>
          <w:sz w:val="32"/>
          <w:szCs w:val="32"/>
          <w:highlight w:val="none"/>
        </w:rPr>
      </w:pPr>
      <w:r>
        <w:rPr>
          <w:color w:val="auto"/>
          <w:highlight w:val="none"/>
        </w:rPr>
        <w:fldChar w:fldCharType="begin"/>
      </w:r>
      <w:r>
        <w:rPr>
          <w:color w:val="auto"/>
          <w:highlight w:val="none"/>
        </w:rPr>
        <w:instrText xml:space="preserve"> HYPERLINK \l "_Toc4235" </w:instrText>
      </w:r>
      <w:r>
        <w:rPr>
          <w:color w:val="auto"/>
          <w:highlight w:val="none"/>
        </w:rPr>
        <w:fldChar w:fldCharType="separate"/>
      </w:r>
      <w:r>
        <w:rPr>
          <w:rFonts w:hint="eastAsia" w:cs="宋体"/>
          <w:color w:val="auto"/>
          <w:sz w:val="32"/>
          <w:szCs w:val="32"/>
          <w:highlight w:val="none"/>
        </w:rPr>
        <w:t>第五章  拟签订的合同文本</w:t>
      </w:r>
      <w:r>
        <w:rPr>
          <w:color w:val="auto"/>
          <w:sz w:val="32"/>
          <w:szCs w:val="32"/>
          <w:highlight w:val="none"/>
        </w:rPr>
        <w:tab/>
      </w:r>
      <w:r>
        <w:rPr>
          <w:color w:val="auto"/>
          <w:sz w:val="32"/>
          <w:szCs w:val="32"/>
          <w:highlight w:val="none"/>
        </w:rPr>
        <w:fldChar w:fldCharType="begin"/>
      </w:r>
      <w:r>
        <w:rPr>
          <w:color w:val="auto"/>
          <w:sz w:val="32"/>
          <w:szCs w:val="32"/>
          <w:highlight w:val="none"/>
        </w:rPr>
        <w:instrText xml:space="preserve"> PAGEREF _Toc4235 \h </w:instrText>
      </w:r>
      <w:r>
        <w:rPr>
          <w:color w:val="auto"/>
          <w:sz w:val="32"/>
          <w:szCs w:val="32"/>
          <w:highlight w:val="none"/>
        </w:rPr>
        <w:fldChar w:fldCharType="separate"/>
      </w:r>
      <w:r>
        <w:rPr>
          <w:color w:val="auto"/>
          <w:sz w:val="32"/>
          <w:szCs w:val="32"/>
          <w:highlight w:val="none"/>
        </w:rPr>
        <w:t>67</w:t>
      </w:r>
      <w:r>
        <w:rPr>
          <w:color w:val="auto"/>
          <w:sz w:val="32"/>
          <w:szCs w:val="32"/>
          <w:highlight w:val="none"/>
        </w:rPr>
        <w:fldChar w:fldCharType="end"/>
      </w:r>
      <w:r>
        <w:rPr>
          <w:color w:val="auto"/>
          <w:sz w:val="32"/>
          <w:szCs w:val="32"/>
          <w:highlight w:val="none"/>
        </w:rPr>
        <w:fldChar w:fldCharType="end"/>
      </w:r>
    </w:p>
    <w:p w14:paraId="16D947DF">
      <w:pPr>
        <w:pStyle w:val="33"/>
        <w:tabs>
          <w:tab w:val="right" w:leader="dot" w:pos="9746"/>
          <w:tab w:val="clear" w:pos="8398"/>
        </w:tabs>
        <w:spacing w:line="480" w:lineRule="auto"/>
        <w:ind w:firstLine="321"/>
        <w:rPr>
          <w:rFonts w:hint="eastAsia"/>
          <w:color w:val="auto"/>
          <w:sz w:val="32"/>
          <w:szCs w:val="32"/>
          <w:highlight w:val="none"/>
        </w:rPr>
      </w:pPr>
      <w:r>
        <w:rPr>
          <w:color w:val="auto"/>
          <w:highlight w:val="none"/>
        </w:rPr>
        <w:fldChar w:fldCharType="begin"/>
      </w:r>
      <w:r>
        <w:rPr>
          <w:color w:val="auto"/>
          <w:highlight w:val="none"/>
        </w:rPr>
        <w:instrText xml:space="preserve"> HYPERLINK \l "_Toc28667" </w:instrText>
      </w:r>
      <w:r>
        <w:rPr>
          <w:color w:val="auto"/>
          <w:highlight w:val="none"/>
        </w:rPr>
        <w:fldChar w:fldCharType="separate"/>
      </w:r>
      <w:r>
        <w:rPr>
          <w:rFonts w:hint="eastAsia" w:cs="宋体"/>
          <w:color w:val="auto"/>
          <w:sz w:val="32"/>
          <w:szCs w:val="32"/>
          <w:highlight w:val="none"/>
        </w:rPr>
        <w:t>第六章  投标文件格式</w:t>
      </w:r>
      <w:r>
        <w:rPr>
          <w:color w:val="auto"/>
          <w:sz w:val="32"/>
          <w:szCs w:val="32"/>
          <w:highlight w:val="none"/>
        </w:rPr>
        <w:tab/>
      </w:r>
      <w:r>
        <w:rPr>
          <w:color w:val="auto"/>
          <w:sz w:val="32"/>
          <w:szCs w:val="32"/>
          <w:highlight w:val="none"/>
        </w:rPr>
        <w:fldChar w:fldCharType="begin"/>
      </w:r>
      <w:r>
        <w:rPr>
          <w:color w:val="auto"/>
          <w:sz w:val="32"/>
          <w:szCs w:val="32"/>
          <w:highlight w:val="none"/>
        </w:rPr>
        <w:instrText xml:space="preserve"> PAGEREF _Toc28667 \h </w:instrText>
      </w:r>
      <w:r>
        <w:rPr>
          <w:color w:val="auto"/>
          <w:sz w:val="32"/>
          <w:szCs w:val="32"/>
          <w:highlight w:val="none"/>
        </w:rPr>
        <w:fldChar w:fldCharType="separate"/>
      </w:r>
      <w:r>
        <w:rPr>
          <w:color w:val="auto"/>
          <w:sz w:val="32"/>
          <w:szCs w:val="32"/>
          <w:highlight w:val="none"/>
        </w:rPr>
        <w:t>74</w:t>
      </w:r>
      <w:r>
        <w:rPr>
          <w:color w:val="auto"/>
          <w:sz w:val="32"/>
          <w:szCs w:val="32"/>
          <w:highlight w:val="none"/>
        </w:rPr>
        <w:fldChar w:fldCharType="end"/>
      </w:r>
      <w:r>
        <w:rPr>
          <w:color w:val="auto"/>
          <w:sz w:val="32"/>
          <w:szCs w:val="32"/>
          <w:highlight w:val="none"/>
        </w:rPr>
        <w:fldChar w:fldCharType="end"/>
      </w:r>
    </w:p>
    <w:p w14:paraId="637802AB">
      <w:pPr>
        <w:spacing w:before="120" w:beforeLines="50" w:line="480" w:lineRule="auto"/>
        <w:ind w:firstLine="838" w:firstLineChars="262"/>
        <w:rPr>
          <w:rFonts w:hint="eastAsia" w:ascii="宋体" w:hAnsi="宋体" w:cs="宋体"/>
          <w:color w:val="auto"/>
          <w:sz w:val="24"/>
          <w:highlight w:val="none"/>
        </w:rPr>
      </w:pPr>
      <w:r>
        <w:rPr>
          <w:rFonts w:hint="eastAsia" w:ascii="宋体" w:hAnsi="宋体" w:cs="宋体"/>
          <w:color w:val="auto"/>
          <w:sz w:val="32"/>
          <w:szCs w:val="32"/>
          <w:highlight w:val="none"/>
        </w:rPr>
        <w:fldChar w:fldCharType="end"/>
      </w:r>
    </w:p>
    <w:p w14:paraId="160A3115">
      <w:pPr>
        <w:spacing w:before="120" w:beforeLines="50" w:line="480" w:lineRule="exact"/>
        <w:rPr>
          <w:rFonts w:hint="eastAsia" w:ascii="宋体" w:hAnsi="宋体" w:cs="宋体"/>
          <w:color w:val="auto"/>
          <w:sz w:val="30"/>
          <w:highlight w:val="none"/>
        </w:rPr>
      </w:pPr>
    </w:p>
    <w:p w14:paraId="731F0DD8">
      <w:pPr>
        <w:rPr>
          <w:rFonts w:hint="eastAsia" w:ascii="宋体" w:hAnsi="宋体" w:cs="宋体"/>
          <w:color w:val="auto"/>
          <w:highlight w:val="none"/>
        </w:rPr>
      </w:pPr>
    </w:p>
    <w:p w14:paraId="428CC728">
      <w:pPr>
        <w:spacing w:before="120" w:beforeLines="50" w:line="480" w:lineRule="exact"/>
        <w:rPr>
          <w:rFonts w:hint="eastAsia" w:ascii="宋体" w:hAnsi="宋体" w:cs="宋体"/>
          <w:color w:val="auto"/>
          <w:sz w:val="30"/>
          <w:highlight w:val="none"/>
        </w:rPr>
      </w:pPr>
    </w:p>
    <w:p w14:paraId="75D0B6E7">
      <w:pPr>
        <w:spacing w:before="120" w:beforeLines="50" w:line="480" w:lineRule="exact"/>
        <w:rPr>
          <w:rFonts w:hint="eastAsia" w:ascii="宋体" w:hAnsi="宋体" w:cs="宋体"/>
          <w:color w:val="auto"/>
          <w:sz w:val="30"/>
          <w:highlight w:val="none"/>
        </w:rPr>
      </w:pPr>
    </w:p>
    <w:p w14:paraId="2D3A64B9">
      <w:pPr>
        <w:pStyle w:val="18"/>
        <w:rPr>
          <w:rFonts w:hint="eastAsia" w:ascii="宋体" w:hAnsi="宋体" w:cs="宋体"/>
          <w:b/>
          <w:bCs/>
          <w:color w:val="auto"/>
          <w:highlight w:val="none"/>
        </w:rPr>
      </w:pPr>
      <w:bookmarkStart w:id="0" w:name="_Toc254970489"/>
      <w:bookmarkStart w:id="1" w:name="_Toc254970630"/>
    </w:p>
    <w:p w14:paraId="539C68DD">
      <w:pPr>
        <w:pStyle w:val="4"/>
        <w:keepNext w:val="0"/>
        <w:keepLines w:val="0"/>
        <w:tabs>
          <w:tab w:val="left" w:pos="0"/>
          <w:tab w:val="left" w:pos="3165"/>
          <w:tab w:val="center" w:pos="4153"/>
        </w:tabs>
        <w:autoSpaceDE w:val="0"/>
        <w:autoSpaceDN w:val="0"/>
        <w:adjustRightInd w:val="0"/>
        <w:spacing w:before="0" w:after="0" w:line="360" w:lineRule="auto"/>
        <w:jc w:val="center"/>
        <w:rPr>
          <w:rFonts w:hint="eastAsia" w:ascii="宋体" w:hAnsi="宋体" w:cs="宋体"/>
          <w:color w:val="auto"/>
          <w:highlight w:val="none"/>
        </w:rPr>
      </w:pPr>
      <w:r>
        <w:rPr>
          <w:rFonts w:hint="eastAsia" w:ascii="宋体" w:hAnsi="宋体" w:cs="宋体"/>
          <w:b w:val="0"/>
          <w:bCs w:val="0"/>
          <w:color w:val="auto"/>
          <w:highlight w:val="none"/>
        </w:rPr>
        <w:br w:type="page"/>
      </w:r>
      <w:bookmarkStart w:id="2" w:name="_Toc7664"/>
      <w:r>
        <w:rPr>
          <w:rFonts w:hint="eastAsia" w:ascii="宋体" w:hAnsi="宋体" w:cs="宋体"/>
          <w:color w:val="auto"/>
          <w:highlight w:val="none"/>
        </w:rPr>
        <w:t>第一章</w:t>
      </w:r>
      <w:bookmarkEnd w:id="0"/>
      <w:bookmarkEnd w:id="1"/>
      <w:bookmarkStart w:id="3" w:name="_Toc35393789"/>
      <w:bookmarkStart w:id="4" w:name="_Toc28359001"/>
      <w:r>
        <w:rPr>
          <w:rFonts w:hint="eastAsia" w:ascii="宋体" w:hAnsi="宋体" w:cs="宋体"/>
          <w:color w:val="auto"/>
          <w:highlight w:val="none"/>
        </w:rPr>
        <w:t xml:space="preserve"> 招标公告</w:t>
      </w:r>
      <w:bookmarkEnd w:id="2"/>
      <w:bookmarkEnd w:id="3"/>
      <w:bookmarkEnd w:id="4"/>
    </w:p>
    <w:p w14:paraId="4F9B5FD7">
      <w:pPr>
        <w:pStyle w:val="4"/>
        <w:tabs>
          <w:tab w:val="left" w:pos="0"/>
          <w:tab w:val="left" w:pos="3165"/>
          <w:tab w:val="center" w:pos="4153"/>
        </w:tabs>
        <w:autoSpaceDE w:val="0"/>
        <w:autoSpaceDN w:val="0"/>
        <w:adjustRightInd w:val="0"/>
        <w:spacing w:before="0" w:after="0" w:line="500" w:lineRule="exact"/>
        <w:jc w:val="center"/>
        <w:rPr>
          <w:rFonts w:hint="eastAsia" w:ascii="宋体" w:hAnsi="宋体" w:cs="宋体"/>
          <w:bCs w:val="0"/>
          <w:color w:val="auto"/>
          <w:kern w:val="2"/>
          <w:sz w:val="28"/>
          <w:szCs w:val="36"/>
          <w:highlight w:val="none"/>
        </w:rPr>
      </w:pPr>
      <w:bookmarkStart w:id="5" w:name="_Toc22463"/>
      <w:r>
        <w:rPr>
          <w:rFonts w:hint="eastAsia" w:ascii="宋体" w:hAnsi="宋体" w:cs="宋体"/>
          <w:bCs w:val="0"/>
          <w:color w:val="auto"/>
          <w:kern w:val="2"/>
          <w:sz w:val="28"/>
          <w:szCs w:val="36"/>
          <w:highlight w:val="none"/>
        </w:rPr>
        <w:t>广西科文招标有限公司关于2026年梧州监狱罪犯生活物资采购项目（</w:t>
      </w:r>
      <w:r>
        <w:rPr>
          <w:rFonts w:hint="eastAsia" w:ascii="宋体" w:hAnsi="宋体" w:cs="宋体"/>
          <w:bCs w:val="0"/>
          <w:color w:val="auto"/>
          <w:kern w:val="2"/>
          <w:sz w:val="28"/>
          <w:szCs w:val="36"/>
          <w:highlight w:val="none"/>
          <w:lang w:eastAsia="zh-CN"/>
        </w:rPr>
        <w:t>GXZC2026-G1-002858-KWZB</w:t>
      </w:r>
      <w:r>
        <w:rPr>
          <w:rFonts w:hint="eastAsia" w:ascii="宋体" w:hAnsi="宋体" w:cs="宋体"/>
          <w:bCs w:val="0"/>
          <w:color w:val="auto"/>
          <w:kern w:val="2"/>
          <w:sz w:val="28"/>
          <w:szCs w:val="36"/>
          <w:highlight w:val="none"/>
        </w:rPr>
        <w:t>）</w:t>
      </w:r>
      <w:bookmarkEnd w:id="5"/>
    </w:p>
    <w:p w14:paraId="45161319">
      <w:pPr>
        <w:pStyle w:val="4"/>
        <w:tabs>
          <w:tab w:val="left" w:pos="0"/>
          <w:tab w:val="left" w:pos="3165"/>
          <w:tab w:val="center" w:pos="4153"/>
        </w:tabs>
        <w:autoSpaceDE w:val="0"/>
        <w:autoSpaceDN w:val="0"/>
        <w:adjustRightInd w:val="0"/>
        <w:spacing w:before="0" w:after="0" w:line="500" w:lineRule="exact"/>
        <w:jc w:val="center"/>
        <w:rPr>
          <w:rFonts w:hint="eastAsia" w:ascii="宋体" w:hAnsi="宋体" w:cs="宋体"/>
          <w:color w:val="auto"/>
          <w:sz w:val="36"/>
          <w:szCs w:val="21"/>
          <w:highlight w:val="none"/>
        </w:rPr>
      </w:pPr>
      <w:bookmarkStart w:id="6" w:name="_Toc9051"/>
      <w:r>
        <w:rPr>
          <w:rFonts w:hint="eastAsia" w:ascii="宋体" w:hAnsi="宋体" w:cs="宋体"/>
          <w:bCs w:val="0"/>
          <w:color w:val="auto"/>
          <w:kern w:val="2"/>
          <w:sz w:val="28"/>
          <w:szCs w:val="36"/>
          <w:highlight w:val="none"/>
        </w:rPr>
        <w:t>公开招标公告</w:t>
      </w:r>
      <w:bookmarkEnd w:id="6"/>
    </w:p>
    <w:p w14:paraId="29D6EF39">
      <w:pPr>
        <w:spacing w:line="380" w:lineRule="exact"/>
        <w:rPr>
          <w:rFonts w:hint="eastAsia" w:ascii="宋体" w:hAnsi="宋体" w:cs="宋体"/>
          <w:color w:val="auto"/>
          <w:szCs w:val="21"/>
          <w:highlight w:val="none"/>
        </w:rPr>
      </w:pPr>
    </w:p>
    <w:p w14:paraId="1F76FA58">
      <w:pPr>
        <w:pBdr>
          <w:top w:val="single" w:color="auto" w:sz="4" w:space="1"/>
          <w:left w:val="single" w:color="auto" w:sz="4" w:space="4"/>
          <w:bottom w:val="single" w:color="auto" w:sz="4" w:space="1"/>
          <w:right w:val="single" w:color="auto" w:sz="4" w:space="14"/>
        </w:pBd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项目概况</w:t>
      </w:r>
    </w:p>
    <w:p w14:paraId="38B3C976">
      <w:pPr>
        <w:pBdr>
          <w:top w:val="single" w:color="auto" w:sz="4" w:space="1"/>
          <w:left w:val="single" w:color="auto" w:sz="4" w:space="4"/>
          <w:bottom w:val="single" w:color="auto" w:sz="4" w:space="1"/>
          <w:right w:val="single" w:color="auto" w:sz="4" w:space="14"/>
        </w:pBd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u w:val="single"/>
        </w:rPr>
        <w:t>2026年梧州监狱罪犯生活物资采购项目</w:t>
      </w:r>
      <w:r>
        <w:rPr>
          <w:rFonts w:hint="eastAsia" w:ascii="宋体" w:hAnsi="宋体" w:cs="宋体"/>
          <w:color w:val="auto"/>
          <w:szCs w:val="21"/>
          <w:highlight w:val="none"/>
          <w:u w:val="none"/>
        </w:rPr>
        <w:t>招标项目</w:t>
      </w:r>
      <w:r>
        <w:rPr>
          <w:rFonts w:hint="eastAsia" w:ascii="宋体" w:hAnsi="宋体" w:cs="宋体"/>
          <w:color w:val="auto"/>
          <w:szCs w:val="21"/>
          <w:highlight w:val="none"/>
        </w:rPr>
        <w:t>的潜在供应商应在广西政府采购云平台（https://www.gcy.zfcg.gxzf.gov.cn/）获取(下载)招标文件，并于</w:t>
      </w:r>
      <w:r>
        <w:rPr>
          <w:rFonts w:hint="eastAsia" w:ascii="宋体" w:hAnsi="宋体" w:cs="宋体"/>
          <w:color w:val="auto"/>
          <w:szCs w:val="21"/>
          <w:highlight w:val="none"/>
          <w:u w:val="single"/>
          <w:lang w:eastAsia="zh-CN"/>
        </w:rPr>
        <w:t>2026年9月23日</w:t>
      </w:r>
      <w:r>
        <w:rPr>
          <w:rFonts w:hint="eastAsia" w:ascii="宋体" w:hAnsi="宋体" w:cs="宋体"/>
          <w:color w:val="auto"/>
          <w:szCs w:val="21"/>
          <w:highlight w:val="none"/>
          <w:u w:val="single"/>
        </w:rPr>
        <w:t>09点30分</w:t>
      </w:r>
      <w:r>
        <w:rPr>
          <w:rFonts w:hint="eastAsia" w:ascii="宋体" w:hAnsi="宋体" w:cs="宋体"/>
          <w:color w:val="auto"/>
          <w:szCs w:val="21"/>
          <w:highlight w:val="none"/>
        </w:rPr>
        <w:t>（北京时间）前提交投标文件。</w:t>
      </w:r>
    </w:p>
    <w:p w14:paraId="0E0711B3">
      <w:pPr>
        <w:spacing w:line="380" w:lineRule="exact"/>
        <w:rPr>
          <w:rFonts w:hint="eastAsia" w:ascii="宋体" w:hAnsi="宋体" w:cs="宋体"/>
          <w:b/>
          <w:bCs/>
          <w:color w:val="auto"/>
          <w:szCs w:val="21"/>
          <w:highlight w:val="none"/>
        </w:rPr>
      </w:pPr>
      <w:bookmarkStart w:id="7" w:name="_Toc28359002"/>
      <w:bookmarkStart w:id="8" w:name="_Toc35393621"/>
      <w:bookmarkStart w:id="9" w:name="_Toc35393790"/>
      <w:bookmarkStart w:id="10" w:name="_Toc28359079"/>
      <w:bookmarkStart w:id="11" w:name="_Hlk24379207"/>
      <w:r>
        <w:rPr>
          <w:rFonts w:hint="eastAsia" w:ascii="宋体" w:hAnsi="宋体" w:cs="宋体"/>
          <w:b/>
          <w:bCs/>
          <w:color w:val="auto"/>
          <w:szCs w:val="21"/>
          <w:highlight w:val="none"/>
        </w:rPr>
        <w:t>一、项目基本情况</w:t>
      </w:r>
      <w:bookmarkEnd w:id="7"/>
      <w:bookmarkEnd w:id="8"/>
      <w:bookmarkEnd w:id="9"/>
      <w:bookmarkEnd w:id="10"/>
    </w:p>
    <w:p w14:paraId="356E281D">
      <w:pPr>
        <w:spacing w:line="38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项目编号：</w:t>
      </w:r>
      <w:r>
        <w:rPr>
          <w:rFonts w:hint="eastAsia" w:ascii="宋体" w:hAnsi="宋体" w:cs="宋体"/>
          <w:color w:val="auto"/>
          <w:szCs w:val="21"/>
          <w:highlight w:val="none"/>
          <w:lang w:eastAsia="zh-CN"/>
        </w:rPr>
        <w:t>GXZC2026-G1-002858-KWZB</w:t>
      </w:r>
    </w:p>
    <w:p w14:paraId="7226DFFE">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bCs/>
          <w:color w:val="auto"/>
          <w:szCs w:val="21"/>
          <w:highlight w:val="none"/>
        </w:rPr>
        <w:t>2026年梧州监狱罪犯生活物资采购项目</w:t>
      </w:r>
    </w:p>
    <w:bookmarkEnd w:id="11"/>
    <w:p w14:paraId="632484F6">
      <w:pPr>
        <w:spacing w:line="38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预算总金额（元）：</w:t>
      </w:r>
      <w:r>
        <w:rPr>
          <w:rFonts w:hint="eastAsia" w:ascii="宋体" w:hAnsi="宋体" w:cs="宋体"/>
          <w:color w:val="auto"/>
          <w:szCs w:val="21"/>
          <w:highlight w:val="none"/>
          <w:lang w:eastAsia="zh-CN"/>
        </w:rPr>
        <w:t>8261660.00</w:t>
      </w:r>
    </w:p>
    <w:p w14:paraId="56428ECB">
      <w:pPr>
        <w:spacing w:line="380" w:lineRule="exact"/>
        <w:ind w:firstLine="420" w:firstLineChars="200"/>
        <w:rPr>
          <w:rFonts w:hint="eastAsia" w:ascii="宋体" w:hAnsi="宋体" w:cs="宋体"/>
          <w:bCs/>
          <w:color w:val="auto"/>
          <w:kern w:val="0"/>
          <w:szCs w:val="21"/>
          <w:highlight w:val="none"/>
        </w:rPr>
      </w:pPr>
      <w:bookmarkStart w:id="12" w:name="_Toc35393623"/>
      <w:bookmarkStart w:id="13" w:name="_Toc35393792"/>
      <w:bookmarkStart w:id="14" w:name="_Toc28359004"/>
      <w:bookmarkStart w:id="15" w:name="_Toc28359081"/>
      <w:r>
        <w:rPr>
          <w:rFonts w:hint="eastAsia" w:ascii="宋体" w:hAnsi="宋体" w:cs="宋体"/>
          <w:bCs/>
          <w:color w:val="auto"/>
          <w:kern w:val="0"/>
          <w:szCs w:val="21"/>
          <w:highlight w:val="none"/>
        </w:rPr>
        <w:t>采购需求：</w:t>
      </w:r>
    </w:p>
    <w:p w14:paraId="4DF3A349">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标项一（分标1）</w:t>
      </w:r>
    </w:p>
    <w:p w14:paraId="5F35A9F5">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标项名称：</w:t>
      </w:r>
      <w:r>
        <w:rPr>
          <w:rFonts w:hint="eastAsia" w:ascii="宋体" w:hAnsi="宋体" w:cs="宋体"/>
          <w:bCs/>
          <w:color w:val="auto"/>
          <w:szCs w:val="21"/>
          <w:highlight w:val="none"/>
        </w:rPr>
        <w:t>2026年梧州监狱罪犯生活物资采购项目</w:t>
      </w:r>
      <w:r>
        <w:rPr>
          <w:rFonts w:hint="eastAsia" w:ascii="宋体" w:hAnsi="宋体" w:cs="宋体"/>
          <w:bCs/>
          <w:color w:val="auto"/>
          <w:kern w:val="0"/>
          <w:szCs w:val="21"/>
          <w:highlight w:val="none"/>
        </w:rPr>
        <w:t>分标1</w:t>
      </w:r>
    </w:p>
    <w:p w14:paraId="7FA302B9">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数量：1</w:t>
      </w:r>
    </w:p>
    <w:p w14:paraId="040A8F20">
      <w:pPr>
        <w:spacing w:line="380" w:lineRule="exact"/>
        <w:ind w:firstLine="420" w:firstLineChars="200"/>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预算金额（元）：</w:t>
      </w:r>
      <w:r>
        <w:rPr>
          <w:rFonts w:hint="eastAsia" w:ascii="宋体" w:hAnsi="宋体" w:cs="宋体"/>
          <w:bCs/>
          <w:color w:val="auto"/>
          <w:kern w:val="0"/>
          <w:szCs w:val="21"/>
          <w:highlight w:val="none"/>
          <w:lang w:eastAsia="zh-CN"/>
        </w:rPr>
        <w:t>2242350.00</w:t>
      </w:r>
    </w:p>
    <w:p w14:paraId="1DB52F07">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简要规格描述或项目基本概况介绍、用途：采购光鸡54000.00公斤、光鸭45000.00公斤，以上涉及的标的数量均为暂估数量，实际结算按实际供应发生的数量进行结算；详见第二章采购需求。</w:t>
      </w:r>
    </w:p>
    <w:p w14:paraId="59A39528">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最高限价（如有）：2241000.00元</w:t>
      </w:r>
    </w:p>
    <w:p w14:paraId="24517A67">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合同履行期限：自合同签订生效之日起1年。</w:t>
      </w:r>
    </w:p>
    <w:p w14:paraId="02870B9E">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本标项（否）接受联合体投标</w:t>
      </w:r>
    </w:p>
    <w:p w14:paraId="4F226DC5">
      <w:pPr>
        <w:pStyle w:val="43"/>
        <w:rPr>
          <w:b w:val="0"/>
          <w:color w:val="auto"/>
          <w:highlight w:val="none"/>
        </w:rPr>
      </w:pPr>
      <w:r>
        <w:rPr>
          <w:rFonts w:hint="eastAsia" w:hAnsi="宋体" w:cs="宋体"/>
          <w:b w:val="0"/>
          <w:color w:val="auto"/>
          <w:kern w:val="0"/>
          <w:szCs w:val="21"/>
          <w:highlight w:val="none"/>
        </w:rPr>
        <w:t>备注：/</w:t>
      </w:r>
    </w:p>
    <w:p w14:paraId="6AE64EAB">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标项二（分标2）</w:t>
      </w:r>
    </w:p>
    <w:p w14:paraId="009F74F9">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标项名称：</w:t>
      </w:r>
      <w:r>
        <w:rPr>
          <w:rFonts w:hint="eastAsia" w:ascii="宋体" w:hAnsi="宋体" w:cs="宋体"/>
          <w:bCs/>
          <w:color w:val="auto"/>
          <w:szCs w:val="21"/>
          <w:highlight w:val="none"/>
        </w:rPr>
        <w:t>2026年梧州监狱罪犯生活物资采购项目</w:t>
      </w:r>
      <w:r>
        <w:rPr>
          <w:rFonts w:hint="eastAsia" w:ascii="宋体" w:hAnsi="宋体" w:cs="宋体"/>
          <w:bCs/>
          <w:color w:val="auto"/>
          <w:kern w:val="0"/>
          <w:szCs w:val="21"/>
          <w:highlight w:val="none"/>
        </w:rPr>
        <w:t>分标2</w:t>
      </w:r>
    </w:p>
    <w:p w14:paraId="03A845EF">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数量：1</w:t>
      </w:r>
    </w:p>
    <w:p w14:paraId="3D970BE1">
      <w:pPr>
        <w:spacing w:line="380" w:lineRule="exact"/>
        <w:ind w:firstLine="420" w:firstLineChars="200"/>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预算金额（元）：</w:t>
      </w:r>
      <w:r>
        <w:rPr>
          <w:rFonts w:hint="eastAsia" w:ascii="宋体" w:hAnsi="宋体" w:cs="宋体"/>
          <w:bCs/>
          <w:color w:val="auto"/>
          <w:kern w:val="0"/>
          <w:szCs w:val="21"/>
          <w:highlight w:val="none"/>
          <w:lang w:eastAsia="zh-CN"/>
        </w:rPr>
        <w:t>1658760.00</w:t>
      </w:r>
    </w:p>
    <w:p w14:paraId="6E141D12">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简要规格描述或项目基本概况介绍、用途：采购腐竹2000.00公斤、油豆腐（干）3500.00公斤、水豆腐4000.00公斤、黄金油豆腐块2500.00公斤、无壳花生米3000.00公斤、黄豆3000.00公斤、红豆1000.00公斤、绿豆10000.00公斤、海带300.00公斤、鸡蛋80000.00公斤、木耳1000.00公斤、干香菇1000.00公斤、红枣500.00公斤、紫菜300.00包、食盐18000.00包、蚝油1200.00桶、生抽2500.00瓶、鸡精1500.00包、糖精1000.00包、味精1000.00包、豆瓣酱500.00桶、辣椒酱50.00桶、老抽1300.00桶、米醋500.00包、豆腐乳1200.00瓶、干酵母粉500.00包、胡椒粉300.00包、白糖2000.00斤、南乳1200.00瓶、五香粉1200.00包、盐焗鸡粉500.00包、沙姜片150.00斤、八角150.00斤、豆豉200.00包、十三香200.00盒、辣椒粉500.00斤、生粉500.00包、嫩肉粉100.00瓶、骨头汤料100.00罐，以上涉及的标的数量均为暂估数量，实际结算按实际供应发生的数量进行结算；详见第二章采购需求。</w:t>
      </w:r>
    </w:p>
    <w:p w14:paraId="3F662599">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最高限价（如有）：1572220.00元</w:t>
      </w:r>
    </w:p>
    <w:p w14:paraId="75A74671">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合同履行期限：自合同签订生效之日起1年。</w:t>
      </w:r>
    </w:p>
    <w:p w14:paraId="0573EC0E">
      <w:pPr>
        <w:spacing w:line="380" w:lineRule="exact"/>
        <w:ind w:firstLine="420" w:firstLineChars="200"/>
        <w:rPr>
          <w:rFonts w:hint="eastAsia" w:ascii="宋体" w:hAnsi="宋体" w:cs="宋体"/>
          <w:bCs/>
          <w:color w:val="auto"/>
          <w:kern w:val="0"/>
          <w:szCs w:val="21"/>
          <w:highlight w:val="none"/>
        </w:rPr>
      </w:pPr>
      <w:bookmarkStart w:id="16" w:name="_Toc28359080"/>
      <w:bookmarkStart w:id="17" w:name="_Toc35393791"/>
      <w:bookmarkStart w:id="18" w:name="_Toc35393622"/>
      <w:bookmarkStart w:id="19" w:name="_Toc28359003"/>
      <w:r>
        <w:rPr>
          <w:rFonts w:hint="eastAsia" w:ascii="宋体" w:hAnsi="宋体" w:cs="宋体"/>
          <w:bCs/>
          <w:color w:val="auto"/>
          <w:kern w:val="0"/>
          <w:szCs w:val="21"/>
          <w:highlight w:val="none"/>
        </w:rPr>
        <w:t>本标项（否）接受联合体投标</w:t>
      </w:r>
    </w:p>
    <w:p w14:paraId="1B7F8157">
      <w:pPr>
        <w:pStyle w:val="43"/>
        <w:rPr>
          <w:rFonts w:hint="eastAsia" w:hAnsi="宋体" w:cs="宋体"/>
          <w:b w:val="0"/>
          <w:color w:val="auto"/>
          <w:kern w:val="0"/>
          <w:szCs w:val="21"/>
          <w:highlight w:val="none"/>
        </w:rPr>
      </w:pPr>
      <w:r>
        <w:rPr>
          <w:rFonts w:hint="eastAsia" w:hAnsi="宋体" w:cs="宋体"/>
          <w:b w:val="0"/>
          <w:color w:val="auto"/>
          <w:kern w:val="0"/>
          <w:szCs w:val="21"/>
          <w:highlight w:val="none"/>
        </w:rPr>
        <w:t>备注：/</w:t>
      </w:r>
    </w:p>
    <w:p w14:paraId="220D246C">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标项三（分标3）</w:t>
      </w:r>
    </w:p>
    <w:p w14:paraId="38633320">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标项名称：</w:t>
      </w:r>
      <w:r>
        <w:rPr>
          <w:rFonts w:hint="eastAsia" w:ascii="宋体" w:hAnsi="宋体" w:cs="宋体"/>
          <w:bCs/>
          <w:color w:val="auto"/>
          <w:szCs w:val="21"/>
          <w:highlight w:val="none"/>
        </w:rPr>
        <w:t>2026年梧州监狱罪犯生活物资采购项目</w:t>
      </w:r>
      <w:r>
        <w:rPr>
          <w:rFonts w:hint="eastAsia" w:ascii="宋体" w:hAnsi="宋体" w:cs="宋体"/>
          <w:bCs/>
          <w:color w:val="auto"/>
          <w:kern w:val="0"/>
          <w:szCs w:val="21"/>
          <w:highlight w:val="none"/>
        </w:rPr>
        <w:t>分标3</w:t>
      </w:r>
    </w:p>
    <w:p w14:paraId="6F780BBF">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数量：1</w:t>
      </w:r>
    </w:p>
    <w:p w14:paraId="53CB42F9">
      <w:pPr>
        <w:spacing w:line="380" w:lineRule="exact"/>
        <w:ind w:firstLine="420" w:firstLineChars="200"/>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预算金额（元）：</w:t>
      </w:r>
      <w:r>
        <w:rPr>
          <w:rFonts w:hint="eastAsia" w:ascii="宋体" w:hAnsi="宋体" w:cs="宋体"/>
          <w:bCs/>
          <w:color w:val="auto"/>
          <w:kern w:val="0"/>
          <w:szCs w:val="21"/>
          <w:highlight w:val="none"/>
          <w:lang w:eastAsia="zh-CN"/>
        </w:rPr>
        <w:t>1470770.00</w:t>
      </w:r>
    </w:p>
    <w:p w14:paraId="311BE5FC">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简要规格描述或项目基本概况介绍、用途：采购猪肉（后腿肉）20000.00公斤、猪肉（五花肉）11000.00公斤、猪肉（排骨）9000.00公斤、猪血9000.00公斤、腊肠1500.00公斤、腊肉1500.00公斤、活鱼（草鱼）10000.00公斤、活鱼（罗非鱼）1000.00公斤、活鱼（骨鱼）2000.00公斤，以上涉及的标的数量均为暂估数量，实际结算按实际供应发生的数量进行结算；详见第二章采购需求。</w:t>
      </w:r>
    </w:p>
    <w:p w14:paraId="090936DF">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最高限价（如有）：1427000.00元</w:t>
      </w:r>
    </w:p>
    <w:p w14:paraId="412CD148">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合同履行期限：自合同签订生效之日起1年。</w:t>
      </w:r>
    </w:p>
    <w:p w14:paraId="64AFE195">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本标项（否）接受联合体投标</w:t>
      </w:r>
    </w:p>
    <w:p w14:paraId="7DB87F50">
      <w:pPr>
        <w:pStyle w:val="43"/>
        <w:rPr>
          <w:b w:val="0"/>
          <w:color w:val="auto"/>
          <w:highlight w:val="none"/>
        </w:rPr>
      </w:pPr>
      <w:r>
        <w:rPr>
          <w:rFonts w:hint="eastAsia" w:hAnsi="宋体" w:cs="宋体"/>
          <w:b w:val="0"/>
          <w:color w:val="auto"/>
          <w:kern w:val="0"/>
          <w:szCs w:val="21"/>
          <w:highlight w:val="none"/>
        </w:rPr>
        <w:t>备注：/</w:t>
      </w:r>
    </w:p>
    <w:p w14:paraId="6D0B2955">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标项四（分标4）</w:t>
      </w:r>
    </w:p>
    <w:p w14:paraId="19443806">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标项名称：</w:t>
      </w:r>
      <w:r>
        <w:rPr>
          <w:rFonts w:hint="eastAsia" w:ascii="宋体" w:hAnsi="宋体" w:cs="宋体"/>
          <w:bCs/>
          <w:color w:val="auto"/>
          <w:szCs w:val="21"/>
          <w:highlight w:val="none"/>
        </w:rPr>
        <w:t>2026年梧州监狱罪犯生活物资采购项目</w:t>
      </w:r>
      <w:r>
        <w:rPr>
          <w:rFonts w:hint="eastAsia" w:ascii="宋体" w:hAnsi="宋体" w:cs="宋体"/>
          <w:bCs/>
          <w:color w:val="auto"/>
          <w:kern w:val="0"/>
          <w:szCs w:val="21"/>
          <w:highlight w:val="none"/>
        </w:rPr>
        <w:t>分标4</w:t>
      </w:r>
    </w:p>
    <w:p w14:paraId="2F5063F7">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数量：1</w:t>
      </w:r>
    </w:p>
    <w:p w14:paraId="7CB91505">
      <w:pPr>
        <w:spacing w:line="380" w:lineRule="exact"/>
        <w:ind w:firstLine="420" w:firstLineChars="200"/>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预算金额（元）：</w:t>
      </w:r>
      <w:r>
        <w:rPr>
          <w:rFonts w:hint="eastAsia" w:ascii="宋体" w:hAnsi="宋体" w:cs="宋体"/>
          <w:bCs/>
          <w:color w:val="auto"/>
          <w:kern w:val="0"/>
          <w:szCs w:val="21"/>
          <w:highlight w:val="none"/>
          <w:lang w:eastAsia="zh-CN"/>
        </w:rPr>
        <w:t>1401780.00</w:t>
      </w:r>
    </w:p>
    <w:p w14:paraId="709587EA">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简要规格描述或项目基本概况介绍、用途：采购大白菜100000.00公斤、小白菜10000.00公斤、卷筒菜4000.00公斤、上海青10000.00公斤、芥菜10000.00公斤、空心菜10000.00公斤、油麻菜15000.00公斤、苦麦菜10000.00公斤、豆芽30000.00公斤、白萝卜30000.00公斤、茄子20000.00公斤、南瓜20000.00公斤、苦瓜4000.00公斤、节瓜5000.00公斤、青瓜6000.00公斤、西红柿3000.00公斤、豆角5000.00公斤、洋葱5000.00公斤、大蒜头2000.00公斤、西兰花2000.00公斤、红萝卜5000.00公斤、芹菜5000.00公斤、马铃薯10000.00公斤、凉薯1500.00公斤、莲藕2000.00公斤、韭菜3000.00公斤、青辣椒4000.00公斤、生姜5000.00公斤、葱花1500.00公斤、大蒜苗5000.00公斤、萝卜干3000.00公斤、小红椒1500.00公斤、西芹3000.00公斤、菠菜1500.00公斤、包菜3000.00公斤、蛋黄青1000.00公斤、生菜3000.00公斤、白菜花1000.00公斤、葫芦瓜1000.00公斤、菜心5000.00公斤，以上涉及的标的数量均为暂估数量，实际结算按实际供应发生的数量进行结算；详见第二章采购需求。</w:t>
      </w:r>
    </w:p>
    <w:p w14:paraId="55C6A1C6">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最高限价（如有）：1390900.00元</w:t>
      </w:r>
    </w:p>
    <w:p w14:paraId="450E3317">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合同履行期限：自合同签订生效之日起1年。</w:t>
      </w:r>
    </w:p>
    <w:p w14:paraId="3552A139">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本标项（否）接受联合体投标</w:t>
      </w:r>
    </w:p>
    <w:p w14:paraId="167CA52D">
      <w:pPr>
        <w:pStyle w:val="43"/>
        <w:rPr>
          <w:b w:val="0"/>
          <w:color w:val="auto"/>
          <w:highlight w:val="none"/>
        </w:rPr>
      </w:pPr>
      <w:r>
        <w:rPr>
          <w:rFonts w:hint="eastAsia" w:hAnsi="宋体" w:cs="宋体"/>
          <w:b w:val="0"/>
          <w:color w:val="auto"/>
          <w:kern w:val="0"/>
          <w:szCs w:val="21"/>
          <w:highlight w:val="none"/>
        </w:rPr>
        <w:t>备注：/</w:t>
      </w:r>
    </w:p>
    <w:p w14:paraId="21297DB7">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标项五（分标5）</w:t>
      </w:r>
    </w:p>
    <w:p w14:paraId="11C2281E">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标项名称：</w:t>
      </w:r>
      <w:r>
        <w:rPr>
          <w:rFonts w:hint="eastAsia" w:ascii="宋体" w:hAnsi="宋体" w:cs="宋体"/>
          <w:bCs/>
          <w:color w:val="auto"/>
          <w:szCs w:val="21"/>
          <w:highlight w:val="none"/>
        </w:rPr>
        <w:t>2026年梧州监狱罪犯生活物资采购项目</w:t>
      </w:r>
      <w:r>
        <w:rPr>
          <w:rFonts w:hint="eastAsia" w:ascii="宋体" w:hAnsi="宋体" w:cs="宋体"/>
          <w:bCs/>
          <w:color w:val="auto"/>
          <w:kern w:val="0"/>
          <w:szCs w:val="21"/>
          <w:highlight w:val="none"/>
        </w:rPr>
        <w:t>分标5</w:t>
      </w:r>
    </w:p>
    <w:p w14:paraId="4225A6A9">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数量：1</w:t>
      </w:r>
    </w:p>
    <w:p w14:paraId="4B0644BB">
      <w:pPr>
        <w:spacing w:line="380" w:lineRule="exact"/>
        <w:ind w:firstLine="420" w:firstLineChars="200"/>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预算金额（元）：</w:t>
      </w:r>
      <w:r>
        <w:rPr>
          <w:rFonts w:hint="eastAsia" w:ascii="宋体" w:hAnsi="宋体" w:cs="宋体"/>
          <w:bCs/>
          <w:color w:val="auto"/>
          <w:kern w:val="0"/>
          <w:szCs w:val="21"/>
          <w:highlight w:val="none"/>
          <w:lang w:eastAsia="zh-CN"/>
        </w:rPr>
        <w:t>1488000.00</w:t>
      </w:r>
    </w:p>
    <w:p w14:paraId="1C9C4942">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简要规格描述或项目基本概况介绍、用途：采购河粉420000.00公斤、面粉45000.00公斤，以上涉及的标的数量均为暂估数量，实际结算按实际供应发生的数量进行结算；详见第二章采购需求。</w:t>
      </w:r>
    </w:p>
    <w:p w14:paraId="2A018090">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最高限价（如有）：1371000.00元</w:t>
      </w:r>
    </w:p>
    <w:p w14:paraId="760550BB">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合同履行期限：自合同签订生效之日起1年。</w:t>
      </w:r>
    </w:p>
    <w:p w14:paraId="1CADF5EF">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本标项（否）接受联合体投标</w:t>
      </w:r>
    </w:p>
    <w:p w14:paraId="1B81C933">
      <w:pPr>
        <w:pStyle w:val="43"/>
        <w:rPr>
          <w:color w:val="auto"/>
          <w:highlight w:val="none"/>
        </w:rPr>
      </w:pPr>
      <w:r>
        <w:rPr>
          <w:rFonts w:hint="eastAsia" w:hAnsi="宋体" w:cs="宋体"/>
          <w:b w:val="0"/>
          <w:color w:val="auto"/>
          <w:kern w:val="0"/>
          <w:szCs w:val="21"/>
          <w:highlight w:val="none"/>
        </w:rPr>
        <w:t>备注：/</w:t>
      </w:r>
    </w:p>
    <w:p w14:paraId="600A92A7">
      <w:pPr>
        <w:spacing w:line="380" w:lineRule="exact"/>
        <w:rPr>
          <w:rFonts w:hint="eastAsia" w:ascii="宋体" w:hAnsi="宋体" w:cs="宋体"/>
          <w:b/>
          <w:bCs/>
          <w:color w:val="auto"/>
          <w:szCs w:val="21"/>
          <w:highlight w:val="none"/>
        </w:rPr>
      </w:pPr>
      <w:r>
        <w:rPr>
          <w:rFonts w:hint="eastAsia" w:ascii="宋体" w:hAnsi="宋体" w:cs="宋体"/>
          <w:b/>
          <w:bCs/>
          <w:color w:val="auto"/>
          <w:szCs w:val="21"/>
          <w:highlight w:val="none"/>
        </w:rPr>
        <w:t>二、申请人的资格要求：</w:t>
      </w:r>
      <w:bookmarkEnd w:id="16"/>
      <w:bookmarkEnd w:id="17"/>
      <w:bookmarkEnd w:id="18"/>
      <w:bookmarkEnd w:id="19"/>
    </w:p>
    <w:p w14:paraId="142122F7">
      <w:pPr>
        <w:spacing w:line="380" w:lineRule="exact"/>
        <w:ind w:firstLine="420" w:firstLineChars="200"/>
        <w:rPr>
          <w:rFonts w:hint="eastAsia" w:ascii="宋体" w:hAnsi="宋体" w:cs="宋体"/>
          <w:bCs/>
          <w:color w:val="auto"/>
          <w:kern w:val="0"/>
          <w:szCs w:val="21"/>
          <w:highlight w:val="none"/>
        </w:rPr>
      </w:pPr>
      <w:bookmarkStart w:id="20" w:name="_Hlk51746371"/>
      <w:r>
        <w:rPr>
          <w:rFonts w:hint="eastAsia" w:ascii="宋体" w:hAnsi="宋体" w:cs="宋体"/>
          <w:bCs/>
          <w:color w:val="auto"/>
          <w:kern w:val="0"/>
          <w:szCs w:val="21"/>
          <w:highlight w:val="none"/>
        </w:rPr>
        <w:t>1、满足《中华人民共和国政府采购法》第二十二条规定；</w:t>
      </w:r>
    </w:p>
    <w:p w14:paraId="3228B0BD">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2、落实政府采购政策需满足的资格要求：分标1：非专门面向中小企业采购的项目</w:t>
      </w:r>
      <w:r>
        <w:rPr>
          <w:rFonts w:hint="eastAsia" w:ascii="宋体" w:hAnsi="宋体" w:cs="宋体"/>
          <w:bCs/>
          <w:color w:val="auto"/>
          <w:kern w:val="0"/>
          <w:szCs w:val="21"/>
          <w:highlight w:val="none"/>
          <w:lang w:eastAsia="zh-CN"/>
        </w:rPr>
        <w:t>；</w:t>
      </w:r>
      <w:r>
        <w:rPr>
          <w:rFonts w:hint="eastAsia" w:ascii="宋体" w:hAnsi="宋体" w:cs="宋体"/>
          <w:bCs/>
          <w:color w:val="auto"/>
          <w:kern w:val="0"/>
          <w:szCs w:val="21"/>
          <w:highlight w:val="none"/>
        </w:rPr>
        <w:t>分标2：非专门面向中小企业采购的项目</w:t>
      </w:r>
      <w:r>
        <w:rPr>
          <w:rFonts w:hint="eastAsia" w:ascii="宋体" w:hAnsi="宋体" w:cs="宋体"/>
          <w:bCs/>
          <w:color w:val="auto"/>
          <w:kern w:val="0"/>
          <w:szCs w:val="21"/>
          <w:highlight w:val="none"/>
          <w:lang w:eastAsia="zh-CN"/>
        </w:rPr>
        <w:t>；</w:t>
      </w:r>
      <w:r>
        <w:rPr>
          <w:rFonts w:hint="eastAsia" w:ascii="宋体" w:hAnsi="宋体" w:cs="宋体"/>
          <w:bCs/>
          <w:color w:val="auto"/>
          <w:kern w:val="0"/>
          <w:szCs w:val="21"/>
          <w:highlight w:val="none"/>
        </w:rPr>
        <w:t>分标3：本分标是专门面向中小微企业采购的标的，其投标全部货物由符合本分标采购标的所属行业对应中小微企业划分标准的中小微企业（监狱企业、残疾人福利单位视同小微企业）制造</w:t>
      </w:r>
      <w:r>
        <w:rPr>
          <w:rFonts w:hint="eastAsia" w:ascii="宋体" w:hAnsi="宋体" w:cs="宋体"/>
          <w:bCs/>
          <w:color w:val="auto"/>
          <w:kern w:val="0"/>
          <w:szCs w:val="21"/>
          <w:highlight w:val="none"/>
          <w:lang w:eastAsia="zh-CN"/>
        </w:rPr>
        <w:t>；</w:t>
      </w:r>
      <w:r>
        <w:rPr>
          <w:rFonts w:hint="eastAsia" w:ascii="宋体" w:hAnsi="宋体" w:cs="宋体"/>
          <w:bCs/>
          <w:color w:val="auto"/>
          <w:kern w:val="0"/>
          <w:szCs w:val="21"/>
          <w:highlight w:val="none"/>
        </w:rPr>
        <w:t>分标4：本分标是专门面向小微企业采购的标的，其投标全部货物由符合本分标采购标的所属行业对应小微企业划分标准的小微企业（监狱企业、残疾人福利单位视同小微企业）制造</w:t>
      </w:r>
      <w:r>
        <w:rPr>
          <w:rFonts w:hint="eastAsia" w:ascii="宋体" w:hAnsi="宋体" w:cs="宋体"/>
          <w:bCs/>
          <w:color w:val="auto"/>
          <w:kern w:val="0"/>
          <w:szCs w:val="21"/>
          <w:highlight w:val="none"/>
          <w:lang w:eastAsia="zh-CN"/>
        </w:rPr>
        <w:t>；</w:t>
      </w:r>
      <w:r>
        <w:rPr>
          <w:rFonts w:hint="eastAsia" w:ascii="宋体" w:hAnsi="宋体" w:cs="宋体"/>
          <w:bCs/>
          <w:color w:val="auto"/>
          <w:kern w:val="0"/>
          <w:szCs w:val="21"/>
          <w:highlight w:val="none"/>
        </w:rPr>
        <w:t>分标5：本分标是专门面向小微企业采购的标的，其投标全部货物由符合本分标采购标的所属行业对应小微企业划分标准的小微企业（监狱企业、残疾人福利单位视同小微企业）制造。</w:t>
      </w:r>
    </w:p>
    <w:p w14:paraId="384A1BCC">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3、本项目的特定资格要求：</w:t>
      </w:r>
      <w:bookmarkEnd w:id="20"/>
      <w:r>
        <w:rPr>
          <w:rFonts w:hint="eastAsia" w:ascii="宋体" w:hAnsi="宋体" w:cs="宋体"/>
          <w:bCs/>
          <w:color w:val="auto"/>
          <w:kern w:val="0"/>
          <w:szCs w:val="21"/>
          <w:highlight w:val="none"/>
        </w:rPr>
        <w:t>分标</w:t>
      </w:r>
      <w:r>
        <w:rPr>
          <w:rFonts w:hint="eastAsia" w:ascii="宋体" w:hAnsi="宋体" w:cs="宋体"/>
          <w:bCs/>
          <w:color w:val="auto"/>
          <w:kern w:val="0"/>
          <w:szCs w:val="21"/>
          <w:highlight w:val="none"/>
          <w:lang w:val="en-US" w:eastAsia="zh-CN"/>
        </w:rPr>
        <w:t>1：无；</w:t>
      </w:r>
      <w:r>
        <w:rPr>
          <w:rFonts w:hint="eastAsia" w:ascii="宋体" w:hAnsi="宋体" w:cs="宋体"/>
          <w:bCs/>
          <w:color w:val="auto"/>
          <w:kern w:val="0"/>
          <w:szCs w:val="21"/>
          <w:highlight w:val="none"/>
        </w:rPr>
        <w:t>分标2</w:t>
      </w:r>
      <w:r>
        <w:rPr>
          <w:rFonts w:hint="eastAsia" w:ascii="宋体" w:hAnsi="宋体" w:cs="宋体"/>
          <w:bCs/>
          <w:color w:val="auto"/>
          <w:kern w:val="0"/>
          <w:szCs w:val="21"/>
          <w:highlight w:val="none"/>
          <w:lang w:eastAsia="zh-CN"/>
        </w:rPr>
        <w:t>：</w:t>
      </w:r>
      <w:r>
        <w:rPr>
          <w:rFonts w:hint="eastAsia" w:ascii="宋体" w:hAnsi="宋体" w:cs="宋体"/>
          <w:bCs/>
          <w:color w:val="auto"/>
          <w:kern w:val="0"/>
          <w:szCs w:val="21"/>
          <w:highlight w:val="none"/>
        </w:rPr>
        <w:t>投标人须具有相应有效的《食品生产许可证》或《食品经营许可证》或仅销售预包装食品备案凭证</w:t>
      </w:r>
      <w:r>
        <w:rPr>
          <w:rFonts w:hint="eastAsia" w:ascii="宋体" w:hAnsi="宋体" w:cs="宋体"/>
          <w:bCs/>
          <w:color w:val="auto"/>
          <w:kern w:val="0"/>
          <w:szCs w:val="21"/>
          <w:highlight w:val="none"/>
          <w:lang w:eastAsia="zh-CN"/>
        </w:rPr>
        <w:t>；</w:t>
      </w:r>
      <w:r>
        <w:rPr>
          <w:rFonts w:hint="eastAsia" w:ascii="宋体" w:hAnsi="宋体" w:cs="宋体"/>
          <w:bCs/>
          <w:color w:val="auto"/>
          <w:kern w:val="0"/>
          <w:szCs w:val="21"/>
          <w:highlight w:val="none"/>
        </w:rPr>
        <w:t>分标</w:t>
      </w:r>
      <w:r>
        <w:rPr>
          <w:rFonts w:hint="eastAsia" w:ascii="宋体" w:hAnsi="宋体" w:cs="宋体"/>
          <w:bCs/>
          <w:color w:val="auto"/>
          <w:kern w:val="0"/>
          <w:szCs w:val="21"/>
          <w:highlight w:val="none"/>
          <w:lang w:val="en-US" w:eastAsia="zh-CN"/>
        </w:rPr>
        <w:t>3：无；</w:t>
      </w:r>
      <w:r>
        <w:rPr>
          <w:rFonts w:hint="eastAsia" w:ascii="宋体" w:hAnsi="宋体" w:cs="宋体"/>
          <w:bCs/>
          <w:color w:val="auto"/>
          <w:kern w:val="0"/>
          <w:szCs w:val="21"/>
          <w:highlight w:val="none"/>
        </w:rPr>
        <w:t>分标</w:t>
      </w:r>
      <w:r>
        <w:rPr>
          <w:rFonts w:hint="eastAsia" w:ascii="宋体" w:hAnsi="宋体" w:cs="宋体"/>
          <w:bCs/>
          <w:color w:val="auto"/>
          <w:kern w:val="0"/>
          <w:szCs w:val="21"/>
          <w:highlight w:val="none"/>
          <w:lang w:val="en-US" w:eastAsia="zh-CN"/>
        </w:rPr>
        <w:t>4：无；</w:t>
      </w:r>
      <w:r>
        <w:rPr>
          <w:rFonts w:hint="eastAsia" w:ascii="宋体" w:hAnsi="宋体" w:cs="宋体"/>
          <w:bCs/>
          <w:color w:val="auto"/>
          <w:kern w:val="0"/>
          <w:szCs w:val="21"/>
          <w:highlight w:val="none"/>
        </w:rPr>
        <w:t>分标5</w:t>
      </w:r>
      <w:r>
        <w:rPr>
          <w:rFonts w:hint="eastAsia" w:ascii="宋体" w:hAnsi="宋体" w:cs="宋体"/>
          <w:bCs/>
          <w:color w:val="auto"/>
          <w:kern w:val="0"/>
          <w:szCs w:val="21"/>
          <w:highlight w:val="none"/>
          <w:lang w:eastAsia="zh-CN"/>
        </w:rPr>
        <w:t>：</w:t>
      </w:r>
      <w:r>
        <w:rPr>
          <w:rFonts w:hint="eastAsia" w:ascii="宋体" w:hAnsi="宋体" w:cs="宋体"/>
          <w:bCs/>
          <w:color w:val="auto"/>
          <w:kern w:val="0"/>
          <w:szCs w:val="21"/>
          <w:highlight w:val="none"/>
        </w:rPr>
        <w:t>投标人须具有相应有效的《食品生产许可证》或《食品经营许可证》或仅销售预包装食品备案凭证。</w:t>
      </w:r>
    </w:p>
    <w:p w14:paraId="55908D86">
      <w:pPr>
        <w:spacing w:line="380" w:lineRule="exact"/>
        <w:rPr>
          <w:rFonts w:hint="eastAsia" w:ascii="宋体" w:hAnsi="宋体" w:cs="宋体"/>
          <w:b/>
          <w:bCs/>
          <w:color w:val="auto"/>
          <w:szCs w:val="21"/>
          <w:highlight w:val="none"/>
        </w:rPr>
      </w:pPr>
      <w:r>
        <w:rPr>
          <w:rFonts w:hint="eastAsia" w:ascii="宋体" w:hAnsi="宋体" w:cs="宋体"/>
          <w:b/>
          <w:bCs/>
          <w:color w:val="auto"/>
          <w:szCs w:val="21"/>
          <w:highlight w:val="none"/>
        </w:rPr>
        <w:t>三、获取招标文件</w:t>
      </w:r>
      <w:bookmarkEnd w:id="12"/>
      <w:bookmarkEnd w:id="13"/>
      <w:bookmarkEnd w:id="14"/>
      <w:bookmarkEnd w:id="15"/>
    </w:p>
    <w:p w14:paraId="453C5C9A">
      <w:pPr>
        <w:spacing w:line="380" w:lineRule="exact"/>
        <w:ind w:firstLine="420" w:firstLineChars="200"/>
        <w:rPr>
          <w:rFonts w:hint="eastAsia" w:ascii="宋体" w:hAnsi="宋体" w:cs="宋体"/>
          <w:bCs/>
          <w:color w:val="auto"/>
          <w:kern w:val="0"/>
          <w:szCs w:val="21"/>
          <w:highlight w:val="none"/>
        </w:rPr>
      </w:pPr>
      <w:bookmarkStart w:id="21" w:name="_Toc28359082"/>
      <w:bookmarkStart w:id="22" w:name="_Toc28359005"/>
      <w:bookmarkStart w:id="23" w:name="_Toc35393624"/>
      <w:bookmarkStart w:id="24" w:name="_Toc35393793"/>
      <w:r>
        <w:rPr>
          <w:rFonts w:hint="eastAsia" w:ascii="宋体" w:hAnsi="宋体" w:cs="宋体"/>
          <w:bCs/>
          <w:color w:val="auto"/>
          <w:kern w:val="0"/>
          <w:szCs w:val="21"/>
          <w:highlight w:val="none"/>
        </w:rPr>
        <w:t>时间：</w:t>
      </w:r>
      <w:r>
        <w:rPr>
          <w:rFonts w:hint="eastAsia" w:ascii="宋体" w:hAnsi="宋体" w:cs="宋体"/>
          <w:color w:val="auto"/>
          <w:highlight w:val="none"/>
          <w:lang w:eastAsia="zh-CN"/>
        </w:rPr>
        <w:t>2026年9月1日</w:t>
      </w:r>
      <w:r>
        <w:rPr>
          <w:rFonts w:hint="eastAsia" w:ascii="宋体" w:hAnsi="宋体" w:cs="宋体"/>
          <w:color w:val="auto"/>
          <w:highlight w:val="none"/>
        </w:rPr>
        <w:t>至2026年</w:t>
      </w:r>
      <w:r>
        <w:rPr>
          <w:rFonts w:hint="eastAsia" w:ascii="宋体" w:hAnsi="宋体" w:cs="宋体"/>
          <w:color w:val="auto"/>
          <w:highlight w:val="none"/>
          <w:lang w:val="en-US" w:eastAsia="zh-CN"/>
        </w:rPr>
        <w:t>9</w:t>
      </w:r>
      <w:r>
        <w:rPr>
          <w:rFonts w:hint="eastAsia" w:ascii="宋体" w:hAnsi="宋体" w:cs="宋体"/>
          <w:color w:val="auto"/>
          <w:highlight w:val="none"/>
        </w:rPr>
        <w:t>月</w:t>
      </w:r>
      <w:r>
        <w:rPr>
          <w:rFonts w:hint="eastAsia" w:ascii="宋体" w:hAnsi="宋体" w:cs="宋体"/>
          <w:color w:val="auto"/>
          <w:highlight w:val="none"/>
          <w:lang w:val="en-US" w:eastAsia="zh-CN"/>
        </w:rPr>
        <w:t>8</w:t>
      </w:r>
      <w:r>
        <w:rPr>
          <w:rFonts w:hint="eastAsia" w:ascii="宋体" w:hAnsi="宋体" w:cs="宋体"/>
          <w:color w:val="auto"/>
          <w:highlight w:val="none"/>
        </w:rPr>
        <w:t>日</w:t>
      </w:r>
      <w:r>
        <w:rPr>
          <w:rFonts w:hint="eastAsia" w:ascii="宋体" w:hAnsi="宋体" w:cs="宋体"/>
          <w:color w:val="auto"/>
          <w:szCs w:val="21"/>
          <w:highlight w:val="none"/>
        </w:rPr>
        <w:t>，每天上午00:00</w:t>
      </w:r>
      <w:r>
        <w:rPr>
          <w:rFonts w:hint="eastAsia" w:ascii="宋体" w:hAnsi="宋体" w:cs="宋体"/>
          <w:color w:val="auto"/>
          <w:highlight w:val="none"/>
        </w:rPr>
        <w:t>至</w:t>
      </w:r>
      <w:r>
        <w:rPr>
          <w:rFonts w:hint="eastAsia" w:ascii="宋体" w:hAnsi="宋体" w:cs="宋体"/>
          <w:color w:val="auto"/>
          <w:szCs w:val="21"/>
          <w:highlight w:val="none"/>
        </w:rPr>
        <w:t>12:00；下午1</w:t>
      </w:r>
      <w:r>
        <w:rPr>
          <w:rFonts w:hint="eastAsia" w:ascii="宋体" w:hAnsi="宋体" w:cs="宋体"/>
          <w:color w:val="auto"/>
          <w:highlight w:val="none"/>
        </w:rPr>
        <w:t>2</w:t>
      </w:r>
      <w:r>
        <w:rPr>
          <w:rFonts w:hint="eastAsia" w:ascii="宋体" w:hAnsi="宋体" w:cs="宋体"/>
          <w:color w:val="auto"/>
          <w:szCs w:val="21"/>
          <w:highlight w:val="none"/>
        </w:rPr>
        <w:t>:</w:t>
      </w:r>
      <w:r>
        <w:rPr>
          <w:rFonts w:hint="eastAsia" w:ascii="宋体" w:hAnsi="宋体" w:cs="宋体"/>
          <w:color w:val="auto"/>
          <w:highlight w:val="none"/>
        </w:rPr>
        <w:t>00</w:t>
      </w:r>
      <w:r>
        <w:rPr>
          <w:rFonts w:hint="eastAsia" w:ascii="宋体" w:hAnsi="宋体" w:cs="宋体"/>
          <w:color w:val="auto"/>
          <w:szCs w:val="21"/>
          <w:highlight w:val="none"/>
        </w:rPr>
        <w:t>-</w:t>
      </w:r>
      <w:r>
        <w:rPr>
          <w:rFonts w:hint="eastAsia" w:ascii="宋体" w:hAnsi="宋体" w:cs="宋体"/>
          <w:color w:val="auto"/>
          <w:highlight w:val="none"/>
        </w:rPr>
        <w:t>至</w:t>
      </w:r>
      <w:r>
        <w:rPr>
          <w:rFonts w:hint="eastAsia" w:ascii="宋体" w:hAnsi="宋体" w:cs="宋体"/>
          <w:color w:val="auto"/>
          <w:highlight w:val="none"/>
          <w:lang w:val="en-US" w:eastAsia="zh-CN"/>
        </w:rPr>
        <w:t>2</w:t>
      </w:r>
      <w:r>
        <w:rPr>
          <w:rFonts w:hint="eastAsia" w:ascii="宋体" w:hAnsi="宋体" w:cs="宋体"/>
          <w:color w:val="auto"/>
          <w:szCs w:val="21"/>
          <w:highlight w:val="none"/>
        </w:rPr>
        <w:t>3:</w:t>
      </w:r>
      <w:r>
        <w:rPr>
          <w:rFonts w:hint="eastAsia" w:ascii="宋体" w:hAnsi="宋体" w:cs="宋体"/>
          <w:color w:val="auto"/>
          <w:highlight w:val="none"/>
        </w:rPr>
        <w:t>59</w:t>
      </w:r>
      <w:r>
        <w:rPr>
          <w:rFonts w:hint="eastAsia" w:ascii="宋体" w:hAnsi="宋体" w:cs="宋体"/>
          <w:color w:val="auto"/>
          <w:szCs w:val="21"/>
          <w:highlight w:val="none"/>
        </w:rPr>
        <w:t>（北京时间，法定节假日除外）。</w:t>
      </w:r>
    </w:p>
    <w:p w14:paraId="217C2964">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地点（网址）：广西政府采购云平台（https://www.gcy.zfcg.gxzf.gov.cn/）</w:t>
      </w:r>
    </w:p>
    <w:p w14:paraId="504419D5">
      <w:pPr>
        <w:spacing w:line="38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方式：网上下载。本项目不发放纸质文件，供应商应自行在</w:t>
      </w: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w:instrText>
      </w:r>
      <w:r>
        <w:rPr>
          <w:rFonts w:hint="eastAsia" w:ascii="宋体" w:hAnsi="宋体" w:cs="宋体"/>
          <w:color w:val="auto"/>
          <w:highlight w:val="none"/>
        </w:rPr>
        <w:fldChar w:fldCharType="separate"/>
      </w:r>
      <w:r>
        <w:rPr>
          <w:rFonts w:hint="eastAsia" w:ascii="宋体" w:hAnsi="宋体" w:cs="宋体"/>
          <w:color w:val="auto"/>
          <w:highlight w:val="none"/>
        </w:rPr>
        <w:fldChar w:fldCharType="end"/>
      </w:r>
      <w:r>
        <w:rPr>
          <w:rFonts w:hint="eastAsia" w:ascii="宋体" w:hAnsi="宋体" w:cs="宋体"/>
          <w:bCs/>
          <w:color w:val="auto"/>
          <w:kern w:val="0"/>
          <w:szCs w:val="21"/>
          <w:highlight w:val="none"/>
        </w:rPr>
        <w:t>广西政府采购云平台（https://www.gcy.zfcg.gxzf.gov.cn/）下载招标文件（操作路径：登录广西政府采购云平台-项目采购-获取采购文件-找到本项目-点击“申请获取采购文件”），电子投标文件制作需要基于广西政府采购云平台获取的招标文件编制，通过其他方式获取招标文件的，将有可能导致供应商无法在广西政府采购云平台编制及上传投标文件。</w:t>
      </w:r>
    </w:p>
    <w:p w14:paraId="5DAA3F25">
      <w:pPr>
        <w:spacing w:line="380" w:lineRule="exact"/>
        <w:ind w:firstLine="420" w:firstLineChars="200"/>
        <w:rPr>
          <w:rFonts w:hint="eastAsia" w:ascii="宋体" w:hAnsi="宋体" w:cs="宋体"/>
          <w:color w:val="auto"/>
          <w:szCs w:val="21"/>
          <w:highlight w:val="none"/>
        </w:rPr>
      </w:pPr>
      <w:r>
        <w:rPr>
          <w:rFonts w:hint="eastAsia" w:ascii="宋体" w:hAnsi="宋体" w:cs="宋体"/>
          <w:bCs/>
          <w:color w:val="auto"/>
          <w:kern w:val="0"/>
          <w:szCs w:val="21"/>
          <w:highlight w:val="none"/>
        </w:rPr>
        <w:t>售价：0.00元。</w:t>
      </w:r>
    </w:p>
    <w:p w14:paraId="7A412EC9">
      <w:pPr>
        <w:spacing w:line="380" w:lineRule="exact"/>
        <w:rPr>
          <w:rFonts w:hint="eastAsia" w:ascii="宋体" w:hAnsi="宋体" w:cs="宋体"/>
          <w:b/>
          <w:bCs/>
          <w:color w:val="auto"/>
          <w:szCs w:val="21"/>
          <w:highlight w:val="none"/>
        </w:rPr>
      </w:pPr>
      <w:r>
        <w:rPr>
          <w:rFonts w:hint="eastAsia" w:ascii="宋体" w:hAnsi="宋体" w:cs="宋体"/>
          <w:b/>
          <w:bCs/>
          <w:color w:val="auto"/>
          <w:szCs w:val="21"/>
          <w:highlight w:val="none"/>
        </w:rPr>
        <w:t>四、提交投标文件</w:t>
      </w:r>
      <w:bookmarkEnd w:id="21"/>
      <w:bookmarkEnd w:id="22"/>
      <w:r>
        <w:rPr>
          <w:rFonts w:hint="eastAsia" w:ascii="宋体" w:hAnsi="宋体" w:cs="宋体"/>
          <w:b/>
          <w:bCs/>
          <w:color w:val="auto"/>
          <w:szCs w:val="21"/>
          <w:highlight w:val="none"/>
        </w:rPr>
        <w:t>截止时间、开标时间和地点</w:t>
      </w:r>
      <w:bookmarkEnd w:id="23"/>
      <w:bookmarkEnd w:id="24"/>
    </w:p>
    <w:p w14:paraId="7557C551">
      <w:pPr>
        <w:spacing w:line="380" w:lineRule="exact"/>
        <w:ind w:firstLine="420" w:firstLineChars="200"/>
        <w:rPr>
          <w:rFonts w:hint="eastAsia" w:ascii="宋体" w:hAnsi="宋体" w:cs="宋体"/>
          <w:color w:val="auto"/>
          <w:szCs w:val="21"/>
          <w:highlight w:val="none"/>
        </w:rPr>
      </w:pPr>
      <w:bookmarkStart w:id="25" w:name="_Toc35393625"/>
      <w:bookmarkStart w:id="26" w:name="_Toc28359084"/>
      <w:bookmarkStart w:id="27" w:name="_Toc35393794"/>
      <w:bookmarkStart w:id="28" w:name="_Toc28359007"/>
      <w:r>
        <w:rPr>
          <w:rFonts w:hint="eastAsia" w:ascii="宋体" w:hAnsi="宋体" w:cs="宋体"/>
          <w:color w:val="auto"/>
          <w:szCs w:val="21"/>
          <w:highlight w:val="none"/>
        </w:rPr>
        <w:t>提交投标文件截止时间：</w:t>
      </w:r>
      <w:r>
        <w:rPr>
          <w:rFonts w:hint="eastAsia" w:ascii="宋体" w:hAnsi="宋体" w:cs="宋体"/>
          <w:color w:val="auto"/>
          <w:szCs w:val="21"/>
          <w:highlight w:val="none"/>
          <w:lang w:eastAsia="zh-CN"/>
        </w:rPr>
        <w:t>2026年9月23日</w:t>
      </w:r>
      <w:r>
        <w:rPr>
          <w:rFonts w:hint="eastAsia" w:ascii="宋体" w:hAnsi="宋体" w:cs="宋体"/>
          <w:color w:val="auto"/>
          <w:szCs w:val="21"/>
          <w:highlight w:val="none"/>
        </w:rPr>
        <w:t xml:space="preserve"> 09点30分（北京时间）</w:t>
      </w:r>
    </w:p>
    <w:p w14:paraId="4B379805">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投标地点（网址）：</w:t>
      </w:r>
      <w:r>
        <w:rPr>
          <w:rFonts w:hint="eastAsia" w:ascii="宋体" w:hAnsi="宋体" w:cs="宋体"/>
          <w:bCs/>
          <w:color w:val="auto"/>
          <w:kern w:val="0"/>
          <w:szCs w:val="21"/>
          <w:highlight w:val="none"/>
        </w:rPr>
        <w:t>广西政府采购云平台（https://www.gcy.zfcg.gxzf.gov.cn/）</w:t>
      </w:r>
    </w:p>
    <w:p w14:paraId="2374428E">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开标时间：</w:t>
      </w:r>
      <w:r>
        <w:rPr>
          <w:rFonts w:hint="eastAsia" w:ascii="宋体" w:hAnsi="宋体" w:cs="宋体"/>
          <w:color w:val="auto"/>
          <w:szCs w:val="21"/>
          <w:highlight w:val="none"/>
          <w:lang w:eastAsia="zh-CN"/>
        </w:rPr>
        <w:t>2026年9月23日</w:t>
      </w:r>
      <w:r>
        <w:rPr>
          <w:rFonts w:hint="eastAsia" w:ascii="宋体" w:hAnsi="宋体" w:cs="宋体"/>
          <w:color w:val="auto"/>
          <w:szCs w:val="21"/>
          <w:highlight w:val="none"/>
        </w:rPr>
        <w:t xml:space="preserve"> 09:30（北京时间）</w:t>
      </w:r>
    </w:p>
    <w:p w14:paraId="3D7FA2E2">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开标地点：本项目将在广西政府采购云平台电子开标大厅解密、开标。</w:t>
      </w:r>
    </w:p>
    <w:p w14:paraId="628922D2">
      <w:pPr>
        <w:spacing w:line="380" w:lineRule="exact"/>
        <w:rPr>
          <w:rFonts w:hint="eastAsia" w:ascii="宋体" w:hAnsi="宋体" w:cs="宋体"/>
          <w:b/>
          <w:bCs/>
          <w:color w:val="auto"/>
          <w:szCs w:val="21"/>
          <w:highlight w:val="none"/>
        </w:rPr>
      </w:pPr>
      <w:r>
        <w:rPr>
          <w:rFonts w:hint="eastAsia" w:ascii="宋体" w:hAnsi="宋体" w:cs="宋体"/>
          <w:b/>
          <w:bCs/>
          <w:color w:val="auto"/>
          <w:szCs w:val="21"/>
          <w:highlight w:val="none"/>
        </w:rPr>
        <w:t>五、公告期限</w:t>
      </w:r>
      <w:bookmarkEnd w:id="25"/>
      <w:bookmarkEnd w:id="26"/>
      <w:bookmarkEnd w:id="27"/>
      <w:bookmarkEnd w:id="28"/>
    </w:p>
    <w:p w14:paraId="4E3712BA">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02A653CE">
      <w:pPr>
        <w:spacing w:line="380" w:lineRule="exact"/>
        <w:rPr>
          <w:rFonts w:hint="eastAsia" w:ascii="宋体" w:hAnsi="宋体" w:cs="宋体"/>
          <w:b/>
          <w:bCs/>
          <w:color w:val="auto"/>
          <w:szCs w:val="21"/>
          <w:highlight w:val="none"/>
        </w:rPr>
      </w:pPr>
      <w:bookmarkStart w:id="29" w:name="_Toc35393626"/>
      <w:bookmarkStart w:id="30" w:name="_Toc35393795"/>
      <w:r>
        <w:rPr>
          <w:rFonts w:hint="eastAsia" w:ascii="宋体" w:hAnsi="宋体" w:cs="宋体"/>
          <w:b/>
          <w:bCs/>
          <w:color w:val="auto"/>
          <w:szCs w:val="21"/>
          <w:highlight w:val="none"/>
        </w:rPr>
        <w:t>六、其他补充事宜</w:t>
      </w:r>
      <w:bookmarkEnd w:id="29"/>
      <w:bookmarkEnd w:id="30"/>
    </w:p>
    <w:p w14:paraId="57B5133E">
      <w:pPr>
        <w:spacing w:line="380" w:lineRule="exact"/>
        <w:ind w:firstLine="420" w:firstLineChars="200"/>
        <w:rPr>
          <w:rFonts w:hint="eastAsia" w:ascii="宋体" w:hAnsi="宋体" w:cs="宋体"/>
          <w:color w:val="auto"/>
          <w:kern w:val="0"/>
          <w:szCs w:val="21"/>
          <w:highlight w:val="none"/>
        </w:rPr>
      </w:pPr>
      <w:bookmarkStart w:id="31" w:name="_Hlk37429674"/>
      <w:bookmarkStart w:id="32" w:name="_Toc35393627"/>
      <w:bookmarkStart w:id="33" w:name="_Toc28359008"/>
      <w:bookmarkStart w:id="34" w:name="_Toc28359085"/>
      <w:bookmarkStart w:id="35" w:name="_Toc35393796"/>
      <w:r>
        <w:rPr>
          <w:rFonts w:hint="eastAsia" w:ascii="宋体" w:hAnsi="宋体" w:cs="宋体"/>
          <w:color w:val="auto"/>
          <w:kern w:val="0"/>
          <w:szCs w:val="21"/>
          <w:highlight w:val="none"/>
        </w:rPr>
        <w:t>1、投标保证金（人民币）：</w:t>
      </w:r>
      <w:r>
        <w:rPr>
          <w:rFonts w:hint="eastAsia" w:ascii="宋体" w:hAnsi="宋体" w:cs="宋体"/>
          <w:color w:val="auto"/>
          <w:szCs w:val="21"/>
          <w:highlight w:val="none"/>
        </w:rPr>
        <w:t>分标1：22000.00元；分标2：15000.00元；分标3：14000.00元；分标4：13000.00元；分标5：12000.00元。</w:t>
      </w:r>
    </w:p>
    <w:p w14:paraId="5BE77339">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085502BF">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根据财政部《关于在政府采购活动中查询及使用信用记录有关问题的通知》（财库〔2016〕125号）的规定，对在“信用中国”网站（www.creditchina.gov.cn）、中国政府采购网（www.ccgp.gov.cn）被列入失信被执行人、重大税收违法失信主体名单、政府采购严重违法失信行为记录名单及其他不符合《中华人民共和国政府采购法》第二十二条规定条件的供应商，不得参与政府采购活动。</w:t>
      </w:r>
    </w:p>
    <w:p w14:paraId="6F3BD4BE">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4、网上查询地址：中国政府采购网（http://www.ccgp.gov.cn）、广西政府采购网（https://zfcg.gxzf.gov.cn）、全国公共资源交易平台（广西壮族自治区）（http</w:t>
      </w:r>
      <w:r>
        <w:rPr>
          <w:rFonts w:hint="eastAsia" w:ascii="宋体" w:hAnsi="宋体" w:cs="宋体"/>
          <w:color w:val="auto"/>
          <w:kern w:val="0"/>
          <w:szCs w:val="21"/>
          <w:highlight w:val="none"/>
          <w:lang w:val="en-US" w:eastAsia="zh-CN"/>
        </w:rPr>
        <w:t>:</w:t>
      </w:r>
      <w:r>
        <w:rPr>
          <w:rFonts w:hint="eastAsia" w:ascii="宋体" w:hAnsi="宋体" w:cs="宋体"/>
          <w:color w:val="auto"/>
          <w:kern w:val="0"/>
          <w:szCs w:val="21"/>
          <w:highlight w:val="none"/>
        </w:rPr>
        <w:t>//ggzy.jgswj.gxzf.gov.cn/gxggzy/）、广西壮族自治区公共资源交易中心网（http://gxggzy.gxzf.gov.cn）。</w:t>
      </w:r>
    </w:p>
    <w:p w14:paraId="76A2390E">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5、本项目需要落实的政府采购政策：</w:t>
      </w:r>
    </w:p>
    <w:p w14:paraId="127F588C">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（1）政府采购促进中小企业发展；</w:t>
      </w:r>
    </w:p>
    <w:p w14:paraId="66AB9565">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（2）政府采购促进残疾人就业政策；</w:t>
      </w:r>
    </w:p>
    <w:p w14:paraId="6E11B2CA">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（3）政府采购支持监狱企业发展；</w:t>
      </w:r>
    </w:p>
    <w:p w14:paraId="5968D9CA">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（4）扶持不发达地区和少数民族地区政策。</w:t>
      </w:r>
    </w:p>
    <w:p w14:paraId="66725E12">
      <w:pPr>
        <w:widowControl/>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6、投标注意事项：</w:t>
      </w:r>
    </w:p>
    <w:p w14:paraId="4540FC2F">
      <w:pPr>
        <w:widowControl/>
        <w:spacing w:line="380" w:lineRule="exact"/>
        <w:ind w:firstLine="420" w:firstLineChars="200"/>
        <w:rPr>
          <w:rFonts w:hint="eastAsia" w:ascii="宋体" w:hAnsi="宋体" w:cs="宋体"/>
          <w:bCs/>
          <w:color w:val="auto"/>
          <w:szCs w:val="21"/>
          <w:highlight w:val="none"/>
        </w:rPr>
      </w:pPr>
      <w:r>
        <w:rPr>
          <w:rFonts w:hint="eastAsia" w:ascii="宋体" w:hAnsi="宋体" w:cs="宋体"/>
          <w:color w:val="auto"/>
          <w:szCs w:val="21"/>
          <w:highlight w:val="none"/>
        </w:rPr>
        <w:t>（1）投标文件提交方式：本项目为全流程电子化政府采购项目，通过广西政府采购云平台（https://www.gcy.zfcg.gxzf.gov.cn/）实行在线电子投标，供应商应先安装“广西政府采购云平台电子交易客户端”（请自行前往广西政府采购云平台进行下载），并按照本项目招标文件和广西政府采购云平台的要求编制、加密后在投标截止时间前通过网络上传至广西政府采购云平台，</w:t>
      </w:r>
      <w:r>
        <w:rPr>
          <w:rFonts w:hint="eastAsia" w:ascii="宋体" w:hAnsi="宋体" w:cs="宋体"/>
          <w:b/>
          <w:color w:val="auto"/>
          <w:szCs w:val="21"/>
          <w:highlight w:val="none"/>
        </w:rPr>
        <w:t>供应商在广西政府采购云平台提交电子版投标文件时，请填写参加远程开标活动经办人联系方式。</w:t>
      </w:r>
    </w:p>
    <w:p w14:paraId="5AB5DA1D">
      <w:pPr>
        <w:widowControl/>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（2）供应商应及时熟悉掌握电子标系统操作指南（见广西政府采购云平台电子卖场首页右上角—服务中心—帮助文档—项目采购）：</w:t>
      </w: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"https://service.zcygov.cn/" \l "/knowledges/tree?tag=AG1DtGwBFdiHxlNdhY0r" </w:instrText>
      </w:r>
      <w:r>
        <w:rPr>
          <w:rFonts w:hint="eastAsia" w:ascii="宋体" w:hAnsi="宋体" w:cs="宋体"/>
          <w:color w:val="auto"/>
          <w:highlight w:val="none"/>
        </w:rPr>
        <w:fldChar w:fldCharType="separate"/>
      </w:r>
      <w:r>
        <w:rPr>
          <w:rFonts w:hint="eastAsia" w:ascii="宋体" w:hAnsi="宋体" w:cs="宋体"/>
          <w:color w:val="auto"/>
          <w:highlight w:val="none"/>
        </w:rPr>
        <w:t>https://service.zcygov.cn/#/knowledges/tree?tag=AG1DtGwBFdiHxlNdhY0r</w:t>
      </w:r>
      <w:r>
        <w:rPr>
          <w:rFonts w:hint="eastAsia" w:ascii="宋体" w:hAnsi="宋体" w:cs="宋体"/>
          <w:color w:val="auto"/>
          <w:highlight w:val="none"/>
        </w:rPr>
        <w:fldChar w:fldCharType="end"/>
      </w:r>
      <w:r>
        <w:rPr>
          <w:rFonts w:hint="eastAsia" w:ascii="宋体" w:hAnsi="宋体" w:cs="宋体"/>
          <w:color w:val="auto"/>
          <w:szCs w:val="21"/>
          <w:highlight w:val="none"/>
        </w:rPr>
        <w:t>；及时完成CA申领和绑定（见广西壮族自治区政府采购网—办事指南—下载专区-政采云CA证书办理操作指南）。</w:t>
      </w:r>
    </w:p>
    <w:p w14:paraId="2439DB73">
      <w:pPr>
        <w:widowControl/>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未进行网上注册并办理数字证书（CA认证）的投标人将无法参与本项目政府采购活动，投标人应当在投标截止时间前，完成电子交易平台上的CA数字证书办理及投标文件的提交（投标人可登录“广西政府采购网”，依次进入“办事指南-下载专区”或者登录广西政府采购云平台，依次进入“服务中心-入驻与配置”中查看CA数字证书办理操作流程。如在操作过程中遇到问题或者需要技术支持，请致电客服热线：95763）。</w:t>
      </w:r>
    </w:p>
    <w:p w14:paraId="302EB208">
      <w:pPr>
        <w:widowControl/>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（4）CA证书在线解密：投标人投标时，需凭制作投标文件时用来加密的有效数字证书（CA认证）登录广西政府采购云平台电子开标大厅现场按规定时间对加密的投标文件进行解密，否则后果自负。</w:t>
      </w:r>
    </w:p>
    <w:p w14:paraId="62980C19">
      <w:pPr>
        <w:widowControl/>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w:t>
      </w:r>
      <w:r>
        <w:rPr>
          <w:rFonts w:ascii="宋体" w:hAnsi="宋体" w:cs="宋体"/>
          <w:color w:val="auto"/>
          <w:szCs w:val="21"/>
          <w:highlight w:val="none"/>
        </w:rPr>
        <w:t>①</w:t>
      </w:r>
      <w:r>
        <w:rPr>
          <w:rFonts w:hint="eastAsia" w:ascii="宋体" w:hAnsi="宋体" w:cs="宋体"/>
          <w:color w:val="auto"/>
          <w:szCs w:val="21"/>
          <w:highlight w:val="none"/>
        </w:rPr>
        <w:t>为确保网上操作合法、有效和安全，请投标人确保在电子投标过程中能够对相关数据电文进行加密和使用电子签章，妥善保管CA数字证书并使用有效的CA数字证书参与整个招标活动。</w:t>
      </w:r>
      <w:r>
        <w:rPr>
          <w:rFonts w:ascii="宋体" w:hAnsi="宋体" w:cs="宋体"/>
          <w:color w:val="auto"/>
          <w:szCs w:val="21"/>
          <w:highlight w:val="none"/>
        </w:rPr>
        <w:t>②</w:t>
      </w:r>
      <w:r>
        <w:rPr>
          <w:rFonts w:hint="eastAsia" w:ascii="宋体" w:hAnsi="宋体" w:cs="宋体"/>
          <w:color w:val="auto"/>
          <w:szCs w:val="21"/>
          <w:highlight w:val="none"/>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r>
        <w:rPr>
          <w:rFonts w:ascii="宋体" w:hAnsi="宋体" w:cs="宋体"/>
          <w:color w:val="auto"/>
          <w:szCs w:val="21"/>
          <w:highlight w:val="none"/>
        </w:rPr>
        <w:t>③若对项目采购电子交易系统操作有疑问，可登录广西政府采购云平台（https://www.gcy.zfcg.gxzf.gov.cn/），点击右侧咨询小采，获取采小蜜智能服务管家帮助，或拨打服务热线95763获取热线服务帮助。</w:t>
      </w:r>
    </w:p>
    <w:p w14:paraId="08B29AFF">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7、采购计划号：广西政采[2026]1</w:t>
      </w:r>
      <w:r>
        <w:rPr>
          <w:rFonts w:hint="eastAsia" w:ascii="宋体" w:hAnsi="宋体" w:cs="宋体"/>
          <w:color w:val="auto"/>
          <w:kern w:val="0"/>
          <w:szCs w:val="21"/>
          <w:highlight w:val="none"/>
          <w:lang w:val="en-US" w:eastAsia="zh-CN"/>
        </w:rPr>
        <w:t>1677</w:t>
      </w:r>
      <w:r>
        <w:rPr>
          <w:rFonts w:hint="eastAsia" w:ascii="宋体" w:hAnsi="宋体" w:cs="宋体"/>
          <w:color w:val="auto"/>
          <w:kern w:val="0"/>
          <w:szCs w:val="21"/>
          <w:highlight w:val="none"/>
        </w:rPr>
        <w:t>号-001</w:t>
      </w:r>
      <w:r>
        <w:rPr>
          <w:rFonts w:hint="eastAsia" w:ascii="宋体" w:hAnsi="宋体" w:cs="宋体"/>
          <w:color w:val="auto"/>
          <w:kern w:val="0"/>
          <w:szCs w:val="21"/>
          <w:highlight w:val="none"/>
          <w:lang w:val="en-US" w:eastAsia="zh-CN"/>
        </w:rPr>
        <w:t>至008</w:t>
      </w:r>
      <w:r>
        <w:rPr>
          <w:rFonts w:hint="eastAsia" w:ascii="宋体" w:hAnsi="宋体" w:cs="宋体"/>
          <w:color w:val="auto"/>
          <w:kern w:val="0"/>
          <w:szCs w:val="21"/>
          <w:highlight w:val="none"/>
        </w:rPr>
        <w:t>。</w:t>
      </w:r>
    </w:p>
    <w:p w14:paraId="252CF053">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8、本项目接受投标人对多个或全部分标进行投标，但每个投标人最多只允许中其中两个分标，推荐各分标的第一中标候选人顺序为：分标1→分标2→分标3→分标4→分标5，如某投标人已经在两个分标被推荐为第一中标候选人，则不可再作为后续分标的排名中标候选人，以此类推。</w:t>
      </w:r>
    </w:p>
    <w:bookmarkEnd w:id="31"/>
    <w:p w14:paraId="53639F51">
      <w:pPr>
        <w:spacing w:line="380" w:lineRule="exact"/>
        <w:rPr>
          <w:rFonts w:hint="eastAsia" w:ascii="宋体" w:hAnsi="宋体" w:cs="宋体"/>
          <w:b/>
          <w:bCs/>
          <w:color w:val="auto"/>
          <w:szCs w:val="21"/>
          <w:highlight w:val="none"/>
        </w:rPr>
      </w:pPr>
      <w:r>
        <w:rPr>
          <w:rFonts w:hint="eastAsia" w:ascii="宋体" w:hAnsi="宋体" w:cs="宋体"/>
          <w:b/>
          <w:bCs/>
          <w:color w:val="auto"/>
          <w:szCs w:val="21"/>
          <w:highlight w:val="none"/>
        </w:rPr>
        <w:t>七、对本次招标提出询问，请按以下方式联系。</w:t>
      </w:r>
      <w:bookmarkEnd w:id="32"/>
      <w:bookmarkEnd w:id="33"/>
      <w:bookmarkEnd w:id="34"/>
      <w:bookmarkEnd w:id="35"/>
    </w:p>
    <w:p w14:paraId="7E691707">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1.采购人信息</w:t>
      </w:r>
    </w:p>
    <w:p w14:paraId="4B367349">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名称：广西壮族自治区梧州监狱</w:t>
      </w:r>
    </w:p>
    <w:p w14:paraId="4B7DBA81">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地址：广西壮族自治区梧州市龙圩区龙城西路118号</w:t>
      </w:r>
    </w:p>
    <w:p w14:paraId="48403670">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项目联系人：廖科长</w:t>
      </w:r>
    </w:p>
    <w:p w14:paraId="2FC0C4B0">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项目联系方式：18277235115</w:t>
      </w:r>
    </w:p>
    <w:p w14:paraId="771C60D8">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2.采购代理机构信息</w:t>
      </w:r>
    </w:p>
    <w:p w14:paraId="0232BB6A">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名称：广西科文招标有限公司</w:t>
      </w:r>
    </w:p>
    <w:p w14:paraId="1A7BFC73">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地址：广西南宁市民族大道141号中鼎万象东方D区五层</w:t>
      </w:r>
    </w:p>
    <w:p w14:paraId="0DEF4A7B">
      <w:pPr>
        <w:spacing w:line="38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项目联系人：</w:t>
      </w:r>
      <w:r>
        <w:rPr>
          <w:rFonts w:hint="eastAsia" w:ascii="宋体" w:hAnsi="宋体" w:cs="宋体"/>
          <w:color w:val="auto"/>
          <w:szCs w:val="21"/>
          <w:highlight w:val="none"/>
          <w:lang w:eastAsia="zh-CN"/>
        </w:rPr>
        <w:t>谢工</w:t>
      </w:r>
    </w:p>
    <w:p w14:paraId="1A9411C4">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项目联系方式：0771-8232208</w:t>
      </w:r>
    </w:p>
    <w:p w14:paraId="7EF7FD3C">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3.项目联系方式：0771-8232208</w:t>
      </w:r>
    </w:p>
    <w:p w14:paraId="35DA501C">
      <w:pPr>
        <w:spacing w:line="360" w:lineRule="exact"/>
        <w:ind w:firstLine="420" w:firstLineChars="200"/>
        <w:rPr>
          <w:rFonts w:hint="eastAsia" w:ascii="宋体" w:hAnsi="宋体" w:cs="宋体"/>
          <w:color w:val="auto"/>
          <w:szCs w:val="21"/>
          <w:highlight w:val="none"/>
        </w:rPr>
      </w:pPr>
    </w:p>
    <w:p w14:paraId="45671BB6">
      <w:pPr>
        <w:spacing w:line="360" w:lineRule="exact"/>
        <w:ind w:firstLine="420" w:firstLineChars="200"/>
        <w:rPr>
          <w:rFonts w:hint="eastAsia" w:ascii="宋体" w:hAnsi="宋体" w:cs="宋体"/>
          <w:color w:val="auto"/>
          <w:szCs w:val="21"/>
          <w:highlight w:val="none"/>
        </w:rPr>
      </w:pPr>
    </w:p>
    <w:p w14:paraId="61359B49">
      <w:pPr>
        <w:spacing w:line="360" w:lineRule="exact"/>
        <w:ind w:firstLine="420" w:firstLineChars="200"/>
        <w:rPr>
          <w:rFonts w:hint="eastAsia" w:ascii="宋体" w:hAnsi="宋体" w:cs="宋体"/>
          <w:color w:val="auto"/>
          <w:szCs w:val="21"/>
          <w:highlight w:val="none"/>
        </w:rPr>
      </w:pPr>
    </w:p>
    <w:p w14:paraId="3E945ED4">
      <w:pPr>
        <w:spacing w:line="380" w:lineRule="exact"/>
        <w:ind w:firstLine="6405" w:firstLineChars="3050"/>
        <w:jc w:val="right"/>
        <w:rPr>
          <w:rFonts w:hint="eastAsia" w:ascii="宋体" w:hAnsi="宋体" w:cs="宋体"/>
          <w:color w:val="auto"/>
          <w:szCs w:val="21"/>
          <w:highlight w:val="none"/>
        </w:rPr>
      </w:pPr>
      <w:r>
        <w:rPr>
          <w:rFonts w:hint="eastAsia" w:ascii="宋体" w:hAnsi="宋体" w:cs="宋体"/>
          <w:color w:val="auto"/>
          <w:szCs w:val="21"/>
          <w:highlight w:val="none"/>
        </w:rPr>
        <w:t>广西科文招标有限公司</w:t>
      </w:r>
    </w:p>
    <w:p w14:paraId="3BDA2390">
      <w:pPr>
        <w:spacing w:line="380" w:lineRule="exact"/>
        <w:ind w:firstLine="6405" w:firstLineChars="3050"/>
        <w:jc w:val="right"/>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2026年9月1日</w:t>
      </w:r>
    </w:p>
    <w:p w14:paraId="4BECE0AB">
      <w:pPr>
        <w:snapToGrid w:val="0"/>
        <w:spacing w:line="320" w:lineRule="exact"/>
        <w:rPr>
          <w:rFonts w:hint="eastAsia" w:ascii="宋体" w:hAnsi="宋体" w:cs="宋体"/>
          <w:color w:val="auto"/>
          <w:sz w:val="24"/>
          <w:szCs w:val="20"/>
          <w:highlight w:val="none"/>
        </w:rPr>
      </w:pPr>
      <w:r>
        <w:rPr>
          <w:rFonts w:hint="eastAsia" w:ascii="宋体" w:hAnsi="宋体" w:cs="宋体"/>
          <w:color w:val="auto"/>
          <w:sz w:val="24"/>
          <w:szCs w:val="20"/>
          <w:highlight w:val="none"/>
        </w:rPr>
        <w:br w:type="page"/>
      </w:r>
    </w:p>
    <w:p w14:paraId="3E633A1B">
      <w:pPr>
        <w:pStyle w:val="4"/>
        <w:spacing w:before="0" w:after="0" w:line="579" w:lineRule="auto"/>
        <w:jc w:val="center"/>
        <w:rPr>
          <w:rFonts w:hint="eastAsia" w:ascii="宋体" w:hAnsi="宋体" w:cs="宋体"/>
          <w:color w:val="auto"/>
          <w:highlight w:val="none"/>
        </w:rPr>
      </w:pPr>
      <w:bookmarkStart w:id="36" w:name="_Toc16028"/>
      <w:r>
        <w:rPr>
          <w:rFonts w:hint="eastAsia" w:ascii="宋体" w:hAnsi="宋体" w:cs="宋体"/>
          <w:color w:val="auto"/>
          <w:highlight w:val="none"/>
        </w:rPr>
        <w:t>第二章  采购需求</w:t>
      </w:r>
      <w:bookmarkEnd w:id="36"/>
    </w:p>
    <w:p w14:paraId="07B1E0C3">
      <w:pPr>
        <w:spacing w:line="360" w:lineRule="auto"/>
        <w:jc w:val="left"/>
        <w:rPr>
          <w:rFonts w:hint="eastAsia" w:ascii="宋体" w:hAnsi="宋体" w:cs="宋体"/>
          <w:b/>
          <w:color w:val="auto"/>
          <w:szCs w:val="21"/>
          <w:highlight w:val="none"/>
        </w:rPr>
      </w:pPr>
      <w:bookmarkStart w:id="37" w:name="_Toc254970490"/>
      <w:bookmarkStart w:id="38" w:name="_Toc254970631"/>
      <w:r>
        <w:rPr>
          <w:rFonts w:hint="eastAsia" w:ascii="宋体" w:hAnsi="宋体" w:cs="宋体"/>
          <w:b/>
          <w:color w:val="auto"/>
          <w:szCs w:val="21"/>
          <w:highlight w:val="none"/>
        </w:rPr>
        <w:t>说明：</w:t>
      </w:r>
    </w:p>
    <w:p w14:paraId="1BC8DFB7">
      <w:pPr>
        <w:spacing w:line="360" w:lineRule="exact"/>
        <w:ind w:left="-10" w:leftChars="-5" w:right="2" w:rightChars="1" w:firstLine="420" w:firstLineChars="200"/>
        <w:rPr>
          <w:rFonts w:hint="eastAsia" w:ascii="宋体" w:hAnsi="宋体" w:cs="宋体"/>
          <w:color w:val="auto"/>
          <w:highlight w:val="none"/>
        </w:rPr>
      </w:pPr>
      <w:r>
        <w:rPr>
          <w:rFonts w:hint="eastAsia" w:ascii="宋体" w:hAnsi="宋体" w:cs="宋体"/>
          <w:color w:val="auto"/>
          <w:highlight w:val="none"/>
        </w:rPr>
        <w:t>1、采购需求中如出现品牌、型号或者生产厂家等均仅起参考作用，不属于指定品牌、型号或者生产厂家的情形，投标人可参照或者选用其他相当的品牌、型号或者生产供应商替代。但投标人的产品实质上应相当于或优于本需求中的技术要求。（“分标”等同于“标项”）</w:t>
      </w:r>
    </w:p>
    <w:p w14:paraId="6BF5620B">
      <w:pPr>
        <w:spacing w:line="360" w:lineRule="exact"/>
        <w:ind w:left="-10" w:leftChars="-5" w:right="2" w:rightChars="1" w:firstLine="420" w:firstLineChars="200"/>
        <w:rPr>
          <w:rFonts w:hint="eastAsia" w:ascii="宋体" w:hAnsi="宋体" w:cs="宋体"/>
          <w:color w:val="auto"/>
          <w:highlight w:val="none"/>
        </w:rPr>
      </w:pPr>
      <w:r>
        <w:rPr>
          <w:rFonts w:hint="eastAsia" w:ascii="宋体" w:hAnsi="宋体" w:cs="宋体"/>
          <w:color w:val="auto"/>
          <w:highlight w:val="none"/>
        </w:rPr>
        <w:t>2、凡在“技术要求”中表述为“标配”或“标准配置”的设备，投标人应在投标货物配置清单中将其标配参数详细列明。</w:t>
      </w:r>
    </w:p>
    <w:p w14:paraId="379A3FC6">
      <w:pPr>
        <w:spacing w:line="360" w:lineRule="exact"/>
        <w:ind w:left="-10" w:leftChars="-5" w:right="2" w:rightChars="1" w:firstLine="420" w:firstLineChars="200"/>
        <w:rPr>
          <w:rFonts w:hint="eastAsia" w:ascii="宋体" w:hAnsi="宋体" w:cs="宋体"/>
          <w:color w:val="auto"/>
          <w:highlight w:val="none"/>
        </w:rPr>
      </w:pPr>
      <w:r>
        <w:rPr>
          <w:rFonts w:hint="eastAsia" w:ascii="宋体" w:hAnsi="宋体" w:cs="宋体"/>
          <w:color w:val="auto"/>
          <w:highlight w:val="none"/>
        </w:rPr>
        <w:t>3、落实政府采购政策需满足的要求</w:t>
      </w:r>
    </w:p>
    <w:p w14:paraId="05F31862">
      <w:pPr>
        <w:spacing w:line="360" w:lineRule="exact"/>
        <w:ind w:left="-10" w:leftChars="-5" w:right="2" w:rightChars="1" w:firstLine="420" w:firstLineChars="200"/>
        <w:rPr>
          <w:rFonts w:hint="eastAsia" w:ascii="宋体" w:hAnsi="宋体" w:cs="宋体"/>
          <w:color w:val="auto"/>
          <w:highlight w:val="none"/>
        </w:rPr>
      </w:pPr>
      <w:r>
        <w:rPr>
          <w:rFonts w:hint="eastAsia" w:ascii="宋体" w:hAnsi="宋体" w:cs="宋体"/>
          <w:color w:val="auto"/>
          <w:highlight w:val="none"/>
        </w:rPr>
        <w:t>（1）本招标文件所称中小企业必须符合《政府采购促进中小企业发展管理办法》（财库〔2020〕46号）的规定。</w:t>
      </w:r>
    </w:p>
    <w:p w14:paraId="63C13071">
      <w:pPr>
        <w:spacing w:line="360" w:lineRule="exact"/>
        <w:ind w:left="-10" w:leftChars="-5" w:right="2" w:rightChars="1" w:firstLine="420" w:firstLineChars="200"/>
        <w:rPr>
          <w:rFonts w:hint="eastAsia" w:ascii="宋体" w:hAnsi="宋体" w:cs="宋体"/>
          <w:color w:val="auto"/>
          <w:highlight w:val="none"/>
        </w:rPr>
      </w:pPr>
      <w:r>
        <w:rPr>
          <w:rFonts w:hint="eastAsia" w:ascii="宋体" w:hAnsi="宋体" w:cs="宋体"/>
          <w:color w:val="auto"/>
          <w:highlight w:val="none"/>
        </w:rPr>
        <w:t>4、如投标人投标产品存在侵犯他人的知识产权或者专利成果行为的，由投标人自行承担相应法律责任。</w:t>
      </w:r>
    </w:p>
    <w:p w14:paraId="533DE2BC">
      <w:pPr>
        <w:spacing w:line="360" w:lineRule="exact"/>
        <w:ind w:left="-10" w:leftChars="-5" w:right="2" w:rightChars="1" w:firstLine="422" w:firstLineChars="200"/>
        <w:rPr>
          <w:rFonts w:hint="eastAsia" w:ascii="宋体" w:hAnsi="宋体" w:cs="宋体"/>
          <w:b/>
          <w:bCs/>
          <w:color w:val="auto"/>
          <w:highlight w:val="none"/>
        </w:rPr>
      </w:pPr>
      <w:r>
        <w:rPr>
          <w:rFonts w:hint="eastAsia" w:ascii="宋体" w:hAnsi="宋体" w:cs="宋体"/>
          <w:b/>
          <w:bCs/>
          <w:color w:val="auto"/>
          <w:highlight w:val="none"/>
        </w:rPr>
        <w:t>5、“实质性要求”是指招标文件中已经指明不满足则投标无效的条款，或者不能负偏离的条款，或者采购需求中带“▲”的条款。</w:t>
      </w:r>
    </w:p>
    <w:p w14:paraId="07D585E7">
      <w:pPr>
        <w:spacing w:line="360" w:lineRule="exact"/>
        <w:ind w:left="-10" w:leftChars="-5" w:right="2" w:rightChars="1" w:firstLine="422" w:firstLineChars="200"/>
        <w:rPr>
          <w:rFonts w:hint="eastAsia" w:ascii="宋体" w:hAnsi="宋体" w:cs="宋体"/>
          <w:b/>
          <w:bCs/>
          <w:color w:val="auto"/>
          <w:highlight w:val="none"/>
        </w:rPr>
      </w:pPr>
      <w:r>
        <w:rPr>
          <w:rFonts w:hint="eastAsia" w:ascii="宋体" w:hAnsi="宋体" w:cs="宋体"/>
          <w:b/>
          <w:bCs/>
          <w:color w:val="auto"/>
          <w:highlight w:val="none"/>
        </w:rPr>
        <w:t>6、本项目分标1、分标2、分标3、分标4、分标5所属行业为：批发业，划分依据：《关于印发中小企业划型标准规定的通知》（工信部联企业[2011]300号）</w:t>
      </w:r>
    </w:p>
    <w:p w14:paraId="5A9D2B74">
      <w:pPr>
        <w:spacing w:line="360" w:lineRule="exact"/>
        <w:ind w:left="-10" w:leftChars="-5" w:right="2" w:rightChars="1" w:firstLine="422" w:firstLineChars="200"/>
        <w:rPr>
          <w:rFonts w:hint="eastAsia" w:ascii="宋体" w:hAnsi="宋体" w:cs="宋体"/>
          <w:b/>
          <w:bCs/>
          <w:color w:val="auto"/>
          <w:highlight w:val="none"/>
        </w:rPr>
      </w:pPr>
      <w:r>
        <w:rPr>
          <w:rFonts w:hint="eastAsia" w:ascii="宋体" w:hAnsi="宋体" w:cs="宋体"/>
          <w:b/>
          <w:bCs/>
          <w:color w:val="auto"/>
          <w:highlight w:val="none"/>
        </w:rPr>
        <w:t>7、采购需求中涉及的国家标准规范如有最新版的按最新版执行。</w:t>
      </w:r>
    </w:p>
    <w:bookmarkEnd w:id="37"/>
    <w:bookmarkEnd w:id="38"/>
    <w:p w14:paraId="163922AC">
      <w:pPr>
        <w:rPr>
          <w:rFonts w:hint="eastAsia" w:ascii="宋体" w:hAnsi="宋体" w:cs="宋体"/>
          <w:color w:val="auto"/>
          <w:sz w:val="24"/>
          <w:highlight w:val="none"/>
        </w:rPr>
      </w:pPr>
    </w:p>
    <w:p w14:paraId="2ACCF54C">
      <w:pPr>
        <w:ind w:firstLine="422" w:firstLineChars="175"/>
        <w:rPr>
          <w:rFonts w:hint="eastAsia" w:ascii="宋体" w:hAnsi="宋体" w:cs="宋体"/>
          <w:b/>
          <w:bCs/>
          <w:color w:val="auto"/>
          <w:sz w:val="24"/>
          <w:highlight w:val="none"/>
        </w:rPr>
      </w:pPr>
      <w:r>
        <w:rPr>
          <w:rFonts w:hint="eastAsia" w:ascii="宋体" w:hAnsi="宋体" w:cs="宋体"/>
          <w:b/>
          <w:bCs/>
          <w:color w:val="auto"/>
          <w:sz w:val="24"/>
          <w:highlight w:val="none"/>
        </w:rPr>
        <w:t>分标1：                            采购预算：</w:t>
      </w:r>
      <w:r>
        <w:rPr>
          <w:rFonts w:hint="eastAsia" w:ascii="宋体" w:hAnsi="宋体" w:cs="宋体"/>
          <w:b/>
          <w:bCs/>
          <w:color w:val="auto"/>
          <w:sz w:val="24"/>
          <w:highlight w:val="none"/>
          <w:lang w:eastAsia="zh-CN"/>
        </w:rPr>
        <w:t>2242350.00</w:t>
      </w:r>
      <w:r>
        <w:rPr>
          <w:rFonts w:hint="eastAsia" w:ascii="宋体" w:hAnsi="宋体" w:cs="宋体"/>
          <w:b/>
          <w:bCs/>
          <w:color w:val="auto"/>
          <w:sz w:val="24"/>
          <w:highlight w:val="none"/>
        </w:rPr>
        <w:t>元</w:t>
      </w:r>
    </w:p>
    <w:p w14:paraId="3DBAD07F">
      <w:pPr>
        <w:ind w:firstLine="422" w:firstLineChars="175"/>
        <w:rPr>
          <w:rFonts w:hint="eastAsia" w:ascii="宋体" w:hAnsi="宋体" w:cs="宋体"/>
          <w:b/>
          <w:bCs/>
          <w:color w:val="auto"/>
          <w:sz w:val="24"/>
          <w:highlight w:val="none"/>
        </w:rPr>
      </w:pPr>
      <w:r>
        <w:rPr>
          <w:rFonts w:hint="eastAsia" w:ascii="宋体" w:hAnsi="宋体" w:cs="宋体"/>
          <w:b/>
          <w:bCs/>
          <w:color w:val="auto"/>
          <w:sz w:val="24"/>
          <w:highlight w:val="none"/>
        </w:rPr>
        <w:t>本分标的核心产品为下表的第</w:t>
      </w:r>
      <w:r>
        <w:rPr>
          <w:rFonts w:hint="eastAsia" w:ascii="宋体" w:hAnsi="宋体" w:cs="宋体"/>
          <w:b/>
          <w:bCs/>
          <w:color w:val="auto"/>
          <w:sz w:val="24"/>
          <w:highlight w:val="none"/>
          <w:u w:val="single"/>
        </w:rPr>
        <w:t xml:space="preserve"> 1 </w:t>
      </w:r>
      <w:r>
        <w:rPr>
          <w:rFonts w:hint="eastAsia" w:ascii="宋体" w:hAnsi="宋体" w:cs="宋体"/>
          <w:b/>
          <w:bCs/>
          <w:color w:val="auto"/>
          <w:sz w:val="24"/>
          <w:highlight w:val="none"/>
        </w:rPr>
        <w:t>项产品。</w:t>
      </w:r>
    </w:p>
    <w:tbl>
      <w:tblPr>
        <w:tblStyle w:val="48"/>
        <w:tblW w:w="482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9"/>
        <w:gridCol w:w="1050"/>
        <w:gridCol w:w="1056"/>
        <w:gridCol w:w="746"/>
        <w:gridCol w:w="935"/>
        <w:gridCol w:w="5391"/>
      </w:tblGrid>
      <w:tr w14:paraId="2073A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5519F4B6">
            <w:pPr>
              <w:tabs>
                <w:tab w:val="left" w:pos="180"/>
                <w:tab w:val="left" w:pos="1620"/>
              </w:tabs>
              <w:jc w:val="center"/>
              <w:rPr>
                <w:rFonts w:hint="eastAsia" w:ascii="宋体" w:hAnsi="宋体" w:cs="宋体"/>
                <w:b/>
                <w:color w:val="auto"/>
                <w:sz w:val="24"/>
                <w:highlight w:val="none"/>
              </w:rPr>
            </w:pPr>
            <w:r>
              <w:rPr>
                <w:rFonts w:hint="eastAsia" w:ascii="宋体" w:hAnsi="宋体" w:cs="宋体"/>
                <w:b/>
                <w:color w:val="auto"/>
                <w:sz w:val="24"/>
                <w:highlight w:val="none"/>
              </w:rPr>
              <w:t>货物需求一览表</w:t>
            </w:r>
          </w:p>
        </w:tc>
      </w:tr>
      <w:tr w14:paraId="5828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284AA665">
            <w:pPr>
              <w:tabs>
                <w:tab w:val="left" w:pos="180"/>
                <w:tab w:val="left" w:pos="1620"/>
              </w:tabs>
              <w:rPr>
                <w:rFonts w:hint="eastAsia" w:ascii="宋体" w:hAnsi="宋体" w:cs="宋体"/>
                <w:b/>
                <w:bCs/>
                <w:color w:val="auto"/>
                <w:sz w:val="24"/>
                <w:highlight w:val="none"/>
              </w:rPr>
            </w:pPr>
            <w:r>
              <w:rPr>
                <w:rFonts w:hint="eastAsia" w:ascii="宋体" w:hAnsi="宋体" w:cs="宋体"/>
                <w:b/>
                <w:bCs/>
                <w:color w:val="auto"/>
                <w:sz w:val="24"/>
                <w:highlight w:val="none"/>
              </w:rPr>
              <w:t>一、采购标的及技术需求</w:t>
            </w:r>
          </w:p>
        </w:tc>
      </w:tr>
      <w:tr w14:paraId="34B1F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229" w:type="pct"/>
            <w:vAlign w:val="center"/>
          </w:tcPr>
          <w:p w14:paraId="080A84AF">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bCs/>
                <w:color w:val="auto"/>
                <w:szCs w:val="21"/>
                <w:highlight w:val="none"/>
              </w:rPr>
              <w:t>项号</w:t>
            </w:r>
          </w:p>
        </w:tc>
        <w:tc>
          <w:tcPr>
            <w:tcW w:w="545" w:type="pct"/>
            <w:vAlign w:val="center"/>
          </w:tcPr>
          <w:p w14:paraId="7D878DC6">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bCs/>
                <w:color w:val="auto"/>
                <w:szCs w:val="21"/>
                <w:highlight w:val="none"/>
              </w:rPr>
              <w:t>货物（标的）名称</w:t>
            </w:r>
          </w:p>
        </w:tc>
        <w:tc>
          <w:tcPr>
            <w:tcW w:w="548" w:type="pct"/>
            <w:vAlign w:val="center"/>
          </w:tcPr>
          <w:p w14:paraId="59A6B34C">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bCs/>
                <w:color w:val="auto"/>
                <w:szCs w:val="21"/>
                <w:highlight w:val="none"/>
              </w:rPr>
              <w:t>数量</w:t>
            </w:r>
          </w:p>
        </w:tc>
        <w:tc>
          <w:tcPr>
            <w:tcW w:w="388" w:type="pct"/>
            <w:vAlign w:val="center"/>
          </w:tcPr>
          <w:p w14:paraId="278AB806">
            <w:pPr>
              <w:tabs>
                <w:tab w:val="left" w:pos="180"/>
                <w:tab w:val="left" w:pos="1620"/>
              </w:tabs>
              <w:jc w:val="center"/>
              <w:rPr>
                <w:rFonts w:hint="eastAsia" w:ascii="宋体" w:hAnsi="宋体" w:cs="宋体"/>
                <w:b/>
                <w:bCs/>
                <w:color w:val="auto"/>
                <w:szCs w:val="21"/>
                <w:highlight w:val="none"/>
              </w:rPr>
            </w:pPr>
            <w:r>
              <w:rPr>
                <w:rFonts w:hint="eastAsia" w:ascii="宋体" w:hAnsi="宋体" w:cs="宋体"/>
                <w:b/>
                <w:bCs/>
                <w:color w:val="auto"/>
                <w:szCs w:val="21"/>
                <w:highlight w:val="none"/>
              </w:rPr>
              <w:t>单位</w:t>
            </w:r>
          </w:p>
        </w:tc>
        <w:tc>
          <w:tcPr>
            <w:tcW w:w="486" w:type="pct"/>
            <w:vAlign w:val="center"/>
          </w:tcPr>
          <w:p w14:paraId="45961ACD">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bCs/>
                <w:color w:val="auto"/>
                <w:szCs w:val="21"/>
                <w:highlight w:val="none"/>
              </w:rPr>
              <w:t>▲单价最高限价（元/公斤）</w:t>
            </w:r>
          </w:p>
        </w:tc>
        <w:tc>
          <w:tcPr>
            <w:tcW w:w="2801" w:type="pct"/>
            <w:vAlign w:val="center"/>
          </w:tcPr>
          <w:p w14:paraId="7E93C27F">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color w:val="auto"/>
                <w:szCs w:val="21"/>
                <w:highlight w:val="none"/>
              </w:rPr>
              <w:t>技术参数及质量（配置）要求</w:t>
            </w:r>
          </w:p>
        </w:tc>
      </w:tr>
      <w:tr w14:paraId="51898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5C0960BF">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545" w:type="pct"/>
            <w:vAlign w:val="center"/>
          </w:tcPr>
          <w:p w14:paraId="6178228A">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光鸡</w:t>
            </w:r>
          </w:p>
        </w:tc>
        <w:tc>
          <w:tcPr>
            <w:tcW w:w="548" w:type="pct"/>
            <w:vAlign w:val="center"/>
          </w:tcPr>
          <w:p w14:paraId="57CE4B5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54000.00</w:t>
            </w:r>
          </w:p>
        </w:tc>
        <w:tc>
          <w:tcPr>
            <w:tcW w:w="388" w:type="pct"/>
            <w:vAlign w:val="center"/>
          </w:tcPr>
          <w:p w14:paraId="6DB630E3">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86" w:type="pct"/>
            <w:vAlign w:val="center"/>
          </w:tcPr>
          <w:p w14:paraId="32BDF822">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24.00</w:t>
            </w:r>
          </w:p>
        </w:tc>
        <w:tc>
          <w:tcPr>
            <w:tcW w:w="2801" w:type="pct"/>
            <w:vAlign w:val="center"/>
          </w:tcPr>
          <w:p w14:paraId="2F4D105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1.▲质量必须达到</w:t>
            </w:r>
            <w:r>
              <w:rPr>
                <w:rFonts w:hint="eastAsia"/>
                <w:color w:val="auto"/>
                <w:highlight w:val="none"/>
              </w:rPr>
              <w:t>《中华人民共和国农产品质量安全法》及</w:t>
            </w:r>
            <w:r>
              <w:rPr>
                <w:rFonts w:hint="eastAsia" w:ascii="宋体" w:hAnsi="宋体" w:cs="宋体"/>
                <w:color w:val="auto"/>
                <w:kern w:val="0"/>
                <w:szCs w:val="21"/>
                <w:highlight w:val="none"/>
                <w:lang w:bidi="ar"/>
              </w:rPr>
              <w:t>国家相关食品（农产品）标准和卫生标准；新鲜鸡肉、鸭肉质量安全达到GB 2707-2016《食品安全国家标准鲜(冻)畜、禽产品》标准</w:t>
            </w:r>
            <w:r>
              <w:rPr>
                <w:rFonts w:hint="eastAsia"/>
                <w:color w:val="auto"/>
                <w:highlight w:val="none"/>
              </w:rPr>
              <w:t>。</w:t>
            </w:r>
          </w:p>
          <w:p w14:paraId="1A16829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2.▲每批次供货时须提供本批次的相关检验检疫证明。</w:t>
            </w:r>
          </w:p>
          <w:p w14:paraId="56323594">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整只配送。鸡要求开膛（部位是肚子），外表干净无鸡毛、无肝、肺等内脏，无脚，无毒害，无腐烂、变质，无异味，无打水现象。必须当天宰杀当天送货（宰杀时间不得超过6小时），运输过程要求使用冷藏车。</w:t>
            </w:r>
          </w:p>
          <w:p w14:paraId="280BF0D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4.单个净重量1.5公斤以上。</w:t>
            </w:r>
          </w:p>
          <w:p w14:paraId="2E1BEE6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5.▲不允许提供冰冻肉。</w:t>
            </w:r>
          </w:p>
        </w:tc>
      </w:tr>
      <w:tr w14:paraId="043DF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09BA7562">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545" w:type="pct"/>
            <w:vAlign w:val="center"/>
          </w:tcPr>
          <w:p w14:paraId="3FDEDEA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光鸭</w:t>
            </w:r>
          </w:p>
        </w:tc>
        <w:tc>
          <w:tcPr>
            <w:tcW w:w="548" w:type="pct"/>
            <w:vAlign w:val="center"/>
          </w:tcPr>
          <w:p w14:paraId="36EB5C3A">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45000.00</w:t>
            </w:r>
          </w:p>
        </w:tc>
        <w:tc>
          <w:tcPr>
            <w:tcW w:w="388" w:type="pct"/>
            <w:vAlign w:val="center"/>
          </w:tcPr>
          <w:p w14:paraId="013640A5">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86" w:type="pct"/>
            <w:vAlign w:val="center"/>
          </w:tcPr>
          <w:p w14:paraId="65916E27">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21.00</w:t>
            </w:r>
          </w:p>
        </w:tc>
        <w:tc>
          <w:tcPr>
            <w:tcW w:w="2801" w:type="pct"/>
            <w:vAlign w:val="center"/>
          </w:tcPr>
          <w:p w14:paraId="6FF4FE6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1.▲质量必须达到《中华人民共和国农产品质量安全法》及国家相关食品（农产品）标准和卫生标准；新鲜鸡肉、鸭肉质量安全达到GB 2707-2016《食品安全国家标准鲜(冻)畜、禽产品》标准。</w:t>
            </w:r>
          </w:p>
          <w:p w14:paraId="5EB653A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2.▲每批次供货时须提供本批次的相关检验检疫证明。</w:t>
            </w:r>
          </w:p>
          <w:p w14:paraId="693DC0C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整只配送。鸭要求开膛（部位是肚子），外表干净无鸭毛、无肝、肺等内脏，无脚，无毒害，无腐烂、变质，无异味，无打水现象。必须当天宰杀当天送货（宰杀时间不得超过6小时），运输过程要求使用冷藏车。</w:t>
            </w:r>
          </w:p>
          <w:p w14:paraId="027DC0B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4.单个净重量1.5公斤以上。</w:t>
            </w:r>
          </w:p>
          <w:p w14:paraId="3838567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5.▲不允许提供冰冻肉。</w:t>
            </w:r>
          </w:p>
        </w:tc>
      </w:tr>
      <w:tr w14:paraId="05EC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tcPr>
          <w:p w14:paraId="4BC3EF00">
            <w:pPr>
              <w:tabs>
                <w:tab w:val="left" w:pos="180"/>
                <w:tab w:val="left" w:pos="1620"/>
              </w:tabs>
              <w:rPr>
                <w:rFonts w:hint="eastAsia" w:ascii="宋体" w:hAnsi="宋体" w:cs="宋体"/>
                <w:color w:val="auto"/>
                <w:szCs w:val="21"/>
                <w:highlight w:val="none"/>
              </w:rPr>
            </w:pPr>
            <w:r>
              <w:rPr>
                <w:rFonts w:hint="eastAsia" w:ascii="宋体" w:hAnsi="宋体" w:cs="宋体"/>
                <w:b/>
                <w:bCs/>
                <w:color w:val="auto"/>
                <w:sz w:val="24"/>
                <w:highlight w:val="none"/>
              </w:rPr>
              <w:t>二、商务条款</w:t>
            </w:r>
          </w:p>
        </w:tc>
      </w:tr>
      <w:tr w14:paraId="78EF1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775" w:type="pct"/>
            <w:gridSpan w:val="2"/>
            <w:vAlign w:val="center"/>
          </w:tcPr>
          <w:p w14:paraId="29B3C772">
            <w:pPr>
              <w:jc w:val="center"/>
              <w:rPr>
                <w:rFonts w:hint="eastAsia" w:ascii="宋体" w:hAnsi="宋体" w:cs="宋体"/>
                <w:b/>
                <w:bCs/>
                <w:color w:val="auto"/>
                <w:szCs w:val="21"/>
                <w:highlight w:val="none"/>
                <w:u w:val="single"/>
              </w:rPr>
            </w:pPr>
            <w:r>
              <w:rPr>
                <w:rFonts w:hint="eastAsia" w:ascii="宋体" w:hAnsi="宋体" w:cs="宋体"/>
                <w:color w:val="auto"/>
                <w:szCs w:val="21"/>
                <w:highlight w:val="none"/>
              </w:rPr>
              <w:t>1、合同签订时间</w:t>
            </w:r>
          </w:p>
        </w:tc>
        <w:tc>
          <w:tcPr>
            <w:tcW w:w="4224" w:type="pct"/>
            <w:gridSpan w:val="4"/>
            <w:vAlign w:val="center"/>
          </w:tcPr>
          <w:p w14:paraId="61664356">
            <w:pPr>
              <w:rPr>
                <w:rFonts w:hint="eastAsia" w:ascii="宋体" w:hAnsi="宋体" w:cs="宋体"/>
                <w:color w:val="auto"/>
                <w:szCs w:val="21"/>
                <w:highlight w:val="none"/>
              </w:rPr>
            </w:pPr>
            <w:r>
              <w:rPr>
                <w:rFonts w:hint="eastAsia" w:ascii="宋体" w:hAnsi="宋体" w:cs="宋体"/>
                <w:color w:val="auto"/>
                <w:szCs w:val="21"/>
                <w:highlight w:val="none"/>
              </w:rPr>
              <w:t>自中标通知书发出之日起</w:t>
            </w:r>
            <w:r>
              <w:rPr>
                <w:rFonts w:hint="eastAsia" w:ascii="宋体" w:hAnsi="宋体" w:cs="宋体"/>
                <w:color w:val="auto"/>
                <w:szCs w:val="21"/>
                <w:highlight w:val="none"/>
                <w:u w:val="single"/>
              </w:rPr>
              <w:t>25</w:t>
            </w:r>
            <w:r>
              <w:rPr>
                <w:rFonts w:hint="eastAsia" w:ascii="宋体" w:hAnsi="宋体" w:cs="宋体"/>
                <w:color w:val="auto"/>
                <w:szCs w:val="21"/>
                <w:highlight w:val="none"/>
              </w:rPr>
              <w:t>日内。</w:t>
            </w:r>
          </w:p>
        </w:tc>
      </w:tr>
      <w:tr w14:paraId="1FF7E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gridSpan w:val="2"/>
            <w:vAlign w:val="center"/>
          </w:tcPr>
          <w:p w14:paraId="1398D778">
            <w:pPr>
              <w:jc w:val="center"/>
              <w:rPr>
                <w:rFonts w:hint="eastAsia" w:ascii="宋体" w:hAnsi="宋体" w:cs="宋体"/>
                <w:color w:val="auto"/>
                <w:szCs w:val="21"/>
                <w:highlight w:val="none"/>
                <w:u w:val="single"/>
              </w:rPr>
            </w:pPr>
            <w:r>
              <w:rPr>
                <w:rFonts w:hint="eastAsia" w:ascii="宋体" w:hAnsi="宋体" w:cs="宋体"/>
                <w:color w:val="auto"/>
                <w:szCs w:val="21"/>
                <w:highlight w:val="none"/>
              </w:rPr>
              <w:t>2、▲交付时间及地点、合同有效期</w:t>
            </w:r>
          </w:p>
        </w:tc>
        <w:tc>
          <w:tcPr>
            <w:tcW w:w="4224" w:type="pct"/>
            <w:gridSpan w:val="4"/>
            <w:vAlign w:val="center"/>
          </w:tcPr>
          <w:p w14:paraId="75B0EA54">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1.交付时间：中标人向采购人供应食材为每天北京时间上午08:00前，确保一日一供,节假日正常供应,特殊情况双方协商确定。产品运输由中标人负责，运输及卸车费用由中标人承担。</w:t>
            </w:r>
          </w:p>
          <w:p w14:paraId="470CE16E">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2.交付地点：广西壮族自治区梧州市龙圩区；</w:t>
            </w:r>
          </w:p>
          <w:p w14:paraId="170AB818">
            <w:pPr>
              <w:rPr>
                <w:rFonts w:hint="eastAsia" w:ascii="宋体" w:hAnsi="宋体" w:cs="宋体"/>
                <w:color w:val="auto"/>
                <w:szCs w:val="21"/>
                <w:highlight w:val="none"/>
              </w:rPr>
            </w:pPr>
            <w:r>
              <w:rPr>
                <w:rFonts w:hint="eastAsia" w:ascii="宋体" w:hAnsi="宋体" w:cs="宋体"/>
                <w:color w:val="auto"/>
                <w:szCs w:val="21"/>
                <w:highlight w:val="none"/>
              </w:rPr>
              <w:t>3.合同有效期：自合同签订生效之日起1年。</w:t>
            </w:r>
          </w:p>
        </w:tc>
      </w:tr>
      <w:tr w14:paraId="02D15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gridSpan w:val="2"/>
            <w:vAlign w:val="center"/>
          </w:tcPr>
          <w:p w14:paraId="38E9E612">
            <w:pPr>
              <w:rPr>
                <w:rFonts w:hint="eastAsia" w:ascii="宋体" w:hAnsi="宋体" w:cs="宋体"/>
                <w:color w:val="auto"/>
                <w:szCs w:val="21"/>
                <w:highlight w:val="none"/>
                <w:u w:val="single"/>
              </w:rPr>
            </w:pPr>
            <w:r>
              <w:rPr>
                <w:rFonts w:hint="eastAsia" w:ascii="宋体" w:hAnsi="宋体" w:cs="宋体"/>
                <w:color w:val="auto"/>
                <w:szCs w:val="21"/>
                <w:highlight w:val="none"/>
              </w:rPr>
              <w:t>3、▲质保期</w:t>
            </w:r>
          </w:p>
        </w:tc>
        <w:tc>
          <w:tcPr>
            <w:tcW w:w="4224" w:type="pct"/>
            <w:gridSpan w:val="4"/>
            <w:vAlign w:val="center"/>
          </w:tcPr>
          <w:p w14:paraId="6837C938">
            <w:pPr>
              <w:rPr>
                <w:rFonts w:hint="eastAsia" w:ascii="宋体" w:hAnsi="宋体" w:cs="宋体"/>
                <w:color w:val="auto"/>
                <w:szCs w:val="21"/>
                <w:highlight w:val="none"/>
              </w:rPr>
            </w:pPr>
            <w:r>
              <w:rPr>
                <w:rFonts w:hint="eastAsia" w:ascii="宋体" w:hAnsi="宋体" w:cs="宋体"/>
                <w:color w:val="auto"/>
                <w:szCs w:val="21"/>
                <w:highlight w:val="none"/>
              </w:rPr>
              <w:t>自每批次货物验收合格时计算，不少于24小时。</w:t>
            </w:r>
          </w:p>
        </w:tc>
      </w:tr>
      <w:tr w14:paraId="195A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gridSpan w:val="2"/>
            <w:vAlign w:val="center"/>
          </w:tcPr>
          <w:p w14:paraId="7D2F0865">
            <w:pPr>
              <w:jc w:val="center"/>
              <w:rPr>
                <w:rFonts w:hint="eastAsia" w:ascii="宋体" w:hAnsi="宋体" w:cs="宋体"/>
                <w:color w:val="auto"/>
                <w:szCs w:val="21"/>
                <w:highlight w:val="none"/>
                <w:u w:val="single"/>
              </w:rPr>
            </w:pPr>
            <w:r>
              <w:rPr>
                <w:rFonts w:hint="eastAsia" w:ascii="宋体" w:hAnsi="宋体" w:cs="宋体"/>
                <w:color w:val="auto"/>
                <w:szCs w:val="21"/>
                <w:highlight w:val="none"/>
              </w:rPr>
              <w:t>4、▲售后服务要求</w:t>
            </w:r>
          </w:p>
        </w:tc>
        <w:tc>
          <w:tcPr>
            <w:tcW w:w="4224" w:type="pct"/>
            <w:gridSpan w:val="4"/>
          </w:tcPr>
          <w:p w14:paraId="56A79FD5">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1.负责送货上门，搬运至指定地点。</w:t>
            </w:r>
          </w:p>
          <w:p w14:paraId="2E86FEFA">
            <w:pPr>
              <w:jc w:val="left"/>
              <w:rPr>
                <w:rFonts w:hint="eastAsia" w:ascii="宋体" w:hAnsi="宋体" w:cs="宋体"/>
                <w:color w:val="auto"/>
                <w:szCs w:val="21"/>
                <w:highlight w:val="none"/>
              </w:rPr>
            </w:pPr>
            <w:r>
              <w:rPr>
                <w:rFonts w:hint="eastAsia" w:ascii="宋体" w:hAnsi="宋体" w:cs="宋体"/>
                <w:color w:val="auto"/>
                <w:szCs w:val="21"/>
                <w:highlight w:val="none"/>
              </w:rPr>
              <w:t>2.出现质量问题的收到通知后1个小时内要到现场，并在2个小时内更换合格货物。</w:t>
            </w:r>
          </w:p>
          <w:p w14:paraId="2E8776C8">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3.中标人按采购人采购计划按时按点供货。</w:t>
            </w:r>
          </w:p>
          <w:p w14:paraId="1B67A51A">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4.中标人无法按规定时间交货，需采购人从其他地方进行临时补货应急的，该批次货物产生的所有相关成本及费用由中标人负责。</w:t>
            </w:r>
          </w:p>
          <w:p w14:paraId="016679EA">
            <w:pPr>
              <w:pStyle w:val="18"/>
              <w:rPr>
                <w:rFonts w:hint="eastAsia" w:ascii="宋体" w:hAnsi="宋体" w:cs="宋体"/>
                <w:color w:val="auto"/>
                <w:kern w:val="0"/>
                <w:szCs w:val="21"/>
                <w:highlight w:val="none"/>
                <w:lang w:bidi="ar"/>
              </w:rPr>
            </w:pPr>
            <w:r>
              <w:rPr>
                <w:rFonts w:hint="eastAsia" w:ascii="宋体" w:hAnsi="宋体" w:cs="宋体"/>
                <w:color w:val="auto"/>
                <w:szCs w:val="21"/>
                <w:highlight w:val="none"/>
              </w:rPr>
              <w:t>5.中标人必须提供相关供货清单（包括货物名称、数量、单价、金额等信息），以便采购人月底结算货款。中标人供货不符合要求的，采购人有权立即退货。中标人应按采购人的要求及时补货，具体交付时间以约定为准。</w:t>
            </w:r>
          </w:p>
        </w:tc>
      </w:tr>
      <w:tr w14:paraId="41DDF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gridSpan w:val="2"/>
            <w:vAlign w:val="center"/>
          </w:tcPr>
          <w:p w14:paraId="3833D9A5">
            <w:pPr>
              <w:jc w:val="center"/>
              <w:rPr>
                <w:rFonts w:hint="eastAsia" w:ascii="宋体" w:hAnsi="宋体" w:cs="宋体"/>
                <w:color w:val="auto"/>
                <w:szCs w:val="21"/>
                <w:highlight w:val="none"/>
                <w:u w:val="single"/>
              </w:rPr>
            </w:pPr>
            <w:r>
              <w:rPr>
                <w:rFonts w:hint="eastAsia" w:ascii="宋体" w:hAnsi="宋体" w:cs="宋体"/>
                <w:color w:val="auto"/>
                <w:szCs w:val="21"/>
                <w:highlight w:val="none"/>
              </w:rPr>
              <w:t>5、▲报价要求</w:t>
            </w:r>
          </w:p>
        </w:tc>
        <w:tc>
          <w:tcPr>
            <w:tcW w:w="4224" w:type="pct"/>
            <w:gridSpan w:val="4"/>
          </w:tcPr>
          <w:p w14:paraId="7E0C53F6">
            <w:pPr>
              <w:widowControl/>
              <w:jc w:val="left"/>
              <w:rPr>
                <w:rFonts w:hint="eastAsia" w:ascii="宋体" w:hAnsi="宋体" w:cs="宋体"/>
                <w:color w:val="auto"/>
                <w:szCs w:val="21"/>
                <w:highlight w:val="none"/>
              </w:rPr>
            </w:pPr>
            <w:r>
              <w:rPr>
                <w:rFonts w:hint="eastAsia" w:ascii="宋体" w:hAnsi="宋体" w:cs="宋体"/>
                <w:color w:val="auto"/>
                <w:szCs w:val="21"/>
                <w:highlight w:val="none"/>
              </w:rPr>
              <w:t>1.本分标投标报价以统一的折扣系数报价：执行合同过程中，如遇市场价格变动幅度较大，可对采购单价进行调整，采用定额统筹供货和上限价弹性议价机制。</w:t>
            </w:r>
            <w:r>
              <w:rPr>
                <w:rFonts w:hint="eastAsia" w:ascii="宋体" w:hAnsi="宋体" w:cs="宋体"/>
                <w:b/>
                <w:bCs/>
                <w:color w:val="auto"/>
                <w:szCs w:val="21"/>
                <w:highlight w:val="none"/>
              </w:rPr>
              <w:t>合同执行前三个月内价格不变</w:t>
            </w:r>
            <w:r>
              <w:rPr>
                <w:rFonts w:hint="eastAsia" w:ascii="宋体" w:hAnsi="宋体" w:cs="宋体"/>
                <w:color w:val="auto"/>
                <w:szCs w:val="21"/>
                <w:highlight w:val="none"/>
              </w:rPr>
              <w:t>，前三个月结算价=每月实际采购数量×货物单价（货物单价=单价最高限价×折扣系数）；</w:t>
            </w:r>
            <w:r>
              <w:rPr>
                <w:rFonts w:hint="eastAsia" w:ascii="宋体" w:hAnsi="宋体" w:cs="宋体"/>
                <w:b/>
                <w:bCs/>
                <w:color w:val="auto"/>
                <w:szCs w:val="21"/>
                <w:highlight w:val="none"/>
              </w:rPr>
              <w:t>三个月后可以对市场价格变动幅度超过±20%的商品价格，进行单价最高限价的调整</w:t>
            </w:r>
            <w:r>
              <w:rPr>
                <w:rFonts w:hint="eastAsia" w:ascii="宋体" w:hAnsi="宋体" w:cs="宋体"/>
                <w:color w:val="auto"/>
                <w:szCs w:val="21"/>
                <w:highlight w:val="none"/>
              </w:rPr>
              <w:t>，调整后的结算价=每月实际采购数量×货物单价（货物单价=调整后的单价×折扣系数）；</w:t>
            </w:r>
            <w:r>
              <w:rPr>
                <w:rFonts w:hint="eastAsia" w:ascii="宋体" w:hAnsi="宋体" w:cs="宋体"/>
                <w:b/>
                <w:bCs/>
                <w:color w:val="auto"/>
                <w:szCs w:val="21"/>
                <w:highlight w:val="none"/>
                <w:lang w:eastAsia="zh-CN"/>
              </w:rPr>
              <w:t>合同期内调价次数不超过3次</w:t>
            </w:r>
            <w:r>
              <w:rPr>
                <w:rFonts w:hint="eastAsia" w:ascii="宋体" w:hAnsi="宋体" w:cs="宋体"/>
                <w:color w:val="auto"/>
                <w:szCs w:val="21"/>
                <w:highlight w:val="none"/>
              </w:rPr>
              <w:t>。例如：供应商所报折扣系数为80%，光鸡的前三个月结算单价=24.00元/公斤×80%=19.20元/公斤；三个月后光鸡的结算单价=调整后的单价×80%。</w:t>
            </w:r>
            <w:r>
              <w:rPr>
                <w:rFonts w:hint="eastAsia" w:ascii="宋体" w:hAnsi="宋体" w:cs="宋体"/>
                <w:b/>
                <w:bCs/>
                <w:color w:val="auto"/>
                <w:szCs w:val="21"/>
                <w:highlight w:val="none"/>
              </w:rPr>
              <w:t>投标人所报折扣系数＞100%时，投标无效</w:t>
            </w:r>
            <w:r>
              <w:rPr>
                <w:rFonts w:hint="eastAsia" w:ascii="宋体" w:hAnsi="宋体" w:cs="宋体"/>
                <w:color w:val="auto"/>
                <w:szCs w:val="21"/>
                <w:highlight w:val="none"/>
              </w:rPr>
              <w:t>。</w:t>
            </w:r>
          </w:p>
          <w:p w14:paraId="674EFAD9">
            <w:pPr>
              <w:widowControl/>
              <w:jc w:val="left"/>
              <w:rPr>
                <w:rFonts w:hint="eastAsia" w:ascii="宋体" w:hAnsi="宋体" w:cs="宋体"/>
                <w:color w:val="auto"/>
                <w:szCs w:val="21"/>
                <w:highlight w:val="none"/>
              </w:rPr>
            </w:pPr>
            <w:r>
              <w:rPr>
                <w:rFonts w:hint="eastAsia" w:ascii="宋体" w:hAnsi="宋体" w:cs="宋体"/>
                <w:color w:val="auto"/>
                <w:szCs w:val="21"/>
                <w:highlight w:val="none"/>
              </w:rPr>
              <w:t>2.本表所列数量仅作参考，最终采购数量以实际采购需求为准。</w:t>
            </w:r>
          </w:p>
          <w:p w14:paraId="0D965EC4">
            <w:pPr>
              <w:widowControl/>
              <w:jc w:val="left"/>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b/>
                <w:bCs/>
                <w:color w:val="auto"/>
                <w:szCs w:val="21"/>
                <w:highlight w:val="none"/>
              </w:rPr>
              <w:t>单价调整方式：</w:t>
            </w:r>
            <w:r>
              <w:rPr>
                <w:rFonts w:hint="eastAsia" w:ascii="宋体" w:hAnsi="宋体" w:cs="宋体"/>
                <w:color w:val="auto"/>
                <w:szCs w:val="21"/>
                <w:highlight w:val="none"/>
              </w:rPr>
              <w:t>由采购人在其所在地以询价方式，面向市场主体选择不少于3家具有代表性的调查对象进行市场询价调研（从以下市场或超市中随机抽取3家：梧州市龙圩区大圆塘市场，梧州市新兴市场，梧州市大塘市场，梧州市龙圩区龙人超市，梧州市沃尔玛超市，梧州市大润发超市），以调研的3个市场价格的平均值移交采购人的相关工作小组复核，报采购人单位党委审定，方可调整价格。原则上每三个月复核一次采购价格。投标人应充分考虑到供货期间物品供应基准单价上涨的风险（如有新的价格调动机制文件，按新的文件规定执行）。在调价申请未得到批复前，投标人必须按现行价格供货，否则视为单方违约，同时按违约进行处理。调价申请批复的价格作为重新确定的单价最高限价。</w:t>
            </w:r>
          </w:p>
          <w:p w14:paraId="43192D71">
            <w:pPr>
              <w:widowControl/>
              <w:jc w:val="left"/>
              <w:rPr>
                <w:rFonts w:hint="eastAsia" w:ascii="宋体" w:hAnsi="宋体" w:cs="宋体"/>
                <w:color w:val="auto"/>
                <w:kern w:val="0"/>
                <w:szCs w:val="21"/>
                <w:highlight w:val="none"/>
                <w:lang w:bidi="ar"/>
              </w:rPr>
            </w:pPr>
            <w:r>
              <w:rPr>
                <w:rFonts w:hint="eastAsia" w:ascii="宋体" w:hAnsi="宋体" w:cs="宋体"/>
                <w:color w:val="auto"/>
                <w:szCs w:val="21"/>
                <w:highlight w:val="none"/>
              </w:rPr>
              <w:t>4.投标报价包括但不仅限于食品和货物的采买、打包、包装、搬运、运输、装卸等所需人工、第三方检验、劳动保险以及用工纠纷、人身损害、法律事务和相关事项处理等一切税金和费用。</w:t>
            </w:r>
          </w:p>
        </w:tc>
      </w:tr>
      <w:tr w14:paraId="5A977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gridSpan w:val="2"/>
            <w:vAlign w:val="center"/>
          </w:tcPr>
          <w:p w14:paraId="7EA0DC19">
            <w:pPr>
              <w:rPr>
                <w:rFonts w:hint="eastAsia" w:ascii="宋体" w:hAnsi="宋体" w:cs="宋体"/>
                <w:color w:val="auto"/>
                <w:szCs w:val="21"/>
                <w:highlight w:val="none"/>
                <w:u w:val="single"/>
              </w:rPr>
            </w:pPr>
            <w:r>
              <w:rPr>
                <w:rFonts w:hint="eastAsia" w:ascii="宋体" w:hAnsi="宋体" w:cs="宋体"/>
                <w:color w:val="auto"/>
                <w:szCs w:val="21"/>
                <w:highlight w:val="none"/>
              </w:rPr>
              <w:t>6、▲付款方式</w:t>
            </w:r>
          </w:p>
        </w:tc>
        <w:tc>
          <w:tcPr>
            <w:tcW w:w="4224" w:type="pct"/>
            <w:gridSpan w:val="4"/>
            <w:vAlign w:val="center"/>
          </w:tcPr>
          <w:p w14:paraId="11AF4122">
            <w:pPr>
              <w:widowControl/>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按月结算，采购人按月进行公对公账户银行转账，以采购人实际购买的种类及数量据实核算。供应商必须提供详细的物品销售清单与采购人的收货单核对，无误后，由供应商按照采购人财务规定出具正式发票，采购人在收到供应商开具的发票后10个工作日内支付货款。</w:t>
            </w:r>
          </w:p>
          <w:p w14:paraId="76918E9E">
            <w:pPr>
              <w:pStyle w:val="25"/>
              <w:snapToGrid w:val="0"/>
              <w:rPr>
                <w:rFonts w:hint="eastAsia" w:hAnsi="宋体" w:cs="宋体"/>
                <w:color w:val="auto"/>
                <w:sz w:val="21"/>
                <w:highlight w:val="none"/>
              </w:rPr>
            </w:pPr>
            <w:r>
              <w:rPr>
                <w:rFonts w:hint="eastAsia" w:hAnsi="宋体" w:cs="宋体"/>
                <w:color w:val="auto"/>
                <w:sz w:val="21"/>
                <w:highlight w:val="none"/>
              </w:rPr>
              <w:t>2.采购人经市场调查发现供应商在合同服务期内存在提供假冒伪劣、有质量缺陷或非正品商品的情况，针对此情况，采购人将向供应商发出问责通知，问责通知发出两次后，供应商仍未能进行有效整改的，采购人有权终止合同，产生的损失由供应商自行负责。</w:t>
            </w:r>
          </w:p>
        </w:tc>
      </w:tr>
      <w:tr w14:paraId="3CAFC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gridSpan w:val="2"/>
            <w:vAlign w:val="center"/>
          </w:tcPr>
          <w:p w14:paraId="7D7E66AE">
            <w:pPr>
              <w:rPr>
                <w:rFonts w:hint="eastAsia" w:ascii="宋体" w:hAnsi="宋体" w:cs="宋体"/>
                <w:color w:val="auto"/>
                <w:szCs w:val="21"/>
                <w:highlight w:val="none"/>
                <w:u w:val="single"/>
              </w:rPr>
            </w:pPr>
            <w:r>
              <w:rPr>
                <w:rFonts w:hint="eastAsia" w:ascii="宋体" w:hAnsi="宋体" w:cs="宋体"/>
                <w:color w:val="auto"/>
                <w:szCs w:val="21"/>
                <w:highlight w:val="none"/>
              </w:rPr>
              <w:t>7、▲配送要求</w:t>
            </w:r>
          </w:p>
        </w:tc>
        <w:tc>
          <w:tcPr>
            <w:tcW w:w="4224" w:type="pct"/>
            <w:gridSpan w:val="4"/>
            <w:vAlign w:val="center"/>
          </w:tcPr>
          <w:p w14:paraId="0ABD3345">
            <w:pPr>
              <w:pStyle w:val="18"/>
              <w:rPr>
                <w:rFonts w:hint="eastAsia" w:ascii="宋体" w:hAnsi="宋体" w:cs="宋体"/>
                <w:color w:val="auto"/>
                <w:szCs w:val="21"/>
                <w:highlight w:val="none"/>
              </w:rPr>
            </w:pPr>
            <w:r>
              <w:rPr>
                <w:rFonts w:hint="eastAsia" w:ascii="宋体" w:hAnsi="宋体" w:cs="宋体"/>
                <w:color w:val="auto"/>
                <w:szCs w:val="21"/>
                <w:highlight w:val="none"/>
              </w:rPr>
              <w:t>1.中标供应商必须按照采购人食堂采购人员通知的时间、数量、品种、品质要求及协定的价格准时送货，经验收合格后签字确认，不能以任何理由推脱，一旦影响到采购人食堂的正常运转，中标供应商应承担相应的经济赔偿。</w:t>
            </w:r>
          </w:p>
          <w:p w14:paraId="6B20C710">
            <w:pPr>
              <w:pStyle w:val="18"/>
              <w:rPr>
                <w:rFonts w:hint="eastAsia" w:ascii="宋体" w:hAnsi="宋体" w:cs="宋体"/>
                <w:color w:val="auto"/>
                <w:szCs w:val="21"/>
                <w:highlight w:val="none"/>
              </w:rPr>
            </w:pPr>
            <w:r>
              <w:rPr>
                <w:rFonts w:hint="eastAsia" w:ascii="宋体" w:hAnsi="宋体" w:cs="宋体"/>
                <w:color w:val="auto"/>
                <w:szCs w:val="21"/>
                <w:highlight w:val="none"/>
              </w:rPr>
              <w:t>2.中标供应商必须在双方约定的时间内将货物送到采购人指定的地点，运输费用由中标供应商承担，如出现不合格、损坏的情况，由中标供应商负责及时调换。</w:t>
            </w:r>
          </w:p>
          <w:p w14:paraId="1D4C96AC">
            <w:pPr>
              <w:pStyle w:val="18"/>
              <w:rPr>
                <w:rFonts w:hint="eastAsia" w:ascii="宋体" w:hAnsi="宋体" w:cs="宋体"/>
                <w:color w:val="auto"/>
                <w:szCs w:val="21"/>
                <w:highlight w:val="none"/>
              </w:rPr>
            </w:pPr>
            <w:r>
              <w:rPr>
                <w:rFonts w:hint="eastAsia" w:ascii="宋体" w:hAnsi="宋体" w:cs="宋体"/>
                <w:color w:val="auto"/>
                <w:szCs w:val="21"/>
                <w:highlight w:val="none"/>
              </w:rPr>
              <w:t>3.在收到采购人发出订货通知后，中标供应商最迟在次日上午08：00（北京时间）提供当次现场供货。</w:t>
            </w:r>
          </w:p>
          <w:p w14:paraId="1F91487C">
            <w:pPr>
              <w:pStyle w:val="18"/>
              <w:rPr>
                <w:rFonts w:hint="eastAsia" w:ascii="宋体" w:hAnsi="宋体" w:cs="宋体"/>
                <w:color w:val="auto"/>
                <w:szCs w:val="21"/>
                <w:highlight w:val="none"/>
              </w:rPr>
            </w:pPr>
            <w:r>
              <w:rPr>
                <w:rFonts w:hint="eastAsia" w:ascii="宋体" w:hAnsi="宋体" w:cs="宋体"/>
                <w:color w:val="auto"/>
                <w:szCs w:val="21"/>
                <w:highlight w:val="none"/>
              </w:rPr>
              <w:t>4.紧急供货要求：在收到采购人发出紧急供货通知后，中标供应商最迟2小时内完成当次现场供货。</w:t>
            </w:r>
          </w:p>
          <w:p w14:paraId="2EC2DE3E">
            <w:pPr>
              <w:widowControl/>
              <w:jc w:val="left"/>
              <w:rPr>
                <w:rFonts w:hint="eastAsia" w:ascii="宋体" w:hAnsi="宋体" w:cs="宋体"/>
                <w:color w:val="auto"/>
                <w:szCs w:val="21"/>
                <w:highlight w:val="none"/>
              </w:rPr>
            </w:pPr>
            <w:r>
              <w:rPr>
                <w:rFonts w:hint="eastAsia" w:ascii="宋体" w:hAnsi="宋体" w:cs="宋体"/>
                <w:color w:val="auto"/>
                <w:szCs w:val="21"/>
                <w:highlight w:val="none"/>
              </w:rPr>
              <w:t>5.中标供应商必须由有健康证的固定人员及车辆长期送货。为确保运输过程的食品安全，必须使用公司自有或租赁车辆，安排专人专车送货，并提供送货人员健康证明及无犯罪记录证明材料，不安排固定车辆人员送货的，每次扣除履约保证金800.00元，履约保证金不足中标金额2%的，由中标供应商在5个工作日内补齐。</w:t>
            </w:r>
          </w:p>
          <w:p w14:paraId="55929490">
            <w:pPr>
              <w:rPr>
                <w:rFonts w:hint="eastAsia" w:ascii="宋体" w:hAnsi="宋体" w:cs="宋体"/>
                <w:color w:val="auto"/>
                <w:szCs w:val="21"/>
                <w:highlight w:val="none"/>
              </w:rPr>
            </w:pPr>
            <w:r>
              <w:rPr>
                <w:rFonts w:hint="eastAsia" w:ascii="宋体" w:hAnsi="宋体" w:cs="宋体"/>
                <w:color w:val="auto"/>
                <w:szCs w:val="21"/>
                <w:highlight w:val="none"/>
              </w:rPr>
              <w:t>6.为确保运输过程的食品安全，送货时</w:t>
            </w:r>
            <w:r>
              <w:rPr>
                <w:rFonts w:hint="eastAsia" w:ascii="宋体" w:hAnsi="宋体" w:cs="宋体"/>
                <w:color w:val="auto"/>
                <w:szCs w:val="21"/>
                <w:highlight w:val="none"/>
                <w:lang w:val="en-US" w:eastAsia="zh-CN"/>
              </w:rPr>
              <w:t>至少配备1辆</w:t>
            </w:r>
            <w:r>
              <w:rPr>
                <w:rFonts w:hint="eastAsia" w:ascii="宋体" w:hAnsi="宋体" w:cs="宋体"/>
                <w:color w:val="auto"/>
                <w:szCs w:val="21"/>
                <w:highlight w:val="none"/>
              </w:rPr>
              <w:t>冷藏车或冷链车。</w:t>
            </w:r>
          </w:p>
        </w:tc>
      </w:tr>
      <w:tr w14:paraId="21482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gridSpan w:val="2"/>
            <w:vAlign w:val="center"/>
          </w:tcPr>
          <w:p w14:paraId="2A91DB72">
            <w:pPr>
              <w:jc w:val="center"/>
              <w:rPr>
                <w:rFonts w:hint="eastAsia" w:ascii="宋体" w:hAnsi="宋体" w:cs="宋体"/>
                <w:color w:val="auto"/>
                <w:szCs w:val="21"/>
                <w:highlight w:val="none"/>
                <w:u w:val="single"/>
              </w:rPr>
            </w:pPr>
            <w:r>
              <w:rPr>
                <w:rFonts w:hint="eastAsia" w:ascii="宋体" w:hAnsi="宋体" w:cs="宋体"/>
                <w:color w:val="auto"/>
                <w:szCs w:val="21"/>
                <w:highlight w:val="none"/>
              </w:rPr>
              <w:t>8、▲其他要求</w:t>
            </w:r>
          </w:p>
        </w:tc>
        <w:tc>
          <w:tcPr>
            <w:tcW w:w="8128" w:type="dxa"/>
            <w:gridSpan w:val="4"/>
            <w:vAlign w:val="center"/>
          </w:tcPr>
          <w:p w14:paraId="5A5EF478">
            <w:pPr>
              <w:rPr>
                <w:rFonts w:hint="eastAsia" w:ascii="宋体" w:hAnsi="宋体" w:cs="宋体"/>
                <w:color w:val="auto"/>
                <w:szCs w:val="21"/>
                <w:highlight w:val="none"/>
              </w:rPr>
            </w:pPr>
            <w:r>
              <w:rPr>
                <w:rFonts w:hint="eastAsia" w:ascii="宋体" w:hAnsi="宋体" w:cs="宋体"/>
                <w:color w:val="auto"/>
                <w:szCs w:val="21"/>
                <w:highlight w:val="none"/>
              </w:rPr>
              <w:t>1.投标人中标后提供的货物必须是具有合法销售途径的、完整、新鲜合格产品。货物的技术质量必须符合《中华人民共和国农产品质量安全法》等有关规定。</w:t>
            </w:r>
          </w:p>
          <w:p w14:paraId="689FD588">
            <w:pPr>
              <w:rPr>
                <w:rFonts w:hint="eastAsia" w:ascii="宋体" w:hAnsi="宋体" w:cs="宋体"/>
                <w:color w:val="auto"/>
                <w:szCs w:val="21"/>
                <w:highlight w:val="none"/>
              </w:rPr>
            </w:pPr>
            <w:r>
              <w:rPr>
                <w:rFonts w:hint="eastAsia" w:ascii="宋体" w:hAnsi="宋体" w:cs="宋体"/>
                <w:color w:val="auto"/>
                <w:szCs w:val="21"/>
                <w:highlight w:val="none"/>
              </w:rPr>
              <w:t>2.供货时，中标人必须提供以下证明文件：</w:t>
            </w:r>
          </w:p>
          <w:p w14:paraId="174E5930">
            <w:pPr>
              <w:rPr>
                <w:rFonts w:hint="eastAsia" w:ascii="宋体" w:hAnsi="宋体" w:cs="宋体"/>
                <w:color w:val="auto"/>
                <w:szCs w:val="21"/>
                <w:highlight w:val="none"/>
              </w:rPr>
            </w:pPr>
            <w:r>
              <w:rPr>
                <w:rFonts w:hint="eastAsia" w:ascii="宋体" w:hAnsi="宋体" w:cs="宋体"/>
                <w:color w:val="auto"/>
                <w:szCs w:val="21"/>
                <w:highlight w:val="none"/>
              </w:rPr>
              <w:t>（1）每批货物必须提供相关的质量安全检验合格证明。</w:t>
            </w:r>
          </w:p>
          <w:p w14:paraId="6B1B1DC9">
            <w:pPr>
              <w:rPr>
                <w:rFonts w:hint="eastAsia" w:ascii="宋体" w:hAnsi="宋体" w:cs="宋体"/>
                <w:color w:val="auto"/>
                <w:szCs w:val="21"/>
                <w:highlight w:val="none"/>
              </w:rPr>
            </w:pPr>
            <w:r>
              <w:rPr>
                <w:rFonts w:hint="eastAsia" w:ascii="宋体" w:hAnsi="宋体" w:cs="宋体"/>
                <w:color w:val="auto"/>
                <w:szCs w:val="21"/>
                <w:highlight w:val="none"/>
              </w:rPr>
              <w:t>（2）投标人中标后每次随货物送上一式两份的送货清单，经双方验收合格后签字确认，双方各执一份，作为送收货凭证。中标人的送货清单必须详细注明商品的单价、数量，送货清单不得涂改。标记不清的，采购人将拒绝签收。合同期末中标人还应提供整个合同期内的所有送货清单供采购人结算。</w:t>
            </w:r>
          </w:p>
          <w:p w14:paraId="12C8EC2A">
            <w:pPr>
              <w:rPr>
                <w:rFonts w:hint="eastAsia" w:ascii="宋体" w:hAnsi="宋体" w:cs="宋体"/>
                <w:color w:val="auto"/>
                <w:szCs w:val="21"/>
                <w:highlight w:val="none"/>
              </w:rPr>
            </w:pPr>
            <w:r>
              <w:rPr>
                <w:rFonts w:hint="eastAsia" w:ascii="宋体" w:hAnsi="宋体" w:cs="宋体"/>
                <w:color w:val="auto"/>
                <w:szCs w:val="21"/>
                <w:highlight w:val="none"/>
              </w:rPr>
              <w:t>3.交货验收必须由采购人和中标人共同进行，采购人如认为有需要的，可委托相关检验部门对产品进行抽检，自检或检验部门抽检不合格的不给予验收，影响采购人实施进度的将追究相关责任，抽检所产生的费用全部由中标人负责。</w:t>
            </w:r>
          </w:p>
          <w:p w14:paraId="20153F72">
            <w:pPr>
              <w:rPr>
                <w:rFonts w:hint="eastAsia" w:ascii="宋体" w:hAnsi="宋体" w:cs="宋体"/>
                <w:color w:val="auto"/>
                <w:szCs w:val="21"/>
                <w:highlight w:val="none"/>
              </w:rPr>
            </w:pPr>
            <w:r>
              <w:rPr>
                <w:rFonts w:hint="eastAsia" w:ascii="宋体" w:hAnsi="宋体" w:cs="宋体"/>
                <w:color w:val="auto"/>
                <w:szCs w:val="21"/>
                <w:highlight w:val="none"/>
              </w:rPr>
              <w:t>4.验收工作的一般程序为：根据货物采购清单的具体要求，对所购名称进行清点、外观检查进行实测，并逐项记录。检测结束后，验收人员在验收单上签字。对未能通过验收的，一律退货、更换直至验收合格。</w:t>
            </w:r>
          </w:p>
          <w:p w14:paraId="767096AE">
            <w:pPr>
              <w:rPr>
                <w:rFonts w:hint="eastAsia" w:ascii="宋体" w:hAnsi="宋体" w:cs="宋体"/>
                <w:color w:val="auto"/>
                <w:szCs w:val="21"/>
                <w:highlight w:val="none"/>
              </w:rPr>
            </w:pPr>
            <w:r>
              <w:rPr>
                <w:rFonts w:hint="eastAsia" w:ascii="宋体" w:hAnsi="宋体" w:cs="宋体"/>
                <w:color w:val="auto"/>
                <w:szCs w:val="21"/>
                <w:highlight w:val="none"/>
              </w:rPr>
              <w:t>5.投标人中标后不得泄露采购人的相关秘密。泄密造成采购人损失的，中标人将承担由此产生的一切损失和法律责任。</w:t>
            </w:r>
          </w:p>
          <w:p w14:paraId="70D0F7F6">
            <w:pPr>
              <w:rPr>
                <w:rFonts w:hint="eastAsia" w:ascii="宋体" w:hAnsi="宋体" w:cs="宋体"/>
                <w:color w:val="auto"/>
                <w:szCs w:val="21"/>
                <w:highlight w:val="none"/>
              </w:rPr>
            </w:pPr>
            <w:r>
              <w:rPr>
                <w:rFonts w:hint="eastAsia" w:ascii="宋体" w:hAnsi="宋体" w:cs="宋体"/>
                <w:color w:val="auto"/>
                <w:szCs w:val="21"/>
                <w:highlight w:val="none"/>
              </w:rPr>
              <w:t>6.安全责任方面要求</w:t>
            </w:r>
          </w:p>
          <w:p w14:paraId="153E41AA">
            <w:pPr>
              <w:rPr>
                <w:rFonts w:hint="eastAsia" w:ascii="宋体" w:hAnsi="宋体" w:cs="宋体"/>
                <w:color w:val="auto"/>
                <w:szCs w:val="21"/>
                <w:highlight w:val="none"/>
              </w:rPr>
            </w:pPr>
            <w:r>
              <w:rPr>
                <w:rFonts w:hint="eastAsia" w:ascii="宋体" w:hAnsi="宋体" w:cs="宋体"/>
                <w:color w:val="auto"/>
                <w:szCs w:val="21"/>
                <w:highlight w:val="none"/>
              </w:rPr>
              <w:t>1）投标人中标后应保证所提供的食品必须是合格安全的食品，因其所送的食品造成食物中毒等事故，立即终止合同，中标人应承担全部责任，同时通过法律途径解决。</w:t>
            </w:r>
          </w:p>
          <w:p w14:paraId="5F40F629">
            <w:pPr>
              <w:rPr>
                <w:rFonts w:hint="eastAsia" w:ascii="宋体" w:hAnsi="宋体" w:cs="宋体"/>
                <w:color w:val="auto"/>
                <w:szCs w:val="21"/>
                <w:highlight w:val="none"/>
              </w:rPr>
            </w:pPr>
            <w:r>
              <w:rPr>
                <w:rFonts w:hint="eastAsia" w:ascii="宋体" w:hAnsi="宋体" w:cs="宋体"/>
                <w:color w:val="auto"/>
                <w:szCs w:val="21"/>
                <w:highlight w:val="none"/>
              </w:rPr>
              <w:t>2）投标人中标后应严格遵守《中华人民共和国食品安全法》等相关规定，一经发现以下食品，除全部退货外，将取消供货资格，中标人须承担由此造成的经济责任和法律责任：</w:t>
            </w:r>
          </w:p>
          <w:p w14:paraId="50F9FA3B">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1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①</w:t>
            </w:r>
            <w:r>
              <w:rPr>
                <w:rFonts w:hint="eastAsia" w:ascii="宋体" w:hAnsi="宋体" w:cs="宋体"/>
                <w:color w:val="auto"/>
                <w:szCs w:val="21"/>
                <w:highlight w:val="none"/>
              </w:rPr>
              <w:fldChar w:fldCharType="end"/>
            </w:r>
            <w:r>
              <w:rPr>
                <w:rFonts w:hint="eastAsia" w:ascii="宋体" w:hAnsi="宋体" w:cs="宋体"/>
                <w:color w:val="auto"/>
                <w:szCs w:val="21"/>
                <w:highlight w:val="none"/>
              </w:rPr>
              <w:t>食材没有合法供货来源的；</w:t>
            </w:r>
          </w:p>
          <w:p w14:paraId="0C9E747B">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2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②</w:t>
            </w:r>
            <w:r>
              <w:rPr>
                <w:rFonts w:hint="eastAsia" w:ascii="宋体" w:hAnsi="宋体" w:cs="宋体"/>
                <w:color w:val="auto"/>
                <w:szCs w:val="21"/>
                <w:highlight w:val="none"/>
              </w:rPr>
              <w:fldChar w:fldCharType="end"/>
            </w:r>
            <w:r>
              <w:rPr>
                <w:rFonts w:hint="eastAsia" w:ascii="宋体" w:hAnsi="宋体" w:cs="宋体"/>
                <w:color w:val="auto"/>
                <w:szCs w:val="21"/>
                <w:highlight w:val="none"/>
              </w:rPr>
              <w:t>腐败变质、霉变、生虫、污秽不洁、混有异物或者其他感官性状异常，对人体健康有害的；</w:t>
            </w:r>
          </w:p>
          <w:p w14:paraId="47FC7098">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3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③</w:t>
            </w:r>
            <w:r>
              <w:rPr>
                <w:rFonts w:hint="eastAsia" w:ascii="宋体" w:hAnsi="宋体" w:cs="宋体"/>
                <w:color w:val="auto"/>
                <w:szCs w:val="21"/>
                <w:highlight w:val="none"/>
              </w:rPr>
              <w:fldChar w:fldCharType="end"/>
            </w:r>
            <w:r>
              <w:rPr>
                <w:rFonts w:hint="eastAsia" w:ascii="宋体" w:hAnsi="宋体" w:cs="宋体"/>
                <w:color w:val="auto"/>
                <w:szCs w:val="21"/>
                <w:highlight w:val="none"/>
              </w:rPr>
              <w:t>含有毒、有害物质或者被有害物质污染，对人体健康有害的；</w:t>
            </w:r>
          </w:p>
          <w:p w14:paraId="35D02C12">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4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④</w:t>
            </w:r>
            <w:r>
              <w:rPr>
                <w:rFonts w:hint="eastAsia" w:ascii="宋体" w:hAnsi="宋体" w:cs="宋体"/>
                <w:color w:val="auto"/>
                <w:szCs w:val="21"/>
                <w:highlight w:val="none"/>
              </w:rPr>
              <w:fldChar w:fldCharType="end"/>
            </w:r>
            <w:r>
              <w:rPr>
                <w:rFonts w:hint="eastAsia" w:ascii="宋体" w:hAnsi="宋体" w:cs="宋体"/>
                <w:color w:val="auto"/>
                <w:szCs w:val="21"/>
                <w:highlight w:val="none"/>
              </w:rPr>
              <w:t>含有致病性寄生虫、微生物或者微生物含量超过国家限定标准的；</w:t>
            </w:r>
          </w:p>
          <w:p w14:paraId="2250D4DC">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5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⑤</w:t>
            </w:r>
            <w:r>
              <w:rPr>
                <w:rFonts w:hint="eastAsia" w:ascii="宋体" w:hAnsi="宋体" w:cs="宋体"/>
                <w:color w:val="auto"/>
                <w:szCs w:val="21"/>
                <w:highlight w:val="none"/>
              </w:rPr>
              <w:fldChar w:fldCharType="end"/>
            </w:r>
            <w:r>
              <w:rPr>
                <w:rFonts w:hint="eastAsia" w:ascii="宋体" w:hAnsi="宋体" w:cs="宋体"/>
                <w:color w:val="auto"/>
                <w:szCs w:val="21"/>
                <w:highlight w:val="none"/>
              </w:rPr>
              <w:t>掺假、掺杂、伪造，影响营养、卫生的；</w:t>
            </w:r>
          </w:p>
          <w:p w14:paraId="78C59978">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6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⑥</w:t>
            </w:r>
            <w:r>
              <w:rPr>
                <w:rFonts w:hint="eastAsia" w:ascii="宋体" w:hAnsi="宋体" w:cs="宋体"/>
                <w:color w:val="auto"/>
                <w:szCs w:val="21"/>
                <w:highlight w:val="none"/>
              </w:rPr>
              <w:fldChar w:fldCharType="end"/>
            </w:r>
            <w:r>
              <w:rPr>
                <w:rFonts w:hint="eastAsia" w:ascii="宋体" w:hAnsi="宋体" w:cs="宋体"/>
                <w:color w:val="auto"/>
                <w:szCs w:val="21"/>
                <w:highlight w:val="none"/>
              </w:rPr>
              <w:t>未经检疫部门检疫、检验或者检疫、检验不合格的肉类；</w:t>
            </w:r>
          </w:p>
          <w:p w14:paraId="63087875">
            <w:pPr>
              <w:widowControl/>
              <w:jc w:val="left"/>
              <w:rPr>
                <w:rFonts w:hint="eastAsia" w:ascii="宋体" w:hAnsi="宋体" w:cs="宋体"/>
                <w:color w:val="auto"/>
                <w:kern w:val="0"/>
                <w:szCs w:val="21"/>
                <w:highlight w:val="none"/>
                <w:lang w:bidi="ar"/>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7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⑦</w:t>
            </w:r>
            <w:r>
              <w:rPr>
                <w:rFonts w:hint="eastAsia" w:ascii="宋体" w:hAnsi="宋体" w:cs="宋体"/>
                <w:color w:val="auto"/>
                <w:szCs w:val="21"/>
                <w:highlight w:val="none"/>
              </w:rPr>
              <w:fldChar w:fldCharType="end"/>
            </w:r>
            <w:r>
              <w:rPr>
                <w:rFonts w:hint="eastAsia" w:ascii="宋体" w:hAnsi="宋体" w:cs="宋体"/>
                <w:color w:val="auto"/>
                <w:szCs w:val="21"/>
                <w:highlight w:val="none"/>
              </w:rPr>
              <w:t>病死、毒死或者死因不明的肉类。</w:t>
            </w:r>
          </w:p>
          <w:p w14:paraId="1410E724">
            <w:pPr>
              <w:pStyle w:val="3"/>
              <w:spacing w:line="240" w:lineRule="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7.“供应商同意遵守《广西监狱罪犯生活物资供货商考核管理办法》，招标文件未尽事项按照《广西监狱罪犯生活物资供货商考核管理办法》执行”详见附件1。</w:t>
            </w:r>
          </w:p>
          <w:p w14:paraId="6CCAEFE0">
            <w:pPr>
              <w:pStyle w:val="3"/>
              <w:spacing w:line="240" w:lineRule="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8.本分标所公布的采购数量为采购人一年的预计采购暂估数量，实际采购数量由采购人根据实际需要确定，中标人不得因实际供应量与暂估数量不一致提出异议。</w:t>
            </w:r>
          </w:p>
          <w:p w14:paraId="720EECC9">
            <w:pPr>
              <w:pStyle w:val="3"/>
              <w:spacing w:line="240" w:lineRule="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9.本分标标的中如涉及国家、地方有关部门规定的产品生产厂家需办理相关证件的（如《食品生产许可证》等相关的证件），中标人所供应的标的生产厂家须按相关规定办理，否则采购人有权不予验收。如遇有关部门检查需出示相关证件的，中标人应配合采购人检查，并按要求出示相关证件，如未能按有关部门规定出示相关证件或所出具的证件不合格导致采购人受有关部门处罚的，中标人应承担采购人相应的损失，并按违约处理。</w:t>
            </w:r>
          </w:p>
          <w:p w14:paraId="2C1F773A">
            <w:pPr>
              <w:rPr>
                <w:color w:val="auto"/>
                <w:highlight w:val="none"/>
              </w:rPr>
            </w:pPr>
            <w:r>
              <w:rPr>
                <w:rFonts w:hint="eastAsia" w:ascii="宋体" w:hAnsi="宋体" w:cs="宋体"/>
                <w:b/>
                <w:bCs/>
                <w:color w:val="auto"/>
                <w:kern w:val="0"/>
                <w:szCs w:val="21"/>
                <w:highlight w:val="none"/>
              </w:rPr>
              <w:t>10.本分标合同执行6个月后，如遇上级主管部门重大采购政策调整，合同可以提前终止。</w:t>
            </w:r>
          </w:p>
        </w:tc>
      </w:tr>
      <w:tr w14:paraId="36F67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584ED4B1">
            <w:pPr>
              <w:tabs>
                <w:tab w:val="left" w:pos="180"/>
                <w:tab w:val="left" w:pos="1620"/>
              </w:tabs>
              <w:rPr>
                <w:rFonts w:hint="eastAsia" w:ascii="宋体" w:hAnsi="宋体" w:cs="宋体"/>
                <w:color w:val="auto"/>
                <w:kern w:val="0"/>
                <w:szCs w:val="21"/>
                <w:highlight w:val="none"/>
              </w:rPr>
            </w:pPr>
            <w:r>
              <w:rPr>
                <w:rFonts w:hint="eastAsia" w:ascii="宋体" w:hAnsi="宋体" w:cs="宋体"/>
                <w:b/>
                <w:bCs/>
                <w:color w:val="auto"/>
                <w:sz w:val="24"/>
                <w:highlight w:val="none"/>
              </w:rPr>
              <w:t>三、进口产品说明</w:t>
            </w:r>
          </w:p>
        </w:tc>
      </w:tr>
      <w:tr w14:paraId="73911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73CDB027">
            <w:pPr>
              <w:pStyle w:val="3"/>
              <w:spacing w:line="240" w:lineRule="auto"/>
              <w:rPr>
                <w:rFonts w:hint="eastAsia" w:ascii="宋体" w:hAnsi="宋体" w:cs="宋体"/>
                <w:color w:val="auto"/>
                <w:sz w:val="21"/>
                <w:szCs w:val="21"/>
                <w:highlight w:val="none"/>
              </w:rPr>
            </w:pPr>
            <w:r>
              <w:rPr>
                <w:rFonts w:hint="eastAsia" w:ascii="宋体" w:hAnsi="宋体" w:cs="宋体"/>
                <w:b/>
                <w:bCs/>
                <w:color w:val="auto"/>
                <w:sz w:val="21"/>
                <w:szCs w:val="21"/>
                <w:highlight w:val="none"/>
              </w:rPr>
              <w:t>▲本项目货物不接受进口产品投标（即通过中国海关报关验放进入中国境内且产自关境外的产品），如有此类产品参与投标的作无效投标处理。</w:t>
            </w:r>
          </w:p>
        </w:tc>
      </w:tr>
    </w:tbl>
    <w:p w14:paraId="269B8E8B">
      <w:pPr>
        <w:rPr>
          <w:rFonts w:hint="eastAsia" w:ascii="宋体" w:hAnsi="宋体" w:cs="宋体"/>
          <w:b/>
          <w:bCs/>
          <w:color w:val="auto"/>
          <w:sz w:val="24"/>
          <w:highlight w:val="none"/>
        </w:rPr>
      </w:pPr>
      <w:r>
        <w:rPr>
          <w:rFonts w:hint="eastAsia" w:ascii="宋体" w:hAnsi="宋体" w:cs="宋体"/>
          <w:b/>
          <w:bCs/>
          <w:color w:val="auto"/>
          <w:sz w:val="24"/>
          <w:highlight w:val="none"/>
        </w:rPr>
        <w:br w:type="page"/>
      </w:r>
    </w:p>
    <w:p w14:paraId="6FD47CC7">
      <w:pPr>
        <w:ind w:firstLine="422" w:firstLineChars="175"/>
        <w:rPr>
          <w:rFonts w:hint="eastAsia" w:ascii="宋体" w:hAnsi="宋体" w:cs="宋体"/>
          <w:b/>
          <w:bCs/>
          <w:color w:val="auto"/>
          <w:sz w:val="24"/>
          <w:highlight w:val="none"/>
        </w:rPr>
      </w:pPr>
      <w:r>
        <w:rPr>
          <w:rFonts w:hint="eastAsia" w:ascii="宋体" w:hAnsi="宋体" w:cs="宋体"/>
          <w:b/>
          <w:bCs/>
          <w:color w:val="auto"/>
          <w:sz w:val="24"/>
          <w:highlight w:val="none"/>
        </w:rPr>
        <w:t>分标2：                            采购预算：</w:t>
      </w:r>
      <w:r>
        <w:rPr>
          <w:rFonts w:hint="eastAsia" w:ascii="宋体" w:hAnsi="宋体" w:cs="宋体"/>
          <w:b/>
          <w:bCs/>
          <w:color w:val="auto"/>
          <w:sz w:val="24"/>
          <w:highlight w:val="none"/>
          <w:lang w:eastAsia="zh-CN"/>
        </w:rPr>
        <w:t>1658760.00</w:t>
      </w:r>
      <w:r>
        <w:rPr>
          <w:rFonts w:hint="eastAsia" w:ascii="宋体" w:hAnsi="宋体" w:cs="宋体"/>
          <w:b/>
          <w:bCs/>
          <w:color w:val="auto"/>
          <w:sz w:val="24"/>
          <w:highlight w:val="none"/>
        </w:rPr>
        <w:t>元</w:t>
      </w:r>
    </w:p>
    <w:p w14:paraId="326BAE68">
      <w:pPr>
        <w:ind w:firstLine="422" w:firstLineChars="175"/>
        <w:rPr>
          <w:rFonts w:hint="eastAsia" w:ascii="宋体" w:hAnsi="宋体" w:cs="宋体"/>
          <w:b/>
          <w:bCs/>
          <w:color w:val="auto"/>
          <w:sz w:val="24"/>
          <w:highlight w:val="none"/>
        </w:rPr>
      </w:pPr>
      <w:r>
        <w:rPr>
          <w:rFonts w:hint="eastAsia" w:ascii="宋体" w:hAnsi="宋体" w:cs="宋体"/>
          <w:b/>
          <w:bCs/>
          <w:color w:val="auto"/>
          <w:sz w:val="24"/>
          <w:highlight w:val="none"/>
        </w:rPr>
        <w:t>本分标的核心产品为下表的第</w:t>
      </w:r>
      <w:r>
        <w:rPr>
          <w:rFonts w:hint="eastAsia" w:ascii="宋体" w:hAnsi="宋体" w:cs="宋体"/>
          <w:b/>
          <w:bCs/>
          <w:color w:val="auto"/>
          <w:sz w:val="24"/>
          <w:highlight w:val="none"/>
          <w:u w:val="single"/>
        </w:rPr>
        <w:t xml:space="preserve"> 10 </w:t>
      </w:r>
      <w:r>
        <w:rPr>
          <w:rFonts w:hint="eastAsia" w:ascii="宋体" w:hAnsi="宋体" w:cs="宋体"/>
          <w:b/>
          <w:bCs/>
          <w:color w:val="auto"/>
          <w:sz w:val="24"/>
          <w:highlight w:val="none"/>
        </w:rPr>
        <w:t>项产品。</w:t>
      </w:r>
    </w:p>
    <w:tbl>
      <w:tblPr>
        <w:tblStyle w:val="48"/>
        <w:tblW w:w="482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9"/>
        <w:gridCol w:w="1050"/>
        <w:gridCol w:w="1056"/>
        <w:gridCol w:w="746"/>
        <w:gridCol w:w="935"/>
        <w:gridCol w:w="5391"/>
      </w:tblGrid>
      <w:tr w14:paraId="48976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1C8C8A4D">
            <w:pPr>
              <w:tabs>
                <w:tab w:val="left" w:pos="180"/>
                <w:tab w:val="left" w:pos="1620"/>
              </w:tabs>
              <w:jc w:val="center"/>
              <w:rPr>
                <w:rFonts w:hint="eastAsia" w:ascii="宋体" w:hAnsi="宋体" w:cs="宋体"/>
                <w:b/>
                <w:color w:val="auto"/>
                <w:sz w:val="24"/>
                <w:highlight w:val="none"/>
              </w:rPr>
            </w:pPr>
            <w:r>
              <w:rPr>
                <w:rFonts w:hint="eastAsia" w:ascii="宋体" w:hAnsi="宋体" w:cs="宋体"/>
                <w:b/>
                <w:color w:val="auto"/>
                <w:sz w:val="24"/>
                <w:highlight w:val="none"/>
              </w:rPr>
              <w:t>货物需求一览表</w:t>
            </w:r>
          </w:p>
        </w:tc>
      </w:tr>
      <w:tr w14:paraId="7A769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1D2BADBA">
            <w:pPr>
              <w:tabs>
                <w:tab w:val="left" w:pos="180"/>
                <w:tab w:val="left" w:pos="1620"/>
              </w:tabs>
              <w:rPr>
                <w:rFonts w:hint="eastAsia" w:ascii="宋体" w:hAnsi="宋体" w:cs="宋体"/>
                <w:b/>
                <w:bCs/>
                <w:color w:val="auto"/>
                <w:sz w:val="24"/>
                <w:highlight w:val="none"/>
              </w:rPr>
            </w:pPr>
            <w:r>
              <w:rPr>
                <w:rFonts w:hint="eastAsia" w:ascii="宋体" w:hAnsi="宋体" w:cs="宋体"/>
                <w:b/>
                <w:bCs/>
                <w:color w:val="auto"/>
                <w:sz w:val="24"/>
                <w:highlight w:val="none"/>
              </w:rPr>
              <w:t>一、采购标的及技术需求</w:t>
            </w:r>
          </w:p>
        </w:tc>
      </w:tr>
      <w:tr w14:paraId="5AE6F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229" w:type="pct"/>
            <w:vAlign w:val="center"/>
          </w:tcPr>
          <w:p w14:paraId="291C1C11">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bCs/>
                <w:color w:val="auto"/>
                <w:szCs w:val="21"/>
                <w:highlight w:val="none"/>
              </w:rPr>
              <w:t>项号</w:t>
            </w:r>
          </w:p>
        </w:tc>
        <w:tc>
          <w:tcPr>
            <w:tcW w:w="545" w:type="pct"/>
            <w:vAlign w:val="center"/>
          </w:tcPr>
          <w:p w14:paraId="56576F0A">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bCs/>
                <w:color w:val="auto"/>
                <w:szCs w:val="21"/>
                <w:highlight w:val="none"/>
              </w:rPr>
              <w:t>货物（标的）名称</w:t>
            </w:r>
          </w:p>
        </w:tc>
        <w:tc>
          <w:tcPr>
            <w:tcW w:w="548" w:type="pct"/>
            <w:vAlign w:val="center"/>
          </w:tcPr>
          <w:p w14:paraId="3883F836">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bCs/>
                <w:color w:val="auto"/>
                <w:szCs w:val="21"/>
                <w:highlight w:val="none"/>
              </w:rPr>
              <w:t>数量</w:t>
            </w:r>
          </w:p>
        </w:tc>
        <w:tc>
          <w:tcPr>
            <w:tcW w:w="388" w:type="pct"/>
            <w:vAlign w:val="center"/>
          </w:tcPr>
          <w:p w14:paraId="2CFCC4E9">
            <w:pPr>
              <w:tabs>
                <w:tab w:val="left" w:pos="180"/>
                <w:tab w:val="left" w:pos="1620"/>
              </w:tabs>
              <w:jc w:val="center"/>
              <w:rPr>
                <w:rFonts w:hint="eastAsia" w:ascii="宋体" w:hAnsi="宋体" w:cs="宋体"/>
                <w:b/>
                <w:bCs/>
                <w:color w:val="auto"/>
                <w:szCs w:val="21"/>
                <w:highlight w:val="none"/>
              </w:rPr>
            </w:pPr>
            <w:r>
              <w:rPr>
                <w:rFonts w:hint="eastAsia" w:ascii="宋体" w:hAnsi="宋体" w:cs="宋体"/>
                <w:b/>
                <w:bCs/>
                <w:color w:val="auto"/>
                <w:szCs w:val="21"/>
                <w:highlight w:val="none"/>
              </w:rPr>
              <w:t>单位</w:t>
            </w:r>
          </w:p>
        </w:tc>
        <w:tc>
          <w:tcPr>
            <w:tcW w:w="486" w:type="pct"/>
            <w:vAlign w:val="center"/>
          </w:tcPr>
          <w:p w14:paraId="36A4B256">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bCs/>
                <w:color w:val="auto"/>
                <w:szCs w:val="21"/>
                <w:highlight w:val="none"/>
              </w:rPr>
              <w:t>▲单价最高限价（元/公斤）</w:t>
            </w:r>
          </w:p>
        </w:tc>
        <w:tc>
          <w:tcPr>
            <w:tcW w:w="2801" w:type="pct"/>
            <w:vAlign w:val="center"/>
          </w:tcPr>
          <w:p w14:paraId="2030734B">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color w:val="auto"/>
                <w:szCs w:val="21"/>
                <w:highlight w:val="none"/>
              </w:rPr>
              <w:t>技术参数及质量（配置）要求</w:t>
            </w:r>
          </w:p>
        </w:tc>
      </w:tr>
      <w:tr w14:paraId="0F94C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478C95AF">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545" w:type="pct"/>
            <w:vAlign w:val="center"/>
          </w:tcPr>
          <w:p w14:paraId="268BCA2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腐竹</w:t>
            </w:r>
          </w:p>
        </w:tc>
        <w:tc>
          <w:tcPr>
            <w:tcW w:w="548" w:type="pct"/>
            <w:vAlign w:val="center"/>
          </w:tcPr>
          <w:p w14:paraId="10A7C0B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2000.00</w:t>
            </w:r>
          </w:p>
        </w:tc>
        <w:tc>
          <w:tcPr>
            <w:tcW w:w="388" w:type="pct"/>
            <w:vAlign w:val="center"/>
          </w:tcPr>
          <w:p w14:paraId="21D7F032">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86" w:type="pct"/>
            <w:vAlign w:val="center"/>
          </w:tcPr>
          <w:p w14:paraId="65CBB355">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22.00</w:t>
            </w:r>
          </w:p>
        </w:tc>
        <w:tc>
          <w:tcPr>
            <w:tcW w:w="2801" w:type="pct"/>
            <w:vAlign w:val="center"/>
          </w:tcPr>
          <w:p w14:paraId="33249BC6">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1.▲要求干净无杂质，无腐烂变质；</w:t>
            </w:r>
          </w:p>
          <w:p w14:paraId="37E43876">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2.▲符合相关标准要求；</w:t>
            </w:r>
          </w:p>
          <w:p w14:paraId="224D3766">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3.▲质保期自每批次货物验收合格时计算，不少于24小时。</w:t>
            </w:r>
          </w:p>
        </w:tc>
      </w:tr>
      <w:tr w14:paraId="49767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7EE1A932">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545" w:type="pct"/>
            <w:vAlign w:val="center"/>
          </w:tcPr>
          <w:p w14:paraId="14A3B07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油豆腐（干）</w:t>
            </w:r>
          </w:p>
        </w:tc>
        <w:tc>
          <w:tcPr>
            <w:tcW w:w="548" w:type="pct"/>
            <w:vAlign w:val="center"/>
          </w:tcPr>
          <w:p w14:paraId="102BB36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3500.00</w:t>
            </w:r>
          </w:p>
        </w:tc>
        <w:tc>
          <w:tcPr>
            <w:tcW w:w="388" w:type="pct"/>
            <w:vAlign w:val="center"/>
          </w:tcPr>
          <w:p w14:paraId="216BAE4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公斤</w:t>
            </w:r>
          </w:p>
        </w:tc>
        <w:tc>
          <w:tcPr>
            <w:tcW w:w="486" w:type="pct"/>
            <w:vAlign w:val="center"/>
          </w:tcPr>
          <w:p w14:paraId="668AF72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16.00</w:t>
            </w:r>
          </w:p>
        </w:tc>
        <w:tc>
          <w:tcPr>
            <w:tcW w:w="2801" w:type="pct"/>
            <w:vAlign w:val="center"/>
          </w:tcPr>
          <w:p w14:paraId="7FA2045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1.▲要求干净无杂质，无腐烂变质；</w:t>
            </w:r>
          </w:p>
          <w:p w14:paraId="1D5F9B8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2.▲符合相关标准要求；</w:t>
            </w:r>
          </w:p>
          <w:p w14:paraId="6D78F6D6">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3.▲质保期自每批次货物验收合格时计算，不少于24小时。</w:t>
            </w:r>
          </w:p>
        </w:tc>
      </w:tr>
      <w:tr w14:paraId="1BB66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167E8963">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w:t>
            </w:r>
          </w:p>
        </w:tc>
        <w:tc>
          <w:tcPr>
            <w:tcW w:w="545" w:type="pct"/>
            <w:vAlign w:val="center"/>
          </w:tcPr>
          <w:p w14:paraId="4C0E774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水豆腐</w:t>
            </w:r>
          </w:p>
        </w:tc>
        <w:tc>
          <w:tcPr>
            <w:tcW w:w="548" w:type="pct"/>
            <w:vAlign w:val="center"/>
          </w:tcPr>
          <w:p w14:paraId="2E0052D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4000.00</w:t>
            </w:r>
          </w:p>
        </w:tc>
        <w:tc>
          <w:tcPr>
            <w:tcW w:w="388" w:type="pct"/>
            <w:vAlign w:val="center"/>
          </w:tcPr>
          <w:p w14:paraId="7682411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公斤</w:t>
            </w:r>
          </w:p>
        </w:tc>
        <w:tc>
          <w:tcPr>
            <w:tcW w:w="486" w:type="pct"/>
            <w:vAlign w:val="center"/>
          </w:tcPr>
          <w:p w14:paraId="258A7FB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4.60</w:t>
            </w:r>
          </w:p>
        </w:tc>
        <w:tc>
          <w:tcPr>
            <w:tcW w:w="2801" w:type="pct"/>
            <w:vAlign w:val="center"/>
          </w:tcPr>
          <w:p w14:paraId="366EDB6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1.▲具有新鲜的板块状；</w:t>
            </w:r>
          </w:p>
          <w:p w14:paraId="0B6D91D5">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2.▲无异臭味、变质等无法食用的现象，加入的添加剂符合食品安全卫生要求，交验时无明显滴水现象；</w:t>
            </w:r>
          </w:p>
          <w:p w14:paraId="7CD852B8">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3.▲符合相关标准要求；</w:t>
            </w:r>
          </w:p>
          <w:p w14:paraId="650CA256">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4.▲质保期自每批次货物验收合格时计算，不少于24小时。</w:t>
            </w:r>
          </w:p>
        </w:tc>
      </w:tr>
      <w:tr w14:paraId="4D3B7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074EABB8">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w:t>
            </w:r>
          </w:p>
        </w:tc>
        <w:tc>
          <w:tcPr>
            <w:tcW w:w="545" w:type="pct"/>
            <w:vAlign w:val="center"/>
          </w:tcPr>
          <w:p w14:paraId="6214A23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黄金油豆腐块</w:t>
            </w:r>
          </w:p>
        </w:tc>
        <w:tc>
          <w:tcPr>
            <w:tcW w:w="548" w:type="pct"/>
            <w:vAlign w:val="center"/>
          </w:tcPr>
          <w:p w14:paraId="6A9B5EE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2500.00</w:t>
            </w:r>
          </w:p>
        </w:tc>
        <w:tc>
          <w:tcPr>
            <w:tcW w:w="388" w:type="pct"/>
            <w:vAlign w:val="center"/>
          </w:tcPr>
          <w:p w14:paraId="0CC8CD1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公斤</w:t>
            </w:r>
          </w:p>
        </w:tc>
        <w:tc>
          <w:tcPr>
            <w:tcW w:w="486" w:type="pct"/>
            <w:vAlign w:val="center"/>
          </w:tcPr>
          <w:p w14:paraId="32C7E20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12.00</w:t>
            </w:r>
          </w:p>
        </w:tc>
        <w:tc>
          <w:tcPr>
            <w:tcW w:w="2801" w:type="pct"/>
            <w:vAlign w:val="center"/>
          </w:tcPr>
          <w:p w14:paraId="0A28249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1.▲要求干净无杂质，无腐烂变质；</w:t>
            </w:r>
          </w:p>
          <w:p w14:paraId="0EBCA7B7">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2.▲符合相关标准要求；</w:t>
            </w:r>
          </w:p>
          <w:p w14:paraId="4768DA68">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3.▲质保期自每批次货物验收合格时计算，不少于24小时。</w:t>
            </w:r>
          </w:p>
        </w:tc>
      </w:tr>
      <w:tr w14:paraId="2B979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55BD8049">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5</w:t>
            </w:r>
          </w:p>
        </w:tc>
        <w:tc>
          <w:tcPr>
            <w:tcW w:w="545" w:type="pct"/>
            <w:vAlign w:val="center"/>
          </w:tcPr>
          <w:p w14:paraId="31A1001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无壳花生米</w:t>
            </w:r>
          </w:p>
        </w:tc>
        <w:tc>
          <w:tcPr>
            <w:tcW w:w="548" w:type="pct"/>
            <w:vAlign w:val="center"/>
          </w:tcPr>
          <w:p w14:paraId="0A21EC7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3000.00</w:t>
            </w:r>
          </w:p>
        </w:tc>
        <w:tc>
          <w:tcPr>
            <w:tcW w:w="388" w:type="pct"/>
            <w:vAlign w:val="center"/>
          </w:tcPr>
          <w:p w14:paraId="75B063D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公斤</w:t>
            </w:r>
          </w:p>
        </w:tc>
        <w:tc>
          <w:tcPr>
            <w:tcW w:w="486" w:type="pct"/>
            <w:vAlign w:val="center"/>
          </w:tcPr>
          <w:p w14:paraId="74ACCDD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12.00</w:t>
            </w:r>
          </w:p>
        </w:tc>
        <w:tc>
          <w:tcPr>
            <w:tcW w:w="2801" w:type="pct"/>
            <w:vAlign w:val="center"/>
          </w:tcPr>
          <w:p w14:paraId="1E5B48F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1.▲产品要求颗粒饱满均匀，干净无杂质，无腐烂变质；</w:t>
            </w:r>
          </w:p>
          <w:p w14:paraId="603782B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2.▲符合相关标准要求。</w:t>
            </w:r>
          </w:p>
        </w:tc>
      </w:tr>
      <w:tr w14:paraId="1B4A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7595C84B">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6</w:t>
            </w:r>
          </w:p>
        </w:tc>
        <w:tc>
          <w:tcPr>
            <w:tcW w:w="545" w:type="pct"/>
            <w:vAlign w:val="center"/>
          </w:tcPr>
          <w:p w14:paraId="0311314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黄豆</w:t>
            </w:r>
          </w:p>
        </w:tc>
        <w:tc>
          <w:tcPr>
            <w:tcW w:w="548" w:type="pct"/>
            <w:vAlign w:val="center"/>
          </w:tcPr>
          <w:p w14:paraId="3BADC2C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3000.00</w:t>
            </w:r>
          </w:p>
        </w:tc>
        <w:tc>
          <w:tcPr>
            <w:tcW w:w="388" w:type="pct"/>
            <w:vAlign w:val="center"/>
          </w:tcPr>
          <w:p w14:paraId="667473A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公斤</w:t>
            </w:r>
          </w:p>
        </w:tc>
        <w:tc>
          <w:tcPr>
            <w:tcW w:w="486" w:type="pct"/>
            <w:vAlign w:val="center"/>
          </w:tcPr>
          <w:p w14:paraId="18905E8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9.20</w:t>
            </w:r>
          </w:p>
        </w:tc>
        <w:tc>
          <w:tcPr>
            <w:tcW w:w="2801" w:type="pct"/>
            <w:vAlign w:val="center"/>
          </w:tcPr>
          <w:p w14:paraId="3143C2C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1.▲豆类产品要求颗粒饱满均匀，干净无杂质，无腐烂变质；</w:t>
            </w:r>
          </w:p>
          <w:p w14:paraId="2EFDFDF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2.▲符合相关标准要求。</w:t>
            </w:r>
          </w:p>
        </w:tc>
      </w:tr>
      <w:tr w14:paraId="3FC30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2A9B3571">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7</w:t>
            </w:r>
          </w:p>
        </w:tc>
        <w:tc>
          <w:tcPr>
            <w:tcW w:w="545" w:type="pct"/>
            <w:vAlign w:val="center"/>
          </w:tcPr>
          <w:p w14:paraId="4FCED6B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红豆</w:t>
            </w:r>
          </w:p>
        </w:tc>
        <w:tc>
          <w:tcPr>
            <w:tcW w:w="548" w:type="pct"/>
            <w:vAlign w:val="center"/>
          </w:tcPr>
          <w:p w14:paraId="433202C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1000.00</w:t>
            </w:r>
          </w:p>
        </w:tc>
        <w:tc>
          <w:tcPr>
            <w:tcW w:w="388" w:type="pct"/>
            <w:vAlign w:val="center"/>
          </w:tcPr>
          <w:p w14:paraId="455480CA">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公斤</w:t>
            </w:r>
          </w:p>
        </w:tc>
        <w:tc>
          <w:tcPr>
            <w:tcW w:w="486" w:type="pct"/>
            <w:vAlign w:val="center"/>
          </w:tcPr>
          <w:p w14:paraId="23691A1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12.00</w:t>
            </w:r>
          </w:p>
        </w:tc>
        <w:tc>
          <w:tcPr>
            <w:tcW w:w="2801" w:type="pct"/>
            <w:vAlign w:val="center"/>
          </w:tcPr>
          <w:p w14:paraId="4066F98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1.▲豆类产品要求颗粒饱满均匀，干净无杂质，无腐烂变质；</w:t>
            </w:r>
          </w:p>
          <w:p w14:paraId="50D0FD98">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2.▲符合相关标准要求。</w:t>
            </w:r>
          </w:p>
        </w:tc>
      </w:tr>
      <w:tr w14:paraId="3B14A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2057D104">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8</w:t>
            </w:r>
          </w:p>
        </w:tc>
        <w:tc>
          <w:tcPr>
            <w:tcW w:w="545" w:type="pct"/>
            <w:vAlign w:val="center"/>
          </w:tcPr>
          <w:p w14:paraId="4AF4973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绿豆</w:t>
            </w:r>
          </w:p>
        </w:tc>
        <w:tc>
          <w:tcPr>
            <w:tcW w:w="548" w:type="pct"/>
            <w:vAlign w:val="center"/>
          </w:tcPr>
          <w:p w14:paraId="2739622A">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10000.00</w:t>
            </w:r>
          </w:p>
        </w:tc>
        <w:tc>
          <w:tcPr>
            <w:tcW w:w="388" w:type="pct"/>
            <w:vAlign w:val="center"/>
          </w:tcPr>
          <w:p w14:paraId="2BC1BDE0">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公斤</w:t>
            </w:r>
          </w:p>
        </w:tc>
        <w:tc>
          <w:tcPr>
            <w:tcW w:w="486" w:type="pct"/>
            <w:vAlign w:val="center"/>
          </w:tcPr>
          <w:p w14:paraId="4929911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8.20</w:t>
            </w:r>
          </w:p>
        </w:tc>
        <w:tc>
          <w:tcPr>
            <w:tcW w:w="2801" w:type="pct"/>
            <w:vAlign w:val="center"/>
          </w:tcPr>
          <w:p w14:paraId="76B575A4">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1.▲豆类产品要求颗粒饱满均匀，干净无杂质，无腐烂变质；</w:t>
            </w:r>
          </w:p>
          <w:p w14:paraId="5BFA708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2.▲符合相关标准要求。</w:t>
            </w:r>
          </w:p>
        </w:tc>
      </w:tr>
      <w:tr w14:paraId="30CC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2EC915A6">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9</w:t>
            </w:r>
          </w:p>
        </w:tc>
        <w:tc>
          <w:tcPr>
            <w:tcW w:w="545" w:type="pct"/>
            <w:vAlign w:val="center"/>
          </w:tcPr>
          <w:p w14:paraId="250D7AD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海带</w:t>
            </w:r>
          </w:p>
        </w:tc>
        <w:tc>
          <w:tcPr>
            <w:tcW w:w="548" w:type="pct"/>
            <w:vAlign w:val="center"/>
          </w:tcPr>
          <w:p w14:paraId="281921A0">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300.00</w:t>
            </w:r>
          </w:p>
        </w:tc>
        <w:tc>
          <w:tcPr>
            <w:tcW w:w="388" w:type="pct"/>
            <w:vAlign w:val="center"/>
          </w:tcPr>
          <w:p w14:paraId="6D893B6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公斤</w:t>
            </w:r>
          </w:p>
        </w:tc>
        <w:tc>
          <w:tcPr>
            <w:tcW w:w="486" w:type="pct"/>
            <w:vAlign w:val="center"/>
          </w:tcPr>
          <w:p w14:paraId="707CA87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26.00</w:t>
            </w:r>
          </w:p>
        </w:tc>
        <w:tc>
          <w:tcPr>
            <w:tcW w:w="2801" w:type="pct"/>
            <w:vAlign w:val="center"/>
          </w:tcPr>
          <w:p w14:paraId="2841784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1.▲符合国家卫生标准；</w:t>
            </w:r>
          </w:p>
          <w:p w14:paraId="002B9F44">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2.▲干杂类须标明工厂名称、品名、产品标准号、生产日期、合格证、质保期或保存期，供货时的剩余质保期不少于三分之二。</w:t>
            </w:r>
          </w:p>
        </w:tc>
      </w:tr>
      <w:tr w14:paraId="5C636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6137DB93">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10</w:t>
            </w:r>
          </w:p>
        </w:tc>
        <w:tc>
          <w:tcPr>
            <w:tcW w:w="545" w:type="pct"/>
            <w:vAlign w:val="center"/>
          </w:tcPr>
          <w:p w14:paraId="120C7FFA">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鸡蛋</w:t>
            </w:r>
          </w:p>
        </w:tc>
        <w:tc>
          <w:tcPr>
            <w:tcW w:w="548" w:type="pct"/>
            <w:vAlign w:val="center"/>
          </w:tcPr>
          <w:p w14:paraId="67F047AA">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80000.00</w:t>
            </w:r>
          </w:p>
        </w:tc>
        <w:tc>
          <w:tcPr>
            <w:tcW w:w="388" w:type="pct"/>
            <w:vAlign w:val="center"/>
          </w:tcPr>
          <w:p w14:paraId="0B1FD27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公斤</w:t>
            </w:r>
          </w:p>
        </w:tc>
        <w:tc>
          <w:tcPr>
            <w:tcW w:w="486" w:type="pct"/>
            <w:vAlign w:val="center"/>
          </w:tcPr>
          <w:p w14:paraId="6C63161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11.00</w:t>
            </w:r>
          </w:p>
        </w:tc>
        <w:tc>
          <w:tcPr>
            <w:tcW w:w="2801" w:type="pct"/>
            <w:vAlign w:val="center"/>
          </w:tcPr>
          <w:p w14:paraId="3B2D349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1.▲鸡蛋为鲜鸡蛋，蛋壳坚固无裂纹及硌窝；</w:t>
            </w:r>
          </w:p>
          <w:p w14:paraId="0CFFA986">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2.▲供应的鸡蛋必须符合我国《中华人民共和国食品安全法》的要求，达到国家有关食品标准和卫生标准，无毒害、无腐烂变质；</w:t>
            </w:r>
          </w:p>
          <w:p w14:paraId="7696ADD1">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3.▲指标按GB 2749-2015《食品安全国家标准蛋与蛋制品》规定执行。</w:t>
            </w:r>
          </w:p>
        </w:tc>
      </w:tr>
      <w:tr w14:paraId="21CC1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13DF776A">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11</w:t>
            </w:r>
          </w:p>
        </w:tc>
        <w:tc>
          <w:tcPr>
            <w:tcW w:w="545" w:type="pct"/>
            <w:vAlign w:val="center"/>
          </w:tcPr>
          <w:p w14:paraId="033EB33A">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木耳</w:t>
            </w:r>
          </w:p>
        </w:tc>
        <w:tc>
          <w:tcPr>
            <w:tcW w:w="548" w:type="pct"/>
            <w:vAlign w:val="center"/>
          </w:tcPr>
          <w:p w14:paraId="0836930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1000.00</w:t>
            </w:r>
          </w:p>
        </w:tc>
        <w:tc>
          <w:tcPr>
            <w:tcW w:w="388" w:type="pct"/>
            <w:vAlign w:val="center"/>
          </w:tcPr>
          <w:p w14:paraId="23BEA3B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公斤</w:t>
            </w:r>
          </w:p>
        </w:tc>
        <w:tc>
          <w:tcPr>
            <w:tcW w:w="486" w:type="pct"/>
            <w:vAlign w:val="center"/>
          </w:tcPr>
          <w:p w14:paraId="5ABE604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32.00</w:t>
            </w:r>
          </w:p>
        </w:tc>
        <w:tc>
          <w:tcPr>
            <w:tcW w:w="2801" w:type="pct"/>
            <w:vAlign w:val="center"/>
          </w:tcPr>
          <w:p w14:paraId="25FD6614">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1.▲符合国家卫生标准；</w:t>
            </w:r>
          </w:p>
          <w:p w14:paraId="15F99B06">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2.▲干杂类须标明工厂名称、品名、产品标准号、生产日期、合格证、质保期或保存期，供货时的剩余质保期不少于三分之二。</w:t>
            </w:r>
          </w:p>
        </w:tc>
      </w:tr>
      <w:tr w14:paraId="0A82E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155D192C">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12</w:t>
            </w:r>
          </w:p>
        </w:tc>
        <w:tc>
          <w:tcPr>
            <w:tcW w:w="545" w:type="pct"/>
            <w:vAlign w:val="center"/>
          </w:tcPr>
          <w:p w14:paraId="62AE4A7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干香菇</w:t>
            </w:r>
          </w:p>
        </w:tc>
        <w:tc>
          <w:tcPr>
            <w:tcW w:w="548" w:type="pct"/>
            <w:vAlign w:val="center"/>
          </w:tcPr>
          <w:p w14:paraId="6A1C868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1000.00</w:t>
            </w:r>
          </w:p>
        </w:tc>
        <w:tc>
          <w:tcPr>
            <w:tcW w:w="388" w:type="pct"/>
            <w:vAlign w:val="center"/>
          </w:tcPr>
          <w:p w14:paraId="6A1B50D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公斤</w:t>
            </w:r>
          </w:p>
        </w:tc>
        <w:tc>
          <w:tcPr>
            <w:tcW w:w="486" w:type="pct"/>
            <w:vAlign w:val="center"/>
          </w:tcPr>
          <w:p w14:paraId="08296D7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53.00</w:t>
            </w:r>
          </w:p>
        </w:tc>
        <w:tc>
          <w:tcPr>
            <w:tcW w:w="2801" w:type="pct"/>
            <w:vAlign w:val="center"/>
          </w:tcPr>
          <w:p w14:paraId="0A00F88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1.▲符合国家卫生标准；</w:t>
            </w:r>
          </w:p>
          <w:p w14:paraId="624B215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2.▲干杂类须标明工厂名称、品名、产品标准号、生产日期、合格证、质保期或保存期，供货时的剩余质保期不少于三分之二。</w:t>
            </w:r>
          </w:p>
        </w:tc>
      </w:tr>
      <w:tr w14:paraId="54AE3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5E824AA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13</w:t>
            </w:r>
          </w:p>
        </w:tc>
        <w:tc>
          <w:tcPr>
            <w:tcW w:w="545" w:type="pct"/>
            <w:vAlign w:val="center"/>
          </w:tcPr>
          <w:p w14:paraId="0C33437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红枣</w:t>
            </w:r>
          </w:p>
        </w:tc>
        <w:tc>
          <w:tcPr>
            <w:tcW w:w="548" w:type="pct"/>
            <w:vAlign w:val="center"/>
          </w:tcPr>
          <w:p w14:paraId="73C5F23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500.00</w:t>
            </w:r>
          </w:p>
        </w:tc>
        <w:tc>
          <w:tcPr>
            <w:tcW w:w="388" w:type="pct"/>
            <w:vAlign w:val="center"/>
          </w:tcPr>
          <w:p w14:paraId="591E73A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公斤</w:t>
            </w:r>
          </w:p>
        </w:tc>
        <w:tc>
          <w:tcPr>
            <w:tcW w:w="486" w:type="pct"/>
            <w:vAlign w:val="center"/>
          </w:tcPr>
          <w:p w14:paraId="4C27C02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11.00</w:t>
            </w:r>
          </w:p>
        </w:tc>
        <w:tc>
          <w:tcPr>
            <w:tcW w:w="2801" w:type="pct"/>
            <w:vAlign w:val="center"/>
          </w:tcPr>
          <w:p w14:paraId="253F226F">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1.▲符合国家卫生标准；</w:t>
            </w:r>
          </w:p>
          <w:p w14:paraId="4AB692D9">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2.▲干杂类须标明工厂名称、品名、产品标准号、生产日期、合格证、质保期或保存期，供货时的剩余质保期不少于三分之二。</w:t>
            </w:r>
          </w:p>
        </w:tc>
      </w:tr>
      <w:tr w14:paraId="40A04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54295AB8">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14</w:t>
            </w:r>
          </w:p>
        </w:tc>
        <w:tc>
          <w:tcPr>
            <w:tcW w:w="545" w:type="pct"/>
            <w:vAlign w:val="center"/>
          </w:tcPr>
          <w:p w14:paraId="579B288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紫菜</w:t>
            </w:r>
          </w:p>
        </w:tc>
        <w:tc>
          <w:tcPr>
            <w:tcW w:w="548" w:type="pct"/>
            <w:vAlign w:val="center"/>
          </w:tcPr>
          <w:p w14:paraId="7106A4A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300.00</w:t>
            </w:r>
          </w:p>
        </w:tc>
        <w:tc>
          <w:tcPr>
            <w:tcW w:w="388" w:type="pct"/>
            <w:vAlign w:val="center"/>
          </w:tcPr>
          <w:p w14:paraId="59A28F1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包</w:t>
            </w:r>
          </w:p>
        </w:tc>
        <w:tc>
          <w:tcPr>
            <w:tcW w:w="486" w:type="pct"/>
            <w:vAlign w:val="center"/>
          </w:tcPr>
          <w:p w14:paraId="4EABD5A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11.00</w:t>
            </w:r>
          </w:p>
        </w:tc>
        <w:tc>
          <w:tcPr>
            <w:tcW w:w="2801" w:type="pct"/>
            <w:vAlign w:val="center"/>
          </w:tcPr>
          <w:p w14:paraId="588B89C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1.▲符合国家卫生标准；</w:t>
            </w:r>
          </w:p>
          <w:p w14:paraId="2C4FF03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2.▲干杂类须标明工厂名称、品名、产品标准号、生产日期、合格证、质保期或保存期，供货时的剩余质保期不少于三分之二。</w:t>
            </w:r>
          </w:p>
          <w:p w14:paraId="3175F606">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3.参考规格：≥100g/包。</w:t>
            </w:r>
          </w:p>
        </w:tc>
      </w:tr>
      <w:tr w14:paraId="7FAB4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46A70103">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15</w:t>
            </w:r>
          </w:p>
        </w:tc>
        <w:tc>
          <w:tcPr>
            <w:tcW w:w="545" w:type="pct"/>
            <w:vAlign w:val="center"/>
          </w:tcPr>
          <w:p w14:paraId="132BDC5A">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食盐</w:t>
            </w:r>
          </w:p>
        </w:tc>
        <w:tc>
          <w:tcPr>
            <w:tcW w:w="548" w:type="pct"/>
            <w:vAlign w:val="center"/>
          </w:tcPr>
          <w:p w14:paraId="3D1D8A7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18000.00</w:t>
            </w:r>
          </w:p>
        </w:tc>
        <w:tc>
          <w:tcPr>
            <w:tcW w:w="388" w:type="pct"/>
            <w:vAlign w:val="center"/>
          </w:tcPr>
          <w:p w14:paraId="62BEB0B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包</w:t>
            </w:r>
          </w:p>
        </w:tc>
        <w:tc>
          <w:tcPr>
            <w:tcW w:w="486" w:type="pct"/>
            <w:vAlign w:val="center"/>
          </w:tcPr>
          <w:p w14:paraId="7B3D95A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2.00</w:t>
            </w:r>
          </w:p>
        </w:tc>
        <w:tc>
          <w:tcPr>
            <w:tcW w:w="2801" w:type="pct"/>
            <w:vAlign w:val="center"/>
          </w:tcPr>
          <w:p w14:paraId="477EAC6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1.▲符合国家卫生标准；</w:t>
            </w:r>
          </w:p>
          <w:p w14:paraId="44A361D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2.▲干杂类须标明工厂名称、品名、产品标准号、生产日期、合格证、质保期或保存期，供货时的剩余质保期不少于三分之二。</w:t>
            </w:r>
          </w:p>
          <w:p w14:paraId="05566FC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3.参考规格：≥500g/包。</w:t>
            </w:r>
          </w:p>
        </w:tc>
      </w:tr>
      <w:tr w14:paraId="01AE9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54BEBA62">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16</w:t>
            </w:r>
          </w:p>
        </w:tc>
        <w:tc>
          <w:tcPr>
            <w:tcW w:w="545" w:type="pct"/>
            <w:vAlign w:val="center"/>
          </w:tcPr>
          <w:p w14:paraId="4AB8CD3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蚝油</w:t>
            </w:r>
          </w:p>
        </w:tc>
        <w:tc>
          <w:tcPr>
            <w:tcW w:w="548" w:type="pct"/>
            <w:vAlign w:val="center"/>
          </w:tcPr>
          <w:p w14:paraId="6C1C583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1200.00</w:t>
            </w:r>
          </w:p>
        </w:tc>
        <w:tc>
          <w:tcPr>
            <w:tcW w:w="388" w:type="pct"/>
            <w:vAlign w:val="center"/>
          </w:tcPr>
          <w:p w14:paraId="208237C9">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桶</w:t>
            </w:r>
          </w:p>
        </w:tc>
        <w:tc>
          <w:tcPr>
            <w:tcW w:w="486" w:type="pct"/>
            <w:vAlign w:val="center"/>
          </w:tcPr>
          <w:p w14:paraId="7937B39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34.00</w:t>
            </w:r>
          </w:p>
        </w:tc>
        <w:tc>
          <w:tcPr>
            <w:tcW w:w="2801" w:type="pct"/>
            <w:vAlign w:val="center"/>
          </w:tcPr>
          <w:p w14:paraId="01C9348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1.▲调味料类须标明工厂名称、品名、产品标准号、生产日期、合格证、质保期或保存期，供货时的剩余质保期不少于三分之二。</w:t>
            </w:r>
          </w:p>
          <w:p w14:paraId="0FB5F79D">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2.▲外包装不得含有玻璃或金属等存在安全隐患的材料。</w:t>
            </w:r>
          </w:p>
          <w:p w14:paraId="0FD448D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3.参考规格：≥6kg/桶。</w:t>
            </w:r>
          </w:p>
          <w:p w14:paraId="70F14AFD">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4.▲符合GB/T 21999及国家其他相关卫生标准。</w:t>
            </w:r>
          </w:p>
        </w:tc>
      </w:tr>
      <w:tr w14:paraId="0B2F1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4FB1EA34">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17</w:t>
            </w:r>
          </w:p>
        </w:tc>
        <w:tc>
          <w:tcPr>
            <w:tcW w:w="545" w:type="pct"/>
            <w:vAlign w:val="center"/>
          </w:tcPr>
          <w:p w14:paraId="5C06853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生抽</w:t>
            </w:r>
          </w:p>
        </w:tc>
        <w:tc>
          <w:tcPr>
            <w:tcW w:w="548" w:type="pct"/>
            <w:vAlign w:val="center"/>
          </w:tcPr>
          <w:p w14:paraId="1E4A616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2500.00</w:t>
            </w:r>
          </w:p>
        </w:tc>
        <w:tc>
          <w:tcPr>
            <w:tcW w:w="388" w:type="pct"/>
            <w:vAlign w:val="center"/>
          </w:tcPr>
          <w:p w14:paraId="22A4167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瓶</w:t>
            </w:r>
          </w:p>
        </w:tc>
        <w:tc>
          <w:tcPr>
            <w:tcW w:w="486" w:type="pct"/>
            <w:vAlign w:val="center"/>
          </w:tcPr>
          <w:p w14:paraId="194CCA2A">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5.40</w:t>
            </w:r>
          </w:p>
        </w:tc>
        <w:tc>
          <w:tcPr>
            <w:tcW w:w="2801" w:type="pct"/>
            <w:vAlign w:val="center"/>
          </w:tcPr>
          <w:p w14:paraId="0DB97BD4">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1.▲调味料类须标明工厂名称、品名、产品标准号、生产日期、合格证、质保期或保存期，供货时的剩余质保期不少于三分之二。</w:t>
            </w:r>
          </w:p>
          <w:p w14:paraId="0DEE4127">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2.▲外包装不得含有玻璃或金属等存在安全隐患的材料。</w:t>
            </w:r>
          </w:p>
          <w:p w14:paraId="64591D3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3.参考规格：≥800g/瓶。</w:t>
            </w:r>
          </w:p>
          <w:p w14:paraId="6E2B9CC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4.▲符合GB/T 18186及国家其他相关卫生标准。</w:t>
            </w:r>
          </w:p>
        </w:tc>
      </w:tr>
      <w:tr w14:paraId="01ED4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4C49B527">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18</w:t>
            </w:r>
          </w:p>
        </w:tc>
        <w:tc>
          <w:tcPr>
            <w:tcW w:w="545" w:type="pct"/>
            <w:vAlign w:val="center"/>
          </w:tcPr>
          <w:p w14:paraId="67CBE0BA">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鸡精</w:t>
            </w:r>
          </w:p>
        </w:tc>
        <w:tc>
          <w:tcPr>
            <w:tcW w:w="548" w:type="pct"/>
            <w:vAlign w:val="center"/>
          </w:tcPr>
          <w:p w14:paraId="69D55B5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1500.00</w:t>
            </w:r>
          </w:p>
        </w:tc>
        <w:tc>
          <w:tcPr>
            <w:tcW w:w="388" w:type="pct"/>
            <w:vAlign w:val="center"/>
          </w:tcPr>
          <w:p w14:paraId="47A4304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包</w:t>
            </w:r>
          </w:p>
        </w:tc>
        <w:tc>
          <w:tcPr>
            <w:tcW w:w="486" w:type="pct"/>
            <w:vAlign w:val="center"/>
          </w:tcPr>
          <w:p w14:paraId="388E6CB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25.00</w:t>
            </w:r>
          </w:p>
        </w:tc>
        <w:tc>
          <w:tcPr>
            <w:tcW w:w="2801" w:type="pct"/>
            <w:vAlign w:val="center"/>
          </w:tcPr>
          <w:p w14:paraId="6CDAE62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1.▲调味料类须标明工厂名称、品名、产品标准号、生产日期、合格证、质保期或保存期，供货时的剩余质保期不少于三分之二。</w:t>
            </w:r>
          </w:p>
          <w:p w14:paraId="46084D9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2.▲外包装不得含有玻璃或金属等存在安全隐患的材料。</w:t>
            </w:r>
          </w:p>
          <w:p w14:paraId="21666D5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3.参考规格：≥1000g/包。</w:t>
            </w:r>
          </w:p>
        </w:tc>
      </w:tr>
      <w:tr w14:paraId="06BF4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04C05DD2">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19</w:t>
            </w:r>
          </w:p>
        </w:tc>
        <w:tc>
          <w:tcPr>
            <w:tcW w:w="545" w:type="pct"/>
            <w:vAlign w:val="center"/>
          </w:tcPr>
          <w:p w14:paraId="34138C80">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糖精</w:t>
            </w:r>
          </w:p>
        </w:tc>
        <w:tc>
          <w:tcPr>
            <w:tcW w:w="548" w:type="pct"/>
            <w:vAlign w:val="center"/>
          </w:tcPr>
          <w:p w14:paraId="3615E16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1000.00</w:t>
            </w:r>
          </w:p>
        </w:tc>
        <w:tc>
          <w:tcPr>
            <w:tcW w:w="388" w:type="pct"/>
            <w:vAlign w:val="center"/>
          </w:tcPr>
          <w:p w14:paraId="6E17DFA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包</w:t>
            </w:r>
          </w:p>
        </w:tc>
        <w:tc>
          <w:tcPr>
            <w:tcW w:w="486" w:type="pct"/>
            <w:vAlign w:val="center"/>
          </w:tcPr>
          <w:p w14:paraId="650563B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26.00</w:t>
            </w:r>
          </w:p>
        </w:tc>
        <w:tc>
          <w:tcPr>
            <w:tcW w:w="2801" w:type="pct"/>
            <w:vAlign w:val="center"/>
          </w:tcPr>
          <w:p w14:paraId="00898277">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1.▲调味料类须标明工厂名称、品名、产品标准号、生产日期、合格证、质保期或保存期，供货时的剩余质保期不少于三分之二。</w:t>
            </w:r>
          </w:p>
          <w:p w14:paraId="20A6A488">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2.▲外包装不得含有玻璃或金属等存在安全隐患的材料。</w:t>
            </w:r>
          </w:p>
          <w:p w14:paraId="637AA46F">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3.参考规格：≥500g/包。</w:t>
            </w:r>
          </w:p>
        </w:tc>
      </w:tr>
      <w:tr w14:paraId="598DB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23BDBA83">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20</w:t>
            </w:r>
          </w:p>
        </w:tc>
        <w:tc>
          <w:tcPr>
            <w:tcW w:w="545" w:type="pct"/>
            <w:vAlign w:val="center"/>
          </w:tcPr>
          <w:p w14:paraId="455D52B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味精</w:t>
            </w:r>
          </w:p>
        </w:tc>
        <w:tc>
          <w:tcPr>
            <w:tcW w:w="548" w:type="pct"/>
            <w:vAlign w:val="center"/>
          </w:tcPr>
          <w:p w14:paraId="109F3D6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1000.00</w:t>
            </w:r>
          </w:p>
        </w:tc>
        <w:tc>
          <w:tcPr>
            <w:tcW w:w="388" w:type="pct"/>
            <w:vAlign w:val="center"/>
          </w:tcPr>
          <w:p w14:paraId="6A4A8D1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包</w:t>
            </w:r>
          </w:p>
        </w:tc>
        <w:tc>
          <w:tcPr>
            <w:tcW w:w="486" w:type="pct"/>
            <w:vAlign w:val="center"/>
          </w:tcPr>
          <w:p w14:paraId="04C7D61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9.60</w:t>
            </w:r>
          </w:p>
        </w:tc>
        <w:tc>
          <w:tcPr>
            <w:tcW w:w="2801" w:type="pct"/>
            <w:vAlign w:val="center"/>
          </w:tcPr>
          <w:p w14:paraId="3F130B6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1.▲调味料类须标明工厂名称、品名、产品标准号、生产日期、合格证、质保期或保存期，供货时的剩余质保期不少于三分之二。</w:t>
            </w:r>
          </w:p>
          <w:p w14:paraId="502B7EF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2.▲外包装不得含有玻璃或金属等存在安全隐患的材料。</w:t>
            </w:r>
          </w:p>
          <w:p w14:paraId="42B16BE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3.参考规格：≥1000g/包。</w:t>
            </w:r>
          </w:p>
        </w:tc>
      </w:tr>
      <w:tr w14:paraId="1CE81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13BCEC6E">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21</w:t>
            </w:r>
          </w:p>
        </w:tc>
        <w:tc>
          <w:tcPr>
            <w:tcW w:w="545" w:type="pct"/>
            <w:vAlign w:val="center"/>
          </w:tcPr>
          <w:p w14:paraId="242D6F8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豆瓣酱</w:t>
            </w:r>
          </w:p>
        </w:tc>
        <w:tc>
          <w:tcPr>
            <w:tcW w:w="548" w:type="pct"/>
            <w:vAlign w:val="center"/>
          </w:tcPr>
          <w:p w14:paraId="49802C30">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500.00</w:t>
            </w:r>
          </w:p>
        </w:tc>
        <w:tc>
          <w:tcPr>
            <w:tcW w:w="388" w:type="pct"/>
            <w:vAlign w:val="center"/>
          </w:tcPr>
          <w:p w14:paraId="7C9A556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桶</w:t>
            </w:r>
          </w:p>
        </w:tc>
        <w:tc>
          <w:tcPr>
            <w:tcW w:w="486" w:type="pct"/>
            <w:vAlign w:val="center"/>
          </w:tcPr>
          <w:p w14:paraId="3A6D5DC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29.00</w:t>
            </w:r>
          </w:p>
        </w:tc>
        <w:tc>
          <w:tcPr>
            <w:tcW w:w="2801" w:type="pct"/>
            <w:vAlign w:val="center"/>
          </w:tcPr>
          <w:p w14:paraId="4C02259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1.▲调味料类须标明工厂名称、品名、产品标准号、生产日期、合格证、质保期或保存期，供货时的剩余质保期不少于三分之二。</w:t>
            </w:r>
          </w:p>
          <w:p w14:paraId="6FA471BF">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2.▲外包装不得含有玻璃或金属等存在安全隐患的材料。</w:t>
            </w:r>
          </w:p>
          <w:p w14:paraId="5D1158F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3.参考规格：≥5L/桶。</w:t>
            </w:r>
          </w:p>
        </w:tc>
      </w:tr>
      <w:tr w14:paraId="52943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4656E862">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22</w:t>
            </w:r>
          </w:p>
        </w:tc>
        <w:tc>
          <w:tcPr>
            <w:tcW w:w="545" w:type="pct"/>
            <w:vAlign w:val="center"/>
          </w:tcPr>
          <w:p w14:paraId="64BC9B6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辣椒酱</w:t>
            </w:r>
          </w:p>
        </w:tc>
        <w:tc>
          <w:tcPr>
            <w:tcW w:w="548" w:type="pct"/>
            <w:vAlign w:val="center"/>
          </w:tcPr>
          <w:p w14:paraId="58DA986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50.00</w:t>
            </w:r>
          </w:p>
        </w:tc>
        <w:tc>
          <w:tcPr>
            <w:tcW w:w="388" w:type="pct"/>
            <w:vAlign w:val="center"/>
          </w:tcPr>
          <w:p w14:paraId="213C0E8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桶</w:t>
            </w:r>
          </w:p>
        </w:tc>
        <w:tc>
          <w:tcPr>
            <w:tcW w:w="486" w:type="pct"/>
            <w:vAlign w:val="center"/>
          </w:tcPr>
          <w:p w14:paraId="1261E19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19.00</w:t>
            </w:r>
          </w:p>
        </w:tc>
        <w:tc>
          <w:tcPr>
            <w:tcW w:w="2801" w:type="pct"/>
            <w:vAlign w:val="center"/>
          </w:tcPr>
          <w:p w14:paraId="420F477D">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1.▲调味料类须标明工厂名称、品名、产品标准号、生产日期、合格证、质保期或保存期，供货时的剩余质保期不少于三分之二。</w:t>
            </w:r>
          </w:p>
          <w:p w14:paraId="4FA7C3D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2.▲外包装不得含有玻璃或金属等存在安全隐患的材料。</w:t>
            </w:r>
          </w:p>
          <w:p w14:paraId="7364968F">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3.参考规格：≥2000g/桶。</w:t>
            </w:r>
          </w:p>
        </w:tc>
      </w:tr>
      <w:tr w14:paraId="57D55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597352C8">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23</w:t>
            </w:r>
          </w:p>
        </w:tc>
        <w:tc>
          <w:tcPr>
            <w:tcW w:w="545" w:type="pct"/>
            <w:vAlign w:val="center"/>
          </w:tcPr>
          <w:p w14:paraId="2678FD3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老抽</w:t>
            </w:r>
          </w:p>
        </w:tc>
        <w:tc>
          <w:tcPr>
            <w:tcW w:w="548" w:type="pct"/>
            <w:vAlign w:val="center"/>
          </w:tcPr>
          <w:p w14:paraId="188F515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1300.00</w:t>
            </w:r>
          </w:p>
        </w:tc>
        <w:tc>
          <w:tcPr>
            <w:tcW w:w="388" w:type="pct"/>
            <w:vAlign w:val="center"/>
          </w:tcPr>
          <w:p w14:paraId="409A81D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桶</w:t>
            </w:r>
          </w:p>
        </w:tc>
        <w:tc>
          <w:tcPr>
            <w:tcW w:w="486" w:type="pct"/>
            <w:vAlign w:val="center"/>
          </w:tcPr>
          <w:p w14:paraId="65D6FC9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17.00</w:t>
            </w:r>
          </w:p>
        </w:tc>
        <w:tc>
          <w:tcPr>
            <w:tcW w:w="2801" w:type="pct"/>
            <w:vAlign w:val="center"/>
          </w:tcPr>
          <w:p w14:paraId="7ECE611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1.▲调味料类须标明工厂名称、品名、产品标准号、生产日期、合格证、质保期或保存期，供货时的剩余质保期不少于三分之二。</w:t>
            </w:r>
          </w:p>
          <w:p w14:paraId="2567C22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2.▲外包装不得含有玻璃或金属等存在安全隐患的材料。</w:t>
            </w:r>
          </w:p>
          <w:p w14:paraId="0F07E101">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3.参考规格：≥1.9L/桶。</w:t>
            </w:r>
          </w:p>
          <w:p w14:paraId="20952BB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4.▲符合GB/T 18186及国家其他相关卫生标准。</w:t>
            </w:r>
          </w:p>
        </w:tc>
      </w:tr>
      <w:tr w14:paraId="1D969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669AA64D">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24</w:t>
            </w:r>
          </w:p>
        </w:tc>
        <w:tc>
          <w:tcPr>
            <w:tcW w:w="545" w:type="pct"/>
            <w:vAlign w:val="center"/>
          </w:tcPr>
          <w:p w14:paraId="6F8FA1C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米醋</w:t>
            </w:r>
          </w:p>
        </w:tc>
        <w:tc>
          <w:tcPr>
            <w:tcW w:w="548" w:type="pct"/>
            <w:vAlign w:val="center"/>
          </w:tcPr>
          <w:p w14:paraId="140A251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500.00</w:t>
            </w:r>
          </w:p>
        </w:tc>
        <w:tc>
          <w:tcPr>
            <w:tcW w:w="388" w:type="pct"/>
            <w:vAlign w:val="center"/>
          </w:tcPr>
          <w:p w14:paraId="79EFC18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包</w:t>
            </w:r>
          </w:p>
        </w:tc>
        <w:tc>
          <w:tcPr>
            <w:tcW w:w="486" w:type="pct"/>
            <w:vAlign w:val="center"/>
          </w:tcPr>
          <w:p w14:paraId="062B421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9.00</w:t>
            </w:r>
          </w:p>
        </w:tc>
        <w:tc>
          <w:tcPr>
            <w:tcW w:w="2801" w:type="pct"/>
            <w:vAlign w:val="center"/>
          </w:tcPr>
          <w:p w14:paraId="45217AB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1.▲调味料类须标明工厂名称、品名、产品标准号、生产日期、合格证、质保期或保存期，供货时的剩余质保期不少于三分之二。</w:t>
            </w:r>
          </w:p>
          <w:p w14:paraId="3B213541">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2.▲外包装不得含有玻璃或金属等存在安全隐患的材料。</w:t>
            </w:r>
          </w:p>
          <w:p w14:paraId="5F561C2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3.参考规格：≥400g/包。</w:t>
            </w:r>
          </w:p>
        </w:tc>
      </w:tr>
      <w:tr w14:paraId="6AD53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191BD16B">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25</w:t>
            </w:r>
          </w:p>
        </w:tc>
        <w:tc>
          <w:tcPr>
            <w:tcW w:w="545" w:type="pct"/>
            <w:vAlign w:val="center"/>
          </w:tcPr>
          <w:p w14:paraId="091F973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豆腐乳</w:t>
            </w:r>
          </w:p>
        </w:tc>
        <w:tc>
          <w:tcPr>
            <w:tcW w:w="548" w:type="pct"/>
            <w:vAlign w:val="center"/>
          </w:tcPr>
          <w:p w14:paraId="7335C77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1200.00</w:t>
            </w:r>
          </w:p>
        </w:tc>
        <w:tc>
          <w:tcPr>
            <w:tcW w:w="388" w:type="pct"/>
            <w:vAlign w:val="center"/>
          </w:tcPr>
          <w:p w14:paraId="1222EA3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瓶</w:t>
            </w:r>
          </w:p>
        </w:tc>
        <w:tc>
          <w:tcPr>
            <w:tcW w:w="486" w:type="pct"/>
            <w:vAlign w:val="center"/>
          </w:tcPr>
          <w:p w14:paraId="2E53C23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2.80</w:t>
            </w:r>
          </w:p>
        </w:tc>
        <w:tc>
          <w:tcPr>
            <w:tcW w:w="2801" w:type="pct"/>
            <w:vAlign w:val="center"/>
          </w:tcPr>
          <w:p w14:paraId="51EFCF4D">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1.▲调味料类须标明工厂名称、品名、产品标准号、生产日期、合格证、质保期或保存期，供货时的剩余质保期不少于三分之二。</w:t>
            </w:r>
          </w:p>
          <w:p w14:paraId="33D26A9D">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2.▲外包装不得含有玻璃或金属等存在安全隐患的材料。</w:t>
            </w:r>
          </w:p>
          <w:p w14:paraId="7195755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3.参考规格：≥280g/瓶。</w:t>
            </w:r>
          </w:p>
        </w:tc>
      </w:tr>
      <w:tr w14:paraId="47C7F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79E4F555">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26</w:t>
            </w:r>
          </w:p>
        </w:tc>
        <w:tc>
          <w:tcPr>
            <w:tcW w:w="545" w:type="pct"/>
            <w:vAlign w:val="center"/>
          </w:tcPr>
          <w:p w14:paraId="79B6E7D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干酵母粉</w:t>
            </w:r>
          </w:p>
        </w:tc>
        <w:tc>
          <w:tcPr>
            <w:tcW w:w="548" w:type="pct"/>
            <w:vAlign w:val="center"/>
          </w:tcPr>
          <w:p w14:paraId="12520DD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500.00</w:t>
            </w:r>
          </w:p>
        </w:tc>
        <w:tc>
          <w:tcPr>
            <w:tcW w:w="388" w:type="pct"/>
            <w:vAlign w:val="center"/>
          </w:tcPr>
          <w:p w14:paraId="00D01A30">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包</w:t>
            </w:r>
          </w:p>
        </w:tc>
        <w:tc>
          <w:tcPr>
            <w:tcW w:w="486" w:type="pct"/>
            <w:vAlign w:val="center"/>
          </w:tcPr>
          <w:p w14:paraId="552A541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19.00</w:t>
            </w:r>
          </w:p>
        </w:tc>
        <w:tc>
          <w:tcPr>
            <w:tcW w:w="2801" w:type="pct"/>
            <w:vAlign w:val="center"/>
          </w:tcPr>
          <w:p w14:paraId="2DB2A7E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1.▲调味料类须标明工厂名称、品名、产品标准号、生产日期、合格证、质保期或保存期，供货时的剩余质保期不少于三分之二。</w:t>
            </w:r>
          </w:p>
          <w:p w14:paraId="066817A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2.▲外包装不得含有玻璃或金属等存在安全隐患的材料。</w:t>
            </w:r>
          </w:p>
          <w:p w14:paraId="7C187FA5">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3.参考规格：≥500g/包。</w:t>
            </w:r>
          </w:p>
        </w:tc>
      </w:tr>
      <w:tr w14:paraId="4FA83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3C8E86A3">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27</w:t>
            </w:r>
          </w:p>
        </w:tc>
        <w:tc>
          <w:tcPr>
            <w:tcW w:w="545" w:type="pct"/>
            <w:vAlign w:val="center"/>
          </w:tcPr>
          <w:p w14:paraId="4142EA4A">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胡椒粉</w:t>
            </w:r>
          </w:p>
        </w:tc>
        <w:tc>
          <w:tcPr>
            <w:tcW w:w="548" w:type="pct"/>
            <w:vAlign w:val="center"/>
          </w:tcPr>
          <w:p w14:paraId="082DBA5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300.00</w:t>
            </w:r>
          </w:p>
        </w:tc>
        <w:tc>
          <w:tcPr>
            <w:tcW w:w="388" w:type="pct"/>
            <w:vAlign w:val="center"/>
          </w:tcPr>
          <w:p w14:paraId="498B131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包</w:t>
            </w:r>
          </w:p>
        </w:tc>
        <w:tc>
          <w:tcPr>
            <w:tcW w:w="486" w:type="pct"/>
            <w:vAlign w:val="center"/>
          </w:tcPr>
          <w:p w14:paraId="509C6BD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6.80</w:t>
            </w:r>
          </w:p>
        </w:tc>
        <w:tc>
          <w:tcPr>
            <w:tcW w:w="2801" w:type="pct"/>
            <w:vAlign w:val="center"/>
          </w:tcPr>
          <w:p w14:paraId="4AE9D97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1.▲调味料类须标明工厂名称、品名、产品标准号、生产日期、合格证、质保期或保存期，供货时的剩余质保期不少于三分之二。</w:t>
            </w:r>
          </w:p>
          <w:p w14:paraId="734FE267">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2.▲外包装不得含有玻璃或金属等存在安全隐患的材料。</w:t>
            </w:r>
          </w:p>
          <w:p w14:paraId="61A0982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3.参考规格：≥400g/包。</w:t>
            </w:r>
          </w:p>
        </w:tc>
      </w:tr>
      <w:tr w14:paraId="432BB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1334BB36">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28</w:t>
            </w:r>
          </w:p>
        </w:tc>
        <w:tc>
          <w:tcPr>
            <w:tcW w:w="545" w:type="pct"/>
            <w:vAlign w:val="center"/>
          </w:tcPr>
          <w:p w14:paraId="41304BE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白糖</w:t>
            </w:r>
          </w:p>
        </w:tc>
        <w:tc>
          <w:tcPr>
            <w:tcW w:w="548" w:type="pct"/>
            <w:vAlign w:val="center"/>
          </w:tcPr>
          <w:p w14:paraId="29FFC27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2000.00</w:t>
            </w:r>
          </w:p>
        </w:tc>
        <w:tc>
          <w:tcPr>
            <w:tcW w:w="388" w:type="pct"/>
            <w:vAlign w:val="center"/>
          </w:tcPr>
          <w:p w14:paraId="3B60ABE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斤</w:t>
            </w:r>
          </w:p>
        </w:tc>
        <w:tc>
          <w:tcPr>
            <w:tcW w:w="486" w:type="pct"/>
            <w:vAlign w:val="center"/>
          </w:tcPr>
          <w:p w14:paraId="47DB77E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3.60</w:t>
            </w:r>
          </w:p>
        </w:tc>
        <w:tc>
          <w:tcPr>
            <w:tcW w:w="2801" w:type="pct"/>
            <w:vAlign w:val="center"/>
          </w:tcPr>
          <w:p w14:paraId="3248CC5F">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1.▲调味料类须标明工厂名称、品名、产品标准号、生产日期、合格证、质保期或保存期，供货时的剩余质保期不少于三分之二。</w:t>
            </w:r>
          </w:p>
          <w:p w14:paraId="6B4B7A3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2.▲外包装不得含有玻璃或金属等存在安全隐患的材料。</w:t>
            </w:r>
          </w:p>
        </w:tc>
      </w:tr>
      <w:tr w14:paraId="1A47E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12B73EF8">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29</w:t>
            </w:r>
          </w:p>
        </w:tc>
        <w:tc>
          <w:tcPr>
            <w:tcW w:w="545" w:type="pct"/>
            <w:vAlign w:val="center"/>
          </w:tcPr>
          <w:p w14:paraId="09D0F05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南乳</w:t>
            </w:r>
          </w:p>
        </w:tc>
        <w:tc>
          <w:tcPr>
            <w:tcW w:w="548" w:type="pct"/>
            <w:vAlign w:val="center"/>
          </w:tcPr>
          <w:p w14:paraId="3592454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1200.00</w:t>
            </w:r>
          </w:p>
        </w:tc>
        <w:tc>
          <w:tcPr>
            <w:tcW w:w="388" w:type="pct"/>
            <w:vAlign w:val="center"/>
          </w:tcPr>
          <w:p w14:paraId="2B44916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瓶</w:t>
            </w:r>
          </w:p>
        </w:tc>
        <w:tc>
          <w:tcPr>
            <w:tcW w:w="486" w:type="pct"/>
            <w:vAlign w:val="center"/>
          </w:tcPr>
          <w:p w14:paraId="7B04DC8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9.00</w:t>
            </w:r>
          </w:p>
        </w:tc>
        <w:tc>
          <w:tcPr>
            <w:tcW w:w="2801" w:type="pct"/>
            <w:vAlign w:val="center"/>
          </w:tcPr>
          <w:p w14:paraId="7B6F4E8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1.▲调味料类须标明工厂名称、品名、产品标准号、生产日期、合格证、质保期或保存期，供货时的剩余质保期不少于三分之二。</w:t>
            </w:r>
          </w:p>
          <w:p w14:paraId="201A187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2.▲外包装不得含有玻璃或金属等存在安全隐患的材料。</w:t>
            </w:r>
          </w:p>
          <w:p w14:paraId="6D8E8F7F">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3.参考规格：≥300g/瓶。</w:t>
            </w:r>
          </w:p>
        </w:tc>
      </w:tr>
      <w:tr w14:paraId="025EE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0BEBF61A">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30</w:t>
            </w:r>
          </w:p>
        </w:tc>
        <w:tc>
          <w:tcPr>
            <w:tcW w:w="545" w:type="pct"/>
            <w:vAlign w:val="center"/>
          </w:tcPr>
          <w:p w14:paraId="62F9A3D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五香粉</w:t>
            </w:r>
          </w:p>
        </w:tc>
        <w:tc>
          <w:tcPr>
            <w:tcW w:w="548" w:type="pct"/>
            <w:vAlign w:val="center"/>
          </w:tcPr>
          <w:p w14:paraId="2955C36A">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1200.00</w:t>
            </w:r>
          </w:p>
        </w:tc>
        <w:tc>
          <w:tcPr>
            <w:tcW w:w="388" w:type="pct"/>
            <w:vAlign w:val="center"/>
          </w:tcPr>
          <w:p w14:paraId="57CFC68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包</w:t>
            </w:r>
          </w:p>
        </w:tc>
        <w:tc>
          <w:tcPr>
            <w:tcW w:w="486" w:type="pct"/>
            <w:vAlign w:val="center"/>
          </w:tcPr>
          <w:p w14:paraId="4141F14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15.00</w:t>
            </w:r>
          </w:p>
        </w:tc>
        <w:tc>
          <w:tcPr>
            <w:tcW w:w="2801" w:type="pct"/>
            <w:vAlign w:val="center"/>
          </w:tcPr>
          <w:p w14:paraId="17102C4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1.▲调味料类须标明工厂名称、品名、产品标准号、生产日期、合格证、质保期或保存期，供货时的剩余质保期不少于三分之二。</w:t>
            </w:r>
          </w:p>
          <w:p w14:paraId="21951C36">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2.▲外包装不得含有玻璃或金属等存在安全隐患的材料。</w:t>
            </w:r>
          </w:p>
          <w:p w14:paraId="1F7D279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3.参考规格：≥400g/包。</w:t>
            </w:r>
          </w:p>
        </w:tc>
      </w:tr>
      <w:tr w14:paraId="626C0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22D164C5">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31</w:t>
            </w:r>
          </w:p>
        </w:tc>
        <w:tc>
          <w:tcPr>
            <w:tcW w:w="545" w:type="pct"/>
            <w:vAlign w:val="center"/>
          </w:tcPr>
          <w:p w14:paraId="46177E8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盐焗鸡粉</w:t>
            </w:r>
          </w:p>
        </w:tc>
        <w:tc>
          <w:tcPr>
            <w:tcW w:w="548" w:type="pct"/>
            <w:vAlign w:val="center"/>
          </w:tcPr>
          <w:p w14:paraId="51C581A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500.00</w:t>
            </w:r>
          </w:p>
        </w:tc>
        <w:tc>
          <w:tcPr>
            <w:tcW w:w="388" w:type="pct"/>
            <w:vAlign w:val="center"/>
          </w:tcPr>
          <w:p w14:paraId="5BA3632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包</w:t>
            </w:r>
          </w:p>
        </w:tc>
        <w:tc>
          <w:tcPr>
            <w:tcW w:w="486" w:type="pct"/>
            <w:vAlign w:val="center"/>
          </w:tcPr>
          <w:p w14:paraId="1F65E77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1.20</w:t>
            </w:r>
          </w:p>
        </w:tc>
        <w:tc>
          <w:tcPr>
            <w:tcW w:w="2801" w:type="pct"/>
            <w:vAlign w:val="center"/>
          </w:tcPr>
          <w:p w14:paraId="401DFEB4">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1.▲调味料类须标明工厂名称、品名、产品标准号、生产日期、合格证、质保期或保存期，供货时的剩余质保期不少于三分之二。</w:t>
            </w:r>
          </w:p>
          <w:p w14:paraId="6EF493D9">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2.▲外包装不得含有玻璃或金属等存在安全隐患的材料。</w:t>
            </w:r>
          </w:p>
          <w:p w14:paraId="2511372F">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3.参考规格：≥30g/包。</w:t>
            </w:r>
          </w:p>
        </w:tc>
      </w:tr>
      <w:tr w14:paraId="2E9AB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6CB0A638">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32</w:t>
            </w:r>
          </w:p>
        </w:tc>
        <w:tc>
          <w:tcPr>
            <w:tcW w:w="545" w:type="pct"/>
            <w:vAlign w:val="center"/>
          </w:tcPr>
          <w:p w14:paraId="03C61890">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沙姜片</w:t>
            </w:r>
          </w:p>
        </w:tc>
        <w:tc>
          <w:tcPr>
            <w:tcW w:w="548" w:type="pct"/>
            <w:vAlign w:val="center"/>
          </w:tcPr>
          <w:p w14:paraId="2B791E3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150.00</w:t>
            </w:r>
          </w:p>
        </w:tc>
        <w:tc>
          <w:tcPr>
            <w:tcW w:w="388" w:type="pct"/>
            <w:vAlign w:val="center"/>
          </w:tcPr>
          <w:p w14:paraId="21BFC2E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斤</w:t>
            </w:r>
          </w:p>
        </w:tc>
        <w:tc>
          <w:tcPr>
            <w:tcW w:w="486" w:type="pct"/>
            <w:vAlign w:val="center"/>
          </w:tcPr>
          <w:p w14:paraId="6517E9A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19.00</w:t>
            </w:r>
          </w:p>
        </w:tc>
        <w:tc>
          <w:tcPr>
            <w:tcW w:w="2801" w:type="pct"/>
            <w:vAlign w:val="center"/>
          </w:tcPr>
          <w:p w14:paraId="0F2CE59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1.▲符合国家卫生标准；</w:t>
            </w:r>
          </w:p>
          <w:p w14:paraId="1A05DF88">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2.▲干杂类须标明工厂名称、品名、产品标准号、生产日期、合格证、质保期或保存期，供货时的剩余质保期不少于三分之二。</w:t>
            </w:r>
          </w:p>
        </w:tc>
      </w:tr>
      <w:tr w14:paraId="3DA0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55EB94F3">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33</w:t>
            </w:r>
          </w:p>
        </w:tc>
        <w:tc>
          <w:tcPr>
            <w:tcW w:w="545" w:type="pct"/>
            <w:vAlign w:val="center"/>
          </w:tcPr>
          <w:p w14:paraId="16FDB18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八角</w:t>
            </w:r>
          </w:p>
        </w:tc>
        <w:tc>
          <w:tcPr>
            <w:tcW w:w="548" w:type="pct"/>
            <w:vAlign w:val="center"/>
          </w:tcPr>
          <w:p w14:paraId="360E05E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150.00</w:t>
            </w:r>
          </w:p>
        </w:tc>
        <w:tc>
          <w:tcPr>
            <w:tcW w:w="388" w:type="pct"/>
            <w:vAlign w:val="center"/>
          </w:tcPr>
          <w:p w14:paraId="1FC3FEE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斤</w:t>
            </w:r>
          </w:p>
        </w:tc>
        <w:tc>
          <w:tcPr>
            <w:tcW w:w="486" w:type="pct"/>
            <w:vAlign w:val="center"/>
          </w:tcPr>
          <w:p w14:paraId="736822E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24.00</w:t>
            </w:r>
          </w:p>
        </w:tc>
        <w:tc>
          <w:tcPr>
            <w:tcW w:w="2801" w:type="pct"/>
            <w:vAlign w:val="center"/>
          </w:tcPr>
          <w:p w14:paraId="5F38E72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1.▲符合国家卫生标准；</w:t>
            </w:r>
          </w:p>
          <w:p w14:paraId="6087010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2.▲干杂类须标明工厂名称、品名、产品标准号、生产日期、合格证、质保期或保存期，供货时的剩余质保期不少于三分之二。</w:t>
            </w:r>
          </w:p>
        </w:tc>
      </w:tr>
      <w:tr w14:paraId="179F2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5276FBAA">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34</w:t>
            </w:r>
          </w:p>
        </w:tc>
        <w:tc>
          <w:tcPr>
            <w:tcW w:w="545" w:type="pct"/>
            <w:vAlign w:val="center"/>
          </w:tcPr>
          <w:p w14:paraId="0E36E47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豆豉</w:t>
            </w:r>
          </w:p>
        </w:tc>
        <w:tc>
          <w:tcPr>
            <w:tcW w:w="548" w:type="pct"/>
            <w:vAlign w:val="center"/>
          </w:tcPr>
          <w:p w14:paraId="07656CF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200.00</w:t>
            </w:r>
          </w:p>
        </w:tc>
        <w:tc>
          <w:tcPr>
            <w:tcW w:w="388" w:type="pct"/>
            <w:vAlign w:val="center"/>
          </w:tcPr>
          <w:p w14:paraId="43CA834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包</w:t>
            </w:r>
          </w:p>
        </w:tc>
        <w:tc>
          <w:tcPr>
            <w:tcW w:w="486" w:type="pct"/>
            <w:vAlign w:val="center"/>
          </w:tcPr>
          <w:p w14:paraId="3D0B4B2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40.00</w:t>
            </w:r>
          </w:p>
        </w:tc>
        <w:tc>
          <w:tcPr>
            <w:tcW w:w="2801" w:type="pct"/>
            <w:vAlign w:val="center"/>
          </w:tcPr>
          <w:p w14:paraId="6319C7A1">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1.▲符合国家卫生标准；</w:t>
            </w:r>
          </w:p>
          <w:p w14:paraId="512C3D34">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2.▲干杂类须标明工厂名称、品名、产品标准号、生产日期、合格证、质保期或保存期，供货时的剩余质保期不少于三分之二。</w:t>
            </w:r>
          </w:p>
          <w:p w14:paraId="38562EB4">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3.参考规格：≥10斤/包。</w:t>
            </w:r>
          </w:p>
        </w:tc>
      </w:tr>
      <w:tr w14:paraId="77FD0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21AC47C4">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35</w:t>
            </w:r>
          </w:p>
        </w:tc>
        <w:tc>
          <w:tcPr>
            <w:tcW w:w="545" w:type="pct"/>
            <w:vAlign w:val="center"/>
          </w:tcPr>
          <w:p w14:paraId="57A17C30">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十三香</w:t>
            </w:r>
          </w:p>
        </w:tc>
        <w:tc>
          <w:tcPr>
            <w:tcW w:w="548" w:type="pct"/>
            <w:vAlign w:val="center"/>
          </w:tcPr>
          <w:p w14:paraId="5D369D7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200.00</w:t>
            </w:r>
          </w:p>
        </w:tc>
        <w:tc>
          <w:tcPr>
            <w:tcW w:w="388" w:type="pct"/>
            <w:vAlign w:val="center"/>
          </w:tcPr>
          <w:p w14:paraId="15E38AFA">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盒</w:t>
            </w:r>
          </w:p>
        </w:tc>
        <w:tc>
          <w:tcPr>
            <w:tcW w:w="486" w:type="pct"/>
            <w:vAlign w:val="center"/>
          </w:tcPr>
          <w:p w14:paraId="4EAA0090">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3.00</w:t>
            </w:r>
          </w:p>
        </w:tc>
        <w:tc>
          <w:tcPr>
            <w:tcW w:w="2801" w:type="pct"/>
            <w:vAlign w:val="center"/>
          </w:tcPr>
          <w:p w14:paraId="2075F2B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1.▲调味料类须标明工厂名称、品名、产品标准号、生产日期、合格证、质保期或保存期，供货时的剩余质保期不少于三分之二。</w:t>
            </w:r>
          </w:p>
          <w:p w14:paraId="41754BA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2.▲外包装不得含有玻璃或金属等存在安全隐患的材料。</w:t>
            </w:r>
          </w:p>
          <w:p w14:paraId="0BA34028">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3.参考规格：≥40g/盒。</w:t>
            </w:r>
          </w:p>
        </w:tc>
      </w:tr>
      <w:tr w14:paraId="74750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547D61E3">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36</w:t>
            </w:r>
          </w:p>
        </w:tc>
        <w:tc>
          <w:tcPr>
            <w:tcW w:w="545" w:type="pct"/>
            <w:vAlign w:val="center"/>
          </w:tcPr>
          <w:p w14:paraId="51D6766A">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辣椒粉</w:t>
            </w:r>
          </w:p>
        </w:tc>
        <w:tc>
          <w:tcPr>
            <w:tcW w:w="548" w:type="pct"/>
            <w:vAlign w:val="center"/>
          </w:tcPr>
          <w:p w14:paraId="70368CB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500.00</w:t>
            </w:r>
          </w:p>
        </w:tc>
        <w:tc>
          <w:tcPr>
            <w:tcW w:w="388" w:type="pct"/>
            <w:vAlign w:val="center"/>
          </w:tcPr>
          <w:p w14:paraId="4AEEAFF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斤</w:t>
            </w:r>
          </w:p>
        </w:tc>
        <w:tc>
          <w:tcPr>
            <w:tcW w:w="486" w:type="pct"/>
            <w:vAlign w:val="center"/>
          </w:tcPr>
          <w:p w14:paraId="743BC1AA">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12.00</w:t>
            </w:r>
          </w:p>
        </w:tc>
        <w:tc>
          <w:tcPr>
            <w:tcW w:w="2801" w:type="pct"/>
            <w:vAlign w:val="center"/>
          </w:tcPr>
          <w:p w14:paraId="4C16C695">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1.▲调味料类须标明工厂名称、品名、产品标准号、生产日期、合格证、质保期或保存期，供货时的剩余质保期不少于三分之二。</w:t>
            </w:r>
          </w:p>
          <w:p w14:paraId="2D7F45A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2.▲外包装不得含有玻璃或金属等存在安全隐患的材料。</w:t>
            </w:r>
          </w:p>
        </w:tc>
      </w:tr>
      <w:tr w14:paraId="43463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140EFE25">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37</w:t>
            </w:r>
          </w:p>
        </w:tc>
        <w:tc>
          <w:tcPr>
            <w:tcW w:w="545" w:type="pct"/>
            <w:vAlign w:val="center"/>
          </w:tcPr>
          <w:p w14:paraId="53173BE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生粉</w:t>
            </w:r>
          </w:p>
        </w:tc>
        <w:tc>
          <w:tcPr>
            <w:tcW w:w="548" w:type="pct"/>
            <w:vAlign w:val="center"/>
          </w:tcPr>
          <w:p w14:paraId="5DEE91F0">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500.00</w:t>
            </w:r>
          </w:p>
        </w:tc>
        <w:tc>
          <w:tcPr>
            <w:tcW w:w="388" w:type="pct"/>
            <w:vAlign w:val="center"/>
          </w:tcPr>
          <w:p w14:paraId="334E96C0">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包</w:t>
            </w:r>
          </w:p>
        </w:tc>
        <w:tc>
          <w:tcPr>
            <w:tcW w:w="486" w:type="pct"/>
            <w:vAlign w:val="center"/>
          </w:tcPr>
          <w:p w14:paraId="3A6F9E00">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2.00</w:t>
            </w:r>
          </w:p>
        </w:tc>
        <w:tc>
          <w:tcPr>
            <w:tcW w:w="2801" w:type="pct"/>
            <w:vAlign w:val="center"/>
          </w:tcPr>
          <w:p w14:paraId="42D215F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1.▲调味料类须标明工厂名称、品名、产品标准号、生产日期、合格证、质保期或保存期，供货时的剩余质保期不少于三分之二。</w:t>
            </w:r>
          </w:p>
          <w:p w14:paraId="173E0B4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2.▲外包装不得含有玻璃或金属等存在安全隐患的材料。</w:t>
            </w:r>
          </w:p>
          <w:p w14:paraId="0B12A0E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3.参考规格：≥200g/包。</w:t>
            </w:r>
          </w:p>
        </w:tc>
      </w:tr>
      <w:tr w14:paraId="7F353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210CF8FE">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38</w:t>
            </w:r>
          </w:p>
        </w:tc>
        <w:tc>
          <w:tcPr>
            <w:tcW w:w="545" w:type="pct"/>
            <w:vAlign w:val="center"/>
          </w:tcPr>
          <w:p w14:paraId="13A04FD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嫩肉粉</w:t>
            </w:r>
          </w:p>
        </w:tc>
        <w:tc>
          <w:tcPr>
            <w:tcW w:w="548" w:type="pct"/>
            <w:vAlign w:val="center"/>
          </w:tcPr>
          <w:p w14:paraId="493486A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100.00</w:t>
            </w:r>
          </w:p>
        </w:tc>
        <w:tc>
          <w:tcPr>
            <w:tcW w:w="388" w:type="pct"/>
            <w:vAlign w:val="center"/>
          </w:tcPr>
          <w:p w14:paraId="29EC4A9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瓶</w:t>
            </w:r>
          </w:p>
        </w:tc>
        <w:tc>
          <w:tcPr>
            <w:tcW w:w="486" w:type="pct"/>
            <w:vAlign w:val="center"/>
          </w:tcPr>
          <w:p w14:paraId="52DBF99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4.20</w:t>
            </w:r>
          </w:p>
        </w:tc>
        <w:tc>
          <w:tcPr>
            <w:tcW w:w="2801" w:type="pct"/>
            <w:vAlign w:val="center"/>
          </w:tcPr>
          <w:p w14:paraId="71CF8908">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1.▲调味料类须标明工厂名称、品名、产品标准号、生产日期、合格证、质保期或保存期，供货时的剩余质保期不少于三分之二。</w:t>
            </w:r>
          </w:p>
          <w:p w14:paraId="3A1A7C2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2.▲外包装不得含有玻璃或金属等存在安全隐患的材料。</w:t>
            </w:r>
          </w:p>
          <w:p w14:paraId="2D462CB5">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3.参考规格：≥250g/瓶。</w:t>
            </w:r>
          </w:p>
        </w:tc>
      </w:tr>
      <w:tr w14:paraId="44298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 w:type="pct"/>
            <w:vAlign w:val="center"/>
          </w:tcPr>
          <w:p w14:paraId="29D2626E">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39</w:t>
            </w:r>
          </w:p>
        </w:tc>
        <w:tc>
          <w:tcPr>
            <w:tcW w:w="545" w:type="pct"/>
            <w:vAlign w:val="center"/>
          </w:tcPr>
          <w:p w14:paraId="3D4A87D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骨头汤料</w:t>
            </w:r>
          </w:p>
        </w:tc>
        <w:tc>
          <w:tcPr>
            <w:tcW w:w="548" w:type="pct"/>
            <w:vAlign w:val="center"/>
          </w:tcPr>
          <w:p w14:paraId="50C7700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100.00</w:t>
            </w:r>
          </w:p>
        </w:tc>
        <w:tc>
          <w:tcPr>
            <w:tcW w:w="388" w:type="pct"/>
            <w:vAlign w:val="center"/>
          </w:tcPr>
          <w:p w14:paraId="79C887B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罐</w:t>
            </w:r>
          </w:p>
        </w:tc>
        <w:tc>
          <w:tcPr>
            <w:tcW w:w="486" w:type="pct"/>
            <w:vAlign w:val="center"/>
          </w:tcPr>
          <w:p w14:paraId="02F7D13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52.00</w:t>
            </w:r>
          </w:p>
        </w:tc>
        <w:tc>
          <w:tcPr>
            <w:tcW w:w="2801" w:type="pct"/>
            <w:vAlign w:val="center"/>
          </w:tcPr>
          <w:p w14:paraId="229B3F79">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1.▲调味料类须标明工厂名称、品名、产品标准号、生产日期、合格证、质保期或保存期，供货时的剩余质保期不少于三分之二。</w:t>
            </w:r>
          </w:p>
          <w:p w14:paraId="40A38A3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2.▲外包装不得含有玻璃或金属等存在安全隐患的材料。</w:t>
            </w:r>
          </w:p>
          <w:p w14:paraId="3F3368C6">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3.参考规格≥1000g/罐</w:t>
            </w:r>
          </w:p>
        </w:tc>
      </w:tr>
      <w:tr w14:paraId="12A69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tcPr>
          <w:p w14:paraId="10EBAA98">
            <w:pPr>
              <w:tabs>
                <w:tab w:val="left" w:pos="180"/>
                <w:tab w:val="left" w:pos="1620"/>
              </w:tabs>
              <w:rPr>
                <w:rFonts w:hint="eastAsia" w:ascii="宋体" w:hAnsi="宋体" w:cs="宋体"/>
                <w:color w:val="auto"/>
                <w:szCs w:val="21"/>
                <w:highlight w:val="none"/>
              </w:rPr>
            </w:pPr>
            <w:r>
              <w:rPr>
                <w:rFonts w:hint="eastAsia" w:ascii="宋体" w:hAnsi="宋体" w:cs="宋体"/>
                <w:b/>
                <w:bCs/>
                <w:color w:val="auto"/>
                <w:sz w:val="24"/>
                <w:highlight w:val="none"/>
              </w:rPr>
              <w:t>二、商务条款</w:t>
            </w:r>
          </w:p>
        </w:tc>
      </w:tr>
      <w:tr w14:paraId="550A6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775" w:type="pct"/>
            <w:gridSpan w:val="2"/>
            <w:vAlign w:val="center"/>
          </w:tcPr>
          <w:p w14:paraId="242A1E2E">
            <w:pPr>
              <w:jc w:val="center"/>
              <w:rPr>
                <w:rFonts w:hint="eastAsia" w:ascii="宋体" w:hAnsi="宋体" w:cs="宋体"/>
                <w:b/>
                <w:bCs/>
                <w:color w:val="auto"/>
                <w:szCs w:val="21"/>
                <w:highlight w:val="none"/>
                <w:u w:val="single"/>
              </w:rPr>
            </w:pPr>
            <w:r>
              <w:rPr>
                <w:rFonts w:hint="eastAsia" w:ascii="宋体" w:hAnsi="宋体" w:cs="宋体"/>
                <w:color w:val="auto"/>
                <w:szCs w:val="21"/>
                <w:highlight w:val="none"/>
              </w:rPr>
              <w:t>1、合同签订时间</w:t>
            </w:r>
          </w:p>
        </w:tc>
        <w:tc>
          <w:tcPr>
            <w:tcW w:w="4224" w:type="pct"/>
            <w:gridSpan w:val="4"/>
            <w:vAlign w:val="center"/>
          </w:tcPr>
          <w:p w14:paraId="711F842A">
            <w:pPr>
              <w:rPr>
                <w:rFonts w:hint="eastAsia" w:ascii="宋体" w:hAnsi="宋体" w:cs="宋体"/>
                <w:color w:val="auto"/>
                <w:szCs w:val="21"/>
                <w:highlight w:val="none"/>
              </w:rPr>
            </w:pPr>
            <w:r>
              <w:rPr>
                <w:rFonts w:hint="eastAsia" w:ascii="宋体" w:hAnsi="宋体" w:cs="宋体"/>
                <w:color w:val="auto"/>
                <w:szCs w:val="21"/>
                <w:highlight w:val="none"/>
              </w:rPr>
              <w:t>自中标通知书发出之日起</w:t>
            </w:r>
            <w:r>
              <w:rPr>
                <w:rFonts w:hint="eastAsia" w:ascii="宋体" w:hAnsi="宋体" w:cs="宋体"/>
                <w:color w:val="auto"/>
                <w:szCs w:val="21"/>
                <w:highlight w:val="none"/>
                <w:u w:val="single"/>
              </w:rPr>
              <w:t>25</w:t>
            </w:r>
            <w:r>
              <w:rPr>
                <w:rFonts w:hint="eastAsia" w:ascii="宋体" w:hAnsi="宋体" w:cs="宋体"/>
                <w:color w:val="auto"/>
                <w:szCs w:val="21"/>
                <w:highlight w:val="none"/>
              </w:rPr>
              <w:t>日内。</w:t>
            </w:r>
          </w:p>
        </w:tc>
      </w:tr>
      <w:tr w14:paraId="0F919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gridSpan w:val="2"/>
            <w:vAlign w:val="center"/>
          </w:tcPr>
          <w:p w14:paraId="20018B75">
            <w:pPr>
              <w:jc w:val="center"/>
              <w:rPr>
                <w:rFonts w:hint="eastAsia" w:ascii="宋体" w:hAnsi="宋体" w:cs="宋体"/>
                <w:color w:val="auto"/>
                <w:szCs w:val="21"/>
                <w:highlight w:val="none"/>
                <w:u w:val="single"/>
              </w:rPr>
            </w:pPr>
            <w:r>
              <w:rPr>
                <w:rFonts w:hint="eastAsia" w:ascii="宋体" w:hAnsi="宋体" w:cs="宋体"/>
                <w:color w:val="auto"/>
                <w:szCs w:val="21"/>
                <w:highlight w:val="none"/>
              </w:rPr>
              <w:t>2、▲交付时间及地点、合同有效期</w:t>
            </w:r>
          </w:p>
        </w:tc>
        <w:tc>
          <w:tcPr>
            <w:tcW w:w="4224" w:type="pct"/>
            <w:gridSpan w:val="4"/>
            <w:vAlign w:val="center"/>
          </w:tcPr>
          <w:p w14:paraId="36319E2A">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1.交付时间：中标人向采购人供应食材为每天北京时间上午08:00前，确保一日一供,节假日正常供应,特殊情况双方协商确定。产品运输由中标人负责，运输及卸车费用由中标人承担。</w:t>
            </w:r>
          </w:p>
          <w:p w14:paraId="28F3F8B2">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2.交付地点：广西壮族自治区梧州市龙圩区；</w:t>
            </w:r>
          </w:p>
          <w:p w14:paraId="0AA32D92">
            <w:pPr>
              <w:rPr>
                <w:rFonts w:hint="eastAsia" w:ascii="宋体" w:hAnsi="宋体" w:cs="宋体"/>
                <w:color w:val="auto"/>
                <w:szCs w:val="21"/>
                <w:highlight w:val="none"/>
              </w:rPr>
            </w:pPr>
            <w:r>
              <w:rPr>
                <w:rFonts w:hint="eastAsia" w:ascii="宋体" w:hAnsi="宋体" w:cs="宋体"/>
                <w:color w:val="auto"/>
                <w:szCs w:val="21"/>
                <w:highlight w:val="none"/>
              </w:rPr>
              <w:t>3.合同有效期：自合同签订生效之日起1年。</w:t>
            </w:r>
          </w:p>
        </w:tc>
      </w:tr>
      <w:tr w14:paraId="63ADD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gridSpan w:val="2"/>
            <w:vAlign w:val="center"/>
          </w:tcPr>
          <w:p w14:paraId="0FC347EB">
            <w:pPr>
              <w:rPr>
                <w:rFonts w:hint="eastAsia" w:ascii="宋体" w:hAnsi="宋体" w:cs="宋体"/>
                <w:color w:val="auto"/>
                <w:szCs w:val="21"/>
                <w:highlight w:val="none"/>
                <w:u w:val="single"/>
              </w:rPr>
            </w:pPr>
            <w:r>
              <w:rPr>
                <w:rFonts w:hint="eastAsia" w:ascii="宋体" w:hAnsi="宋体" w:cs="宋体"/>
                <w:color w:val="auto"/>
                <w:szCs w:val="21"/>
                <w:highlight w:val="none"/>
              </w:rPr>
              <w:t>3、▲质保期</w:t>
            </w:r>
          </w:p>
        </w:tc>
        <w:tc>
          <w:tcPr>
            <w:tcW w:w="4224" w:type="pct"/>
            <w:gridSpan w:val="4"/>
            <w:vAlign w:val="center"/>
          </w:tcPr>
          <w:p w14:paraId="7B690E29">
            <w:pPr>
              <w:rPr>
                <w:rFonts w:hint="eastAsia" w:ascii="宋体" w:hAnsi="宋体" w:cs="宋体"/>
                <w:color w:val="auto"/>
                <w:szCs w:val="21"/>
                <w:highlight w:val="none"/>
              </w:rPr>
            </w:pPr>
            <w:r>
              <w:rPr>
                <w:rFonts w:hint="eastAsia" w:ascii="宋体" w:hAnsi="宋体" w:cs="宋体"/>
                <w:color w:val="auto"/>
                <w:szCs w:val="21"/>
                <w:highlight w:val="none"/>
              </w:rPr>
              <w:t>自每批次货物验收合格之日起不少于整个质保期的三分之二（招标文件另有规定除外）。</w:t>
            </w:r>
          </w:p>
        </w:tc>
      </w:tr>
      <w:tr w14:paraId="22F0C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gridSpan w:val="2"/>
            <w:vAlign w:val="center"/>
          </w:tcPr>
          <w:p w14:paraId="530AB124">
            <w:pPr>
              <w:jc w:val="center"/>
              <w:rPr>
                <w:rFonts w:hint="eastAsia" w:ascii="宋体" w:hAnsi="宋体" w:cs="宋体"/>
                <w:color w:val="auto"/>
                <w:szCs w:val="21"/>
                <w:highlight w:val="none"/>
                <w:u w:val="single"/>
              </w:rPr>
            </w:pPr>
            <w:r>
              <w:rPr>
                <w:rFonts w:hint="eastAsia" w:ascii="宋体" w:hAnsi="宋体" w:cs="宋体"/>
                <w:color w:val="auto"/>
                <w:szCs w:val="21"/>
                <w:highlight w:val="none"/>
              </w:rPr>
              <w:t>4、▲售后服务要求</w:t>
            </w:r>
          </w:p>
        </w:tc>
        <w:tc>
          <w:tcPr>
            <w:tcW w:w="4224" w:type="pct"/>
            <w:gridSpan w:val="4"/>
          </w:tcPr>
          <w:p w14:paraId="47D73479">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1.负责送货上门，搬运至指定地点。</w:t>
            </w:r>
          </w:p>
          <w:p w14:paraId="6E9B09CC">
            <w:pPr>
              <w:jc w:val="left"/>
              <w:rPr>
                <w:rFonts w:hint="eastAsia" w:ascii="宋体" w:hAnsi="宋体" w:cs="宋体"/>
                <w:color w:val="auto"/>
                <w:szCs w:val="21"/>
                <w:highlight w:val="none"/>
              </w:rPr>
            </w:pPr>
            <w:r>
              <w:rPr>
                <w:rFonts w:hint="eastAsia" w:ascii="宋体" w:hAnsi="宋体" w:cs="宋体"/>
                <w:color w:val="auto"/>
                <w:szCs w:val="21"/>
                <w:highlight w:val="none"/>
              </w:rPr>
              <w:t>2.出现质量问题的收到通知后1个小时内要到现场，并在2个小时内更换合格货物。</w:t>
            </w:r>
          </w:p>
          <w:p w14:paraId="0ADB2DC4">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3.中标人按采购人采购计划按时按点供货。</w:t>
            </w:r>
          </w:p>
          <w:p w14:paraId="6200550C">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4.中标人无法按规定时间交货，需采购人从其他地方进行临时补货应急的，该批次货物产生的所有相关成本及费用由中标人负责。</w:t>
            </w:r>
          </w:p>
          <w:p w14:paraId="70AE4F2B">
            <w:pPr>
              <w:pStyle w:val="18"/>
              <w:rPr>
                <w:rFonts w:hint="eastAsia" w:ascii="宋体" w:hAnsi="宋体" w:cs="宋体"/>
                <w:color w:val="auto"/>
                <w:kern w:val="0"/>
                <w:szCs w:val="21"/>
                <w:highlight w:val="none"/>
                <w:lang w:bidi="ar"/>
              </w:rPr>
            </w:pPr>
            <w:r>
              <w:rPr>
                <w:rFonts w:hint="eastAsia" w:ascii="宋体" w:hAnsi="宋体" w:cs="宋体"/>
                <w:color w:val="auto"/>
                <w:szCs w:val="21"/>
                <w:highlight w:val="none"/>
              </w:rPr>
              <w:t>5.中标人必须提供相关供货清单（包括货物名称、数量、单价、金额等信息），以便采购人月底结算货款。中标人供货不符合要求的，采购人有权立即退货。中标人应按采购人的要求及时补货，具体交付时间以约定为准。</w:t>
            </w:r>
          </w:p>
        </w:tc>
      </w:tr>
      <w:tr w14:paraId="0DC71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gridSpan w:val="2"/>
            <w:vAlign w:val="center"/>
          </w:tcPr>
          <w:p w14:paraId="38ABF626">
            <w:pPr>
              <w:jc w:val="center"/>
              <w:rPr>
                <w:rFonts w:hint="eastAsia" w:ascii="宋体" w:hAnsi="宋体" w:cs="宋体"/>
                <w:color w:val="auto"/>
                <w:szCs w:val="21"/>
                <w:highlight w:val="none"/>
                <w:u w:val="single"/>
              </w:rPr>
            </w:pPr>
            <w:r>
              <w:rPr>
                <w:rFonts w:hint="eastAsia" w:ascii="宋体" w:hAnsi="宋体" w:cs="宋体"/>
                <w:color w:val="auto"/>
                <w:szCs w:val="21"/>
                <w:highlight w:val="none"/>
              </w:rPr>
              <w:t>5、▲报价要求</w:t>
            </w:r>
          </w:p>
        </w:tc>
        <w:tc>
          <w:tcPr>
            <w:tcW w:w="4224" w:type="pct"/>
            <w:gridSpan w:val="4"/>
          </w:tcPr>
          <w:p w14:paraId="59309A2E">
            <w:pPr>
              <w:widowControl/>
              <w:jc w:val="left"/>
              <w:rPr>
                <w:rFonts w:hint="eastAsia" w:ascii="宋体" w:hAnsi="宋体" w:cs="宋体"/>
                <w:color w:val="auto"/>
                <w:szCs w:val="21"/>
                <w:highlight w:val="none"/>
              </w:rPr>
            </w:pPr>
            <w:r>
              <w:rPr>
                <w:rFonts w:hint="eastAsia" w:ascii="宋体" w:hAnsi="宋体" w:cs="宋体"/>
                <w:color w:val="auto"/>
                <w:szCs w:val="21"/>
                <w:highlight w:val="none"/>
              </w:rPr>
              <w:t>1.本分标投标报价以统一的折扣系数报价，签订合同后，每个月结算价=每月实际采购数量×货物单价（货物单价=单价最高限价×折扣系数）；例如：供应商所报折扣系数为80%，腐竹每个月的结算单价=22.00元/公斤×80%=17.60元/公斤。</w:t>
            </w:r>
            <w:r>
              <w:rPr>
                <w:rFonts w:hint="eastAsia" w:ascii="宋体" w:hAnsi="宋体" w:cs="宋体"/>
                <w:b/>
                <w:bCs/>
                <w:color w:val="auto"/>
                <w:szCs w:val="21"/>
                <w:highlight w:val="none"/>
              </w:rPr>
              <w:t>投标人所报折扣系数＞100%时，投标无效</w:t>
            </w:r>
            <w:r>
              <w:rPr>
                <w:rFonts w:hint="eastAsia" w:ascii="宋体" w:hAnsi="宋体" w:cs="宋体"/>
                <w:color w:val="auto"/>
                <w:szCs w:val="21"/>
                <w:highlight w:val="none"/>
              </w:rPr>
              <w:t>。</w:t>
            </w:r>
          </w:p>
          <w:p w14:paraId="26E07D8C">
            <w:pPr>
              <w:widowControl/>
              <w:jc w:val="left"/>
              <w:rPr>
                <w:rFonts w:hint="eastAsia" w:ascii="宋体" w:hAnsi="宋体" w:cs="宋体"/>
                <w:color w:val="auto"/>
                <w:szCs w:val="21"/>
                <w:highlight w:val="none"/>
              </w:rPr>
            </w:pPr>
            <w:r>
              <w:rPr>
                <w:rFonts w:hint="eastAsia" w:ascii="宋体" w:hAnsi="宋体" w:cs="宋体"/>
                <w:color w:val="auto"/>
                <w:szCs w:val="21"/>
                <w:highlight w:val="none"/>
              </w:rPr>
              <w:t>2.本表所列数量仅作参考，最终采购数量以实际采购需求为准。</w:t>
            </w:r>
          </w:p>
          <w:p w14:paraId="15233D07">
            <w:pPr>
              <w:widowControl/>
              <w:jc w:val="left"/>
              <w:rPr>
                <w:rFonts w:hint="eastAsia" w:ascii="宋体" w:hAnsi="宋体" w:cs="宋体"/>
                <w:color w:val="auto"/>
                <w:szCs w:val="21"/>
                <w:highlight w:val="none"/>
              </w:rPr>
            </w:pPr>
            <w:r>
              <w:rPr>
                <w:rFonts w:hint="eastAsia" w:ascii="宋体" w:hAnsi="宋体" w:cs="宋体"/>
                <w:color w:val="auto"/>
                <w:szCs w:val="21"/>
                <w:highlight w:val="none"/>
              </w:rPr>
              <w:t>3.执行合同过程中，采购单价不再进行调整。</w:t>
            </w:r>
          </w:p>
          <w:p w14:paraId="488B98DE">
            <w:pPr>
              <w:widowControl/>
              <w:jc w:val="left"/>
              <w:rPr>
                <w:rFonts w:hint="eastAsia" w:ascii="宋体" w:hAnsi="宋体" w:cs="宋体"/>
                <w:color w:val="auto"/>
                <w:kern w:val="0"/>
                <w:szCs w:val="21"/>
                <w:highlight w:val="none"/>
                <w:lang w:bidi="ar"/>
              </w:rPr>
            </w:pPr>
            <w:r>
              <w:rPr>
                <w:rFonts w:hint="eastAsia" w:ascii="宋体" w:hAnsi="宋体" w:cs="宋体"/>
                <w:color w:val="auto"/>
                <w:szCs w:val="21"/>
                <w:highlight w:val="none"/>
              </w:rPr>
              <w:t>4.投标报价包括但不仅限于食品和货物的采买、打包、包装、搬运、运输、装卸等所需人工、第三方检验、劳动保险以及用工纠纷、人身损害、法律事务和相关事项处理等一切税金和费用。</w:t>
            </w:r>
          </w:p>
        </w:tc>
      </w:tr>
      <w:tr w14:paraId="7A20D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gridSpan w:val="2"/>
            <w:vAlign w:val="center"/>
          </w:tcPr>
          <w:p w14:paraId="083E7A35">
            <w:pPr>
              <w:rPr>
                <w:rFonts w:hint="eastAsia" w:ascii="宋体" w:hAnsi="宋体" w:cs="宋体"/>
                <w:color w:val="auto"/>
                <w:szCs w:val="21"/>
                <w:highlight w:val="none"/>
                <w:u w:val="single"/>
              </w:rPr>
            </w:pPr>
            <w:r>
              <w:rPr>
                <w:rFonts w:hint="eastAsia" w:ascii="宋体" w:hAnsi="宋体" w:cs="宋体"/>
                <w:color w:val="auto"/>
                <w:szCs w:val="21"/>
                <w:highlight w:val="none"/>
              </w:rPr>
              <w:t>6、▲付款方式</w:t>
            </w:r>
          </w:p>
        </w:tc>
        <w:tc>
          <w:tcPr>
            <w:tcW w:w="4224" w:type="pct"/>
            <w:gridSpan w:val="4"/>
            <w:vAlign w:val="center"/>
          </w:tcPr>
          <w:p w14:paraId="5DB24432">
            <w:pPr>
              <w:widowControl/>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按月结算，采购人按月进行公对公账户银行转账，以采购人实际购买的种类及数量据实核算。供应商必须提供详细的物品销售清单与采购人的收货单核对，无误后，由供应商按照采购人财务规定出具正式发票，采购人在收到供应商开具的发票后10个工作日内支付货款。</w:t>
            </w:r>
          </w:p>
          <w:p w14:paraId="668538ED">
            <w:pPr>
              <w:pStyle w:val="25"/>
              <w:snapToGrid w:val="0"/>
              <w:rPr>
                <w:rFonts w:hint="eastAsia" w:hAnsi="宋体" w:cs="宋体"/>
                <w:color w:val="auto"/>
                <w:sz w:val="21"/>
                <w:highlight w:val="none"/>
              </w:rPr>
            </w:pPr>
            <w:r>
              <w:rPr>
                <w:rFonts w:hint="eastAsia" w:hAnsi="宋体" w:cs="宋体"/>
                <w:color w:val="auto"/>
                <w:sz w:val="21"/>
                <w:highlight w:val="none"/>
              </w:rPr>
              <w:t>2.采购人经市场调查发现供应商在合同服务期内存在提供假冒伪劣、有质量缺陷或非正品商品的情况，针对此情况，采购人将向供应商发出问责通知，问责通知发出两次后，供应商仍未能进行有效整改的，采购人有权终止合同，产生的损失由供应商自行负责。</w:t>
            </w:r>
          </w:p>
        </w:tc>
      </w:tr>
      <w:tr w14:paraId="01903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gridSpan w:val="2"/>
            <w:vAlign w:val="center"/>
          </w:tcPr>
          <w:p w14:paraId="7BEF0568">
            <w:pPr>
              <w:rPr>
                <w:rFonts w:hint="eastAsia" w:ascii="宋体" w:hAnsi="宋体" w:cs="宋体"/>
                <w:color w:val="auto"/>
                <w:szCs w:val="21"/>
                <w:highlight w:val="none"/>
                <w:u w:val="single"/>
              </w:rPr>
            </w:pPr>
            <w:r>
              <w:rPr>
                <w:rFonts w:hint="eastAsia" w:ascii="宋体" w:hAnsi="宋体" w:cs="宋体"/>
                <w:color w:val="auto"/>
                <w:szCs w:val="21"/>
                <w:highlight w:val="none"/>
              </w:rPr>
              <w:t>7、▲配送要求</w:t>
            </w:r>
          </w:p>
        </w:tc>
        <w:tc>
          <w:tcPr>
            <w:tcW w:w="4224" w:type="pct"/>
            <w:gridSpan w:val="4"/>
            <w:vAlign w:val="center"/>
          </w:tcPr>
          <w:p w14:paraId="5B35A343">
            <w:pPr>
              <w:pStyle w:val="18"/>
              <w:rPr>
                <w:rFonts w:hint="eastAsia" w:ascii="宋体" w:hAnsi="宋体" w:cs="宋体"/>
                <w:color w:val="auto"/>
                <w:szCs w:val="21"/>
                <w:highlight w:val="none"/>
              </w:rPr>
            </w:pPr>
            <w:r>
              <w:rPr>
                <w:rFonts w:hint="eastAsia" w:ascii="宋体" w:hAnsi="宋体" w:cs="宋体"/>
                <w:color w:val="auto"/>
                <w:szCs w:val="21"/>
                <w:highlight w:val="none"/>
              </w:rPr>
              <w:t>1.中标供应商必须按照采购人食堂采购人员通知的时间、数量、品种、品质要求及协定的价格准时送货，经验收合格后签字确认，不能以任何理由推脱，一旦影响到采购人食堂的正常运转，中标供应商应承担相应的经济赔偿。</w:t>
            </w:r>
          </w:p>
          <w:p w14:paraId="414C344A">
            <w:pPr>
              <w:pStyle w:val="18"/>
              <w:rPr>
                <w:rFonts w:hint="eastAsia" w:ascii="宋体" w:hAnsi="宋体" w:cs="宋体"/>
                <w:color w:val="auto"/>
                <w:szCs w:val="21"/>
                <w:highlight w:val="none"/>
              </w:rPr>
            </w:pPr>
            <w:r>
              <w:rPr>
                <w:rFonts w:hint="eastAsia" w:ascii="宋体" w:hAnsi="宋体" w:cs="宋体"/>
                <w:color w:val="auto"/>
                <w:szCs w:val="21"/>
                <w:highlight w:val="none"/>
              </w:rPr>
              <w:t>2.中标供应商必须在双方约定的时间内将货物送到采购人指定的地点，运输费用由中标供应商承担，如出现不合格、损坏的情况，由中标供应商负责及时调换。</w:t>
            </w:r>
          </w:p>
          <w:p w14:paraId="187B8EDB">
            <w:pPr>
              <w:pStyle w:val="18"/>
              <w:rPr>
                <w:rFonts w:hint="eastAsia" w:ascii="宋体" w:hAnsi="宋体" w:cs="宋体"/>
                <w:color w:val="auto"/>
                <w:szCs w:val="21"/>
                <w:highlight w:val="none"/>
              </w:rPr>
            </w:pPr>
            <w:r>
              <w:rPr>
                <w:rFonts w:hint="eastAsia" w:ascii="宋体" w:hAnsi="宋体" w:cs="宋体"/>
                <w:color w:val="auto"/>
                <w:szCs w:val="21"/>
                <w:highlight w:val="none"/>
              </w:rPr>
              <w:t>3.在收到采购人发出订货通知后，中标供应商最迟在次日上午08：00（北京时间）提供当次现场供货。</w:t>
            </w:r>
          </w:p>
          <w:p w14:paraId="519BF427">
            <w:pPr>
              <w:pStyle w:val="18"/>
              <w:rPr>
                <w:rFonts w:hint="eastAsia" w:ascii="宋体" w:hAnsi="宋体" w:cs="宋体"/>
                <w:color w:val="auto"/>
                <w:szCs w:val="21"/>
                <w:highlight w:val="none"/>
              </w:rPr>
            </w:pPr>
            <w:r>
              <w:rPr>
                <w:rFonts w:hint="eastAsia" w:ascii="宋体" w:hAnsi="宋体" w:cs="宋体"/>
                <w:color w:val="auto"/>
                <w:szCs w:val="21"/>
                <w:highlight w:val="none"/>
              </w:rPr>
              <w:t>4.紧急供货要求：在收到采购人发出紧急供货通知后，中标供应商最迟2小时内完成当次现场供货。</w:t>
            </w:r>
          </w:p>
          <w:p w14:paraId="3B8958BD">
            <w:pPr>
              <w:widowControl/>
              <w:jc w:val="left"/>
              <w:rPr>
                <w:rFonts w:hint="eastAsia" w:ascii="宋体" w:hAnsi="宋体" w:cs="宋体"/>
                <w:color w:val="auto"/>
                <w:szCs w:val="21"/>
                <w:highlight w:val="none"/>
              </w:rPr>
            </w:pPr>
            <w:r>
              <w:rPr>
                <w:rFonts w:hint="eastAsia" w:ascii="宋体" w:hAnsi="宋体" w:cs="宋体"/>
                <w:color w:val="auto"/>
                <w:szCs w:val="21"/>
                <w:highlight w:val="none"/>
              </w:rPr>
              <w:t>5.中标供应商必须由有健康证的固定人员及车辆长期送货。为确保运输过程的食品安全，必须使用公司自有或租赁车辆，安排专人专车送货，并提供送货人员健康证明及无犯罪记录证明材料，不安排固定车辆人员送货的，每次扣除履约保证金800.00元，履约保证金不足中标金额2%的，由中标供应商在5个工作日内补齐。</w:t>
            </w:r>
          </w:p>
          <w:p w14:paraId="03F594B7">
            <w:pPr>
              <w:rPr>
                <w:rFonts w:hint="eastAsia" w:ascii="宋体" w:hAnsi="宋体" w:cs="宋体"/>
                <w:color w:val="auto"/>
                <w:szCs w:val="21"/>
                <w:highlight w:val="none"/>
              </w:rPr>
            </w:pPr>
            <w:r>
              <w:rPr>
                <w:rFonts w:hint="eastAsia" w:ascii="宋体" w:hAnsi="宋体" w:cs="宋体"/>
                <w:color w:val="auto"/>
                <w:szCs w:val="21"/>
                <w:highlight w:val="none"/>
              </w:rPr>
              <w:t>6.为确保运输过程的食品安全，送货时</w:t>
            </w:r>
            <w:r>
              <w:rPr>
                <w:rFonts w:hint="eastAsia" w:ascii="宋体" w:hAnsi="宋体" w:cs="宋体"/>
                <w:color w:val="auto"/>
                <w:szCs w:val="21"/>
                <w:highlight w:val="none"/>
                <w:lang w:val="en-US" w:eastAsia="zh-CN"/>
              </w:rPr>
              <w:t>至少配备1辆</w:t>
            </w:r>
            <w:r>
              <w:rPr>
                <w:rFonts w:hint="eastAsia" w:ascii="宋体" w:hAnsi="宋体" w:cs="宋体"/>
                <w:color w:val="auto"/>
                <w:szCs w:val="21"/>
                <w:highlight w:val="none"/>
              </w:rPr>
              <w:t>冷藏车或冷链车。</w:t>
            </w:r>
          </w:p>
        </w:tc>
      </w:tr>
      <w:tr w14:paraId="61D5C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gridSpan w:val="2"/>
            <w:vAlign w:val="center"/>
          </w:tcPr>
          <w:p w14:paraId="68B4BD2F">
            <w:pPr>
              <w:jc w:val="center"/>
              <w:rPr>
                <w:rFonts w:hint="eastAsia" w:ascii="宋体" w:hAnsi="宋体" w:cs="宋体"/>
                <w:color w:val="auto"/>
                <w:szCs w:val="21"/>
                <w:highlight w:val="none"/>
                <w:u w:val="single"/>
              </w:rPr>
            </w:pPr>
            <w:r>
              <w:rPr>
                <w:rFonts w:hint="eastAsia" w:ascii="宋体" w:hAnsi="宋体" w:cs="宋体"/>
                <w:color w:val="auto"/>
                <w:szCs w:val="21"/>
                <w:highlight w:val="none"/>
              </w:rPr>
              <w:t>8、▲其他要求</w:t>
            </w:r>
          </w:p>
        </w:tc>
        <w:tc>
          <w:tcPr>
            <w:tcW w:w="4224" w:type="pct"/>
            <w:gridSpan w:val="4"/>
            <w:vAlign w:val="center"/>
          </w:tcPr>
          <w:p w14:paraId="62D04070">
            <w:pPr>
              <w:rPr>
                <w:rFonts w:hint="eastAsia" w:ascii="宋体" w:hAnsi="宋体" w:cs="宋体"/>
                <w:color w:val="auto"/>
                <w:szCs w:val="21"/>
                <w:highlight w:val="none"/>
              </w:rPr>
            </w:pPr>
            <w:r>
              <w:rPr>
                <w:rFonts w:hint="eastAsia" w:ascii="宋体" w:hAnsi="宋体" w:cs="宋体"/>
                <w:color w:val="auto"/>
                <w:szCs w:val="21"/>
                <w:highlight w:val="none"/>
              </w:rPr>
              <w:t>1.投标人中标后提供的货物必须是具有合法销售途径的、完整、新鲜合格产品。货物的技术质量必须符合中华人民共和国农产品质量安全法等有关规定。</w:t>
            </w:r>
          </w:p>
          <w:p w14:paraId="1E75DAB3">
            <w:pPr>
              <w:rPr>
                <w:rFonts w:hint="eastAsia" w:ascii="宋体" w:hAnsi="宋体" w:cs="宋体"/>
                <w:color w:val="auto"/>
                <w:szCs w:val="21"/>
                <w:highlight w:val="none"/>
              </w:rPr>
            </w:pPr>
            <w:r>
              <w:rPr>
                <w:rFonts w:hint="eastAsia" w:ascii="宋体" w:hAnsi="宋体" w:cs="宋体"/>
                <w:color w:val="auto"/>
                <w:szCs w:val="21"/>
                <w:highlight w:val="none"/>
              </w:rPr>
              <w:t>2.供货时，中标人必须提供以下证明文件：</w:t>
            </w:r>
          </w:p>
          <w:p w14:paraId="3B289D3A">
            <w:pPr>
              <w:rPr>
                <w:rFonts w:hint="eastAsia" w:ascii="宋体" w:hAnsi="宋体" w:cs="宋体"/>
                <w:color w:val="auto"/>
                <w:szCs w:val="21"/>
                <w:highlight w:val="none"/>
              </w:rPr>
            </w:pPr>
            <w:r>
              <w:rPr>
                <w:rFonts w:hint="eastAsia" w:ascii="宋体" w:hAnsi="宋体" w:cs="宋体"/>
                <w:color w:val="auto"/>
                <w:szCs w:val="21"/>
                <w:highlight w:val="none"/>
              </w:rPr>
              <w:t>（1）每批货物必须提供相关的质量安全检验合格证明。</w:t>
            </w:r>
          </w:p>
          <w:p w14:paraId="53AAB823">
            <w:pPr>
              <w:rPr>
                <w:rFonts w:hint="eastAsia" w:ascii="宋体" w:hAnsi="宋体" w:cs="宋体"/>
                <w:color w:val="auto"/>
                <w:szCs w:val="21"/>
                <w:highlight w:val="none"/>
              </w:rPr>
            </w:pPr>
            <w:r>
              <w:rPr>
                <w:rFonts w:hint="eastAsia" w:ascii="宋体" w:hAnsi="宋体" w:cs="宋体"/>
                <w:color w:val="auto"/>
                <w:szCs w:val="21"/>
                <w:highlight w:val="none"/>
              </w:rPr>
              <w:t>（2）投标人中标后每次随货物送上一式两份的送货清单，经双方验收合格后签字确认，双方各执一份，作为送收货凭证。中标人的送货清单必须详细注明商品的单价、数量，送货清单不得涂改。标记不清的，采购人将拒绝签收。合同期末中标人还应提供整个合同期内的所有送货清单供采购人结算。</w:t>
            </w:r>
          </w:p>
          <w:p w14:paraId="6A51D78C">
            <w:pPr>
              <w:rPr>
                <w:rFonts w:hint="eastAsia" w:ascii="宋体" w:hAnsi="宋体" w:cs="宋体"/>
                <w:color w:val="auto"/>
                <w:szCs w:val="21"/>
                <w:highlight w:val="none"/>
              </w:rPr>
            </w:pPr>
            <w:r>
              <w:rPr>
                <w:rFonts w:hint="eastAsia" w:ascii="宋体" w:hAnsi="宋体" w:cs="宋体"/>
                <w:color w:val="auto"/>
                <w:szCs w:val="21"/>
                <w:highlight w:val="none"/>
              </w:rPr>
              <w:t>3.交货验收必须由采购人和中标人共同进行，采购人如认为有需要的，可委托相关检验部门对产品进行抽检，自检或检验部门抽检不合格的不给予验收，影响采购人实施进度的将追究相关责任，抽检所产生的费用全部由中标人负责。</w:t>
            </w:r>
          </w:p>
          <w:p w14:paraId="4C44CD3F">
            <w:pPr>
              <w:rPr>
                <w:rFonts w:hint="eastAsia" w:ascii="宋体" w:hAnsi="宋体" w:cs="宋体"/>
                <w:color w:val="auto"/>
                <w:szCs w:val="21"/>
                <w:highlight w:val="none"/>
              </w:rPr>
            </w:pPr>
            <w:r>
              <w:rPr>
                <w:rFonts w:hint="eastAsia" w:ascii="宋体" w:hAnsi="宋体" w:cs="宋体"/>
                <w:color w:val="auto"/>
                <w:szCs w:val="21"/>
                <w:highlight w:val="none"/>
              </w:rPr>
              <w:t>4.验收工作的一般程序为：根据货物采购清单的具体要求，对所购名称进行清点、外观检查进行实测，并逐项记录。检测结束后，验收人员在验收单上签字。对未能通过验收的，一律退货、更换直至验收合格。</w:t>
            </w:r>
          </w:p>
          <w:p w14:paraId="61EF6F8C">
            <w:pPr>
              <w:rPr>
                <w:rFonts w:hint="eastAsia" w:ascii="宋体" w:hAnsi="宋体" w:cs="宋体"/>
                <w:color w:val="auto"/>
                <w:szCs w:val="21"/>
                <w:highlight w:val="none"/>
              </w:rPr>
            </w:pPr>
            <w:r>
              <w:rPr>
                <w:rFonts w:hint="eastAsia" w:ascii="宋体" w:hAnsi="宋体" w:cs="宋体"/>
                <w:color w:val="auto"/>
                <w:szCs w:val="21"/>
                <w:highlight w:val="none"/>
              </w:rPr>
              <w:t>5.投标人中标后不得泄露采购人的相关秘密。泄密造成采购人损失的，中标人将承担由此产生的一切损失和法律责任。</w:t>
            </w:r>
          </w:p>
          <w:p w14:paraId="5C958B4E">
            <w:pPr>
              <w:rPr>
                <w:rFonts w:hint="eastAsia" w:ascii="宋体" w:hAnsi="宋体" w:cs="宋体"/>
                <w:color w:val="auto"/>
                <w:szCs w:val="21"/>
                <w:highlight w:val="none"/>
              </w:rPr>
            </w:pPr>
            <w:r>
              <w:rPr>
                <w:rFonts w:hint="eastAsia" w:ascii="宋体" w:hAnsi="宋体" w:cs="宋体"/>
                <w:color w:val="auto"/>
                <w:szCs w:val="21"/>
                <w:highlight w:val="none"/>
              </w:rPr>
              <w:t>7.安全责任方面要求</w:t>
            </w:r>
          </w:p>
          <w:p w14:paraId="64D0F5F0">
            <w:pPr>
              <w:rPr>
                <w:rFonts w:hint="eastAsia" w:ascii="宋体" w:hAnsi="宋体" w:cs="宋体"/>
                <w:color w:val="auto"/>
                <w:szCs w:val="21"/>
                <w:highlight w:val="none"/>
              </w:rPr>
            </w:pPr>
            <w:r>
              <w:rPr>
                <w:rFonts w:hint="eastAsia" w:ascii="宋体" w:hAnsi="宋体" w:cs="宋体"/>
                <w:color w:val="auto"/>
                <w:szCs w:val="21"/>
                <w:highlight w:val="none"/>
              </w:rPr>
              <w:t>1）投标人中标后应保证所提供的食品必须是合格安全的食品，因其所送的食品造成食物中毒等事故，立即终止合同，中标人应承担全部责任，同时通过法律途径解决。</w:t>
            </w:r>
          </w:p>
          <w:p w14:paraId="1E85E9DD">
            <w:pPr>
              <w:rPr>
                <w:rFonts w:hint="eastAsia" w:ascii="宋体" w:hAnsi="宋体" w:cs="宋体"/>
                <w:color w:val="auto"/>
                <w:szCs w:val="21"/>
                <w:highlight w:val="none"/>
              </w:rPr>
            </w:pPr>
            <w:r>
              <w:rPr>
                <w:rFonts w:hint="eastAsia" w:ascii="宋体" w:hAnsi="宋体" w:cs="宋体"/>
                <w:color w:val="auto"/>
                <w:szCs w:val="21"/>
                <w:highlight w:val="none"/>
              </w:rPr>
              <w:t>2）投标人中标后应严格遵守《中华人民共和国食品安全法》等相关规定，一经发现以下食品，除全部退货外，将取消供货资格，中标人并承担由此造成的经济责任和法律责任：</w:t>
            </w:r>
          </w:p>
          <w:p w14:paraId="363FA03F">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1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①</w:t>
            </w:r>
            <w:r>
              <w:rPr>
                <w:rFonts w:hint="eastAsia" w:ascii="宋体" w:hAnsi="宋体" w:cs="宋体"/>
                <w:color w:val="auto"/>
                <w:szCs w:val="21"/>
                <w:highlight w:val="none"/>
              </w:rPr>
              <w:fldChar w:fldCharType="end"/>
            </w:r>
            <w:r>
              <w:rPr>
                <w:rFonts w:hint="eastAsia" w:ascii="宋体" w:hAnsi="宋体" w:cs="宋体"/>
                <w:color w:val="auto"/>
                <w:szCs w:val="21"/>
                <w:highlight w:val="none"/>
              </w:rPr>
              <w:t>食材没有合法供货来源的；</w:t>
            </w:r>
          </w:p>
          <w:p w14:paraId="3BB3CE67">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2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②</w:t>
            </w:r>
            <w:r>
              <w:rPr>
                <w:rFonts w:hint="eastAsia" w:ascii="宋体" w:hAnsi="宋体" w:cs="宋体"/>
                <w:color w:val="auto"/>
                <w:szCs w:val="21"/>
                <w:highlight w:val="none"/>
              </w:rPr>
              <w:fldChar w:fldCharType="end"/>
            </w:r>
            <w:r>
              <w:rPr>
                <w:rFonts w:hint="eastAsia" w:ascii="宋体" w:hAnsi="宋体" w:cs="宋体"/>
                <w:color w:val="auto"/>
                <w:szCs w:val="21"/>
                <w:highlight w:val="none"/>
              </w:rPr>
              <w:t>腐败变质、霉变、生虫、污秽不洁、混有异物或者其他感官性状异常，对人体健康有害的；</w:t>
            </w:r>
          </w:p>
          <w:p w14:paraId="51CD4C77">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3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③</w:t>
            </w:r>
            <w:r>
              <w:rPr>
                <w:rFonts w:hint="eastAsia" w:ascii="宋体" w:hAnsi="宋体" w:cs="宋体"/>
                <w:color w:val="auto"/>
                <w:szCs w:val="21"/>
                <w:highlight w:val="none"/>
              </w:rPr>
              <w:fldChar w:fldCharType="end"/>
            </w:r>
            <w:r>
              <w:rPr>
                <w:rFonts w:hint="eastAsia" w:ascii="宋体" w:hAnsi="宋体" w:cs="宋体"/>
                <w:color w:val="auto"/>
                <w:szCs w:val="21"/>
                <w:highlight w:val="none"/>
              </w:rPr>
              <w:t>含有毒、有害物质或者被有害物质污染，对人体健康有害的；</w:t>
            </w:r>
          </w:p>
          <w:p w14:paraId="64CB76BB">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4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④</w:t>
            </w:r>
            <w:r>
              <w:rPr>
                <w:rFonts w:hint="eastAsia" w:ascii="宋体" w:hAnsi="宋体" w:cs="宋体"/>
                <w:color w:val="auto"/>
                <w:szCs w:val="21"/>
                <w:highlight w:val="none"/>
              </w:rPr>
              <w:fldChar w:fldCharType="end"/>
            </w:r>
            <w:r>
              <w:rPr>
                <w:rFonts w:hint="eastAsia" w:ascii="宋体" w:hAnsi="宋体" w:cs="宋体"/>
                <w:color w:val="auto"/>
                <w:szCs w:val="21"/>
                <w:highlight w:val="none"/>
              </w:rPr>
              <w:t>含有致病性寄生虫、微生物或者微生物含量超过国家限定标准的；</w:t>
            </w:r>
          </w:p>
          <w:p w14:paraId="4D853AFB">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5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⑤</w:t>
            </w:r>
            <w:r>
              <w:rPr>
                <w:rFonts w:hint="eastAsia" w:ascii="宋体" w:hAnsi="宋体" w:cs="宋体"/>
                <w:color w:val="auto"/>
                <w:szCs w:val="21"/>
                <w:highlight w:val="none"/>
              </w:rPr>
              <w:fldChar w:fldCharType="end"/>
            </w:r>
            <w:r>
              <w:rPr>
                <w:rFonts w:hint="eastAsia" w:ascii="宋体" w:hAnsi="宋体" w:cs="宋体"/>
                <w:color w:val="auto"/>
                <w:szCs w:val="21"/>
                <w:highlight w:val="none"/>
              </w:rPr>
              <w:t>掺假、掺杂、伪造，影响营养、卫生的；</w:t>
            </w:r>
          </w:p>
          <w:p w14:paraId="4104F884">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6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⑥</w:t>
            </w:r>
            <w:r>
              <w:rPr>
                <w:rFonts w:hint="eastAsia" w:ascii="宋体" w:hAnsi="宋体" w:cs="宋体"/>
                <w:color w:val="auto"/>
                <w:szCs w:val="21"/>
                <w:highlight w:val="none"/>
              </w:rPr>
              <w:fldChar w:fldCharType="end"/>
            </w:r>
            <w:r>
              <w:rPr>
                <w:rFonts w:hint="eastAsia" w:ascii="宋体" w:hAnsi="宋体" w:cs="宋体"/>
                <w:color w:val="auto"/>
                <w:szCs w:val="21"/>
                <w:highlight w:val="none"/>
              </w:rPr>
              <w:t>未经检疫部门检疫、检验或者检疫、检验不合格的肉类；</w:t>
            </w:r>
          </w:p>
          <w:p w14:paraId="1894198A">
            <w:pPr>
              <w:widowControl/>
              <w:jc w:val="left"/>
              <w:rPr>
                <w:rFonts w:hint="eastAsia" w:ascii="宋体" w:hAnsi="宋体" w:cs="宋体"/>
                <w:color w:val="auto"/>
                <w:kern w:val="0"/>
                <w:szCs w:val="21"/>
                <w:highlight w:val="none"/>
                <w:lang w:bidi="ar"/>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7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⑦</w:t>
            </w:r>
            <w:r>
              <w:rPr>
                <w:rFonts w:hint="eastAsia" w:ascii="宋体" w:hAnsi="宋体" w:cs="宋体"/>
                <w:color w:val="auto"/>
                <w:szCs w:val="21"/>
                <w:highlight w:val="none"/>
              </w:rPr>
              <w:fldChar w:fldCharType="end"/>
            </w:r>
            <w:r>
              <w:rPr>
                <w:rFonts w:hint="eastAsia" w:ascii="宋体" w:hAnsi="宋体" w:cs="宋体"/>
                <w:color w:val="auto"/>
                <w:szCs w:val="21"/>
                <w:highlight w:val="none"/>
              </w:rPr>
              <w:t>病死、毒死或者死因不明的肉类。</w:t>
            </w:r>
          </w:p>
          <w:p w14:paraId="178F3DCD">
            <w:pPr>
              <w:pStyle w:val="3"/>
              <w:spacing w:line="240" w:lineRule="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7.“供应商同意遵守《广西监狱罪犯生活物资供货商考核管理办法》，招标文件未尽事项按照《广西监狱罪犯生活物资供货商考核管理办法》执行”详见附件1。</w:t>
            </w:r>
          </w:p>
          <w:p w14:paraId="449A594E">
            <w:pPr>
              <w:pStyle w:val="3"/>
              <w:spacing w:line="240" w:lineRule="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8.本分标所公布的采购数量为采购人一年的预计采购暂估数量，实际采购数量由采购人根据实际需要确定，中标人不得因实际供应量与暂估数量不一致提出异议。</w:t>
            </w:r>
          </w:p>
          <w:p w14:paraId="0D5998A6">
            <w:pPr>
              <w:pStyle w:val="3"/>
              <w:spacing w:line="240" w:lineRule="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9.本分标标的中如涉及国家、地方有关部门规定的产品生产厂家需办理相关证件的（如《食品生产许可证》等相关的证件），中标人所供应的标的生产厂家须按相关规定办理，否则采购人有权不予验收。如遇有关部门检查需出示相关证件的，中标人应配合采购人检查，并按要求出示相关证件，如未能按有关部门规定出示相关证件或所出具的证件不合格导致采购人受有关部门处罚的，中标人应承担采购人相应的损失，并按违约处理。</w:t>
            </w:r>
          </w:p>
          <w:p w14:paraId="06DDE345">
            <w:pPr>
              <w:rPr>
                <w:color w:val="auto"/>
                <w:highlight w:val="none"/>
              </w:rPr>
            </w:pPr>
            <w:r>
              <w:rPr>
                <w:rFonts w:hint="eastAsia" w:ascii="宋体" w:hAnsi="宋体" w:cs="宋体"/>
                <w:b/>
                <w:bCs/>
                <w:color w:val="auto"/>
                <w:kern w:val="0"/>
                <w:szCs w:val="21"/>
                <w:highlight w:val="none"/>
              </w:rPr>
              <w:t>10.本分标合同执行6个月后，如遇上级主管部门重大采购政策调整，合同可以提前终止。</w:t>
            </w:r>
          </w:p>
        </w:tc>
      </w:tr>
      <w:tr w14:paraId="5E474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35B4E9A9">
            <w:pPr>
              <w:tabs>
                <w:tab w:val="left" w:pos="180"/>
                <w:tab w:val="left" w:pos="1620"/>
              </w:tabs>
              <w:rPr>
                <w:rFonts w:hint="eastAsia" w:ascii="宋体" w:hAnsi="宋体" w:cs="宋体"/>
                <w:color w:val="auto"/>
                <w:kern w:val="0"/>
                <w:szCs w:val="21"/>
                <w:highlight w:val="none"/>
              </w:rPr>
            </w:pPr>
            <w:r>
              <w:rPr>
                <w:rFonts w:hint="eastAsia" w:ascii="宋体" w:hAnsi="宋体" w:cs="宋体"/>
                <w:b/>
                <w:bCs/>
                <w:color w:val="auto"/>
                <w:sz w:val="24"/>
                <w:highlight w:val="none"/>
              </w:rPr>
              <w:t>三、进口产品说明</w:t>
            </w:r>
          </w:p>
        </w:tc>
      </w:tr>
      <w:tr w14:paraId="2BD1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0925140A">
            <w:pPr>
              <w:pStyle w:val="3"/>
              <w:spacing w:line="240" w:lineRule="auto"/>
              <w:rPr>
                <w:rFonts w:hint="eastAsia" w:ascii="宋体" w:hAnsi="宋体" w:cs="宋体"/>
                <w:color w:val="auto"/>
                <w:sz w:val="21"/>
                <w:szCs w:val="21"/>
                <w:highlight w:val="none"/>
              </w:rPr>
            </w:pPr>
            <w:r>
              <w:rPr>
                <w:rFonts w:hint="eastAsia" w:ascii="宋体" w:hAnsi="宋体" w:cs="宋体"/>
                <w:b/>
                <w:bCs/>
                <w:color w:val="auto"/>
                <w:sz w:val="21"/>
                <w:szCs w:val="21"/>
                <w:highlight w:val="none"/>
              </w:rPr>
              <w:t>▲本项目货物不接受进口产品投标（即通过中国海关报关验放进入中国境内且产自关境外的产品），如有此类产品参与投标的作无效投标处理。</w:t>
            </w:r>
          </w:p>
        </w:tc>
      </w:tr>
    </w:tbl>
    <w:p w14:paraId="583D3069">
      <w:pPr>
        <w:rPr>
          <w:rFonts w:hint="eastAsia" w:ascii="宋体" w:hAnsi="宋体" w:cs="宋体"/>
          <w:b/>
          <w:bCs/>
          <w:color w:val="auto"/>
          <w:sz w:val="24"/>
          <w:highlight w:val="none"/>
        </w:rPr>
      </w:pPr>
      <w:r>
        <w:rPr>
          <w:rFonts w:hint="eastAsia" w:ascii="宋体" w:hAnsi="宋体" w:cs="宋体"/>
          <w:b/>
          <w:bCs/>
          <w:color w:val="auto"/>
          <w:sz w:val="24"/>
          <w:highlight w:val="none"/>
        </w:rPr>
        <w:br w:type="page"/>
      </w:r>
    </w:p>
    <w:p w14:paraId="5C679A5B">
      <w:pPr>
        <w:ind w:firstLine="422" w:firstLineChars="175"/>
        <w:rPr>
          <w:rFonts w:hint="eastAsia" w:ascii="宋体" w:hAnsi="宋体" w:cs="宋体"/>
          <w:b/>
          <w:bCs/>
          <w:color w:val="auto"/>
          <w:sz w:val="24"/>
          <w:highlight w:val="none"/>
        </w:rPr>
      </w:pPr>
      <w:r>
        <w:rPr>
          <w:rFonts w:hint="eastAsia" w:ascii="宋体" w:hAnsi="宋体" w:cs="宋体"/>
          <w:b/>
          <w:bCs/>
          <w:color w:val="auto"/>
          <w:sz w:val="24"/>
          <w:highlight w:val="none"/>
        </w:rPr>
        <w:t>分标3                            采购预算：</w:t>
      </w:r>
      <w:r>
        <w:rPr>
          <w:rFonts w:hint="eastAsia" w:ascii="宋体" w:hAnsi="宋体" w:cs="宋体"/>
          <w:b/>
          <w:bCs/>
          <w:color w:val="auto"/>
          <w:sz w:val="24"/>
          <w:highlight w:val="none"/>
          <w:lang w:eastAsia="zh-CN"/>
        </w:rPr>
        <w:t>1470770.00</w:t>
      </w:r>
      <w:r>
        <w:rPr>
          <w:rFonts w:hint="eastAsia" w:ascii="宋体" w:hAnsi="宋体" w:cs="宋体"/>
          <w:b/>
          <w:bCs/>
          <w:color w:val="auto"/>
          <w:sz w:val="24"/>
          <w:highlight w:val="none"/>
        </w:rPr>
        <w:t>元</w:t>
      </w:r>
    </w:p>
    <w:p w14:paraId="7AA3E6BD">
      <w:pPr>
        <w:ind w:firstLine="422" w:firstLineChars="175"/>
        <w:rPr>
          <w:rFonts w:hint="eastAsia" w:ascii="宋体" w:hAnsi="宋体" w:cs="宋体"/>
          <w:b/>
          <w:bCs/>
          <w:color w:val="auto"/>
          <w:sz w:val="24"/>
          <w:highlight w:val="none"/>
        </w:rPr>
      </w:pPr>
      <w:r>
        <w:rPr>
          <w:rFonts w:hint="eastAsia" w:ascii="宋体" w:hAnsi="宋体" w:cs="宋体"/>
          <w:b/>
          <w:bCs/>
          <w:color w:val="auto"/>
          <w:sz w:val="24"/>
          <w:highlight w:val="none"/>
        </w:rPr>
        <w:t>本分标的核心产品为下表的第</w:t>
      </w:r>
      <w:r>
        <w:rPr>
          <w:rFonts w:hint="eastAsia" w:ascii="宋体" w:hAnsi="宋体" w:cs="宋体"/>
          <w:b/>
          <w:bCs/>
          <w:color w:val="auto"/>
          <w:sz w:val="24"/>
          <w:highlight w:val="none"/>
          <w:u w:val="single"/>
        </w:rPr>
        <w:t xml:space="preserve"> 1 </w:t>
      </w:r>
      <w:r>
        <w:rPr>
          <w:rFonts w:hint="eastAsia" w:ascii="宋体" w:hAnsi="宋体" w:cs="宋体"/>
          <w:b/>
          <w:bCs/>
          <w:color w:val="auto"/>
          <w:sz w:val="24"/>
          <w:highlight w:val="none"/>
        </w:rPr>
        <w:t>项产品。</w:t>
      </w:r>
    </w:p>
    <w:tbl>
      <w:tblPr>
        <w:tblStyle w:val="48"/>
        <w:tblW w:w="48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
        <w:gridCol w:w="1050"/>
        <w:gridCol w:w="1056"/>
        <w:gridCol w:w="748"/>
        <w:gridCol w:w="935"/>
        <w:gridCol w:w="5389"/>
      </w:tblGrid>
      <w:tr w14:paraId="519E5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471015A5">
            <w:pPr>
              <w:tabs>
                <w:tab w:val="left" w:pos="180"/>
                <w:tab w:val="left" w:pos="1620"/>
              </w:tabs>
              <w:jc w:val="center"/>
              <w:rPr>
                <w:rFonts w:hint="eastAsia" w:ascii="宋体" w:hAnsi="宋体" w:cs="宋体"/>
                <w:b/>
                <w:color w:val="auto"/>
                <w:sz w:val="24"/>
                <w:highlight w:val="none"/>
              </w:rPr>
            </w:pPr>
            <w:r>
              <w:rPr>
                <w:rFonts w:hint="eastAsia" w:ascii="宋体" w:hAnsi="宋体" w:cs="宋体"/>
                <w:b/>
                <w:color w:val="auto"/>
                <w:sz w:val="24"/>
                <w:highlight w:val="none"/>
              </w:rPr>
              <w:t>货物需求一览表</w:t>
            </w:r>
          </w:p>
        </w:tc>
      </w:tr>
      <w:tr w14:paraId="1D0F4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6606D85D">
            <w:pPr>
              <w:tabs>
                <w:tab w:val="left" w:pos="180"/>
                <w:tab w:val="left" w:pos="1620"/>
              </w:tabs>
              <w:rPr>
                <w:rFonts w:hint="eastAsia" w:ascii="宋体" w:hAnsi="宋体" w:cs="宋体"/>
                <w:b/>
                <w:bCs/>
                <w:color w:val="auto"/>
                <w:sz w:val="24"/>
                <w:highlight w:val="none"/>
              </w:rPr>
            </w:pPr>
            <w:r>
              <w:rPr>
                <w:rFonts w:hint="eastAsia" w:ascii="宋体" w:hAnsi="宋体" w:cs="宋体"/>
                <w:b/>
                <w:bCs/>
                <w:color w:val="auto"/>
                <w:sz w:val="24"/>
                <w:highlight w:val="none"/>
              </w:rPr>
              <w:t>一、采购标的及技术需求</w:t>
            </w:r>
          </w:p>
        </w:tc>
      </w:tr>
      <w:tr w14:paraId="6D202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230" w:type="pct"/>
            <w:vAlign w:val="center"/>
          </w:tcPr>
          <w:p w14:paraId="69E0D2A9">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bCs/>
                <w:color w:val="auto"/>
                <w:szCs w:val="21"/>
                <w:highlight w:val="none"/>
              </w:rPr>
              <w:t>项号</w:t>
            </w:r>
          </w:p>
        </w:tc>
        <w:tc>
          <w:tcPr>
            <w:tcW w:w="546" w:type="pct"/>
            <w:vAlign w:val="center"/>
          </w:tcPr>
          <w:p w14:paraId="098A5841">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bCs/>
                <w:color w:val="auto"/>
                <w:szCs w:val="21"/>
                <w:highlight w:val="none"/>
              </w:rPr>
              <w:t>货物（标的）名称</w:t>
            </w:r>
          </w:p>
        </w:tc>
        <w:tc>
          <w:tcPr>
            <w:tcW w:w="548" w:type="pct"/>
            <w:vAlign w:val="center"/>
          </w:tcPr>
          <w:p w14:paraId="371D220F">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bCs/>
                <w:color w:val="auto"/>
                <w:szCs w:val="21"/>
                <w:highlight w:val="none"/>
              </w:rPr>
              <w:t>数量</w:t>
            </w:r>
          </w:p>
        </w:tc>
        <w:tc>
          <w:tcPr>
            <w:tcW w:w="389" w:type="pct"/>
            <w:vAlign w:val="center"/>
          </w:tcPr>
          <w:p w14:paraId="3A38E62E">
            <w:pPr>
              <w:tabs>
                <w:tab w:val="left" w:pos="180"/>
                <w:tab w:val="left" w:pos="1620"/>
              </w:tabs>
              <w:jc w:val="center"/>
              <w:rPr>
                <w:rFonts w:hint="eastAsia" w:ascii="宋体" w:hAnsi="宋体" w:cs="宋体"/>
                <w:b/>
                <w:bCs/>
                <w:color w:val="auto"/>
                <w:szCs w:val="21"/>
                <w:highlight w:val="none"/>
              </w:rPr>
            </w:pPr>
            <w:r>
              <w:rPr>
                <w:rFonts w:hint="eastAsia" w:ascii="宋体" w:hAnsi="宋体" w:cs="宋体"/>
                <w:b/>
                <w:bCs/>
                <w:color w:val="auto"/>
                <w:szCs w:val="21"/>
                <w:highlight w:val="none"/>
              </w:rPr>
              <w:t>单位</w:t>
            </w:r>
          </w:p>
        </w:tc>
        <w:tc>
          <w:tcPr>
            <w:tcW w:w="486" w:type="pct"/>
            <w:vAlign w:val="center"/>
          </w:tcPr>
          <w:p w14:paraId="4D1D74DC">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bCs/>
                <w:color w:val="auto"/>
                <w:szCs w:val="21"/>
                <w:highlight w:val="none"/>
              </w:rPr>
              <w:t>▲单价最高限价（元/公斤）</w:t>
            </w:r>
          </w:p>
        </w:tc>
        <w:tc>
          <w:tcPr>
            <w:tcW w:w="2798" w:type="pct"/>
            <w:vAlign w:val="center"/>
          </w:tcPr>
          <w:p w14:paraId="6B6E019D">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color w:val="auto"/>
                <w:szCs w:val="21"/>
                <w:highlight w:val="none"/>
              </w:rPr>
              <w:t>技术参数及质量（配置）要求</w:t>
            </w:r>
          </w:p>
        </w:tc>
      </w:tr>
      <w:tr w14:paraId="7FC59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 w:type="pct"/>
            <w:vAlign w:val="center"/>
          </w:tcPr>
          <w:p w14:paraId="4C3A4EF4">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546" w:type="pct"/>
            <w:vAlign w:val="center"/>
          </w:tcPr>
          <w:p w14:paraId="2A2F8E0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猪肉（后腿肉）</w:t>
            </w:r>
          </w:p>
        </w:tc>
        <w:tc>
          <w:tcPr>
            <w:tcW w:w="548" w:type="pct"/>
            <w:vAlign w:val="center"/>
          </w:tcPr>
          <w:p w14:paraId="57487F4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20000.00</w:t>
            </w:r>
          </w:p>
        </w:tc>
        <w:tc>
          <w:tcPr>
            <w:tcW w:w="389" w:type="pct"/>
            <w:vAlign w:val="center"/>
          </w:tcPr>
          <w:p w14:paraId="75434BF7">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86" w:type="pct"/>
            <w:vAlign w:val="center"/>
          </w:tcPr>
          <w:p w14:paraId="53ED1A80">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19.00</w:t>
            </w:r>
          </w:p>
        </w:tc>
        <w:tc>
          <w:tcPr>
            <w:tcW w:w="2798" w:type="pct"/>
            <w:vAlign w:val="center"/>
          </w:tcPr>
          <w:p w14:paraId="2E8D2F91">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1.▲供应的肉产品必须符合我国《中华人民共和国食品安全法》的要求，达到国家有关食品标准和卫生标准；</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2.▲每批次供货时必须提供本批次的相关检验检疫证明，包括《动物产品检疫合格证明》、《肉品品质检验合格证明》。</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3.▲猪肉为育肥猪肉，即生猪（育肥猪）屠宰后清理干净的猪肉；肉质新鲜，颜色正常，无腐烂、异味、注水等无法食用的现象，非老猪肉以及病猪肉。</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4.▲送货时要求把</w:t>
            </w:r>
            <w:r>
              <w:rPr>
                <w:rFonts w:hint="eastAsia" w:ascii="宋体" w:hAnsi="宋体" w:cs="宋体"/>
                <w:color w:val="auto"/>
                <w:szCs w:val="21"/>
                <w:highlight w:val="none"/>
              </w:rPr>
              <w:t>后腿肉</w:t>
            </w:r>
            <w:r>
              <w:rPr>
                <w:rFonts w:hint="eastAsia" w:ascii="宋体" w:hAnsi="宋体" w:cs="宋体"/>
                <w:color w:val="auto"/>
                <w:kern w:val="0"/>
                <w:szCs w:val="21"/>
                <w:highlight w:val="none"/>
                <w:lang w:bidi="ar"/>
              </w:rPr>
              <w:t>分割出来，方便称重。</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5.▲不允许提供冰冻肉。</w:t>
            </w:r>
          </w:p>
        </w:tc>
      </w:tr>
      <w:tr w14:paraId="4AEFF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 w:type="pct"/>
            <w:vAlign w:val="center"/>
          </w:tcPr>
          <w:p w14:paraId="549E9A19">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546" w:type="pct"/>
            <w:vAlign w:val="center"/>
          </w:tcPr>
          <w:p w14:paraId="72BE76E7">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猪肉（五花肉）</w:t>
            </w:r>
          </w:p>
        </w:tc>
        <w:tc>
          <w:tcPr>
            <w:tcW w:w="548" w:type="pct"/>
            <w:vAlign w:val="center"/>
          </w:tcPr>
          <w:p w14:paraId="409D461F">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11000.00</w:t>
            </w:r>
          </w:p>
        </w:tc>
        <w:tc>
          <w:tcPr>
            <w:tcW w:w="389" w:type="pct"/>
            <w:vAlign w:val="center"/>
          </w:tcPr>
          <w:p w14:paraId="5F048136">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86" w:type="pct"/>
            <w:vAlign w:val="center"/>
          </w:tcPr>
          <w:p w14:paraId="4F504723">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22.00</w:t>
            </w:r>
          </w:p>
        </w:tc>
        <w:tc>
          <w:tcPr>
            <w:tcW w:w="2798" w:type="pct"/>
            <w:vAlign w:val="center"/>
          </w:tcPr>
          <w:p w14:paraId="39D8097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1.▲供应的肉产品必须符合我国《中华人民共和国食品安全法》的要求，达到国家有关食品标准和卫生标准；</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2.▲每批次供货时必须提供本批次的相关检验检疫证明，包括《动物产品检疫合格证明》、《肉品品质检验合格证明》。</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3.▲猪肉为育肥猪肉，即生猪（育肥猪）屠宰后清理干净的猪肉；肉质新鲜，颜色正常，无腐烂、异味、注水等无法食用的现象，非老猪肉以及病猪肉。</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4.▲送货时要求把五花肉分割出来，方便称重。</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5.▲不允许提供冰冻肉。</w:t>
            </w:r>
          </w:p>
        </w:tc>
      </w:tr>
      <w:tr w14:paraId="1ED59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 w:type="pct"/>
            <w:vAlign w:val="center"/>
          </w:tcPr>
          <w:p w14:paraId="522E0124">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w:t>
            </w:r>
          </w:p>
        </w:tc>
        <w:tc>
          <w:tcPr>
            <w:tcW w:w="546" w:type="pct"/>
            <w:vAlign w:val="center"/>
          </w:tcPr>
          <w:p w14:paraId="6B8882AC">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猪肉（排骨）</w:t>
            </w:r>
          </w:p>
        </w:tc>
        <w:tc>
          <w:tcPr>
            <w:tcW w:w="548" w:type="pct"/>
            <w:vAlign w:val="center"/>
          </w:tcPr>
          <w:p w14:paraId="55307AB7">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9000.00</w:t>
            </w:r>
          </w:p>
        </w:tc>
        <w:tc>
          <w:tcPr>
            <w:tcW w:w="389" w:type="pct"/>
            <w:vAlign w:val="center"/>
          </w:tcPr>
          <w:p w14:paraId="17445942">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86" w:type="pct"/>
            <w:vAlign w:val="center"/>
          </w:tcPr>
          <w:p w14:paraId="66EAB5E5">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48.00</w:t>
            </w:r>
          </w:p>
        </w:tc>
        <w:tc>
          <w:tcPr>
            <w:tcW w:w="2798" w:type="pct"/>
            <w:vAlign w:val="center"/>
          </w:tcPr>
          <w:p w14:paraId="5D9C36A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1.▲供应的肉产品必须符合我国《中华人民共和国食品安全法》的要求，达到国家有关食品标准和卫生标准；</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2.▲每批次供货时须提供本批次的相关检验检疫证明，包括《动物产品检疫合格证明》、《肉品品质检验合格证明》。</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3.▲猪肉为育肥猪肉，即生猪（育肥猪）屠宰后清理干净的猪肉；肉质新鲜，颜色正常，无腐烂、异味、注水等无法食用的现象，非老猪肉以及病猪肉。</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4.▲送货时要求把排骨分割出来，方便称重。</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5.▲不允许提供冰冻肉。</w:t>
            </w:r>
          </w:p>
        </w:tc>
      </w:tr>
      <w:tr w14:paraId="65A8D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 w:type="pct"/>
            <w:vAlign w:val="center"/>
          </w:tcPr>
          <w:p w14:paraId="79B26EBA">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w:t>
            </w:r>
          </w:p>
        </w:tc>
        <w:tc>
          <w:tcPr>
            <w:tcW w:w="546" w:type="pct"/>
            <w:vAlign w:val="center"/>
          </w:tcPr>
          <w:p w14:paraId="22D5EA8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猪血</w:t>
            </w:r>
          </w:p>
        </w:tc>
        <w:tc>
          <w:tcPr>
            <w:tcW w:w="548" w:type="pct"/>
            <w:vAlign w:val="center"/>
          </w:tcPr>
          <w:p w14:paraId="011F6916">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9000.00</w:t>
            </w:r>
          </w:p>
        </w:tc>
        <w:tc>
          <w:tcPr>
            <w:tcW w:w="389" w:type="pct"/>
            <w:vAlign w:val="center"/>
          </w:tcPr>
          <w:p w14:paraId="10237112">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86" w:type="pct"/>
            <w:vAlign w:val="center"/>
          </w:tcPr>
          <w:p w14:paraId="50988CF3">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4.00</w:t>
            </w:r>
          </w:p>
        </w:tc>
        <w:tc>
          <w:tcPr>
            <w:tcW w:w="2798" w:type="pct"/>
            <w:vAlign w:val="center"/>
          </w:tcPr>
          <w:p w14:paraId="464881D6">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1.▲具有新鲜的板块状；</w:t>
            </w:r>
          </w:p>
          <w:p w14:paraId="478092E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2.▲无异臭味、变质等无法食用的现象，加入的添加剂符合食品安全卫生要求，交验时无明显滴水现象。</w:t>
            </w:r>
          </w:p>
          <w:p w14:paraId="28A68839">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3.▲符合相关标准要求。</w:t>
            </w:r>
          </w:p>
        </w:tc>
      </w:tr>
      <w:tr w14:paraId="14323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 w:type="pct"/>
            <w:vAlign w:val="center"/>
          </w:tcPr>
          <w:p w14:paraId="2AB4DAE8">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5</w:t>
            </w:r>
          </w:p>
        </w:tc>
        <w:tc>
          <w:tcPr>
            <w:tcW w:w="546" w:type="pct"/>
            <w:vAlign w:val="center"/>
          </w:tcPr>
          <w:p w14:paraId="2E34AF8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腊肠</w:t>
            </w:r>
          </w:p>
        </w:tc>
        <w:tc>
          <w:tcPr>
            <w:tcW w:w="548" w:type="pct"/>
            <w:vAlign w:val="center"/>
          </w:tcPr>
          <w:p w14:paraId="4F155FD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1500.00</w:t>
            </w:r>
          </w:p>
        </w:tc>
        <w:tc>
          <w:tcPr>
            <w:tcW w:w="389" w:type="pct"/>
            <w:vAlign w:val="center"/>
          </w:tcPr>
          <w:p w14:paraId="782E0C09">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86" w:type="pct"/>
            <w:vAlign w:val="center"/>
          </w:tcPr>
          <w:p w14:paraId="3D769FC2">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34.00</w:t>
            </w:r>
          </w:p>
        </w:tc>
        <w:tc>
          <w:tcPr>
            <w:tcW w:w="2798" w:type="pct"/>
            <w:vAlign w:val="center"/>
          </w:tcPr>
          <w:p w14:paraId="5E858ECD">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1.▲要求干净无杂质，无腐烂变质；腊肠中过氧化值不得超过0.5g/100g；</w:t>
            </w:r>
          </w:p>
          <w:p w14:paraId="4B9673D6">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2.▲符合《食品安全国家标准 腌腊肉制品》(GB2730—2015）规定及相关标准要求。</w:t>
            </w:r>
          </w:p>
        </w:tc>
      </w:tr>
      <w:tr w14:paraId="1F0D1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 w:type="pct"/>
            <w:vAlign w:val="center"/>
          </w:tcPr>
          <w:p w14:paraId="7572E0EA">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6</w:t>
            </w:r>
          </w:p>
        </w:tc>
        <w:tc>
          <w:tcPr>
            <w:tcW w:w="546" w:type="pct"/>
            <w:vAlign w:val="center"/>
          </w:tcPr>
          <w:p w14:paraId="5B00676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腊肉</w:t>
            </w:r>
          </w:p>
        </w:tc>
        <w:tc>
          <w:tcPr>
            <w:tcW w:w="548" w:type="pct"/>
            <w:vAlign w:val="center"/>
          </w:tcPr>
          <w:p w14:paraId="0DD6842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1500.00</w:t>
            </w:r>
          </w:p>
        </w:tc>
        <w:tc>
          <w:tcPr>
            <w:tcW w:w="389" w:type="pct"/>
            <w:vAlign w:val="center"/>
          </w:tcPr>
          <w:p w14:paraId="1EA518B0">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86" w:type="pct"/>
            <w:vAlign w:val="center"/>
          </w:tcPr>
          <w:p w14:paraId="0C707262">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40.00</w:t>
            </w:r>
          </w:p>
        </w:tc>
        <w:tc>
          <w:tcPr>
            <w:tcW w:w="2798" w:type="pct"/>
            <w:vAlign w:val="center"/>
          </w:tcPr>
          <w:p w14:paraId="586CFF38">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1.▲要求干净无杂质，无腐烂变质；腊肉中过氧化值不得超过0.5g/100g；</w:t>
            </w:r>
          </w:p>
          <w:p w14:paraId="1C790C99">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2.▲符合《食品安全国家标准 腌腊肉制品》(GB2730—2015）规定及相关标准要求。</w:t>
            </w:r>
          </w:p>
        </w:tc>
      </w:tr>
      <w:tr w14:paraId="66F20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 w:type="pct"/>
            <w:vAlign w:val="center"/>
          </w:tcPr>
          <w:p w14:paraId="65F3289D">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7</w:t>
            </w:r>
          </w:p>
        </w:tc>
        <w:tc>
          <w:tcPr>
            <w:tcW w:w="546" w:type="pct"/>
            <w:vAlign w:val="center"/>
          </w:tcPr>
          <w:p w14:paraId="45EF5A5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活鱼（草鱼）</w:t>
            </w:r>
          </w:p>
        </w:tc>
        <w:tc>
          <w:tcPr>
            <w:tcW w:w="548" w:type="pct"/>
            <w:vAlign w:val="center"/>
          </w:tcPr>
          <w:p w14:paraId="716E2BAA">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10000.00</w:t>
            </w:r>
          </w:p>
        </w:tc>
        <w:tc>
          <w:tcPr>
            <w:tcW w:w="389" w:type="pct"/>
            <w:vAlign w:val="center"/>
          </w:tcPr>
          <w:p w14:paraId="7D7EFE11">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86" w:type="pct"/>
            <w:vAlign w:val="center"/>
          </w:tcPr>
          <w:p w14:paraId="34087F4B">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17.00</w:t>
            </w:r>
          </w:p>
        </w:tc>
        <w:tc>
          <w:tcPr>
            <w:tcW w:w="2798" w:type="pct"/>
            <w:vAlign w:val="center"/>
          </w:tcPr>
          <w:p w14:paraId="6801150F">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1.▲质量必须达到国家GB 2733-2015《食品安全国家标准鲜、冻动物性水产品》标准及国家相关食品（农产品）标准和卫生标准；</w:t>
            </w:r>
          </w:p>
          <w:p w14:paraId="4A377B4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2.▲每批次供货时须提供本批次的相关检验检疫证明。</w:t>
            </w:r>
          </w:p>
          <w:p w14:paraId="5D8427D5">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3.▲必须是活鱼，不用宰杀，打氧气运送。</w:t>
            </w:r>
          </w:p>
          <w:p w14:paraId="36F2ADD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4.单个净重量1.5公斤以上。</w:t>
            </w:r>
          </w:p>
          <w:p w14:paraId="26BBDED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5.▲鱼的形态正常，无畸形，体态匀称，无伤痕；体表具有正常的体色和光泽，鳞片完整紧密，不易脱落，无病灶；眼球明亮饱满，角膜清晰；鳃丝清晰，呈鲜红或紫红色，无异味，无粘液或有少量透明黏液；鱼的肌肉紧密，有弹性，整体有鲜鱼固有的腥气味，无异味。</w:t>
            </w:r>
          </w:p>
        </w:tc>
      </w:tr>
      <w:tr w14:paraId="58F1F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 w:type="pct"/>
            <w:vAlign w:val="center"/>
          </w:tcPr>
          <w:p w14:paraId="5FB74458">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8</w:t>
            </w:r>
          </w:p>
        </w:tc>
        <w:tc>
          <w:tcPr>
            <w:tcW w:w="546" w:type="pct"/>
            <w:vAlign w:val="center"/>
          </w:tcPr>
          <w:p w14:paraId="4A0DE2E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活鱼（罗非鱼）</w:t>
            </w:r>
          </w:p>
        </w:tc>
        <w:tc>
          <w:tcPr>
            <w:tcW w:w="548" w:type="pct"/>
            <w:vAlign w:val="center"/>
          </w:tcPr>
          <w:p w14:paraId="1169C9C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1000.00</w:t>
            </w:r>
          </w:p>
        </w:tc>
        <w:tc>
          <w:tcPr>
            <w:tcW w:w="389" w:type="pct"/>
            <w:vAlign w:val="center"/>
          </w:tcPr>
          <w:p w14:paraId="1A1DEE09">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86" w:type="pct"/>
            <w:vAlign w:val="center"/>
          </w:tcPr>
          <w:p w14:paraId="2F99606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14.00</w:t>
            </w:r>
          </w:p>
        </w:tc>
        <w:tc>
          <w:tcPr>
            <w:tcW w:w="2798" w:type="pct"/>
            <w:vAlign w:val="center"/>
          </w:tcPr>
          <w:p w14:paraId="21370204">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1.▲质量必须达到国家GB 2733-2015《食品安全国家标准鲜、冻动物性水产品》标准及国家相关食品（农产品）标准和卫生标准；</w:t>
            </w:r>
          </w:p>
          <w:p w14:paraId="24B6A8E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2.▲每批次供货时须提供本批次的相关检验检疫证明。</w:t>
            </w:r>
          </w:p>
          <w:p w14:paraId="677B9A5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3.▲必须是活鱼，不用宰杀，打氧气运送。</w:t>
            </w:r>
          </w:p>
          <w:p w14:paraId="4CBB8294">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4.单个净重量0.75公斤以上。</w:t>
            </w:r>
          </w:p>
          <w:p w14:paraId="1C42F8C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5.▲鱼的形态正常，无畸形，体态匀称，无伤痕；体表具有正常的体色和光泽，鳞片完整紧密，不易脱落，无病灶；眼球明亮饱满，角膜清晰；鳃丝清晰，呈鲜红或紫红色，无异味，无粘液或有少量透明黏液；鱼的肌肉紧密，有弹性，整体有鲜鱼固有的腥气味，无异味。</w:t>
            </w:r>
          </w:p>
        </w:tc>
      </w:tr>
      <w:tr w14:paraId="1658A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 w:type="pct"/>
            <w:vAlign w:val="center"/>
          </w:tcPr>
          <w:p w14:paraId="01D96A8C">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9</w:t>
            </w:r>
          </w:p>
        </w:tc>
        <w:tc>
          <w:tcPr>
            <w:tcW w:w="546" w:type="pct"/>
            <w:vAlign w:val="center"/>
          </w:tcPr>
          <w:p w14:paraId="3B01C4B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活鱼（骨鱼）</w:t>
            </w:r>
          </w:p>
        </w:tc>
        <w:tc>
          <w:tcPr>
            <w:tcW w:w="548" w:type="pct"/>
            <w:vAlign w:val="center"/>
          </w:tcPr>
          <w:p w14:paraId="53651FF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2000.00</w:t>
            </w:r>
          </w:p>
        </w:tc>
        <w:tc>
          <w:tcPr>
            <w:tcW w:w="389" w:type="pct"/>
            <w:vAlign w:val="center"/>
          </w:tcPr>
          <w:p w14:paraId="036E70FB">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86" w:type="pct"/>
            <w:vAlign w:val="center"/>
          </w:tcPr>
          <w:p w14:paraId="50E364E3">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21.00</w:t>
            </w:r>
          </w:p>
        </w:tc>
        <w:tc>
          <w:tcPr>
            <w:tcW w:w="2798" w:type="pct"/>
            <w:vAlign w:val="center"/>
          </w:tcPr>
          <w:p w14:paraId="41428DC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1.▲质量必须达到国家GB 2733-2015《食品安全国家标准鲜、冻动物性水产品》标准及国家相关食品（农产品）标准和卫生标准；</w:t>
            </w:r>
          </w:p>
          <w:p w14:paraId="70859106">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2.▲每批次供货时须提供本批次的相关检验检疫证明。</w:t>
            </w:r>
          </w:p>
          <w:p w14:paraId="419F4DC6">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3.▲必须是活鱼，不用宰杀，打氧气运送。</w:t>
            </w:r>
          </w:p>
          <w:p w14:paraId="541A0D5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4.单个净重量0.75公斤以上。</w:t>
            </w:r>
          </w:p>
          <w:p w14:paraId="60A4FAD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5.▲鱼的形态正常，无畸形，体态匀称，无伤痕；体表具有正常的体色和光泽，鳞片完整紧密，不易脱落，无病灶；眼球明亮饱满，角膜清晰；鳃丝清晰，呈鲜红或紫红色，无异味，无粘液或有少量透明黏液；鱼的肌肉紧密，有弹性，整体有鲜鱼固有的腥气味，无异味。</w:t>
            </w:r>
          </w:p>
        </w:tc>
      </w:tr>
      <w:tr w14:paraId="086A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tcPr>
          <w:p w14:paraId="765D99A5">
            <w:pPr>
              <w:tabs>
                <w:tab w:val="left" w:pos="180"/>
                <w:tab w:val="left" w:pos="1620"/>
              </w:tabs>
              <w:rPr>
                <w:rFonts w:hint="eastAsia" w:ascii="宋体" w:hAnsi="宋体" w:cs="宋体"/>
                <w:color w:val="auto"/>
                <w:szCs w:val="21"/>
                <w:highlight w:val="none"/>
              </w:rPr>
            </w:pPr>
            <w:r>
              <w:rPr>
                <w:rFonts w:hint="eastAsia" w:ascii="宋体" w:hAnsi="宋体" w:cs="宋体"/>
                <w:b/>
                <w:bCs/>
                <w:color w:val="auto"/>
                <w:sz w:val="24"/>
                <w:highlight w:val="none"/>
              </w:rPr>
              <w:t>二、商务条款</w:t>
            </w:r>
          </w:p>
        </w:tc>
      </w:tr>
      <w:tr w14:paraId="685F0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776" w:type="pct"/>
            <w:gridSpan w:val="2"/>
            <w:vAlign w:val="center"/>
          </w:tcPr>
          <w:p w14:paraId="2710B97A">
            <w:pPr>
              <w:jc w:val="center"/>
              <w:rPr>
                <w:rFonts w:hint="eastAsia" w:ascii="宋体" w:hAnsi="宋体" w:cs="宋体"/>
                <w:b/>
                <w:bCs/>
                <w:color w:val="auto"/>
                <w:szCs w:val="21"/>
                <w:highlight w:val="none"/>
                <w:u w:val="single"/>
              </w:rPr>
            </w:pPr>
            <w:r>
              <w:rPr>
                <w:rFonts w:hint="eastAsia" w:ascii="宋体" w:hAnsi="宋体" w:cs="宋体"/>
                <w:color w:val="auto"/>
                <w:szCs w:val="21"/>
                <w:highlight w:val="none"/>
              </w:rPr>
              <w:t>1、合同签订时间</w:t>
            </w:r>
          </w:p>
        </w:tc>
        <w:tc>
          <w:tcPr>
            <w:tcW w:w="4223" w:type="pct"/>
            <w:gridSpan w:val="4"/>
            <w:vAlign w:val="center"/>
          </w:tcPr>
          <w:p w14:paraId="70D2968B">
            <w:pPr>
              <w:rPr>
                <w:rFonts w:hint="eastAsia" w:ascii="宋体" w:hAnsi="宋体" w:cs="宋体"/>
                <w:color w:val="auto"/>
                <w:szCs w:val="21"/>
                <w:highlight w:val="none"/>
              </w:rPr>
            </w:pPr>
            <w:r>
              <w:rPr>
                <w:rFonts w:hint="eastAsia" w:ascii="宋体" w:hAnsi="宋体" w:cs="宋体"/>
                <w:color w:val="auto"/>
                <w:szCs w:val="21"/>
                <w:highlight w:val="none"/>
              </w:rPr>
              <w:t>自中标通知书发出之日起</w:t>
            </w:r>
            <w:r>
              <w:rPr>
                <w:rFonts w:hint="eastAsia" w:ascii="宋体" w:hAnsi="宋体" w:cs="宋体"/>
                <w:color w:val="auto"/>
                <w:szCs w:val="21"/>
                <w:highlight w:val="none"/>
                <w:u w:val="single"/>
              </w:rPr>
              <w:t>25</w:t>
            </w:r>
            <w:r>
              <w:rPr>
                <w:rFonts w:hint="eastAsia" w:ascii="宋体" w:hAnsi="宋体" w:cs="宋体"/>
                <w:color w:val="auto"/>
                <w:szCs w:val="21"/>
                <w:highlight w:val="none"/>
              </w:rPr>
              <w:t>日内。</w:t>
            </w:r>
          </w:p>
        </w:tc>
      </w:tr>
      <w:tr w14:paraId="03B92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pct"/>
            <w:gridSpan w:val="2"/>
            <w:vAlign w:val="center"/>
          </w:tcPr>
          <w:p w14:paraId="5ECE9894">
            <w:pPr>
              <w:jc w:val="center"/>
              <w:rPr>
                <w:rFonts w:hint="eastAsia" w:ascii="宋体" w:hAnsi="宋体" w:cs="宋体"/>
                <w:color w:val="auto"/>
                <w:szCs w:val="21"/>
                <w:highlight w:val="none"/>
                <w:u w:val="single"/>
              </w:rPr>
            </w:pPr>
            <w:r>
              <w:rPr>
                <w:rFonts w:hint="eastAsia" w:ascii="宋体" w:hAnsi="宋体" w:cs="宋体"/>
                <w:color w:val="auto"/>
                <w:szCs w:val="21"/>
                <w:highlight w:val="none"/>
              </w:rPr>
              <w:t>2、▲交付时间及地点、合同有效期</w:t>
            </w:r>
          </w:p>
        </w:tc>
        <w:tc>
          <w:tcPr>
            <w:tcW w:w="4223" w:type="pct"/>
            <w:gridSpan w:val="4"/>
            <w:vAlign w:val="center"/>
          </w:tcPr>
          <w:p w14:paraId="7DB5C806">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1.交付时间：中标人向采购人供应食材为每天北京时间上午08:00前，确保一日一供,节假日正常供应,特殊情况双方协商确定。产品运输由中标人负责，运输及卸车费用由中标人承担。</w:t>
            </w:r>
          </w:p>
          <w:p w14:paraId="50E655D4">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2.交付地点：广西壮族自治区梧州市龙圩区；</w:t>
            </w:r>
          </w:p>
          <w:p w14:paraId="3EFBE001">
            <w:pPr>
              <w:rPr>
                <w:rFonts w:hint="eastAsia" w:ascii="宋体" w:hAnsi="宋体" w:cs="宋体"/>
                <w:color w:val="auto"/>
                <w:szCs w:val="21"/>
                <w:highlight w:val="none"/>
              </w:rPr>
            </w:pPr>
            <w:r>
              <w:rPr>
                <w:rFonts w:hint="eastAsia" w:ascii="宋体" w:hAnsi="宋体" w:cs="宋体"/>
                <w:color w:val="auto"/>
                <w:szCs w:val="21"/>
                <w:highlight w:val="none"/>
              </w:rPr>
              <w:t>3.合同有效期：自合同签订生效之日起1年。</w:t>
            </w:r>
          </w:p>
        </w:tc>
      </w:tr>
      <w:tr w14:paraId="77B3D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pct"/>
            <w:gridSpan w:val="2"/>
            <w:vAlign w:val="center"/>
          </w:tcPr>
          <w:p w14:paraId="5D24EC10">
            <w:pPr>
              <w:rPr>
                <w:rFonts w:hint="eastAsia" w:ascii="宋体" w:hAnsi="宋体" w:cs="宋体"/>
                <w:color w:val="auto"/>
                <w:szCs w:val="21"/>
                <w:highlight w:val="none"/>
                <w:u w:val="single"/>
              </w:rPr>
            </w:pPr>
            <w:r>
              <w:rPr>
                <w:rFonts w:hint="eastAsia" w:ascii="宋体" w:hAnsi="宋体" w:cs="宋体"/>
                <w:color w:val="auto"/>
                <w:szCs w:val="21"/>
                <w:highlight w:val="none"/>
              </w:rPr>
              <w:t>3、▲质保期</w:t>
            </w:r>
          </w:p>
        </w:tc>
        <w:tc>
          <w:tcPr>
            <w:tcW w:w="4223" w:type="pct"/>
            <w:gridSpan w:val="4"/>
            <w:vAlign w:val="center"/>
          </w:tcPr>
          <w:p w14:paraId="33944059">
            <w:pPr>
              <w:rPr>
                <w:rFonts w:hint="eastAsia" w:ascii="宋体" w:hAnsi="宋体" w:cs="宋体"/>
                <w:color w:val="auto"/>
                <w:szCs w:val="21"/>
                <w:highlight w:val="none"/>
              </w:rPr>
            </w:pPr>
            <w:r>
              <w:rPr>
                <w:rFonts w:hint="eastAsia" w:ascii="宋体" w:hAnsi="宋体" w:cs="宋体"/>
                <w:color w:val="auto"/>
                <w:szCs w:val="21"/>
                <w:highlight w:val="none"/>
              </w:rPr>
              <w:t>自每批次货物验收合格时计算，不少于24小时。</w:t>
            </w:r>
          </w:p>
        </w:tc>
      </w:tr>
      <w:tr w14:paraId="25CF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pct"/>
            <w:gridSpan w:val="2"/>
            <w:vAlign w:val="center"/>
          </w:tcPr>
          <w:p w14:paraId="7170ED2A">
            <w:pPr>
              <w:jc w:val="center"/>
              <w:rPr>
                <w:rFonts w:hint="eastAsia" w:ascii="宋体" w:hAnsi="宋体" w:cs="宋体"/>
                <w:color w:val="auto"/>
                <w:szCs w:val="21"/>
                <w:highlight w:val="none"/>
                <w:u w:val="single"/>
              </w:rPr>
            </w:pPr>
            <w:r>
              <w:rPr>
                <w:rFonts w:hint="eastAsia" w:ascii="宋体" w:hAnsi="宋体" w:cs="宋体"/>
                <w:color w:val="auto"/>
                <w:szCs w:val="21"/>
                <w:highlight w:val="none"/>
              </w:rPr>
              <w:t>4、▲售后服务要求</w:t>
            </w:r>
          </w:p>
        </w:tc>
        <w:tc>
          <w:tcPr>
            <w:tcW w:w="4223" w:type="pct"/>
            <w:gridSpan w:val="4"/>
          </w:tcPr>
          <w:p w14:paraId="0D92E4F1">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1.负责送货上门，搬运至指定地点。</w:t>
            </w:r>
          </w:p>
          <w:p w14:paraId="3CE59123">
            <w:pPr>
              <w:jc w:val="left"/>
              <w:rPr>
                <w:rFonts w:hint="eastAsia" w:ascii="宋体" w:hAnsi="宋体" w:cs="宋体"/>
                <w:color w:val="auto"/>
                <w:szCs w:val="21"/>
                <w:highlight w:val="none"/>
              </w:rPr>
            </w:pPr>
            <w:r>
              <w:rPr>
                <w:rFonts w:hint="eastAsia" w:ascii="宋体" w:hAnsi="宋体" w:cs="宋体"/>
                <w:color w:val="auto"/>
                <w:szCs w:val="21"/>
                <w:highlight w:val="none"/>
              </w:rPr>
              <w:t>2.出现质量问题的收到通知后1个小时内要到现场，并在2个小时内更换合格货物。</w:t>
            </w:r>
          </w:p>
          <w:p w14:paraId="1D12939F">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3.中标人按采购人采购计划按时按点供货。</w:t>
            </w:r>
          </w:p>
          <w:p w14:paraId="607E4D5F">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4.中标人无法按规定时间交货，需采购人从其他地方进行临时补货应急的，该批次货物产生的所有相关成本及费用由中标人负责。</w:t>
            </w:r>
          </w:p>
          <w:p w14:paraId="36D8E48D">
            <w:pPr>
              <w:pStyle w:val="18"/>
              <w:rPr>
                <w:rFonts w:hint="eastAsia" w:ascii="宋体" w:hAnsi="宋体" w:cs="宋体"/>
                <w:color w:val="auto"/>
                <w:kern w:val="0"/>
                <w:szCs w:val="21"/>
                <w:highlight w:val="none"/>
                <w:lang w:bidi="ar"/>
              </w:rPr>
            </w:pPr>
            <w:r>
              <w:rPr>
                <w:rFonts w:hint="eastAsia" w:ascii="宋体" w:hAnsi="宋体" w:cs="宋体"/>
                <w:color w:val="auto"/>
                <w:szCs w:val="21"/>
                <w:highlight w:val="none"/>
              </w:rPr>
              <w:t>5.中标人必须提供相关供货清单（包括货物名称、数量、单价、金额等信息），以便采购人月底结算货款。中标人供货不符合要求的，采购人有权立即退货。中标人应按采购人的要求及时补货，具体交付时间以约定为准。</w:t>
            </w:r>
          </w:p>
        </w:tc>
      </w:tr>
      <w:tr w14:paraId="467D6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pct"/>
            <w:gridSpan w:val="2"/>
            <w:vAlign w:val="center"/>
          </w:tcPr>
          <w:p w14:paraId="703D09A7">
            <w:pPr>
              <w:jc w:val="center"/>
              <w:rPr>
                <w:rFonts w:hint="eastAsia" w:ascii="宋体" w:hAnsi="宋体" w:cs="宋体"/>
                <w:color w:val="auto"/>
                <w:szCs w:val="21"/>
                <w:highlight w:val="none"/>
                <w:u w:val="single"/>
              </w:rPr>
            </w:pPr>
            <w:r>
              <w:rPr>
                <w:rFonts w:hint="eastAsia" w:ascii="宋体" w:hAnsi="宋体" w:cs="宋体"/>
                <w:color w:val="auto"/>
                <w:szCs w:val="21"/>
                <w:highlight w:val="none"/>
              </w:rPr>
              <w:t>5、▲报价要求</w:t>
            </w:r>
          </w:p>
        </w:tc>
        <w:tc>
          <w:tcPr>
            <w:tcW w:w="4223" w:type="pct"/>
            <w:gridSpan w:val="4"/>
          </w:tcPr>
          <w:p w14:paraId="1BBE181D">
            <w:pPr>
              <w:widowControl/>
              <w:jc w:val="left"/>
              <w:rPr>
                <w:rFonts w:hint="eastAsia" w:ascii="宋体" w:hAnsi="宋体" w:cs="宋体"/>
                <w:color w:val="auto"/>
                <w:szCs w:val="21"/>
                <w:highlight w:val="none"/>
              </w:rPr>
            </w:pPr>
            <w:r>
              <w:rPr>
                <w:rFonts w:hint="eastAsia" w:ascii="宋体" w:hAnsi="宋体" w:cs="宋体"/>
                <w:color w:val="auto"/>
                <w:szCs w:val="21"/>
                <w:highlight w:val="none"/>
              </w:rPr>
              <w:t>1.本分标投标报价以统一的折扣系数报价：执行合同过程中，如遇市场价格变动幅度较大，可对采购单价进行调整，采用定额统筹供货和上限价弹性议价机制。</w:t>
            </w:r>
            <w:r>
              <w:rPr>
                <w:rFonts w:hint="eastAsia" w:ascii="宋体" w:hAnsi="宋体" w:cs="宋体"/>
                <w:b/>
                <w:bCs/>
                <w:color w:val="auto"/>
                <w:szCs w:val="21"/>
                <w:highlight w:val="none"/>
              </w:rPr>
              <w:t>合同执行前三个月内价格不变</w:t>
            </w:r>
            <w:r>
              <w:rPr>
                <w:rFonts w:hint="eastAsia" w:ascii="宋体" w:hAnsi="宋体" w:cs="宋体"/>
                <w:color w:val="auto"/>
                <w:szCs w:val="21"/>
                <w:highlight w:val="none"/>
              </w:rPr>
              <w:t>，前三个月结算价=每月实际采购数量×货物单价（货物单价=单价最高限价×折扣系数）；</w:t>
            </w:r>
            <w:r>
              <w:rPr>
                <w:rFonts w:hint="eastAsia" w:ascii="宋体" w:hAnsi="宋体" w:cs="宋体"/>
                <w:b/>
                <w:bCs/>
                <w:color w:val="auto"/>
                <w:szCs w:val="21"/>
                <w:highlight w:val="none"/>
              </w:rPr>
              <w:t>三个月后可以对市场价格变动幅度超过±20%的商品价格，进行单价最高限价的调整</w:t>
            </w:r>
            <w:r>
              <w:rPr>
                <w:rFonts w:hint="eastAsia" w:ascii="宋体" w:hAnsi="宋体" w:cs="宋体"/>
                <w:color w:val="auto"/>
                <w:szCs w:val="21"/>
                <w:highlight w:val="none"/>
              </w:rPr>
              <w:t>，调整后的结算价=每月实际采购数量×货物单价（货物单价=调整后的单价×折扣系数）；</w:t>
            </w:r>
            <w:r>
              <w:rPr>
                <w:rFonts w:hint="eastAsia" w:ascii="宋体" w:hAnsi="宋体" w:cs="宋体"/>
                <w:b/>
                <w:bCs/>
                <w:color w:val="auto"/>
                <w:szCs w:val="21"/>
                <w:highlight w:val="none"/>
                <w:lang w:eastAsia="zh-CN"/>
              </w:rPr>
              <w:t>合同期内调价次数不超过3次</w:t>
            </w:r>
            <w:r>
              <w:rPr>
                <w:rFonts w:hint="eastAsia" w:ascii="宋体" w:hAnsi="宋体" w:cs="宋体"/>
                <w:color w:val="auto"/>
                <w:szCs w:val="21"/>
                <w:highlight w:val="none"/>
              </w:rPr>
              <w:t>。例如：供应商所报折扣系数为80%，猪肉（后腿肉）的前三个月结算单价=19.00元/公斤×80%=15.20元/公斤；三个月后猪肉（后腿肉）的结算单价=调整后的单价×80%。</w:t>
            </w:r>
            <w:r>
              <w:rPr>
                <w:rFonts w:hint="eastAsia" w:ascii="宋体" w:hAnsi="宋体" w:cs="宋体"/>
                <w:b/>
                <w:bCs/>
                <w:color w:val="auto"/>
                <w:szCs w:val="21"/>
                <w:highlight w:val="none"/>
              </w:rPr>
              <w:t>投标人所报折扣系数＞100%时，投标无效</w:t>
            </w:r>
            <w:r>
              <w:rPr>
                <w:rFonts w:hint="eastAsia" w:ascii="宋体" w:hAnsi="宋体" w:cs="宋体"/>
                <w:color w:val="auto"/>
                <w:szCs w:val="21"/>
                <w:highlight w:val="none"/>
              </w:rPr>
              <w:t>。</w:t>
            </w:r>
          </w:p>
          <w:p w14:paraId="588B6100">
            <w:pPr>
              <w:widowControl/>
              <w:jc w:val="left"/>
              <w:rPr>
                <w:rFonts w:hint="eastAsia" w:ascii="宋体" w:hAnsi="宋体" w:cs="宋体"/>
                <w:color w:val="auto"/>
                <w:szCs w:val="21"/>
                <w:highlight w:val="none"/>
              </w:rPr>
            </w:pPr>
            <w:r>
              <w:rPr>
                <w:rFonts w:hint="eastAsia" w:ascii="宋体" w:hAnsi="宋体" w:cs="宋体"/>
                <w:color w:val="auto"/>
                <w:szCs w:val="21"/>
                <w:highlight w:val="none"/>
              </w:rPr>
              <w:t>2.本表所列数量仅作参考，最终采购数量以实际采购需求为准。</w:t>
            </w:r>
          </w:p>
          <w:p w14:paraId="6D18EC86">
            <w:pPr>
              <w:widowControl/>
              <w:jc w:val="left"/>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b/>
                <w:bCs/>
                <w:color w:val="auto"/>
                <w:szCs w:val="21"/>
                <w:highlight w:val="none"/>
              </w:rPr>
              <w:t>单价调整方式：</w:t>
            </w:r>
            <w:r>
              <w:rPr>
                <w:rFonts w:hint="eastAsia" w:ascii="宋体" w:hAnsi="宋体" w:cs="宋体"/>
                <w:color w:val="auto"/>
                <w:szCs w:val="21"/>
                <w:highlight w:val="none"/>
              </w:rPr>
              <w:t>由采购人在其所在地以询价方式，面向市场主体选择不少于3家具有代表性的调查对象进行市场询价调研（从以下市场或超市中随机抽取3家：梧州市龙圩区大圆塘市场，梧州市新兴市场，梧州市大塘市场，梧州市龙圩区龙人超市，梧州市沃尔玛超市，梧州市大润发超市），以调研的3个市场价格的平均值移交采购人的相关工作小组复核，报采购人单位党委审定，方可调整价格。原则上每三个月复核一次采购价格。投标人应充分考虑到供货期间物品供应基准单价上涨的风险（如有新的价格调动机制文件，按新的文件规定执行）。在调价申请未得到批复前，投标人必须按现行价格供货，否则视为单方违约，同时按违约进行处理。调价申请批复的价格作为重新确定的单价最高限价。</w:t>
            </w:r>
          </w:p>
          <w:p w14:paraId="0E298F67">
            <w:pPr>
              <w:widowControl/>
              <w:jc w:val="left"/>
              <w:rPr>
                <w:rFonts w:hint="eastAsia" w:ascii="宋体" w:hAnsi="宋体" w:cs="宋体"/>
                <w:color w:val="auto"/>
                <w:kern w:val="0"/>
                <w:szCs w:val="21"/>
                <w:highlight w:val="none"/>
                <w:lang w:bidi="ar"/>
              </w:rPr>
            </w:pPr>
            <w:r>
              <w:rPr>
                <w:rFonts w:hint="eastAsia" w:ascii="宋体" w:hAnsi="宋体" w:cs="宋体"/>
                <w:color w:val="auto"/>
                <w:szCs w:val="21"/>
                <w:highlight w:val="none"/>
              </w:rPr>
              <w:t>4.投标报价包括但不仅限于食品和货物的采买、打包、包装、搬运、运输、装卸等所需人工、第三方检验、劳动保险以及用工纠纷、人身损害、法律事务和相关事项处理等一切税金和费用。</w:t>
            </w:r>
          </w:p>
        </w:tc>
      </w:tr>
      <w:tr w14:paraId="57B6E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pct"/>
            <w:gridSpan w:val="2"/>
            <w:vAlign w:val="center"/>
          </w:tcPr>
          <w:p w14:paraId="55D37047">
            <w:pPr>
              <w:rPr>
                <w:rFonts w:hint="eastAsia" w:ascii="宋体" w:hAnsi="宋体" w:cs="宋体"/>
                <w:color w:val="auto"/>
                <w:szCs w:val="21"/>
                <w:highlight w:val="none"/>
                <w:u w:val="single"/>
              </w:rPr>
            </w:pPr>
            <w:r>
              <w:rPr>
                <w:rFonts w:hint="eastAsia" w:ascii="宋体" w:hAnsi="宋体" w:cs="宋体"/>
                <w:color w:val="auto"/>
                <w:szCs w:val="21"/>
                <w:highlight w:val="none"/>
              </w:rPr>
              <w:t>6、▲付款方式</w:t>
            </w:r>
          </w:p>
        </w:tc>
        <w:tc>
          <w:tcPr>
            <w:tcW w:w="4223" w:type="pct"/>
            <w:gridSpan w:val="4"/>
            <w:vAlign w:val="center"/>
          </w:tcPr>
          <w:p w14:paraId="068EE684">
            <w:pPr>
              <w:widowControl/>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按月结算，采购人按月进行公对公账户银行转账，以采购人实际购买的种类及数量据实核算。供应商必须提供详细的物品销售清单与采购人的收货单核对，无误后，由供应商按照采购人财务规定出具正式发票，采购人在收到供应商开具的发票后10个工作日内支付货款。</w:t>
            </w:r>
          </w:p>
          <w:p w14:paraId="76598146">
            <w:pPr>
              <w:pStyle w:val="25"/>
              <w:snapToGrid w:val="0"/>
              <w:rPr>
                <w:rFonts w:hint="eastAsia" w:hAnsi="宋体" w:cs="宋体"/>
                <w:color w:val="auto"/>
                <w:sz w:val="21"/>
                <w:highlight w:val="none"/>
              </w:rPr>
            </w:pPr>
            <w:r>
              <w:rPr>
                <w:rFonts w:hint="eastAsia" w:hAnsi="宋体" w:cs="宋体"/>
                <w:color w:val="auto"/>
                <w:sz w:val="21"/>
                <w:highlight w:val="none"/>
              </w:rPr>
              <w:t>2.采购人经市场调查发现供应商在合同服务期内存在提供假冒伪劣、有质量缺陷或非正品商品的情况，针对此情况，采购人将向供应商发出问责通知，问责通知发出两次后，供应商仍未能进行有效整改的，采购人有权终止合同，产生的损失由供应商自行负责。</w:t>
            </w:r>
          </w:p>
        </w:tc>
      </w:tr>
      <w:tr w14:paraId="02F29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pct"/>
            <w:gridSpan w:val="2"/>
            <w:vAlign w:val="center"/>
          </w:tcPr>
          <w:p w14:paraId="640450EE">
            <w:pPr>
              <w:rPr>
                <w:rFonts w:hint="eastAsia" w:ascii="宋体" w:hAnsi="宋体" w:cs="宋体"/>
                <w:color w:val="auto"/>
                <w:szCs w:val="21"/>
                <w:highlight w:val="none"/>
                <w:u w:val="single"/>
              </w:rPr>
            </w:pPr>
            <w:r>
              <w:rPr>
                <w:rFonts w:hint="eastAsia" w:ascii="宋体" w:hAnsi="宋体" w:cs="宋体"/>
                <w:color w:val="auto"/>
                <w:szCs w:val="21"/>
                <w:highlight w:val="none"/>
              </w:rPr>
              <w:t>7、▲配送要求</w:t>
            </w:r>
          </w:p>
        </w:tc>
        <w:tc>
          <w:tcPr>
            <w:tcW w:w="4223" w:type="pct"/>
            <w:gridSpan w:val="4"/>
            <w:vAlign w:val="center"/>
          </w:tcPr>
          <w:p w14:paraId="3B7370CE">
            <w:pPr>
              <w:pStyle w:val="18"/>
              <w:rPr>
                <w:rFonts w:hint="eastAsia" w:ascii="宋体" w:hAnsi="宋体" w:cs="宋体"/>
                <w:color w:val="auto"/>
                <w:szCs w:val="21"/>
                <w:highlight w:val="none"/>
              </w:rPr>
            </w:pPr>
            <w:r>
              <w:rPr>
                <w:rFonts w:hint="eastAsia" w:ascii="宋体" w:hAnsi="宋体" w:cs="宋体"/>
                <w:color w:val="auto"/>
                <w:szCs w:val="21"/>
                <w:highlight w:val="none"/>
              </w:rPr>
              <w:t>1.中标供应商必须按照采购人食堂采购人员通知的时间、数量、品种、品质要求及协定的价格准时送货，经验收合格后签字确认，不能以任何理由推脱，一旦影响到采购人食堂的正常运转，中标供应商应承担相应的经济赔偿。</w:t>
            </w:r>
          </w:p>
          <w:p w14:paraId="3866020B">
            <w:pPr>
              <w:pStyle w:val="18"/>
              <w:rPr>
                <w:rFonts w:hint="eastAsia" w:ascii="宋体" w:hAnsi="宋体" w:cs="宋体"/>
                <w:color w:val="auto"/>
                <w:szCs w:val="21"/>
                <w:highlight w:val="none"/>
              </w:rPr>
            </w:pPr>
            <w:r>
              <w:rPr>
                <w:rFonts w:hint="eastAsia" w:ascii="宋体" w:hAnsi="宋体" w:cs="宋体"/>
                <w:color w:val="auto"/>
                <w:szCs w:val="21"/>
                <w:highlight w:val="none"/>
              </w:rPr>
              <w:t>2.中标供应商必须在双方约定的时间内将货物送到采购人指定的地点，运输费用由中标供应商承担，如出现不合格、损坏的情况，由中标供应商负责及时调换。</w:t>
            </w:r>
          </w:p>
          <w:p w14:paraId="37FD401B">
            <w:pPr>
              <w:pStyle w:val="18"/>
              <w:rPr>
                <w:rFonts w:hint="eastAsia" w:ascii="宋体" w:hAnsi="宋体" w:cs="宋体"/>
                <w:color w:val="auto"/>
                <w:szCs w:val="21"/>
                <w:highlight w:val="none"/>
              </w:rPr>
            </w:pPr>
            <w:r>
              <w:rPr>
                <w:rFonts w:hint="eastAsia" w:ascii="宋体" w:hAnsi="宋体" w:cs="宋体"/>
                <w:color w:val="auto"/>
                <w:szCs w:val="21"/>
                <w:highlight w:val="none"/>
              </w:rPr>
              <w:t>3.在收到采购人发出订货通知后，中标供应商最迟在次日上午08：00（北京时间）提供当次现场供货。</w:t>
            </w:r>
          </w:p>
          <w:p w14:paraId="733C883C">
            <w:pPr>
              <w:pStyle w:val="18"/>
              <w:rPr>
                <w:rFonts w:hint="eastAsia" w:ascii="宋体" w:hAnsi="宋体" w:cs="宋体"/>
                <w:color w:val="auto"/>
                <w:szCs w:val="21"/>
                <w:highlight w:val="none"/>
              </w:rPr>
            </w:pPr>
            <w:r>
              <w:rPr>
                <w:rFonts w:hint="eastAsia" w:ascii="宋体" w:hAnsi="宋体" w:cs="宋体"/>
                <w:color w:val="auto"/>
                <w:szCs w:val="21"/>
                <w:highlight w:val="none"/>
              </w:rPr>
              <w:t>4.紧急供货要求：在收到采购人发出紧急供货通知后，中标供应商最迟2小时内完成当次现场供货。</w:t>
            </w:r>
          </w:p>
          <w:p w14:paraId="58D85A62">
            <w:pPr>
              <w:widowControl/>
              <w:jc w:val="left"/>
              <w:rPr>
                <w:rFonts w:hint="eastAsia" w:ascii="宋体" w:hAnsi="宋体" w:cs="宋体"/>
                <w:color w:val="auto"/>
                <w:szCs w:val="21"/>
                <w:highlight w:val="none"/>
              </w:rPr>
            </w:pPr>
            <w:r>
              <w:rPr>
                <w:rFonts w:hint="eastAsia" w:ascii="宋体" w:hAnsi="宋体" w:cs="宋体"/>
                <w:color w:val="auto"/>
                <w:szCs w:val="21"/>
                <w:highlight w:val="none"/>
              </w:rPr>
              <w:t>5.中标供应商必须由有健康证的固定人员及车辆长期送货。为确保运输过程的食品安全，必须使用公司自有或租赁车辆，安排专人专车送货，并提供送货人员健康证明及无犯罪记录证明材料，不安排固定车辆人员送货的，每次扣除履约保证金800.00元，履约保证金不足中标金额2%的，由中标供应商在5个工作日内补齐。</w:t>
            </w:r>
          </w:p>
          <w:p w14:paraId="4E5D6568">
            <w:pPr>
              <w:rPr>
                <w:rFonts w:hint="eastAsia" w:ascii="宋体" w:hAnsi="宋体" w:cs="宋体"/>
                <w:color w:val="auto"/>
                <w:szCs w:val="21"/>
                <w:highlight w:val="none"/>
              </w:rPr>
            </w:pPr>
            <w:r>
              <w:rPr>
                <w:rFonts w:hint="eastAsia" w:ascii="宋体" w:hAnsi="宋体" w:cs="宋体"/>
                <w:color w:val="auto"/>
                <w:szCs w:val="21"/>
                <w:highlight w:val="none"/>
              </w:rPr>
              <w:t>6.为确保运输过程的食品安全，送货时</w:t>
            </w:r>
            <w:r>
              <w:rPr>
                <w:rFonts w:hint="eastAsia" w:ascii="宋体" w:hAnsi="宋体" w:cs="宋体"/>
                <w:color w:val="auto"/>
                <w:szCs w:val="21"/>
                <w:highlight w:val="none"/>
                <w:lang w:val="en-US" w:eastAsia="zh-CN"/>
              </w:rPr>
              <w:t>至少配备1辆</w:t>
            </w:r>
            <w:r>
              <w:rPr>
                <w:rFonts w:hint="eastAsia" w:ascii="宋体" w:hAnsi="宋体" w:cs="宋体"/>
                <w:color w:val="auto"/>
                <w:szCs w:val="21"/>
                <w:highlight w:val="none"/>
              </w:rPr>
              <w:t>冷藏车或冷链车。</w:t>
            </w:r>
          </w:p>
        </w:tc>
      </w:tr>
      <w:tr w14:paraId="47D7D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pct"/>
            <w:gridSpan w:val="2"/>
            <w:vAlign w:val="center"/>
          </w:tcPr>
          <w:p w14:paraId="3C18C562">
            <w:pPr>
              <w:jc w:val="center"/>
              <w:rPr>
                <w:rFonts w:hint="eastAsia" w:ascii="宋体" w:hAnsi="宋体" w:cs="宋体"/>
                <w:color w:val="auto"/>
                <w:szCs w:val="21"/>
                <w:highlight w:val="none"/>
                <w:u w:val="single"/>
              </w:rPr>
            </w:pPr>
            <w:r>
              <w:rPr>
                <w:rFonts w:hint="eastAsia" w:ascii="宋体" w:hAnsi="宋体" w:cs="宋体"/>
                <w:color w:val="auto"/>
                <w:szCs w:val="21"/>
                <w:highlight w:val="none"/>
              </w:rPr>
              <w:t>8、▲其他要求</w:t>
            </w:r>
          </w:p>
        </w:tc>
        <w:tc>
          <w:tcPr>
            <w:tcW w:w="8128" w:type="dxa"/>
            <w:gridSpan w:val="4"/>
            <w:vAlign w:val="center"/>
          </w:tcPr>
          <w:p w14:paraId="2DDBB6AF">
            <w:pPr>
              <w:rPr>
                <w:rFonts w:hint="eastAsia" w:ascii="宋体" w:hAnsi="宋体" w:cs="宋体"/>
                <w:color w:val="auto"/>
                <w:szCs w:val="21"/>
                <w:highlight w:val="none"/>
              </w:rPr>
            </w:pPr>
            <w:r>
              <w:rPr>
                <w:rFonts w:hint="eastAsia" w:ascii="宋体" w:hAnsi="宋体" w:cs="宋体"/>
                <w:color w:val="auto"/>
                <w:szCs w:val="21"/>
                <w:highlight w:val="none"/>
              </w:rPr>
              <w:t>1.投标人中标后提供的货物必须是具有合法销售途径的、完整、新鲜合格产品。货物的技术质量必须符合中华人民共和国农产品质量安全法等有关规定。</w:t>
            </w:r>
          </w:p>
          <w:p w14:paraId="44FFD040">
            <w:pPr>
              <w:rPr>
                <w:rFonts w:hint="eastAsia" w:ascii="宋体" w:hAnsi="宋体" w:cs="宋体"/>
                <w:color w:val="auto"/>
                <w:szCs w:val="21"/>
                <w:highlight w:val="none"/>
              </w:rPr>
            </w:pPr>
            <w:r>
              <w:rPr>
                <w:rFonts w:hint="eastAsia" w:ascii="宋体" w:hAnsi="宋体" w:cs="宋体"/>
                <w:color w:val="auto"/>
                <w:szCs w:val="21"/>
                <w:highlight w:val="none"/>
              </w:rPr>
              <w:t>2.供货时，中标人必须提供以下证明文件：</w:t>
            </w:r>
          </w:p>
          <w:p w14:paraId="67A613FD">
            <w:pPr>
              <w:rPr>
                <w:rFonts w:hint="eastAsia" w:ascii="宋体" w:hAnsi="宋体" w:cs="宋体"/>
                <w:color w:val="auto"/>
                <w:szCs w:val="21"/>
                <w:highlight w:val="none"/>
              </w:rPr>
            </w:pPr>
            <w:r>
              <w:rPr>
                <w:rFonts w:hint="eastAsia" w:ascii="宋体" w:hAnsi="宋体" w:cs="宋体"/>
                <w:color w:val="auto"/>
                <w:szCs w:val="21"/>
                <w:highlight w:val="none"/>
              </w:rPr>
              <w:t>（1）每批货物必须提供相关的质量安全检验合格证明。</w:t>
            </w:r>
          </w:p>
          <w:p w14:paraId="18C1E0D0">
            <w:pPr>
              <w:rPr>
                <w:rFonts w:hint="eastAsia" w:ascii="宋体" w:hAnsi="宋体" w:cs="宋体"/>
                <w:color w:val="auto"/>
                <w:szCs w:val="21"/>
                <w:highlight w:val="none"/>
              </w:rPr>
            </w:pPr>
            <w:r>
              <w:rPr>
                <w:rFonts w:hint="eastAsia" w:ascii="宋体" w:hAnsi="宋体" w:cs="宋体"/>
                <w:color w:val="auto"/>
                <w:szCs w:val="21"/>
                <w:highlight w:val="none"/>
              </w:rPr>
              <w:t>（2）投标人中标后每次随货物送上一式两份的送货清单，经双方验收合格后签字确认，双方各执一份，作为送收货凭证。中标人的送货清单必须详细注明商品的单价、数量，送货清单不得涂改。标记不清的，采购人将拒绝签收。合同期末中标人还应提供整个合同期内的所有送货清单供采购人结算。</w:t>
            </w:r>
          </w:p>
          <w:p w14:paraId="0B261A17">
            <w:pPr>
              <w:rPr>
                <w:rFonts w:hint="eastAsia" w:ascii="宋体" w:hAnsi="宋体" w:cs="宋体"/>
                <w:color w:val="auto"/>
                <w:szCs w:val="21"/>
                <w:highlight w:val="none"/>
              </w:rPr>
            </w:pPr>
            <w:r>
              <w:rPr>
                <w:rFonts w:hint="eastAsia" w:ascii="宋体" w:hAnsi="宋体" w:cs="宋体"/>
                <w:color w:val="auto"/>
                <w:szCs w:val="21"/>
                <w:highlight w:val="none"/>
              </w:rPr>
              <w:t>3.交货验收必须由采购人和中标人共同进行，采购人如认为有需要的，可委托相关检验部门对产品进行抽检，自检或检验部门抽检不合格的不给予验收，影响采购人实施进度的将追究相关责任，抽检所产生的费用全部由中标人负责。</w:t>
            </w:r>
          </w:p>
          <w:p w14:paraId="39C18A45">
            <w:pPr>
              <w:rPr>
                <w:rFonts w:hint="eastAsia" w:ascii="宋体" w:hAnsi="宋体" w:cs="宋体"/>
                <w:color w:val="auto"/>
                <w:szCs w:val="21"/>
                <w:highlight w:val="none"/>
              </w:rPr>
            </w:pPr>
            <w:r>
              <w:rPr>
                <w:rFonts w:hint="eastAsia" w:ascii="宋体" w:hAnsi="宋体" w:cs="宋体"/>
                <w:color w:val="auto"/>
                <w:szCs w:val="21"/>
                <w:highlight w:val="none"/>
              </w:rPr>
              <w:t>4.验收工作的一般程序为：根据货物采购清单的具体要求，对所购名称进行清点、外观检查进行实测，并逐项记录。检测结束后，验收人员在验收单上签字。对未能通过验收的，一律退货、更换直至验收合格。</w:t>
            </w:r>
          </w:p>
          <w:p w14:paraId="265F4CFF">
            <w:pPr>
              <w:rPr>
                <w:rFonts w:hint="eastAsia" w:ascii="宋体" w:hAnsi="宋体" w:cs="宋体"/>
                <w:color w:val="auto"/>
                <w:szCs w:val="21"/>
                <w:highlight w:val="none"/>
              </w:rPr>
            </w:pPr>
            <w:r>
              <w:rPr>
                <w:rFonts w:hint="eastAsia" w:ascii="宋体" w:hAnsi="宋体" w:cs="宋体"/>
                <w:color w:val="auto"/>
                <w:szCs w:val="21"/>
                <w:highlight w:val="none"/>
              </w:rPr>
              <w:t>5.投标人中标后不得泄露采购人的相关秘密。泄密造成采购人损失的，中标人将承担由此产生的一切损失和法律责任。</w:t>
            </w:r>
          </w:p>
          <w:p w14:paraId="40A8103C">
            <w:pPr>
              <w:rPr>
                <w:rFonts w:hint="eastAsia" w:ascii="宋体" w:hAnsi="宋体" w:cs="宋体"/>
                <w:color w:val="auto"/>
                <w:szCs w:val="21"/>
                <w:highlight w:val="none"/>
              </w:rPr>
            </w:pPr>
            <w:r>
              <w:rPr>
                <w:rFonts w:hint="eastAsia" w:ascii="宋体" w:hAnsi="宋体" w:cs="宋体"/>
                <w:color w:val="auto"/>
                <w:szCs w:val="21"/>
                <w:highlight w:val="none"/>
              </w:rPr>
              <w:t>6.安全责任方面要求</w:t>
            </w:r>
          </w:p>
          <w:p w14:paraId="1772D885">
            <w:pPr>
              <w:rPr>
                <w:rFonts w:hint="eastAsia" w:ascii="宋体" w:hAnsi="宋体" w:cs="宋体"/>
                <w:color w:val="auto"/>
                <w:szCs w:val="21"/>
                <w:highlight w:val="none"/>
              </w:rPr>
            </w:pPr>
            <w:r>
              <w:rPr>
                <w:rFonts w:hint="eastAsia" w:ascii="宋体" w:hAnsi="宋体" w:cs="宋体"/>
                <w:color w:val="auto"/>
                <w:szCs w:val="21"/>
                <w:highlight w:val="none"/>
              </w:rPr>
              <w:t>1）投标人中标后应保证所提供的食品必须是合格安全的食品，因其所送的食品造成食物中毒等事故，立即终止合同，中标人应承担全部责任，同时通过法律途径解决。</w:t>
            </w:r>
          </w:p>
          <w:p w14:paraId="681D03CA">
            <w:pPr>
              <w:rPr>
                <w:rFonts w:hint="eastAsia" w:ascii="宋体" w:hAnsi="宋体" w:cs="宋体"/>
                <w:color w:val="auto"/>
                <w:szCs w:val="21"/>
                <w:highlight w:val="none"/>
              </w:rPr>
            </w:pPr>
            <w:r>
              <w:rPr>
                <w:rFonts w:hint="eastAsia" w:ascii="宋体" w:hAnsi="宋体" w:cs="宋体"/>
                <w:color w:val="auto"/>
                <w:szCs w:val="21"/>
                <w:highlight w:val="none"/>
              </w:rPr>
              <w:t>2）投标人中标后应严格遵守《中华人民共和国食品安全法》等相关规定，一经发现以下食品，除全部退货外，将取消供货资格，中标人并承担由此造成的经济责任和法律责任：</w:t>
            </w:r>
          </w:p>
          <w:p w14:paraId="05A43165">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1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①</w:t>
            </w:r>
            <w:r>
              <w:rPr>
                <w:rFonts w:hint="eastAsia" w:ascii="宋体" w:hAnsi="宋体" w:cs="宋体"/>
                <w:color w:val="auto"/>
                <w:szCs w:val="21"/>
                <w:highlight w:val="none"/>
              </w:rPr>
              <w:fldChar w:fldCharType="end"/>
            </w:r>
            <w:r>
              <w:rPr>
                <w:rFonts w:hint="eastAsia" w:ascii="宋体" w:hAnsi="宋体" w:cs="宋体"/>
                <w:color w:val="auto"/>
                <w:szCs w:val="21"/>
                <w:highlight w:val="none"/>
              </w:rPr>
              <w:t>食材没有合法供货来源的；</w:t>
            </w:r>
          </w:p>
          <w:p w14:paraId="5B3B4245">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2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②</w:t>
            </w:r>
            <w:r>
              <w:rPr>
                <w:rFonts w:hint="eastAsia" w:ascii="宋体" w:hAnsi="宋体" w:cs="宋体"/>
                <w:color w:val="auto"/>
                <w:szCs w:val="21"/>
                <w:highlight w:val="none"/>
              </w:rPr>
              <w:fldChar w:fldCharType="end"/>
            </w:r>
            <w:r>
              <w:rPr>
                <w:rFonts w:hint="eastAsia" w:ascii="宋体" w:hAnsi="宋体" w:cs="宋体"/>
                <w:color w:val="auto"/>
                <w:szCs w:val="21"/>
                <w:highlight w:val="none"/>
              </w:rPr>
              <w:t>腐败变质、霉变、生虫、污秽不洁、混有异物或者其他感官性状异常，对人体健康有害的；</w:t>
            </w:r>
          </w:p>
          <w:p w14:paraId="60B7A926">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3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③</w:t>
            </w:r>
            <w:r>
              <w:rPr>
                <w:rFonts w:hint="eastAsia" w:ascii="宋体" w:hAnsi="宋体" w:cs="宋体"/>
                <w:color w:val="auto"/>
                <w:szCs w:val="21"/>
                <w:highlight w:val="none"/>
              </w:rPr>
              <w:fldChar w:fldCharType="end"/>
            </w:r>
            <w:r>
              <w:rPr>
                <w:rFonts w:hint="eastAsia" w:ascii="宋体" w:hAnsi="宋体" w:cs="宋体"/>
                <w:color w:val="auto"/>
                <w:szCs w:val="21"/>
                <w:highlight w:val="none"/>
              </w:rPr>
              <w:t>含有毒、有害物质或者被有害物质污染，对人体健康有害的；</w:t>
            </w:r>
          </w:p>
          <w:p w14:paraId="1411199E">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4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④</w:t>
            </w:r>
            <w:r>
              <w:rPr>
                <w:rFonts w:hint="eastAsia" w:ascii="宋体" w:hAnsi="宋体" w:cs="宋体"/>
                <w:color w:val="auto"/>
                <w:szCs w:val="21"/>
                <w:highlight w:val="none"/>
              </w:rPr>
              <w:fldChar w:fldCharType="end"/>
            </w:r>
            <w:r>
              <w:rPr>
                <w:rFonts w:hint="eastAsia" w:ascii="宋体" w:hAnsi="宋体" w:cs="宋体"/>
                <w:color w:val="auto"/>
                <w:szCs w:val="21"/>
                <w:highlight w:val="none"/>
              </w:rPr>
              <w:t>含有致病性寄生虫、微生物或者微生物含量超过国家限定标准的；</w:t>
            </w:r>
          </w:p>
          <w:p w14:paraId="03B0A3D1">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5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⑤</w:t>
            </w:r>
            <w:r>
              <w:rPr>
                <w:rFonts w:hint="eastAsia" w:ascii="宋体" w:hAnsi="宋体" w:cs="宋体"/>
                <w:color w:val="auto"/>
                <w:szCs w:val="21"/>
                <w:highlight w:val="none"/>
              </w:rPr>
              <w:fldChar w:fldCharType="end"/>
            </w:r>
            <w:r>
              <w:rPr>
                <w:rFonts w:hint="eastAsia" w:ascii="宋体" w:hAnsi="宋体" w:cs="宋体"/>
                <w:color w:val="auto"/>
                <w:szCs w:val="21"/>
                <w:highlight w:val="none"/>
              </w:rPr>
              <w:t>掺假、掺杂、伪造，影响营养、卫生的；</w:t>
            </w:r>
          </w:p>
          <w:p w14:paraId="549E156C">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6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⑥</w:t>
            </w:r>
            <w:r>
              <w:rPr>
                <w:rFonts w:hint="eastAsia" w:ascii="宋体" w:hAnsi="宋体" w:cs="宋体"/>
                <w:color w:val="auto"/>
                <w:szCs w:val="21"/>
                <w:highlight w:val="none"/>
              </w:rPr>
              <w:fldChar w:fldCharType="end"/>
            </w:r>
            <w:r>
              <w:rPr>
                <w:rFonts w:hint="eastAsia" w:ascii="宋体" w:hAnsi="宋体" w:cs="宋体"/>
                <w:color w:val="auto"/>
                <w:szCs w:val="21"/>
                <w:highlight w:val="none"/>
              </w:rPr>
              <w:t>未经检疫部门检疫、检验或者检疫、检验不合格的肉类；</w:t>
            </w:r>
          </w:p>
          <w:p w14:paraId="0FEF6C4B">
            <w:pPr>
              <w:widowControl/>
              <w:jc w:val="left"/>
              <w:rPr>
                <w:rFonts w:hint="eastAsia" w:ascii="宋体" w:hAnsi="宋体" w:cs="宋体"/>
                <w:color w:val="auto"/>
                <w:kern w:val="0"/>
                <w:szCs w:val="21"/>
                <w:highlight w:val="none"/>
                <w:lang w:bidi="ar"/>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7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⑦</w:t>
            </w:r>
            <w:r>
              <w:rPr>
                <w:rFonts w:hint="eastAsia" w:ascii="宋体" w:hAnsi="宋体" w:cs="宋体"/>
                <w:color w:val="auto"/>
                <w:szCs w:val="21"/>
                <w:highlight w:val="none"/>
              </w:rPr>
              <w:fldChar w:fldCharType="end"/>
            </w:r>
            <w:r>
              <w:rPr>
                <w:rFonts w:hint="eastAsia" w:ascii="宋体" w:hAnsi="宋体" w:cs="宋体"/>
                <w:color w:val="auto"/>
                <w:szCs w:val="21"/>
                <w:highlight w:val="none"/>
              </w:rPr>
              <w:t>病死、毒死或者死因不明的肉类。</w:t>
            </w:r>
          </w:p>
          <w:p w14:paraId="2F23BE2E">
            <w:pPr>
              <w:pStyle w:val="3"/>
              <w:spacing w:line="240" w:lineRule="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7.“供应商同意遵守《广西监狱罪犯生活物资供货商考核管理办法》，招标文件未尽事项按照《广西监狱罪犯生活物资供货商考核管理办法》执行”详见附件1。</w:t>
            </w:r>
          </w:p>
          <w:p w14:paraId="04F6BACF">
            <w:pPr>
              <w:pStyle w:val="3"/>
              <w:spacing w:line="240" w:lineRule="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8.本分标所公布的采购数量为采购人一年的预计采购暂估数量，实际采购数量由采购人根据实际需要确定，中标人不得因实际供应量与暂估数量不一致提出异议。</w:t>
            </w:r>
          </w:p>
          <w:p w14:paraId="49E1B54C">
            <w:pPr>
              <w:pStyle w:val="3"/>
              <w:spacing w:line="240" w:lineRule="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9.本分标标的中如涉及国家、地方有关部门规定的产品生产厂家需办理相关证件的（如《食品生产许可证》等相关的证件），中标人所供应的标的生产厂家须按相关规定办理，否则采购人有权不予验收。如遇有关部门检查需出示相关证件的，中标人应配合采购人检查，并按要求出示相关证件，如未能按有关部门规定出示相关证件或所出具的证件不合格导致采购人受有关部门处罚的，中标人应承担采购人相应的损失，并按违约处理。</w:t>
            </w:r>
          </w:p>
          <w:p w14:paraId="33C3F8D8">
            <w:pPr>
              <w:rPr>
                <w:color w:val="auto"/>
                <w:highlight w:val="none"/>
              </w:rPr>
            </w:pPr>
            <w:r>
              <w:rPr>
                <w:rFonts w:hint="eastAsia" w:ascii="宋体" w:hAnsi="宋体" w:cs="宋体"/>
                <w:b/>
                <w:bCs/>
                <w:color w:val="auto"/>
                <w:kern w:val="0"/>
                <w:szCs w:val="21"/>
                <w:highlight w:val="none"/>
              </w:rPr>
              <w:t>10.本分标合同执行6个月后，如遇上级主管部门重大采购政策调整，合同可以提前终止。</w:t>
            </w:r>
          </w:p>
        </w:tc>
      </w:tr>
      <w:tr w14:paraId="62111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27CF6A35">
            <w:pPr>
              <w:tabs>
                <w:tab w:val="left" w:pos="180"/>
                <w:tab w:val="left" w:pos="1620"/>
              </w:tabs>
              <w:rPr>
                <w:rFonts w:hint="eastAsia" w:ascii="宋体" w:hAnsi="宋体" w:cs="宋体"/>
                <w:color w:val="auto"/>
                <w:kern w:val="0"/>
                <w:szCs w:val="21"/>
                <w:highlight w:val="none"/>
              </w:rPr>
            </w:pPr>
            <w:r>
              <w:rPr>
                <w:rFonts w:hint="eastAsia" w:ascii="宋体" w:hAnsi="宋体" w:cs="宋体"/>
                <w:b/>
                <w:bCs/>
                <w:color w:val="auto"/>
                <w:sz w:val="24"/>
                <w:highlight w:val="none"/>
              </w:rPr>
              <w:t>三、进口产品说明</w:t>
            </w:r>
          </w:p>
        </w:tc>
      </w:tr>
      <w:tr w14:paraId="49135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08182A76">
            <w:pPr>
              <w:pStyle w:val="3"/>
              <w:spacing w:line="240" w:lineRule="auto"/>
              <w:rPr>
                <w:rFonts w:hint="eastAsia" w:ascii="宋体" w:hAnsi="宋体" w:cs="宋体"/>
                <w:color w:val="auto"/>
                <w:sz w:val="21"/>
                <w:szCs w:val="21"/>
                <w:highlight w:val="none"/>
              </w:rPr>
            </w:pPr>
            <w:r>
              <w:rPr>
                <w:rFonts w:hint="eastAsia" w:ascii="宋体" w:hAnsi="宋体" w:cs="宋体"/>
                <w:b/>
                <w:bCs/>
                <w:color w:val="auto"/>
                <w:sz w:val="21"/>
                <w:szCs w:val="21"/>
                <w:highlight w:val="none"/>
              </w:rPr>
              <w:t>▲本项目货物不接受进口产品投标（即通过中国海关报关验放进入中国境内且产自关境外的产品），如有此类产品参与投标的作无效投标处理。</w:t>
            </w:r>
          </w:p>
        </w:tc>
      </w:tr>
    </w:tbl>
    <w:p w14:paraId="5F540671">
      <w:pPr>
        <w:rPr>
          <w:rFonts w:hint="eastAsia" w:ascii="宋体" w:hAnsi="宋体" w:cs="宋体"/>
          <w:b/>
          <w:bCs/>
          <w:color w:val="auto"/>
          <w:sz w:val="24"/>
          <w:highlight w:val="none"/>
        </w:rPr>
      </w:pPr>
      <w:r>
        <w:rPr>
          <w:rFonts w:hint="eastAsia" w:ascii="宋体" w:hAnsi="宋体" w:cs="宋体"/>
          <w:b/>
          <w:bCs/>
          <w:color w:val="auto"/>
          <w:sz w:val="24"/>
          <w:highlight w:val="none"/>
        </w:rPr>
        <w:br w:type="page"/>
      </w:r>
    </w:p>
    <w:p w14:paraId="1FD97B2B">
      <w:pPr>
        <w:ind w:firstLine="422" w:firstLineChars="175"/>
        <w:rPr>
          <w:rFonts w:hint="eastAsia" w:ascii="宋体" w:hAnsi="宋体" w:cs="宋体"/>
          <w:b/>
          <w:bCs/>
          <w:color w:val="auto"/>
          <w:sz w:val="24"/>
          <w:highlight w:val="none"/>
        </w:rPr>
      </w:pPr>
      <w:r>
        <w:rPr>
          <w:rFonts w:hint="eastAsia" w:ascii="宋体" w:hAnsi="宋体" w:cs="宋体"/>
          <w:b/>
          <w:bCs/>
          <w:color w:val="auto"/>
          <w:sz w:val="24"/>
          <w:highlight w:val="none"/>
        </w:rPr>
        <w:t>分标4：                            采购预算：</w:t>
      </w:r>
      <w:r>
        <w:rPr>
          <w:rFonts w:hint="eastAsia" w:ascii="宋体" w:hAnsi="宋体" w:cs="宋体"/>
          <w:b/>
          <w:bCs/>
          <w:color w:val="auto"/>
          <w:sz w:val="24"/>
          <w:highlight w:val="none"/>
          <w:lang w:eastAsia="zh-CN"/>
        </w:rPr>
        <w:t>1401780.00</w:t>
      </w:r>
      <w:r>
        <w:rPr>
          <w:rFonts w:hint="eastAsia" w:ascii="宋体" w:hAnsi="宋体" w:cs="宋体"/>
          <w:b/>
          <w:bCs/>
          <w:color w:val="auto"/>
          <w:sz w:val="24"/>
          <w:highlight w:val="none"/>
        </w:rPr>
        <w:t>元</w:t>
      </w:r>
    </w:p>
    <w:p w14:paraId="694A58FF">
      <w:pPr>
        <w:ind w:firstLine="422" w:firstLineChars="175"/>
        <w:rPr>
          <w:rFonts w:hint="eastAsia" w:ascii="宋体" w:hAnsi="宋体" w:cs="宋体"/>
          <w:b/>
          <w:bCs/>
          <w:color w:val="auto"/>
          <w:sz w:val="24"/>
          <w:highlight w:val="none"/>
        </w:rPr>
      </w:pPr>
      <w:r>
        <w:rPr>
          <w:rFonts w:hint="eastAsia" w:ascii="宋体" w:hAnsi="宋体" w:cs="宋体"/>
          <w:b/>
          <w:bCs/>
          <w:color w:val="auto"/>
          <w:sz w:val="24"/>
          <w:highlight w:val="none"/>
        </w:rPr>
        <w:t>本分标的核心产品为下表的第</w:t>
      </w:r>
      <w:r>
        <w:rPr>
          <w:rFonts w:hint="eastAsia" w:ascii="宋体" w:hAnsi="宋体" w:cs="宋体"/>
          <w:b/>
          <w:bCs/>
          <w:color w:val="auto"/>
          <w:sz w:val="24"/>
          <w:highlight w:val="none"/>
          <w:u w:val="single"/>
        </w:rPr>
        <w:t xml:space="preserve"> 1 </w:t>
      </w:r>
      <w:r>
        <w:rPr>
          <w:rFonts w:hint="eastAsia" w:ascii="宋体" w:hAnsi="宋体" w:cs="宋体"/>
          <w:b/>
          <w:bCs/>
          <w:color w:val="auto"/>
          <w:sz w:val="24"/>
          <w:highlight w:val="none"/>
        </w:rPr>
        <w:t>项产品。</w:t>
      </w:r>
    </w:p>
    <w:tbl>
      <w:tblPr>
        <w:tblStyle w:val="48"/>
        <w:tblW w:w="48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016"/>
        <w:gridCol w:w="1161"/>
        <w:gridCol w:w="718"/>
        <w:gridCol w:w="909"/>
        <w:gridCol w:w="5380"/>
      </w:tblGrid>
      <w:tr w14:paraId="18188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726177F4">
            <w:pPr>
              <w:tabs>
                <w:tab w:val="left" w:pos="180"/>
                <w:tab w:val="left" w:pos="1620"/>
              </w:tabs>
              <w:jc w:val="center"/>
              <w:rPr>
                <w:rFonts w:hint="eastAsia" w:ascii="宋体" w:hAnsi="宋体" w:cs="宋体"/>
                <w:b/>
                <w:color w:val="auto"/>
                <w:sz w:val="24"/>
                <w:highlight w:val="none"/>
              </w:rPr>
            </w:pPr>
            <w:r>
              <w:rPr>
                <w:rFonts w:hint="eastAsia" w:ascii="宋体" w:hAnsi="宋体" w:cs="宋体"/>
                <w:b/>
                <w:color w:val="auto"/>
                <w:sz w:val="24"/>
                <w:highlight w:val="none"/>
              </w:rPr>
              <w:t>货物需求一览表</w:t>
            </w:r>
          </w:p>
        </w:tc>
      </w:tr>
      <w:tr w14:paraId="2ED5E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24468A6C">
            <w:pPr>
              <w:tabs>
                <w:tab w:val="left" w:pos="180"/>
                <w:tab w:val="left" w:pos="1620"/>
              </w:tabs>
              <w:rPr>
                <w:rFonts w:hint="eastAsia" w:ascii="宋体" w:hAnsi="宋体" w:cs="宋体"/>
                <w:b/>
                <w:bCs/>
                <w:color w:val="auto"/>
                <w:sz w:val="24"/>
                <w:highlight w:val="none"/>
              </w:rPr>
            </w:pPr>
            <w:r>
              <w:rPr>
                <w:rFonts w:hint="eastAsia" w:ascii="宋体" w:hAnsi="宋体" w:cs="宋体"/>
                <w:b/>
                <w:bCs/>
                <w:color w:val="auto"/>
                <w:sz w:val="24"/>
                <w:highlight w:val="none"/>
              </w:rPr>
              <w:t>一、采购标的及技术需求</w:t>
            </w:r>
          </w:p>
        </w:tc>
      </w:tr>
      <w:tr w14:paraId="01225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222" w:type="pct"/>
            <w:vAlign w:val="center"/>
          </w:tcPr>
          <w:p w14:paraId="2DCC7E4D">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bCs/>
                <w:color w:val="auto"/>
                <w:szCs w:val="21"/>
                <w:highlight w:val="none"/>
              </w:rPr>
              <w:t>项号</w:t>
            </w:r>
          </w:p>
        </w:tc>
        <w:tc>
          <w:tcPr>
            <w:tcW w:w="529" w:type="pct"/>
            <w:vAlign w:val="center"/>
          </w:tcPr>
          <w:p w14:paraId="25378B20">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bCs/>
                <w:color w:val="auto"/>
                <w:szCs w:val="21"/>
                <w:highlight w:val="none"/>
              </w:rPr>
              <w:t>货物（标的）名称</w:t>
            </w:r>
          </w:p>
        </w:tc>
        <w:tc>
          <w:tcPr>
            <w:tcW w:w="603" w:type="pct"/>
            <w:vAlign w:val="center"/>
          </w:tcPr>
          <w:p w14:paraId="0012B97D">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bCs/>
                <w:color w:val="auto"/>
                <w:szCs w:val="21"/>
                <w:highlight w:val="none"/>
              </w:rPr>
              <w:t>数量</w:t>
            </w:r>
          </w:p>
        </w:tc>
        <w:tc>
          <w:tcPr>
            <w:tcW w:w="374" w:type="pct"/>
            <w:vAlign w:val="center"/>
          </w:tcPr>
          <w:p w14:paraId="42F9A256">
            <w:pPr>
              <w:tabs>
                <w:tab w:val="left" w:pos="180"/>
                <w:tab w:val="left" w:pos="1620"/>
              </w:tabs>
              <w:jc w:val="center"/>
              <w:rPr>
                <w:rFonts w:hint="eastAsia" w:ascii="宋体" w:hAnsi="宋体" w:cs="宋体"/>
                <w:b/>
                <w:bCs/>
                <w:color w:val="auto"/>
                <w:szCs w:val="21"/>
                <w:highlight w:val="none"/>
              </w:rPr>
            </w:pPr>
            <w:r>
              <w:rPr>
                <w:rFonts w:hint="eastAsia" w:ascii="宋体" w:hAnsi="宋体" w:cs="宋体"/>
                <w:b/>
                <w:bCs/>
                <w:color w:val="auto"/>
                <w:szCs w:val="21"/>
                <w:highlight w:val="none"/>
              </w:rPr>
              <w:t>单位</w:t>
            </w:r>
          </w:p>
        </w:tc>
        <w:tc>
          <w:tcPr>
            <w:tcW w:w="473" w:type="pct"/>
            <w:vAlign w:val="center"/>
          </w:tcPr>
          <w:p w14:paraId="71EE8127">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bCs/>
                <w:color w:val="auto"/>
                <w:szCs w:val="21"/>
                <w:highlight w:val="none"/>
              </w:rPr>
              <w:t>▲单价最高限价（元/公斤）</w:t>
            </w:r>
          </w:p>
        </w:tc>
        <w:tc>
          <w:tcPr>
            <w:tcW w:w="2796" w:type="pct"/>
            <w:vAlign w:val="center"/>
          </w:tcPr>
          <w:p w14:paraId="43DD43A3">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color w:val="auto"/>
                <w:szCs w:val="21"/>
                <w:highlight w:val="none"/>
              </w:rPr>
              <w:t>技术参数及质量（配置）要求</w:t>
            </w:r>
          </w:p>
        </w:tc>
      </w:tr>
      <w:tr w14:paraId="64FF6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779C8F45">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529" w:type="pct"/>
            <w:vAlign w:val="center"/>
          </w:tcPr>
          <w:p w14:paraId="6D6C386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大白菜</w:t>
            </w:r>
          </w:p>
        </w:tc>
        <w:tc>
          <w:tcPr>
            <w:tcW w:w="603" w:type="pct"/>
            <w:vAlign w:val="center"/>
          </w:tcPr>
          <w:p w14:paraId="7A36EEF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100000.00</w:t>
            </w:r>
          </w:p>
        </w:tc>
        <w:tc>
          <w:tcPr>
            <w:tcW w:w="374" w:type="pct"/>
            <w:vAlign w:val="center"/>
          </w:tcPr>
          <w:p w14:paraId="63227CAC">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38986D70">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2.30</w:t>
            </w:r>
          </w:p>
        </w:tc>
        <w:tc>
          <w:tcPr>
            <w:tcW w:w="2796" w:type="pct"/>
            <w:vAlign w:val="center"/>
          </w:tcPr>
          <w:p w14:paraId="1AB0423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1.▲采摘适宜，交验时外表干爽，具有新鲜的状态，无滴水现象，无虫害、腐烂、叶片发黄，无根须、泥沙等杂质；</w:t>
            </w:r>
          </w:p>
          <w:p w14:paraId="4BBC4CA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2.▲可食率达95%以上；</w:t>
            </w:r>
          </w:p>
          <w:p w14:paraId="10BF8FD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3.▲蔬菜符合相关标准要求，农药残留检测合格，符合国家相关食品（农产品）标准和卫生标准。</w:t>
            </w:r>
          </w:p>
          <w:p w14:paraId="49D16BF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4.▲每批次供货时必须提供本批次的相关农药残留检测报告。</w:t>
            </w:r>
          </w:p>
        </w:tc>
      </w:tr>
      <w:tr w14:paraId="233EA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3F640274">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529" w:type="pct"/>
            <w:vAlign w:val="center"/>
          </w:tcPr>
          <w:p w14:paraId="0B1A170D">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小白菜</w:t>
            </w:r>
          </w:p>
        </w:tc>
        <w:tc>
          <w:tcPr>
            <w:tcW w:w="603" w:type="pct"/>
            <w:vAlign w:val="center"/>
          </w:tcPr>
          <w:p w14:paraId="5356607F">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10000.00</w:t>
            </w:r>
          </w:p>
        </w:tc>
        <w:tc>
          <w:tcPr>
            <w:tcW w:w="374" w:type="pct"/>
            <w:vAlign w:val="center"/>
          </w:tcPr>
          <w:p w14:paraId="42B2CB5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1427B5D0">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3.70</w:t>
            </w:r>
          </w:p>
        </w:tc>
        <w:tc>
          <w:tcPr>
            <w:tcW w:w="2796" w:type="pct"/>
            <w:vAlign w:val="center"/>
          </w:tcPr>
          <w:p w14:paraId="0571AA9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1.▲采摘适宜，交验时外表干爽，具有新鲜的状态，无滴水现象，无虫害、腐烂、叶片发黄，无根须、泥沙等杂质；</w:t>
            </w:r>
          </w:p>
          <w:p w14:paraId="5E674D67">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2.▲可食率达95%以上；</w:t>
            </w:r>
          </w:p>
          <w:p w14:paraId="5A9FCB98">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3.▲蔬菜符合相关标准要求，农药残留检测合格，符合国家相关食品（农产品）标准和卫生标准。</w:t>
            </w:r>
          </w:p>
          <w:p w14:paraId="0F8BA23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4.▲每批次供货时必须提供本批次的相关农药残留检测报告。</w:t>
            </w:r>
          </w:p>
        </w:tc>
      </w:tr>
      <w:tr w14:paraId="75B8F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2C68404E">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w:t>
            </w:r>
          </w:p>
        </w:tc>
        <w:tc>
          <w:tcPr>
            <w:tcW w:w="529" w:type="pct"/>
            <w:vAlign w:val="center"/>
          </w:tcPr>
          <w:p w14:paraId="59F073F3">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卷筒菜</w:t>
            </w:r>
          </w:p>
        </w:tc>
        <w:tc>
          <w:tcPr>
            <w:tcW w:w="603" w:type="pct"/>
            <w:vAlign w:val="center"/>
          </w:tcPr>
          <w:p w14:paraId="12F9723D">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4000.00</w:t>
            </w:r>
          </w:p>
        </w:tc>
        <w:tc>
          <w:tcPr>
            <w:tcW w:w="374" w:type="pct"/>
            <w:vAlign w:val="center"/>
          </w:tcPr>
          <w:p w14:paraId="353C1622">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084F9E07">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3.80</w:t>
            </w:r>
          </w:p>
        </w:tc>
        <w:tc>
          <w:tcPr>
            <w:tcW w:w="2796" w:type="pct"/>
            <w:vAlign w:val="center"/>
          </w:tcPr>
          <w:p w14:paraId="7F995A48">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1.▲采摘适宜，交验时外表干爽，具有新鲜的状态，无滴水现象，无虫害、腐烂、叶片发黄，无根须、泥沙等杂质；</w:t>
            </w:r>
          </w:p>
          <w:p w14:paraId="651007C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2.▲可食率达95%以上；</w:t>
            </w:r>
          </w:p>
          <w:p w14:paraId="65268065">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3.▲蔬菜符合相关标准要求，农药残留检测合格，符合国家相关食品（农产品）标准和卫生标准。</w:t>
            </w:r>
          </w:p>
          <w:p w14:paraId="535A3CF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4.▲每批次供货时必须提供本批次的相关农药残留检测报告。</w:t>
            </w:r>
          </w:p>
        </w:tc>
      </w:tr>
      <w:tr w14:paraId="2F618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2CEF99E6">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w:t>
            </w:r>
          </w:p>
        </w:tc>
        <w:tc>
          <w:tcPr>
            <w:tcW w:w="529" w:type="pct"/>
            <w:vAlign w:val="center"/>
          </w:tcPr>
          <w:p w14:paraId="3516270A">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上海青</w:t>
            </w:r>
          </w:p>
        </w:tc>
        <w:tc>
          <w:tcPr>
            <w:tcW w:w="603" w:type="pct"/>
            <w:vAlign w:val="center"/>
          </w:tcPr>
          <w:p w14:paraId="4A0AD330">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10000.00</w:t>
            </w:r>
          </w:p>
        </w:tc>
        <w:tc>
          <w:tcPr>
            <w:tcW w:w="374" w:type="pct"/>
            <w:vAlign w:val="center"/>
          </w:tcPr>
          <w:p w14:paraId="47FEE185">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466CC43D">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4.00</w:t>
            </w:r>
          </w:p>
        </w:tc>
        <w:tc>
          <w:tcPr>
            <w:tcW w:w="2796" w:type="pct"/>
            <w:vAlign w:val="center"/>
          </w:tcPr>
          <w:p w14:paraId="27AE46B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1.▲采摘适宜，交验时外表干爽，具有新鲜的状态，无滴水现象，无虫害、腐烂、叶片发黄，无根须、泥沙等杂质；</w:t>
            </w:r>
          </w:p>
          <w:p w14:paraId="69A5B267">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2.▲可食率达95%以上；</w:t>
            </w:r>
          </w:p>
          <w:p w14:paraId="6500CE36">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3.▲蔬菜符合相关标准要求，农药残留检测合格，符合国家相关食品（农产品）标准和卫生标准。</w:t>
            </w:r>
          </w:p>
          <w:p w14:paraId="44DC214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4.▲每批次供货时必须提供本批次的相关农药残留检测报告。</w:t>
            </w:r>
          </w:p>
        </w:tc>
      </w:tr>
      <w:tr w14:paraId="7BDED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56945760">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5</w:t>
            </w:r>
          </w:p>
        </w:tc>
        <w:tc>
          <w:tcPr>
            <w:tcW w:w="529" w:type="pct"/>
            <w:vAlign w:val="center"/>
          </w:tcPr>
          <w:p w14:paraId="3635DB2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芥菜</w:t>
            </w:r>
          </w:p>
        </w:tc>
        <w:tc>
          <w:tcPr>
            <w:tcW w:w="603" w:type="pct"/>
            <w:vAlign w:val="center"/>
          </w:tcPr>
          <w:p w14:paraId="1CD56FF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10000.00</w:t>
            </w:r>
          </w:p>
        </w:tc>
        <w:tc>
          <w:tcPr>
            <w:tcW w:w="374" w:type="pct"/>
            <w:vAlign w:val="center"/>
          </w:tcPr>
          <w:p w14:paraId="1DEC3E67">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5BBAB166">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3.80</w:t>
            </w:r>
          </w:p>
        </w:tc>
        <w:tc>
          <w:tcPr>
            <w:tcW w:w="2796" w:type="pct"/>
            <w:vAlign w:val="center"/>
          </w:tcPr>
          <w:p w14:paraId="1DBA1267">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1.▲采摘适宜，交验时外表干爽，具有新鲜的状态，无滴水现象，无虫害、腐烂、叶片发黄，无根须、泥沙等杂质；</w:t>
            </w:r>
          </w:p>
          <w:p w14:paraId="21B3A95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2.▲可食率达95%以上；</w:t>
            </w:r>
          </w:p>
          <w:p w14:paraId="690ECD2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3.▲蔬菜符合相关标准要求，农药残留检测合格，符合国家相关食品（农产品）标准和卫生标准。</w:t>
            </w:r>
          </w:p>
          <w:p w14:paraId="569766F9">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4.▲每批次供货时必须提供本批次的相关农药残留检测报告。</w:t>
            </w:r>
          </w:p>
        </w:tc>
      </w:tr>
      <w:tr w14:paraId="7AAED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1C51C0DD">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6</w:t>
            </w:r>
          </w:p>
        </w:tc>
        <w:tc>
          <w:tcPr>
            <w:tcW w:w="529" w:type="pct"/>
            <w:vAlign w:val="center"/>
          </w:tcPr>
          <w:p w14:paraId="63F66E5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空心菜</w:t>
            </w:r>
          </w:p>
        </w:tc>
        <w:tc>
          <w:tcPr>
            <w:tcW w:w="603" w:type="pct"/>
            <w:vAlign w:val="center"/>
          </w:tcPr>
          <w:p w14:paraId="446C0D4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10000.00</w:t>
            </w:r>
          </w:p>
        </w:tc>
        <w:tc>
          <w:tcPr>
            <w:tcW w:w="374" w:type="pct"/>
            <w:vAlign w:val="center"/>
          </w:tcPr>
          <w:p w14:paraId="2080978D">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1F9041B3">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5.00</w:t>
            </w:r>
          </w:p>
        </w:tc>
        <w:tc>
          <w:tcPr>
            <w:tcW w:w="2796" w:type="pct"/>
            <w:vAlign w:val="center"/>
          </w:tcPr>
          <w:p w14:paraId="0125E365">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1.▲采摘适宜，交验时外表干爽，具有新鲜的状态，无滴水现象，无虫害、腐烂、叶片发黄，无根须、泥沙等杂质；</w:t>
            </w:r>
          </w:p>
          <w:p w14:paraId="69903A0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2.▲可食率达95%以上；</w:t>
            </w:r>
          </w:p>
          <w:p w14:paraId="01F8B48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3.▲蔬菜符合相关标准要求，农药残留检测合格，符合国家相关食品（农产品）标准和卫生标准。</w:t>
            </w:r>
          </w:p>
          <w:p w14:paraId="64A52C45">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4.▲每批次供货时必须提供本批次的相关农药残留检测报告。</w:t>
            </w:r>
          </w:p>
        </w:tc>
      </w:tr>
      <w:tr w14:paraId="3077B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12EA75DB">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7</w:t>
            </w:r>
          </w:p>
        </w:tc>
        <w:tc>
          <w:tcPr>
            <w:tcW w:w="529" w:type="pct"/>
            <w:vAlign w:val="center"/>
          </w:tcPr>
          <w:p w14:paraId="543BC8A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油麻菜</w:t>
            </w:r>
          </w:p>
        </w:tc>
        <w:tc>
          <w:tcPr>
            <w:tcW w:w="603" w:type="pct"/>
            <w:vAlign w:val="center"/>
          </w:tcPr>
          <w:p w14:paraId="55F6939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15000.00</w:t>
            </w:r>
          </w:p>
        </w:tc>
        <w:tc>
          <w:tcPr>
            <w:tcW w:w="374" w:type="pct"/>
            <w:vAlign w:val="center"/>
          </w:tcPr>
          <w:p w14:paraId="2AFCD832">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554D0159">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4.00</w:t>
            </w:r>
          </w:p>
        </w:tc>
        <w:tc>
          <w:tcPr>
            <w:tcW w:w="2796" w:type="pct"/>
            <w:vAlign w:val="center"/>
          </w:tcPr>
          <w:p w14:paraId="1099B90F">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1.▲采摘适宜，交验时外表干爽，具有新鲜的状态，无滴水现象，无虫害、腐烂、叶片发黄，无根须、泥沙等杂质；</w:t>
            </w:r>
          </w:p>
          <w:p w14:paraId="4EA9D31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2.▲可食率达95%以上；</w:t>
            </w:r>
          </w:p>
          <w:p w14:paraId="2504001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3.▲蔬菜符合相关标准要求，农药残留检测合格，符合国家相关食品（农产品）标准和卫生标准。</w:t>
            </w:r>
          </w:p>
          <w:p w14:paraId="0AF4CEBF">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4.▲每批次供货时必须提供本批次的相关农药残留检测报告。</w:t>
            </w:r>
          </w:p>
        </w:tc>
      </w:tr>
      <w:tr w14:paraId="231D5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6DD27AC4">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8</w:t>
            </w:r>
          </w:p>
        </w:tc>
        <w:tc>
          <w:tcPr>
            <w:tcW w:w="529" w:type="pct"/>
            <w:vAlign w:val="center"/>
          </w:tcPr>
          <w:p w14:paraId="001266A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苦麦菜</w:t>
            </w:r>
          </w:p>
        </w:tc>
        <w:tc>
          <w:tcPr>
            <w:tcW w:w="603" w:type="pct"/>
            <w:vAlign w:val="center"/>
          </w:tcPr>
          <w:p w14:paraId="6F6D1D4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10000.00</w:t>
            </w:r>
          </w:p>
        </w:tc>
        <w:tc>
          <w:tcPr>
            <w:tcW w:w="374" w:type="pct"/>
            <w:vAlign w:val="center"/>
          </w:tcPr>
          <w:p w14:paraId="24630FB5">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427C938B">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3.80</w:t>
            </w:r>
          </w:p>
        </w:tc>
        <w:tc>
          <w:tcPr>
            <w:tcW w:w="2796" w:type="pct"/>
            <w:vAlign w:val="center"/>
          </w:tcPr>
          <w:p w14:paraId="1D18EC5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1.▲采摘适宜，交验时外表干爽，具有新鲜的状态，无滴水现象，无虫害、腐烂、叶片发黄，无根须、泥沙等杂质；</w:t>
            </w:r>
          </w:p>
          <w:p w14:paraId="324332C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2.▲可食率达95%以上；</w:t>
            </w:r>
          </w:p>
          <w:p w14:paraId="4A103CB8">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3.▲蔬菜符合相关标准要求，农药残留检测合格，符合国家相关食品（农产品）标准和卫生标准。</w:t>
            </w:r>
          </w:p>
          <w:p w14:paraId="7D4F9ED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4.▲每批次供货时必须提供本批次的相关农药残留检测报告。</w:t>
            </w:r>
          </w:p>
        </w:tc>
      </w:tr>
      <w:tr w14:paraId="12E56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5C14F02D">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9</w:t>
            </w:r>
          </w:p>
        </w:tc>
        <w:tc>
          <w:tcPr>
            <w:tcW w:w="529" w:type="pct"/>
            <w:vAlign w:val="center"/>
          </w:tcPr>
          <w:p w14:paraId="610A014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豆芽</w:t>
            </w:r>
          </w:p>
        </w:tc>
        <w:tc>
          <w:tcPr>
            <w:tcW w:w="603" w:type="pct"/>
            <w:vAlign w:val="center"/>
          </w:tcPr>
          <w:p w14:paraId="53796A8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30000.00</w:t>
            </w:r>
          </w:p>
        </w:tc>
        <w:tc>
          <w:tcPr>
            <w:tcW w:w="374" w:type="pct"/>
            <w:vAlign w:val="center"/>
          </w:tcPr>
          <w:p w14:paraId="14F9E55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7522D720">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3.40</w:t>
            </w:r>
          </w:p>
        </w:tc>
        <w:tc>
          <w:tcPr>
            <w:tcW w:w="2796" w:type="pct"/>
            <w:vAlign w:val="center"/>
          </w:tcPr>
          <w:p w14:paraId="01A85296">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1.▲具有新鲜的状态，允许外形有轻微变形，无变色、变软、擦伤、枯萎、破裂、霉烂等无法食用的现象；</w:t>
            </w:r>
          </w:p>
          <w:p w14:paraId="32D46797">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2.▲蔬菜符合相关标准要求，农药残留检测合格，符合国家相关食品（农产品）标准和卫生标准。</w:t>
            </w:r>
          </w:p>
          <w:p w14:paraId="52FBDE98">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3.▲每批次供货时必须提供本批次的相关农药残留检测报告。</w:t>
            </w:r>
          </w:p>
        </w:tc>
      </w:tr>
      <w:tr w14:paraId="696A0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30C99257">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10</w:t>
            </w:r>
          </w:p>
        </w:tc>
        <w:tc>
          <w:tcPr>
            <w:tcW w:w="529" w:type="pct"/>
            <w:vAlign w:val="center"/>
          </w:tcPr>
          <w:p w14:paraId="47CC2FB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白萝卜</w:t>
            </w:r>
          </w:p>
        </w:tc>
        <w:tc>
          <w:tcPr>
            <w:tcW w:w="603" w:type="pct"/>
            <w:vAlign w:val="center"/>
          </w:tcPr>
          <w:p w14:paraId="2C7AC61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30000.00</w:t>
            </w:r>
          </w:p>
        </w:tc>
        <w:tc>
          <w:tcPr>
            <w:tcW w:w="374" w:type="pct"/>
            <w:vAlign w:val="center"/>
          </w:tcPr>
          <w:p w14:paraId="6723E871">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02E9A503">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2.30</w:t>
            </w:r>
          </w:p>
        </w:tc>
        <w:tc>
          <w:tcPr>
            <w:tcW w:w="2796" w:type="pct"/>
            <w:vAlign w:val="center"/>
          </w:tcPr>
          <w:p w14:paraId="6F185046">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1.▲具有新鲜的状态，允许外形有轻微变形，无变色、变软、擦伤、枯萎、破裂、霉烂等无法食用的现象；</w:t>
            </w:r>
          </w:p>
          <w:p w14:paraId="4AD10ED9">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2.▲蔬菜符合相关标准要求，农药残留检测合格，符合国家相关食品（农产品）标准和卫生标准。</w:t>
            </w:r>
          </w:p>
          <w:p w14:paraId="511CA50F">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3.▲每批次供货时必须提供本批次的相关农药残留检测报告。</w:t>
            </w:r>
          </w:p>
        </w:tc>
      </w:tr>
      <w:tr w14:paraId="45C2F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7792895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11</w:t>
            </w:r>
          </w:p>
        </w:tc>
        <w:tc>
          <w:tcPr>
            <w:tcW w:w="529" w:type="pct"/>
            <w:vAlign w:val="center"/>
          </w:tcPr>
          <w:p w14:paraId="168D1BE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茄子</w:t>
            </w:r>
          </w:p>
        </w:tc>
        <w:tc>
          <w:tcPr>
            <w:tcW w:w="603" w:type="pct"/>
            <w:vAlign w:val="center"/>
          </w:tcPr>
          <w:p w14:paraId="06E709B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20000.00</w:t>
            </w:r>
          </w:p>
        </w:tc>
        <w:tc>
          <w:tcPr>
            <w:tcW w:w="374" w:type="pct"/>
            <w:vAlign w:val="center"/>
          </w:tcPr>
          <w:p w14:paraId="57B61547">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571FDE7A">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3.60</w:t>
            </w:r>
          </w:p>
        </w:tc>
        <w:tc>
          <w:tcPr>
            <w:tcW w:w="2796" w:type="pct"/>
            <w:vAlign w:val="center"/>
          </w:tcPr>
          <w:p w14:paraId="7995C62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1.▲具有新鲜的状态，允许外形有轻微变形，无变色、变软、擦伤、枯萎、破裂、霉烂等无法食用的现象；</w:t>
            </w:r>
          </w:p>
          <w:p w14:paraId="36EFB4B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2.▲蔬菜符合相关标准要求，农药残留检测合格，符合国家相关食品（农产品）标准和卫生标准。</w:t>
            </w:r>
          </w:p>
          <w:p w14:paraId="1B31F795">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3.▲每批次供货时必须提供本批次的相关农药残留检测报告。</w:t>
            </w:r>
          </w:p>
        </w:tc>
      </w:tr>
      <w:tr w14:paraId="7B1A0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001DEBFB">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12</w:t>
            </w:r>
          </w:p>
        </w:tc>
        <w:tc>
          <w:tcPr>
            <w:tcW w:w="529" w:type="pct"/>
            <w:vAlign w:val="center"/>
          </w:tcPr>
          <w:p w14:paraId="520752A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南瓜</w:t>
            </w:r>
          </w:p>
        </w:tc>
        <w:tc>
          <w:tcPr>
            <w:tcW w:w="603" w:type="pct"/>
            <w:vAlign w:val="center"/>
          </w:tcPr>
          <w:p w14:paraId="0324492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20000.00</w:t>
            </w:r>
          </w:p>
        </w:tc>
        <w:tc>
          <w:tcPr>
            <w:tcW w:w="374" w:type="pct"/>
            <w:vAlign w:val="center"/>
          </w:tcPr>
          <w:p w14:paraId="498A2B44">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61E5AB65">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3.20</w:t>
            </w:r>
          </w:p>
        </w:tc>
        <w:tc>
          <w:tcPr>
            <w:tcW w:w="2796" w:type="pct"/>
            <w:vAlign w:val="center"/>
          </w:tcPr>
          <w:p w14:paraId="2D856BD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1.▲具有新鲜的状态，允许外形有轻微变形，无变色、变软、擦伤、枯萎、破裂、霉烂等无法食用的现象；</w:t>
            </w:r>
          </w:p>
          <w:p w14:paraId="52AD9E17">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2.▲蔬菜符合相关标准要求，农药残留检测合格，符合国家相关食品（农产品）标准和卫生标准。</w:t>
            </w:r>
          </w:p>
        </w:tc>
      </w:tr>
      <w:tr w14:paraId="7DBF9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118AE0B1">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13</w:t>
            </w:r>
          </w:p>
        </w:tc>
        <w:tc>
          <w:tcPr>
            <w:tcW w:w="529" w:type="pct"/>
            <w:vAlign w:val="center"/>
          </w:tcPr>
          <w:p w14:paraId="27B8F71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苦瓜</w:t>
            </w:r>
          </w:p>
        </w:tc>
        <w:tc>
          <w:tcPr>
            <w:tcW w:w="603" w:type="pct"/>
            <w:vAlign w:val="center"/>
          </w:tcPr>
          <w:p w14:paraId="2EB4C7D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4000.00</w:t>
            </w:r>
          </w:p>
        </w:tc>
        <w:tc>
          <w:tcPr>
            <w:tcW w:w="374" w:type="pct"/>
            <w:vAlign w:val="center"/>
          </w:tcPr>
          <w:p w14:paraId="30634165">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676C1914">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3.20</w:t>
            </w:r>
          </w:p>
        </w:tc>
        <w:tc>
          <w:tcPr>
            <w:tcW w:w="2796" w:type="pct"/>
            <w:vAlign w:val="center"/>
          </w:tcPr>
          <w:p w14:paraId="178B7168">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1.▲具有新鲜的状态，允许外形有轻微变形，无变色、变软、擦伤、枯萎、破裂、霉烂等无法食用的现象；</w:t>
            </w:r>
          </w:p>
          <w:p w14:paraId="1FF7EF8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2.▲蔬菜符合相关标准要求，农药残留检测合格，符合国家相关食品（农产品）标准和卫生标准。</w:t>
            </w:r>
          </w:p>
          <w:p w14:paraId="6F985285">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3.▲每批次供货时必须提供本批次的相关农药残留检测报告。</w:t>
            </w:r>
          </w:p>
        </w:tc>
      </w:tr>
      <w:tr w14:paraId="7AF11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6437A2C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14</w:t>
            </w:r>
          </w:p>
        </w:tc>
        <w:tc>
          <w:tcPr>
            <w:tcW w:w="529" w:type="pct"/>
            <w:vAlign w:val="center"/>
          </w:tcPr>
          <w:p w14:paraId="35447790">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节瓜</w:t>
            </w:r>
          </w:p>
        </w:tc>
        <w:tc>
          <w:tcPr>
            <w:tcW w:w="603" w:type="pct"/>
            <w:vAlign w:val="center"/>
          </w:tcPr>
          <w:p w14:paraId="3952554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5000.00</w:t>
            </w:r>
          </w:p>
        </w:tc>
        <w:tc>
          <w:tcPr>
            <w:tcW w:w="374" w:type="pct"/>
            <w:vAlign w:val="center"/>
          </w:tcPr>
          <w:p w14:paraId="633BC668">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2601790C">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2.80</w:t>
            </w:r>
          </w:p>
        </w:tc>
        <w:tc>
          <w:tcPr>
            <w:tcW w:w="2796" w:type="pct"/>
            <w:vAlign w:val="center"/>
          </w:tcPr>
          <w:p w14:paraId="50DF415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1.▲具有新鲜的状态，允许外形有轻微变形，无变色、变软、擦伤、枯萎、破裂、霉烂等无法食用的现象；</w:t>
            </w:r>
          </w:p>
          <w:p w14:paraId="0F2D38C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2.▲蔬菜符合相关标准要求，农药残留检测合格，符合国家相关食品（农产品）标准和卫生标准。</w:t>
            </w:r>
          </w:p>
        </w:tc>
      </w:tr>
      <w:tr w14:paraId="52A7C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4FF1E10B">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15</w:t>
            </w:r>
          </w:p>
        </w:tc>
        <w:tc>
          <w:tcPr>
            <w:tcW w:w="529" w:type="pct"/>
            <w:vAlign w:val="center"/>
          </w:tcPr>
          <w:p w14:paraId="75838A1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青瓜</w:t>
            </w:r>
          </w:p>
        </w:tc>
        <w:tc>
          <w:tcPr>
            <w:tcW w:w="603" w:type="pct"/>
            <w:vAlign w:val="center"/>
          </w:tcPr>
          <w:p w14:paraId="1A2169B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6000.00</w:t>
            </w:r>
          </w:p>
        </w:tc>
        <w:tc>
          <w:tcPr>
            <w:tcW w:w="374" w:type="pct"/>
            <w:vAlign w:val="center"/>
          </w:tcPr>
          <w:p w14:paraId="71C79E56">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77AD1026">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3.60</w:t>
            </w:r>
          </w:p>
        </w:tc>
        <w:tc>
          <w:tcPr>
            <w:tcW w:w="2796" w:type="pct"/>
            <w:vAlign w:val="center"/>
          </w:tcPr>
          <w:p w14:paraId="5048A70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1.▲具有新鲜的状态，允许外形有轻微变形，无变色、变软、擦伤、枯萎、破裂、霉烂等无法食用的现象；</w:t>
            </w:r>
          </w:p>
          <w:p w14:paraId="611BCD3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2.▲蔬菜符合相关标准要求，农药残留检测合格，符合国家相关食品（农产品）标准和卫生标准。</w:t>
            </w:r>
          </w:p>
          <w:p w14:paraId="3BF3CAF6">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3.▲每批次供货时必须提供本批次的相关农药残留检测报告。</w:t>
            </w:r>
          </w:p>
        </w:tc>
      </w:tr>
      <w:tr w14:paraId="1775E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5D4B2390">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16</w:t>
            </w:r>
          </w:p>
        </w:tc>
        <w:tc>
          <w:tcPr>
            <w:tcW w:w="529" w:type="pct"/>
            <w:vAlign w:val="center"/>
          </w:tcPr>
          <w:p w14:paraId="778EAA8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西红柿</w:t>
            </w:r>
          </w:p>
        </w:tc>
        <w:tc>
          <w:tcPr>
            <w:tcW w:w="603" w:type="pct"/>
            <w:vAlign w:val="center"/>
          </w:tcPr>
          <w:p w14:paraId="53BD251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3000.00</w:t>
            </w:r>
          </w:p>
        </w:tc>
        <w:tc>
          <w:tcPr>
            <w:tcW w:w="374" w:type="pct"/>
            <w:vAlign w:val="center"/>
          </w:tcPr>
          <w:p w14:paraId="0A503123">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10626E87">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4.80</w:t>
            </w:r>
          </w:p>
        </w:tc>
        <w:tc>
          <w:tcPr>
            <w:tcW w:w="2796" w:type="pct"/>
            <w:vAlign w:val="center"/>
          </w:tcPr>
          <w:p w14:paraId="4F9163F9">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1.▲具有新鲜的状态，允许外形有轻微变形，无变色、变软、擦伤、枯萎、破裂、霉烂等无法食用的现象；</w:t>
            </w:r>
          </w:p>
          <w:p w14:paraId="6188150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2.▲蔬菜符合相关标准要求，农药残留检测合格，符合国家相关食品（农产品）标准和卫生标准。</w:t>
            </w:r>
          </w:p>
          <w:p w14:paraId="1577D6A4">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3.▲每批次供货时必须提供本批次的相关农药残留检测报告。</w:t>
            </w:r>
          </w:p>
        </w:tc>
      </w:tr>
      <w:tr w14:paraId="6E6D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388177DA">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17</w:t>
            </w:r>
          </w:p>
        </w:tc>
        <w:tc>
          <w:tcPr>
            <w:tcW w:w="529" w:type="pct"/>
            <w:vAlign w:val="center"/>
          </w:tcPr>
          <w:p w14:paraId="3948ED3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豆角</w:t>
            </w:r>
          </w:p>
        </w:tc>
        <w:tc>
          <w:tcPr>
            <w:tcW w:w="603" w:type="pct"/>
            <w:vAlign w:val="center"/>
          </w:tcPr>
          <w:p w14:paraId="0D3CB05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5000.00</w:t>
            </w:r>
          </w:p>
        </w:tc>
        <w:tc>
          <w:tcPr>
            <w:tcW w:w="374" w:type="pct"/>
            <w:vAlign w:val="center"/>
          </w:tcPr>
          <w:p w14:paraId="3F72EA9C">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4CE2CCCD">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7.00</w:t>
            </w:r>
          </w:p>
        </w:tc>
        <w:tc>
          <w:tcPr>
            <w:tcW w:w="2796" w:type="pct"/>
            <w:vAlign w:val="center"/>
          </w:tcPr>
          <w:p w14:paraId="79FA9FC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1.▲具有新鲜的状态，允许外形有轻微变形，无变色、变软、擦伤、枯萎、破裂、霉烂等无法食用的现象；</w:t>
            </w:r>
          </w:p>
          <w:p w14:paraId="5780B364">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2.▲蔬菜符合相关标准要求，农药残留检测合格，符合国家相关食品（农产品）标准和卫生标准。</w:t>
            </w:r>
          </w:p>
          <w:p w14:paraId="17365D6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3.▲每批次供货时必须提供本批次的相关农药残留检测报告。</w:t>
            </w:r>
          </w:p>
        </w:tc>
      </w:tr>
      <w:tr w14:paraId="65746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42F9EDB6">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18</w:t>
            </w:r>
          </w:p>
        </w:tc>
        <w:tc>
          <w:tcPr>
            <w:tcW w:w="529" w:type="pct"/>
            <w:vAlign w:val="center"/>
          </w:tcPr>
          <w:p w14:paraId="47597E9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洋葱</w:t>
            </w:r>
          </w:p>
        </w:tc>
        <w:tc>
          <w:tcPr>
            <w:tcW w:w="603" w:type="pct"/>
            <w:vAlign w:val="center"/>
          </w:tcPr>
          <w:p w14:paraId="47AED28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5000.00</w:t>
            </w:r>
          </w:p>
        </w:tc>
        <w:tc>
          <w:tcPr>
            <w:tcW w:w="374" w:type="pct"/>
            <w:vAlign w:val="center"/>
          </w:tcPr>
          <w:p w14:paraId="0D751CD8">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1605D0F6">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3.00</w:t>
            </w:r>
          </w:p>
        </w:tc>
        <w:tc>
          <w:tcPr>
            <w:tcW w:w="2796" w:type="pct"/>
            <w:vAlign w:val="center"/>
          </w:tcPr>
          <w:p w14:paraId="625D2BBD">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1.▲具有新鲜的状态，允许外形有轻微变形，无变色、变软、擦伤、枯萎、破裂、霉烂等无法食用的现象；</w:t>
            </w:r>
          </w:p>
          <w:p w14:paraId="1378DFF1">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2.▲蔬菜符合相关标准要求，农药残留检测合格，符合国家相关食品（农产品）标准和卫生标准。</w:t>
            </w:r>
          </w:p>
          <w:p w14:paraId="5B7ABC65">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3.▲每批次供货时必须提供本批次的相关农药残留检测报告。</w:t>
            </w:r>
          </w:p>
        </w:tc>
      </w:tr>
      <w:tr w14:paraId="41FF8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69665ED3">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19</w:t>
            </w:r>
          </w:p>
        </w:tc>
        <w:tc>
          <w:tcPr>
            <w:tcW w:w="529" w:type="pct"/>
            <w:vAlign w:val="center"/>
          </w:tcPr>
          <w:p w14:paraId="1046B06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大蒜头</w:t>
            </w:r>
          </w:p>
        </w:tc>
        <w:tc>
          <w:tcPr>
            <w:tcW w:w="603" w:type="pct"/>
            <w:vAlign w:val="center"/>
          </w:tcPr>
          <w:p w14:paraId="499DD33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2000.00</w:t>
            </w:r>
          </w:p>
        </w:tc>
        <w:tc>
          <w:tcPr>
            <w:tcW w:w="374" w:type="pct"/>
            <w:vAlign w:val="center"/>
          </w:tcPr>
          <w:p w14:paraId="0802D6D1">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4AE4532E">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9.80</w:t>
            </w:r>
          </w:p>
        </w:tc>
        <w:tc>
          <w:tcPr>
            <w:tcW w:w="2796" w:type="pct"/>
            <w:vAlign w:val="center"/>
          </w:tcPr>
          <w:p w14:paraId="2C698A7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1.▲具有新鲜的状态，允许外形有轻微变形，无变色、变软、擦伤、枯萎、破裂、霉烂等无法食用的现象；</w:t>
            </w:r>
          </w:p>
          <w:p w14:paraId="41E3E35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2.▲蔬菜符合相关标准要求，农药残留检测合格，符合国家相关食品（农产品）标准和卫生标准。</w:t>
            </w:r>
          </w:p>
          <w:p w14:paraId="6B2319F4">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3.▲每批次供货时必须提供本批次的相关农药残留检测报告。</w:t>
            </w:r>
          </w:p>
        </w:tc>
      </w:tr>
      <w:tr w14:paraId="38C7B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6C05CA62">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20</w:t>
            </w:r>
          </w:p>
        </w:tc>
        <w:tc>
          <w:tcPr>
            <w:tcW w:w="529" w:type="pct"/>
            <w:vAlign w:val="center"/>
          </w:tcPr>
          <w:p w14:paraId="4F49F5A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西兰花</w:t>
            </w:r>
          </w:p>
        </w:tc>
        <w:tc>
          <w:tcPr>
            <w:tcW w:w="603" w:type="pct"/>
            <w:vAlign w:val="center"/>
          </w:tcPr>
          <w:p w14:paraId="14C9353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2000.00</w:t>
            </w:r>
          </w:p>
        </w:tc>
        <w:tc>
          <w:tcPr>
            <w:tcW w:w="374" w:type="pct"/>
            <w:vAlign w:val="center"/>
          </w:tcPr>
          <w:p w14:paraId="3EFC8FD1">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55B419EC">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7.00</w:t>
            </w:r>
          </w:p>
        </w:tc>
        <w:tc>
          <w:tcPr>
            <w:tcW w:w="2796" w:type="pct"/>
            <w:vAlign w:val="center"/>
          </w:tcPr>
          <w:p w14:paraId="250AB09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1.▲采摘适宜，交验时外表干爽，具有新鲜的状态，无滴水现象，无虫害、腐烂、叶片发黄，无根须、泥沙等杂质；</w:t>
            </w:r>
          </w:p>
          <w:p w14:paraId="668CE414">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2.▲可食率达95%以上；</w:t>
            </w:r>
          </w:p>
          <w:p w14:paraId="56C0C937">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3.▲蔬菜符合相关标准要求，农药残留检测合格，符合国家相关食品（农产品）标准和卫生标准。</w:t>
            </w:r>
          </w:p>
          <w:p w14:paraId="3E4F1164">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4.▲每批次供货时必须提供本批次的相关农药残留检测报告。</w:t>
            </w:r>
          </w:p>
        </w:tc>
      </w:tr>
      <w:tr w14:paraId="7F68C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092ADB31">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21</w:t>
            </w:r>
          </w:p>
        </w:tc>
        <w:tc>
          <w:tcPr>
            <w:tcW w:w="529" w:type="pct"/>
            <w:vAlign w:val="center"/>
          </w:tcPr>
          <w:p w14:paraId="097A5F7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红萝卜</w:t>
            </w:r>
          </w:p>
        </w:tc>
        <w:tc>
          <w:tcPr>
            <w:tcW w:w="603" w:type="pct"/>
            <w:vAlign w:val="center"/>
          </w:tcPr>
          <w:p w14:paraId="5868CD30">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5000.00</w:t>
            </w:r>
          </w:p>
        </w:tc>
        <w:tc>
          <w:tcPr>
            <w:tcW w:w="374" w:type="pct"/>
            <w:vAlign w:val="center"/>
          </w:tcPr>
          <w:p w14:paraId="65D17652">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791A4162">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4.00</w:t>
            </w:r>
          </w:p>
        </w:tc>
        <w:tc>
          <w:tcPr>
            <w:tcW w:w="2796" w:type="pct"/>
            <w:vAlign w:val="center"/>
          </w:tcPr>
          <w:p w14:paraId="41B4972D">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1.▲具有新鲜的状态，允许外形有轻微变形，无变色、变软、擦伤、枯萎、破裂、霉烂等无法食用的现象；</w:t>
            </w:r>
          </w:p>
          <w:p w14:paraId="03F0FAD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2.▲蔬菜符合相关标准要求，农药残留检测合格，符合国家相关食品（农产品）标准和卫生标准。</w:t>
            </w:r>
          </w:p>
          <w:p w14:paraId="580C2C7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3.▲每批次供货时必须提供本批次的相关农药残留检测报告。</w:t>
            </w:r>
          </w:p>
        </w:tc>
      </w:tr>
      <w:tr w14:paraId="72B3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128A72A2">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22</w:t>
            </w:r>
          </w:p>
        </w:tc>
        <w:tc>
          <w:tcPr>
            <w:tcW w:w="529" w:type="pct"/>
            <w:vAlign w:val="center"/>
          </w:tcPr>
          <w:p w14:paraId="463F346A">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芹菜</w:t>
            </w:r>
          </w:p>
        </w:tc>
        <w:tc>
          <w:tcPr>
            <w:tcW w:w="603" w:type="pct"/>
            <w:vAlign w:val="center"/>
          </w:tcPr>
          <w:p w14:paraId="32056D9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5000.00</w:t>
            </w:r>
          </w:p>
        </w:tc>
        <w:tc>
          <w:tcPr>
            <w:tcW w:w="374" w:type="pct"/>
            <w:vAlign w:val="center"/>
          </w:tcPr>
          <w:p w14:paraId="26F89792">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6569F35D">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5.00</w:t>
            </w:r>
          </w:p>
        </w:tc>
        <w:tc>
          <w:tcPr>
            <w:tcW w:w="2796" w:type="pct"/>
            <w:vAlign w:val="center"/>
          </w:tcPr>
          <w:p w14:paraId="6889CEC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1.▲采摘适宜，交验时外表干爽，具有新鲜的状态，无滴水现象，无虫害、腐烂、叶片发黄，无根须、泥沙等杂质；</w:t>
            </w:r>
          </w:p>
          <w:p w14:paraId="51AAE06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2.▲可食率达95%以上；</w:t>
            </w:r>
          </w:p>
          <w:p w14:paraId="59483E2F">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3.▲蔬菜符合相关标准要求，农药残留检测合格，符合国家相关食品（农产品）标准和卫生标准。</w:t>
            </w:r>
          </w:p>
          <w:p w14:paraId="22B6D69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4.▲每批次供货时必须提供本批次的相关农药残留检测报告。</w:t>
            </w:r>
          </w:p>
        </w:tc>
      </w:tr>
      <w:tr w14:paraId="1A317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4E9925FB">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23</w:t>
            </w:r>
          </w:p>
        </w:tc>
        <w:tc>
          <w:tcPr>
            <w:tcW w:w="529" w:type="pct"/>
            <w:vAlign w:val="center"/>
          </w:tcPr>
          <w:p w14:paraId="47641FA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马铃薯</w:t>
            </w:r>
          </w:p>
        </w:tc>
        <w:tc>
          <w:tcPr>
            <w:tcW w:w="603" w:type="pct"/>
            <w:vAlign w:val="center"/>
          </w:tcPr>
          <w:p w14:paraId="3BA04E2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10000.00</w:t>
            </w:r>
          </w:p>
        </w:tc>
        <w:tc>
          <w:tcPr>
            <w:tcW w:w="374" w:type="pct"/>
            <w:vAlign w:val="center"/>
          </w:tcPr>
          <w:p w14:paraId="78B7634D">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5E287FF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4.40</w:t>
            </w:r>
          </w:p>
        </w:tc>
        <w:tc>
          <w:tcPr>
            <w:tcW w:w="2796" w:type="pct"/>
            <w:vAlign w:val="center"/>
          </w:tcPr>
          <w:p w14:paraId="53C6BFC7">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1.▲具有新鲜的状态，允许外形有轻微变形，无变色、变软、擦伤、枯萎、破裂、霉烂等无法食用的现象；</w:t>
            </w:r>
          </w:p>
          <w:p w14:paraId="1ADDF17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2.▲蔬菜符合相关标准要求，农药残留检测合格，符合国家相关食品（农产品）标准和卫生标准。</w:t>
            </w:r>
          </w:p>
          <w:p w14:paraId="6A5CF03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3.▲每批次供货时必须提供本批次的相关农药残留检测报告。</w:t>
            </w:r>
          </w:p>
        </w:tc>
      </w:tr>
      <w:tr w14:paraId="4DDBE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39D0403D">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24</w:t>
            </w:r>
          </w:p>
        </w:tc>
        <w:tc>
          <w:tcPr>
            <w:tcW w:w="529" w:type="pct"/>
            <w:vAlign w:val="center"/>
          </w:tcPr>
          <w:p w14:paraId="520E6B60">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凉薯</w:t>
            </w:r>
          </w:p>
        </w:tc>
        <w:tc>
          <w:tcPr>
            <w:tcW w:w="603" w:type="pct"/>
            <w:vAlign w:val="center"/>
          </w:tcPr>
          <w:p w14:paraId="2A2DB07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1500.00</w:t>
            </w:r>
          </w:p>
        </w:tc>
        <w:tc>
          <w:tcPr>
            <w:tcW w:w="374" w:type="pct"/>
            <w:vAlign w:val="center"/>
          </w:tcPr>
          <w:p w14:paraId="35F26179">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7FA0288C">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4.60</w:t>
            </w:r>
          </w:p>
        </w:tc>
        <w:tc>
          <w:tcPr>
            <w:tcW w:w="2796" w:type="pct"/>
            <w:vAlign w:val="center"/>
          </w:tcPr>
          <w:p w14:paraId="7ECCC81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1.▲具有新鲜的状态，允许外形有轻微变形，无变色、变软、擦伤、枯萎、破裂、霉烂等无法食用的现象；</w:t>
            </w:r>
          </w:p>
          <w:p w14:paraId="4B1C1647">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2.▲蔬菜符合相关标准要求，农药残留检测合格，符合国家相关食品（农产品）标准和卫生标准。</w:t>
            </w:r>
          </w:p>
          <w:p w14:paraId="57AF2C1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3.▲每批次供货时必须提供本批次的相关农药残留检测报告。</w:t>
            </w:r>
          </w:p>
        </w:tc>
      </w:tr>
      <w:tr w14:paraId="72B3D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600E07EA">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25</w:t>
            </w:r>
          </w:p>
        </w:tc>
        <w:tc>
          <w:tcPr>
            <w:tcW w:w="529" w:type="pct"/>
            <w:vAlign w:val="center"/>
          </w:tcPr>
          <w:p w14:paraId="297EF21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莲藕</w:t>
            </w:r>
          </w:p>
        </w:tc>
        <w:tc>
          <w:tcPr>
            <w:tcW w:w="603" w:type="pct"/>
            <w:vAlign w:val="center"/>
          </w:tcPr>
          <w:p w14:paraId="1934AFD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2000.00</w:t>
            </w:r>
          </w:p>
        </w:tc>
        <w:tc>
          <w:tcPr>
            <w:tcW w:w="374" w:type="pct"/>
            <w:vAlign w:val="center"/>
          </w:tcPr>
          <w:p w14:paraId="7475E4C3">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62E9D567">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9.00</w:t>
            </w:r>
          </w:p>
        </w:tc>
        <w:tc>
          <w:tcPr>
            <w:tcW w:w="2796" w:type="pct"/>
            <w:vAlign w:val="center"/>
          </w:tcPr>
          <w:p w14:paraId="7AF3891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1.▲具有新鲜的状态，允许外形有轻微变形，无变色、变软、擦伤、枯萎、破裂、霉烂等无法食用的现象；</w:t>
            </w:r>
          </w:p>
          <w:p w14:paraId="7389A028">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2.▲蔬菜符合相关标准要求，农药残留检测合格，符合国家相关食品（农产品）标准和卫生标准。</w:t>
            </w:r>
          </w:p>
          <w:p w14:paraId="4AF88668">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3.▲每批次供货时必须提供本批次的相关农药残留检测报告。</w:t>
            </w:r>
          </w:p>
        </w:tc>
      </w:tr>
      <w:tr w14:paraId="3752B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327AB537">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26</w:t>
            </w:r>
          </w:p>
        </w:tc>
        <w:tc>
          <w:tcPr>
            <w:tcW w:w="529" w:type="pct"/>
            <w:vAlign w:val="center"/>
          </w:tcPr>
          <w:p w14:paraId="016AE8B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韭菜</w:t>
            </w:r>
          </w:p>
        </w:tc>
        <w:tc>
          <w:tcPr>
            <w:tcW w:w="603" w:type="pct"/>
            <w:vAlign w:val="center"/>
          </w:tcPr>
          <w:p w14:paraId="68F08FFA">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3000.00</w:t>
            </w:r>
          </w:p>
        </w:tc>
        <w:tc>
          <w:tcPr>
            <w:tcW w:w="374" w:type="pct"/>
            <w:vAlign w:val="center"/>
          </w:tcPr>
          <w:p w14:paraId="2DFF27D1">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263472B5">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9.00</w:t>
            </w:r>
          </w:p>
        </w:tc>
        <w:tc>
          <w:tcPr>
            <w:tcW w:w="2796" w:type="pct"/>
            <w:vAlign w:val="center"/>
          </w:tcPr>
          <w:p w14:paraId="1BF7F9C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1.▲采摘适宜，交验时外表干爽，具有新鲜的状态，无滴水现象，无虫害、腐烂、叶片发黄，无根须、泥沙等杂质；</w:t>
            </w:r>
          </w:p>
          <w:p w14:paraId="6E00ACA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2.▲可食率达95%以上；</w:t>
            </w:r>
          </w:p>
          <w:p w14:paraId="6D4C684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3.▲蔬菜符合相关标准要求，农药残留检测合格，符合国家相关食品（农产品）标准和卫生标准。</w:t>
            </w:r>
          </w:p>
          <w:p w14:paraId="7288541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4.▲每批次供货时必须提供本批次的相关农药残留检测报告。</w:t>
            </w:r>
          </w:p>
        </w:tc>
      </w:tr>
      <w:tr w14:paraId="03A2C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4EC970D1">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27</w:t>
            </w:r>
          </w:p>
        </w:tc>
        <w:tc>
          <w:tcPr>
            <w:tcW w:w="529" w:type="pct"/>
            <w:vAlign w:val="center"/>
          </w:tcPr>
          <w:p w14:paraId="3FEB8A9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青辣椒</w:t>
            </w:r>
          </w:p>
        </w:tc>
        <w:tc>
          <w:tcPr>
            <w:tcW w:w="603" w:type="pct"/>
            <w:vAlign w:val="center"/>
          </w:tcPr>
          <w:p w14:paraId="0A6FCBC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4000.00</w:t>
            </w:r>
          </w:p>
        </w:tc>
        <w:tc>
          <w:tcPr>
            <w:tcW w:w="374" w:type="pct"/>
            <w:vAlign w:val="center"/>
          </w:tcPr>
          <w:p w14:paraId="73FE0844">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338630E7">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5.60</w:t>
            </w:r>
          </w:p>
        </w:tc>
        <w:tc>
          <w:tcPr>
            <w:tcW w:w="2796" w:type="pct"/>
            <w:vAlign w:val="center"/>
          </w:tcPr>
          <w:p w14:paraId="78327378">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1.▲具有新鲜的状态，允许外形有轻微变形，无变色、变软、擦伤、枯萎、破裂、霉烂等无法食用的现象；</w:t>
            </w:r>
          </w:p>
          <w:p w14:paraId="0DEAA1FF">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2.▲蔬菜符合相关标准要求，农药残留检测合格，符合国家相关食品（农产品）标准和卫生标准。</w:t>
            </w:r>
          </w:p>
          <w:p w14:paraId="05C8195D">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3.▲每批次供货时必须提供本批次的相关农药残留检测报告。</w:t>
            </w:r>
          </w:p>
        </w:tc>
      </w:tr>
      <w:tr w14:paraId="01EFB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6EE2CEF2">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28</w:t>
            </w:r>
          </w:p>
        </w:tc>
        <w:tc>
          <w:tcPr>
            <w:tcW w:w="529" w:type="pct"/>
            <w:vAlign w:val="center"/>
          </w:tcPr>
          <w:p w14:paraId="06A7CFB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生姜</w:t>
            </w:r>
          </w:p>
        </w:tc>
        <w:tc>
          <w:tcPr>
            <w:tcW w:w="603" w:type="pct"/>
            <w:vAlign w:val="center"/>
          </w:tcPr>
          <w:p w14:paraId="17580A0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5000.00</w:t>
            </w:r>
          </w:p>
        </w:tc>
        <w:tc>
          <w:tcPr>
            <w:tcW w:w="374" w:type="pct"/>
            <w:vAlign w:val="center"/>
          </w:tcPr>
          <w:p w14:paraId="1AF19FDD">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2715AA5C">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11.00</w:t>
            </w:r>
          </w:p>
        </w:tc>
        <w:tc>
          <w:tcPr>
            <w:tcW w:w="2796" w:type="pct"/>
            <w:vAlign w:val="center"/>
          </w:tcPr>
          <w:p w14:paraId="06080D37">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1.▲具有新鲜的状态，允许外形有轻微变形，无变色、变软、擦伤、枯萎、破裂、霉烂等无法食用的现象；</w:t>
            </w:r>
          </w:p>
          <w:p w14:paraId="0CD3BED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2.▲蔬菜符合相关标准要求，农药残留检测合格，符合国家相关食品（农产品）标准和卫生标准。</w:t>
            </w:r>
          </w:p>
          <w:p w14:paraId="21DCDA5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3.▲每批次供货时必须提供本批次的相关农药残留检测报告。</w:t>
            </w:r>
          </w:p>
        </w:tc>
      </w:tr>
      <w:tr w14:paraId="18FE9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242BC868">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29</w:t>
            </w:r>
          </w:p>
        </w:tc>
        <w:tc>
          <w:tcPr>
            <w:tcW w:w="529" w:type="pct"/>
            <w:vAlign w:val="center"/>
          </w:tcPr>
          <w:p w14:paraId="4109E33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葱花</w:t>
            </w:r>
          </w:p>
        </w:tc>
        <w:tc>
          <w:tcPr>
            <w:tcW w:w="603" w:type="pct"/>
            <w:vAlign w:val="center"/>
          </w:tcPr>
          <w:p w14:paraId="1FEA5B7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1500.00</w:t>
            </w:r>
          </w:p>
        </w:tc>
        <w:tc>
          <w:tcPr>
            <w:tcW w:w="374" w:type="pct"/>
            <w:vAlign w:val="center"/>
          </w:tcPr>
          <w:p w14:paraId="18F22F87">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36509215">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9.00</w:t>
            </w:r>
          </w:p>
        </w:tc>
        <w:tc>
          <w:tcPr>
            <w:tcW w:w="2796" w:type="pct"/>
            <w:vAlign w:val="center"/>
          </w:tcPr>
          <w:p w14:paraId="3527F58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1.▲采摘适宜，交验时外表干爽，具有新鲜的状态，无滴水现象，无虫害、腐烂、叶片发黄，无根须、泥沙等杂质；</w:t>
            </w:r>
          </w:p>
          <w:p w14:paraId="4731F62D">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2.▲可食率达95%以上；</w:t>
            </w:r>
          </w:p>
          <w:p w14:paraId="0135B0C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3.▲蔬菜符合相关标准要求，农药残留检测合格，符合国家相关食品（农产品）标准和卫生标准。</w:t>
            </w:r>
          </w:p>
          <w:p w14:paraId="7D827BB5">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4.▲每批次供货时必须提供本批次的相关农药残留检测报告。</w:t>
            </w:r>
          </w:p>
        </w:tc>
      </w:tr>
      <w:tr w14:paraId="19538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19043141">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30</w:t>
            </w:r>
          </w:p>
        </w:tc>
        <w:tc>
          <w:tcPr>
            <w:tcW w:w="529" w:type="pct"/>
            <w:vAlign w:val="center"/>
          </w:tcPr>
          <w:p w14:paraId="431F56B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大蒜苗</w:t>
            </w:r>
          </w:p>
        </w:tc>
        <w:tc>
          <w:tcPr>
            <w:tcW w:w="603" w:type="pct"/>
            <w:vAlign w:val="center"/>
          </w:tcPr>
          <w:p w14:paraId="10E7376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5000.00</w:t>
            </w:r>
          </w:p>
        </w:tc>
        <w:tc>
          <w:tcPr>
            <w:tcW w:w="374" w:type="pct"/>
            <w:vAlign w:val="center"/>
          </w:tcPr>
          <w:p w14:paraId="642076EC">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647D9BC3">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9.00</w:t>
            </w:r>
          </w:p>
        </w:tc>
        <w:tc>
          <w:tcPr>
            <w:tcW w:w="2796" w:type="pct"/>
            <w:vAlign w:val="center"/>
          </w:tcPr>
          <w:p w14:paraId="10209257">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1.▲采摘适宜，交验时外表干爽，具有新鲜的状态，无滴水现象，无虫害、腐烂、叶片发黄，无根须、泥沙等杂质；</w:t>
            </w:r>
          </w:p>
          <w:p w14:paraId="678D9414">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2.▲可食率达95%以上；</w:t>
            </w:r>
          </w:p>
          <w:p w14:paraId="79E4B4A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3.▲蔬菜符合相关标准要求，农药残留检测合格，符合国家相关食品（农产品）标准和卫生标准。</w:t>
            </w:r>
          </w:p>
          <w:p w14:paraId="45B9CF88">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4.▲每批次供货时必须提供本批次的相关农药残留检测报告。</w:t>
            </w:r>
          </w:p>
        </w:tc>
      </w:tr>
      <w:tr w14:paraId="73F3A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05D9104E">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31</w:t>
            </w:r>
          </w:p>
        </w:tc>
        <w:tc>
          <w:tcPr>
            <w:tcW w:w="529" w:type="pct"/>
            <w:vAlign w:val="center"/>
          </w:tcPr>
          <w:p w14:paraId="1F81A32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萝卜干</w:t>
            </w:r>
          </w:p>
        </w:tc>
        <w:tc>
          <w:tcPr>
            <w:tcW w:w="603" w:type="pct"/>
            <w:vAlign w:val="center"/>
          </w:tcPr>
          <w:p w14:paraId="086086A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3000.00</w:t>
            </w:r>
          </w:p>
        </w:tc>
        <w:tc>
          <w:tcPr>
            <w:tcW w:w="374" w:type="pct"/>
            <w:vAlign w:val="center"/>
          </w:tcPr>
          <w:p w14:paraId="43594B5D">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3C0E98FD">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15.00</w:t>
            </w:r>
          </w:p>
        </w:tc>
        <w:tc>
          <w:tcPr>
            <w:tcW w:w="2796" w:type="pct"/>
            <w:vAlign w:val="center"/>
          </w:tcPr>
          <w:p w14:paraId="38F4FB8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1.▲要求干净无杂质，无腐烂变质；</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2.▲符合相关标准要求。</w:t>
            </w:r>
          </w:p>
        </w:tc>
      </w:tr>
      <w:tr w14:paraId="4A45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1DA03D17">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32</w:t>
            </w:r>
          </w:p>
        </w:tc>
        <w:tc>
          <w:tcPr>
            <w:tcW w:w="529" w:type="pct"/>
            <w:vAlign w:val="center"/>
          </w:tcPr>
          <w:p w14:paraId="25DC4C8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小红椒</w:t>
            </w:r>
          </w:p>
        </w:tc>
        <w:tc>
          <w:tcPr>
            <w:tcW w:w="603" w:type="pct"/>
            <w:vAlign w:val="center"/>
          </w:tcPr>
          <w:p w14:paraId="526C643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1500.00</w:t>
            </w:r>
          </w:p>
        </w:tc>
        <w:tc>
          <w:tcPr>
            <w:tcW w:w="374" w:type="pct"/>
            <w:vAlign w:val="center"/>
          </w:tcPr>
          <w:p w14:paraId="49288945">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370445EA">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14.00</w:t>
            </w:r>
          </w:p>
        </w:tc>
        <w:tc>
          <w:tcPr>
            <w:tcW w:w="2796" w:type="pct"/>
            <w:vAlign w:val="center"/>
          </w:tcPr>
          <w:p w14:paraId="1E0B0AB7">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1.▲采摘适宜，交验时外表干爽，具有新鲜的状态，无滴水现象，无虫害、腐烂、叶片发黄，无根须、泥沙等杂质；</w:t>
            </w:r>
          </w:p>
          <w:p w14:paraId="67513C4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2.▲可食率达95%以上；</w:t>
            </w:r>
          </w:p>
          <w:p w14:paraId="69BFB63A">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3.▲蔬菜符合相关标准要求，农药残留检测合格，符合国家相关食品（农产品）标准和卫生标准。</w:t>
            </w:r>
          </w:p>
          <w:p w14:paraId="6F3ABA66">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4.▲每批次供货时必须提供本批次的相关农药残留检测报告。</w:t>
            </w:r>
          </w:p>
        </w:tc>
      </w:tr>
      <w:tr w14:paraId="2EFD8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0FEFDAF6">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33</w:t>
            </w:r>
          </w:p>
        </w:tc>
        <w:tc>
          <w:tcPr>
            <w:tcW w:w="529" w:type="pct"/>
            <w:vAlign w:val="center"/>
          </w:tcPr>
          <w:p w14:paraId="24FBF87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西芹</w:t>
            </w:r>
          </w:p>
        </w:tc>
        <w:tc>
          <w:tcPr>
            <w:tcW w:w="603" w:type="pct"/>
            <w:vAlign w:val="center"/>
          </w:tcPr>
          <w:p w14:paraId="0080972A">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3000.00</w:t>
            </w:r>
          </w:p>
        </w:tc>
        <w:tc>
          <w:tcPr>
            <w:tcW w:w="374" w:type="pct"/>
            <w:vAlign w:val="center"/>
          </w:tcPr>
          <w:p w14:paraId="71215065">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2B3FD68B">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6.00</w:t>
            </w:r>
          </w:p>
        </w:tc>
        <w:tc>
          <w:tcPr>
            <w:tcW w:w="2796" w:type="pct"/>
            <w:vAlign w:val="center"/>
          </w:tcPr>
          <w:p w14:paraId="771897F5">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1.▲采摘适宜，交验时外表干爽，具有新鲜的状态，无滴水现象，无虫害、腐烂、叶片发黄，无根须、泥沙等杂质；</w:t>
            </w:r>
          </w:p>
          <w:p w14:paraId="7A52FAC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2.▲可食率达95%以上；</w:t>
            </w:r>
          </w:p>
          <w:p w14:paraId="358F0D85">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3.▲蔬菜符合相关标准要求，农药残留检测合格，符合国家相关食品（农产品）标准和卫生标准。</w:t>
            </w:r>
          </w:p>
          <w:p w14:paraId="6A5EFAD8">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4.▲每批次供货时必须提供本批次的相关农药残留检测报告。</w:t>
            </w:r>
          </w:p>
        </w:tc>
      </w:tr>
      <w:tr w14:paraId="1146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4D679A96">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34</w:t>
            </w:r>
          </w:p>
        </w:tc>
        <w:tc>
          <w:tcPr>
            <w:tcW w:w="529" w:type="pct"/>
            <w:vAlign w:val="center"/>
          </w:tcPr>
          <w:p w14:paraId="2202099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菠菜</w:t>
            </w:r>
          </w:p>
        </w:tc>
        <w:tc>
          <w:tcPr>
            <w:tcW w:w="603" w:type="pct"/>
            <w:vAlign w:val="center"/>
          </w:tcPr>
          <w:p w14:paraId="30CCE0D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1500.00</w:t>
            </w:r>
          </w:p>
        </w:tc>
        <w:tc>
          <w:tcPr>
            <w:tcW w:w="374" w:type="pct"/>
            <w:vAlign w:val="center"/>
          </w:tcPr>
          <w:p w14:paraId="73008B61">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44AC566C">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4.60</w:t>
            </w:r>
          </w:p>
        </w:tc>
        <w:tc>
          <w:tcPr>
            <w:tcW w:w="2796" w:type="pct"/>
            <w:vAlign w:val="center"/>
          </w:tcPr>
          <w:p w14:paraId="04EE806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1.▲采摘适宜，交验时外表干爽，具有新鲜的状态，无滴水现象，无虫害、腐烂、叶片发黄，无根须、泥沙等杂质；</w:t>
            </w:r>
          </w:p>
          <w:p w14:paraId="1BA3F21D">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2.▲可食率达95%以上；</w:t>
            </w:r>
          </w:p>
          <w:p w14:paraId="6DDCB736">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3.▲蔬菜符合相关标准要求，农药残留检测合格，符合国家相关食品（农产品）标准和卫生标准。</w:t>
            </w:r>
          </w:p>
          <w:p w14:paraId="3AA6CAB9">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4.▲每批次供货时必须提供本批次的相关农药残留检测报告。</w:t>
            </w:r>
          </w:p>
        </w:tc>
      </w:tr>
      <w:tr w14:paraId="440DE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5D078D07">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35</w:t>
            </w:r>
          </w:p>
        </w:tc>
        <w:tc>
          <w:tcPr>
            <w:tcW w:w="529" w:type="pct"/>
            <w:vAlign w:val="center"/>
          </w:tcPr>
          <w:p w14:paraId="660978E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包菜</w:t>
            </w:r>
          </w:p>
        </w:tc>
        <w:tc>
          <w:tcPr>
            <w:tcW w:w="603" w:type="pct"/>
            <w:vAlign w:val="center"/>
          </w:tcPr>
          <w:p w14:paraId="46BAE55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3000.00</w:t>
            </w:r>
          </w:p>
        </w:tc>
        <w:tc>
          <w:tcPr>
            <w:tcW w:w="374" w:type="pct"/>
            <w:vAlign w:val="center"/>
          </w:tcPr>
          <w:p w14:paraId="3C8AD890">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0FAC24A9">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3.20</w:t>
            </w:r>
          </w:p>
        </w:tc>
        <w:tc>
          <w:tcPr>
            <w:tcW w:w="2796" w:type="pct"/>
            <w:vAlign w:val="center"/>
          </w:tcPr>
          <w:p w14:paraId="5B012C27">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1.▲采摘适宜，交验时外表干爽，具有新鲜的状态，无滴水现象，无虫害、腐烂、叶片发黄，无根须、泥沙等杂质；</w:t>
            </w:r>
          </w:p>
          <w:p w14:paraId="76016C36">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2.▲可食率达95%以上；</w:t>
            </w:r>
          </w:p>
          <w:p w14:paraId="1CD70CC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3.▲蔬菜符合相关标准要求，农药残留检测合格，符合国家相关食品（农产品）标准和卫生标准。</w:t>
            </w:r>
          </w:p>
          <w:p w14:paraId="2C64E578">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4.▲每批次供货时必须提供本批次的相关农药残留检测报告。</w:t>
            </w:r>
          </w:p>
        </w:tc>
      </w:tr>
      <w:tr w14:paraId="6E058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1992D5A0">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36</w:t>
            </w:r>
          </w:p>
        </w:tc>
        <w:tc>
          <w:tcPr>
            <w:tcW w:w="529" w:type="pct"/>
            <w:vAlign w:val="center"/>
          </w:tcPr>
          <w:p w14:paraId="5E05BE7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蛋黄青</w:t>
            </w:r>
          </w:p>
        </w:tc>
        <w:tc>
          <w:tcPr>
            <w:tcW w:w="603" w:type="pct"/>
            <w:vAlign w:val="center"/>
          </w:tcPr>
          <w:p w14:paraId="38EAECE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1000.00</w:t>
            </w:r>
          </w:p>
        </w:tc>
        <w:tc>
          <w:tcPr>
            <w:tcW w:w="374" w:type="pct"/>
            <w:vAlign w:val="center"/>
          </w:tcPr>
          <w:p w14:paraId="608874CD">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5037A3F3">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3.80</w:t>
            </w:r>
          </w:p>
        </w:tc>
        <w:tc>
          <w:tcPr>
            <w:tcW w:w="2796" w:type="pct"/>
            <w:vAlign w:val="center"/>
          </w:tcPr>
          <w:p w14:paraId="51FF0BF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1.▲采摘适宜，交验时外表干爽，具有新鲜的状态，无滴水现象，无虫害、腐烂、叶片发黄，无根须、泥沙等杂质；</w:t>
            </w:r>
          </w:p>
          <w:p w14:paraId="68C3DA68">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2.▲可食率达95%以上；</w:t>
            </w:r>
          </w:p>
          <w:p w14:paraId="1C5D2715">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3.▲蔬菜符合相关标准要求，农药残留检测合格，符合国家相关食品（农产品）标准和卫生标准。</w:t>
            </w:r>
          </w:p>
          <w:p w14:paraId="0F7EA56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4.▲每批次供货时必须提供本批次的相关农药残留检测报告。</w:t>
            </w:r>
          </w:p>
        </w:tc>
      </w:tr>
      <w:tr w14:paraId="7B58A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4618C483">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37</w:t>
            </w:r>
          </w:p>
        </w:tc>
        <w:tc>
          <w:tcPr>
            <w:tcW w:w="529" w:type="pct"/>
            <w:vAlign w:val="center"/>
          </w:tcPr>
          <w:p w14:paraId="75A72B2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生菜</w:t>
            </w:r>
          </w:p>
        </w:tc>
        <w:tc>
          <w:tcPr>
            <w:tcW w:w="603" w:type="pct"/>
            <w:vAlign w:val="center"/>
          </w:tcPr>
          <w:p w14:paraId="72EB7D2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3000.00</w:t>
            </w:r>
          </w:p>
        </w:tc>
        <w:tc>
          <w:tcPr>
            <w:tcW w:w="374" w:type="pct"/>
            <w:vAlign w:val="center"/>
          </w:tcPr>
          <w:p w14:paraId="51FE5B9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42F60390">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5.20</w:t>
            </w:r>
          </w:p>
        </w:tc>
        <w:tc>
          <w:tcPr>
            <w:tcW w:w="2796" w:type="pct"/>
            <w:vAlign w:val="center"/>
          </w:tcPr>
          <w:p w14:paraId="1502D751">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1.▲采摘适宜，交验时外表干爽，具有新鲜的状态，无滴水现象，无虫害、腐烂、叶片发黄，无根须、泥沙等杂质；</w:t>
            </w:r>
          </w:p>
          <w:p w14:paraId="2232F3C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2.▲可食率达95%以上；</w:t>
            </w:r>
          </w:p>
          <w:p w14:paraId="375F9968">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3.▲蔬菜符合相关标准要求，农药残留检测合格，符合国家相关食品（农产品）标准和卫生标准。</w:t>
            </w:r>
          </w:p>
          <w:p w14:paraId="0DD799AF">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4.▲每批次供货时必须提供本批次的相关农药残留检测报告。</w:t>
            </w:r>
          </w:p>
        </w:tc>
      </w:tr>
      <w:tr w14:paraId="6E050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401EC5E2">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38</w:t>
            </w:r>
          </w:p>
        </w:tc>
        <w:tc>
          <w:tcPr>
            <w:tcW w:w="529" w:type="pct"/>
            <w:vAlign w:val="center"/>
          </w:tcPr>
          <w:p w14:paraId="15F11D6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白菜花</w:t>
            </w:r>
          </w:p>
        </w:tc>
        <w:tc>
          <w:tcPr>
            <w:tcW w:w="603" w:type="pct"/>
            <w:vAlign w:val="center"/>
          </w:tcPr>
          <w:p w14:paraId="45F3033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1000.00</w:t>
            </w:r>
          </w:p>
        </w:tc>
        <w:tc>
          <w:tcPr>
            <w:tcW w:w="374" w:type="pct"/>
            <w:vAlign w:val="center"/>
          </w:tcPr>
          <w:p w14:paraId="31E8C958">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133A28DD">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5.00</w:t>
            </w:r>
          </w:p>
        </w:tc>
        <w:tc>
          <w:tcPr>
            <w:tcW w:w="2796" w:type="pct"/>
            <w:vAlign w:val="center"/>
          </w:tcPr>
          <w:p w14:paraId="746A7C2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1.▲采摘适宜，交验时外表干爽，具有新鲜的状态，无滴水现象，无虫害、腐烂、叶片发黄，无根须、泥沙等杂质；</w:t>
            </w:r>
          </w:p>
          <w:p w14:paraId="1613E2E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2.▲可食率达95%以上；</w:t>
            </w:r>
          </w:p>
          <w:p w14:paraId="4F8C44B1">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3.▲蔬菜符合相关标准要求，农药残留检测合格，符合国家相关食品（农产品）标准和卫生标准。</w:t>
            </w:r>
          </w:p>
          <w:p w14:paraId="013B77A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4.▲每批次供货时必须提供本批次的相关农药残留检测报告。</w:t>
            </w:r>
          </w:p>
        </w:tc>
      </w:tr>
      <w:tr w14:paraId="19C96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7D3885AE">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39</w:t>
            </w:r>
          </w:p>
        </w:tc>
        <w:tc>
          <w:tcPr>
            <w:tcW w:w="529" w:type="pct"/>
            <w:vAlign w:val="center"/>
          </w:tcPr>
          <w:p w14:paraId="4B427A00">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葫芦瓜</w:t>
            </w:r>
          </w:p>
        </w:tc>
        <w:tc>
          <w:tcPr>
            <w:tcW w:w="603" w:type="pct"/>
            <w:vAlign w:val="center"/>
          </w:tcPr>
          <w:p w14:paraId="7D1ACEA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1000.0</w:t>
            </w:r>
          </w:p>
        </w:tc>
        <w:tc>
          <w:tcPr>
            <w:tcW w:w="374" w:type="pct"/>
            <w:vAlign w:val="center"/>
          </w:tcPr>
          <w:p w14:paraId="403374BE">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62DDAE3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3.60</w:t>
            </w:r>
          </w:p>
        </w:tc>
        <w:tc>
          <w:tcPr>
            <w:tcW w:w="2796" w:type="pct"/>
            <w:vAlign w:val="center"/>
          </w:tcPr>
          <w:p w14:paraId="0959BE78">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1.▲采摘适宜，交验时外表干爽，具有新鲜的状态，无滴水现象，无虫害、腐烂、叶片发黄，无根须、泥沙等杂质；</w:t>
            </w:r>
          </w:p>
          <w:p w14:paraId="44EB940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2.▲可食率达95%以上；</w:t>
            </w:r>
          </w:p>
          <w:p w14:paraId="57B079B1">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3.▲蔬菜符合相关标准要求，农药残留检测合格，符合国家相关食品（农产品）标准和卫生标准。</w:t>
            </w:r>
          </w:p>
          <w:p w14:paraId="00CA421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4.▲每批次供货时必须提供本批次的相关农药残留检测报告。</w:t>
            </w:r>
          </w:p>
        </w:tc>
      </w:tr>
      <w:tr w14:paraId="0ABAA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 w:type="pct"/>
            <w:vAlign w:val="center"/>
          </w:tcPr>
          <w:p w14:paraId="412DB6E8">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40</w:t>
            </w:r>
          </w:p>
        </w:tc>
        <w:tc>
          <w:tcPr>
            <w:tcW w:w="529" w:type="pct"/>
            <w:vAlign w:val="center"/>
          </w:tcPr>
          <w:p w14:paraId="118BA0B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菜心</w:t>
            </w:r>
          </w:p>
        </w:tc>
        <w:tc>
          <w:tcPr>
            <w:tcW w:w="603" w:type="pct"/>
            <w:vAlign w:val="center"/>
          </w:tcPr>
          <w:p w14:paraId="026E640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5000.00</w:t>
            </w:r>
          </w:p>
        </w:tc>
        <w:tc>
          <w:tcPr>
            <w:tcW w:w="374" w:type="pct"/>
            <w:vAlign w:val="center"/>
          </w:tcPr>
          <w:p w14:paraId="74ACFC8A">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3" w:type="pct"/>
            <w:vAlign w:val="center"/>
          </w:tcPr>
          <w:p w14:paraId="13C8FF11">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4.80</w:t>
            </w:r>
          </w:p>
        </w:tc>
        <w:tc>
          <w:tcPr>
            <w:tcW w:w="2796" w:type="pct"/>
            <w:vAlign w:val="center"/>
          </w:tcPr>
          <w:p w14:paraId="066FEFA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1.▲采摘适宜，交验时外表干爽，具有新鲜的状态，无滴水现象，无虫害、腐烂、叶片发黄，无根须、泥沙等杂质；</w:t>
            </w:r>
          </w:p>
          <w:p w14:paraId="2B8E0965">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2.▲可食率达95%以上；</w:t>
            </w:r>
          </w:p>
          <w:p w14:paraId="23463A79">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3.▲蔬菜符合相关标准要求，农药残留检测合格，符合国家相关食品（农产品）标准和卫生标准。</w:t>
            </w:r>
          </w:p>
          <w:p w14:paraId="1A9AF83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4.▲每批次供货时必须提供本批次的相关农药残留检测报告。</w:t>
            </w:r>
          </w:p>
        </w:tc>
      </w:tr>
      <w:tr w14:paraId="342E8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tcPr>
          <w:p w14:paraId="1EB6D830">
            <w:pPr>
              <w:tabs>
                <w:tab w:val="left" w:pos="180"/>
                <w:tab w:val="left" w:pos="1620"/>
              </w:tabs>
              <w:rPr>
                <w:rFonts w:hint="eastAsia" w:ascii="宋体" w:hAnsi="宋体" w:cs="宋体"/>
                <w:color w:val="auto"/>
                <w:szCs w:val="21"/>
                <w:highlight w:val="none"/>
              </w:rPr>
            </w:pPr>
            <w:r>
              <w:rPr>
                <w:rFonts w:hint="eastAsia" w:ascii="宋体" w:hAnsi="宋体" w:cs="宋体"/>
                <w:b/>
                <w:bCs/>
                <w:color w:val="auto"/>
                <w:sz w:val="24"/>
                <w:highlight w:val="none"/>
              </w:rPr>
              <w:t>二、商务条款</w:t>
            </w:r>
          </w:p>
        </w:tc>
      </w:tr>
      <w:tr w14:paraId="497DE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751" w:type="pct"/>
            <w:gridSpan w:val="2"/>
            <w:vAlign w:val="center"/>
          </w:tcPr>
          <w:p w14:paraId="618C10AE">
            <w:pPr>
              <w:jc w:val="center"/>
              <w:rPr>
                <w:rFonts w:hint="eastAsia" w:ascii="宋体" w:hAnsi="宋体" w:cs="宋体"/>
                <w:b/>
                <w:bCs/>
                <w:color w:val="auto"/>
                <w:szCs w:val="21"/>
                <w:highlight w:val="none"/>
                <w:u w:val="single"/>
              </w:rPr>
            </w:pPr>
            <w:r>
              <w:rPr>
                <w:rFonts w:hint="eastAsia" w:ascii="宋体" w:hAnsi="宋体" w:cs="宋体"/>
                <w:color w:val="auto"/>
                <w:szCs w:val="21"/>
                <w:highlight w:val="none"/>
              </w:rPr>
              <w:t>1、合同签订时间</w:t>
            </w:r>
          </w:p>
        </w:tc>
        <w:tc>
          <w:tcPr>
            <w:tcW w:w="4248" w:type="pct"/>
            <w:gridSpan w:val="4"/>
            <w:vAlign w:val="center"/>
          </w:tcPr>
          <w:p w14:paraId="1DD79E19">
            <w:pPr>
              <w:rPr>
                <w:rFonts w:hint="eastAsia" w:ascii="宋体" w:hAnsi="宋体" w:cs="宋体"/>
                <w:color w:val="auto"/>
                <w:szCs w:val="21"/>
                <w:highlight w:val="none"/>
              </w:rPr>
            </w:pPr>
            <w:r>
              <w:rPr>
                <w:rFonts w:hint="eastAsia" w:ascii="宋体" w:hAnsi="宋体" w:cs="宋体"/>
                <w:color w:val="auto"/>
                <w:szCs w:val="21"/>
                <w:highlight w:val="none"/>
              </w:rPr>
              <w:t>自中标通知书发出之日起</w:t>
            </w:r>
            <w:r>
              <w:rPr>
                <w:rFonts w:hint="eastAsia" w:ascii="宋体" w:hAnsi="宋体" w:cs="宋体"/>
                <w:color w:val="auto"/>
                <w:szCs w:val="21"/>
                <w:highlight w:val="none"/>
                <w:u w:val="single"/>
              </w:rPr>
              <w:t>25</w:t>
            </w:r>
            <w:r>
              <w:rPr>
                <w:rFonts w:hint="eastAsia" w:ascii="宋体" w:hAnsi="宋体" w:cs="宋体"/>
                <w:color w:val="auto"/>
                <w:szCs w:val="21"/>
                <w:highlight w:val="none"/>
              </w:rPr>
              <w:t>日内。</w:t>
            </w:r>
          </w:p>
        </w:tc>
      </w:tr>
      <w:tr w14:paraId="01DC5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gridSpan w:val="2"/>
            <w:vAlign w:val="center"/>
          </w:tcPr>
          <w:p w14:paraId="28253655">
            <w:pPr>
              <w:jc w:val="center"/>
              <w:rPr>
                <w:rFonts w:hint="eastAsia" w:ascii="宋体" w:hAnsi="宋体" w:cs="宋体"/>
                <w:color w:val="auto"/>
                <w:szCs w:val="21"/>
                <w:highlight w:val="none"/>
                <w:u w:val="single"/>
              </w:rPr>
            </w:pPr>
            <w:r>
              <w:rPr>
                <w:rFonts w:hint="eastAsia" w:ascii="宋体" w:hAnsi="宋体" w:cs="宋体"/>
                <w:color w:val="auto"/>
                <w:szCs w:val="21"/>
                <w:highlight w:val="none"/>
              </w:rPr>
              <w:t>2、▲交付时间及地点、合同有效期</w:t>
            </w:r>
          </w:p>
        </w:tc>
        <w:tc>
          <w:tcPr>
            <w:tcW w:w="4248" w:type="pct"/>
            <w:gridSpan w:val="4"/>
            <w:vAlign w:val="center"/>
          </w:tcPr>
          <w:p w14:paraId="1923A974">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1.交付时间：中标人向采购人供应食材为每天北京时间上午08:00前，确保一日一供,节假日正常供应,特殊情况双方协商确定。产品运输由中标人负责，运输及卸车费用由中标人承担。</w:t>
            </w:r>
          </w:p>
          <w:p w14:paraId="36916659">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2.交付地点：广西壮族自治区梧州市龙圩区；</w:t>
            </w:r>
          </w:p>
          <w:p w14:paraId="7AD6A43D">
            <w:pPr>
              <w:rPr>
                <w:rFonts w:hint="eastAsia" w:ascii="宋体" w:hAnsi="宋体" w:cs="宋体"/>
                <w:color w:val="auto"/>
                <w:szCs w:val="21"/>
                <w:highlight w:val="none"/>
              </w:rPr>
            </w:pPr>
            <w:r>
              <w:rPr>
                <w:rFonts w:hint="eastAsia" w:ascii="宋体" w:hAnsi="宋体" w:cs="宋体"/>
                <w:color w:val="auto"/>
                <w:szCs w:val="21"/>
                <w:highlight w:val="none"/>
              </w:rPr>
              <w:t>3.合同有效期：自合同签订生效之日起1年。</w:t>
            </w:r>
          </w:p>
        </w:tc>
      </w:tr>
      <w:tr w14:paraId="137BC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gridSpan w:val="2"/>
            <w:vAlign w:val="center"/>
          </w:tcPr>
          <w:p w14:paraId="597395A3">
            <w:pPr>
              <w:rPr>
                <w:rFonts w:hint="eastAsia" w:ascii="宋体" w:hAnsi="宋体" w:cs="宋体"/>
                <w:color w:val="auto"/>
                <w:szCs w:val="21"/>
                <w:highlight w:val="none"/>
                <w:u w:val="single"/>
              </w:rPr>
            </w:pPr>
            <w:r>
              <w:rPr>
                <w:rFonts w:hint="eastAsia" w:ascii="宋体" w:hAnsi="宋体" w:cs="宋体"/>
                <w:color w:val="auto"/>
                <w:szCs w:val="21"/>
                <w:highlight w:val="none"/>
              </w:rPr>
              <w:t>3、▲质保期</w:t>
            </w:r>
          </w:p>
        </w:tc>
        <w:tc>
          <w:tcPr>
            <w:tcW w:w="4248" w:type="pct"/>
            <w:gridSpan w:val="4"/>
            <w:vAlign w:val="center"/>
          </w:tcPr>
          <w:p w14:paraId="3F6424EA">
            <w:pPr>
              <w:rPr>
                <w:rFonts w:hint="eastAsia" w:ascii="宋体" w:hAnsi="宋体" w:cs="宋体"/>
                <w:color w:val="auto"/>
                <w:szCs w:val="21"/>
                <w:highlight w:val="none"/>
              </w:rPr>
            </w:pPr>
            <w:r>
              <w:rPr>
                <w:rFonts w:hint="eastAsia" w:ascii="宋体" w:hAnsi="宋体" w:cs="宋体"/>
                <w:color w:val="auto"/>
                <w:szCs w:val="21"/>
                <w:highlight w:val="none"/>
              </w:rPr>
              <w:t>自每批次货物验收合格时计算，不少于24小时。</w:t>
            </w:r>
          </w:p>
        </w:tc>
      </w:tr>
      <w:tr w14:paraId="3B810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gridSpan w:val="2"/>
            <w:vAlign w:val="center"/>
          </w:tcPr>
          <w:p w14:paraId="649D3FE0">
            <w:pPr>
              <w:jc w:val="center"/>
              <w:rPr>
                <w:rFonts w:hint="eastAsia" w:ascii="宋体" w:hAnsi="宋体" w:cs="宋体"/>
                <w:color w:val="auto"/>
                <w:szCs w:val="21"/>
                <w:highlight w:val="none"/>
                <w:u w:val="single"/>
              </w:rPr>
            </w:pPr>
            <w:r>
              <w:rPr>
                <w:rFonts w:hint="eastAsia" w:ascii="宋体" w:hAnsi="宋体" w:cs="宋体"/>
                <w:color w:val="auto"/>
                <w:szCs w:val="21"/>
                <w:highlight w:val="none"/>
              </w:rPr>
              <w:t>4、▲售后服务要求</w:t>
            </w:r>
          </w:p>
        </w:tc>
        <w:tc>
          <w:tcPr>
            <w:tcW w:w="4248" w:type="pct"/>
            <w:gridSpan w:val="4"/>
          </w:tcPr>
          <w:p w14:paraId="18E407D9">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1.负责送货上门，搬运至指定地点。</w:t>
            </w:r>
          </w:p>
          <w:p w14:paraId="5E1ADC6E">
            <w:pPr>
              <w:jc w:val="left"/>
              <w:rPr>
                <w:rFonts w:hint="eastAsia" w:ascii="宋体" w:hAnsi="宋体" w:cs="宋体"/>
                <w:color w:val="auto"/>
                <w:szCs w:val="21"/>
                <w:highlight w:val="none"/>
              </w:rPr>
            </w:pPr>
            <w:r>
              <w:rPr>
                <w:rFonts w:hint="eastAsia" w:ascii="宋体" w:hAnsi="宋体" w:cs="宋体"/>
                <w:color w:val="auto"/>
                <w:szCs w:val="21"/>
                <w:highlight w:val="none"/>
              </w:rPr>
              <w:t>2.出现质量问题的收到通知后1个小时内要到现场，并在2个小时内更换合格货物。</w:t>
            </w:r>
          </w:p>
          <w:p w14:paraId="3DCB398E">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3.中标人按采购人采购计划按时按点供货。</w:t>
            </w:r>
          </w:p>
          <w:p w14:paraId="73D4DDFE">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4.中标人无法按规定时间交货，需采购人从其他地方进行临时补货应急的，该批次货物产生的所有相关成本及费用由中标人负责。</w:t>
            </w:r>
          </w:p>
          <w:p w14:paraId="22A7C006">
            <w:pPr>
              <w:pStyle w:val="18"/>
              <w:rPr>
                <w:rFonts w:hint="eastAsia" w:ascii="宋体" w:hAnsi="宋体" w:cs="宋体"/>
                <w:color w:val="auto"/>
                <w:kern w:val="0"/>
                <w:szCs w:val="21"/>
                <w:highlight w:val="none"/>
                <w:lang w:bidi="ar"/>
              </w:rPr>
            </w:pPr>
            <w:r>
              <w:rPr>
                <w:rFonts w:hint="eastAsia" w:ascii="宋体" w:hAnsi="宋体" w:cs="宋体"/>
                <w:color w:val="auto"/>
                <w:szCs w:val="21"/>
                <w:highlight w:val="none"/>
              </w:rPr>
              <w:t>5.中标人必须提供相关供货清单（包括货物名称、数量、单价、金额等信息），以便采购人月底结算货款。中标人供货不符合要求的，采购人有权立即退货。中标人应按采购人的要求及时补货，具体交付时间以约定为准。</w:t>
            </w:r>
          </w:p>
        </w:tc>
      </w:tr>
      <w:tr w14:paraId="0A0FB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gridSpan w:val="2"/>
            <w:vAlign w:val="center"/>
          </w:tcPr>
          <w:p w14:paraId="0A48914A">
            <w:pPr>
              <w:jc w:val="center"/>
              <w:rPr>
                <w:rFonts w:hint="eastAsia" w:ascii="宋体" w:hAnsi="宋体" w:cs="宋体"/>
                <w:color w:val="auto"/>
                <w:szCs w:val="21"/>
                <w:highlight w:val="none"/>
                <w:u w:val="single"/>
              </w:rPr>
            </w:pPr>
            <w:r>
              <w:rPr>
                <w:rFonts w:hint="eastAsia" w:ascii="宋体" w:hAnsi="宋体" w:cs="宋体"/>
                <w:color w:val="auto"/>
                <w:szCs w:val="21"/>
                <w:highlight w:val="none"/>
              </w:rPr>
              <w:t>5、▲报价要求</w:t>
            </w:r>
          </w:p>
        </w:tc>
        <w:tc>
          <w:tcPr>
            <w:tcW w:w="4248" w:type="pct"/>
            <w:gridSpan w:val="4"/>
          </w:tcPr>
          <w:p w14:paraId="177571D4">
            <w:pPr>
              <w:widowControl/>
              <w:jc w:val="left"/>
              <w:rPr>
                <w:rFonts w:hint="eastAsia" w:ascii="宋体" w:hAnsi="宋体" w:cs="宋体"/>
                <w:color w:val="auto"/>
                <w:szCs w:val="21"/>
                <w:highlight w:val="none"/>
              </w:rPr>
            </w:pPr>
            <w:r>
              <w:rPr>
                <w:rFonts w:hint="eastAsia" w:ascii="宋体" w:hAnsi="宋体" w:cs="宋体"/>
                <w:color w:val="auto"/>
                <w:szCs w:val="21"/>
                <w:highlight w:val="none"/>
              </w:rPr>
              <w:t>1.本分标投标报价以统一的折扣系数报价：执行合同过程中，如遇市场价格变动幅度较大，可对采购单价进行调整，采用定额统筹供货和上限价弹性议价机制。</w:t>
            </w:r>
            <w:r>
              <w:rPr>
                <w:rFonts w:hint="eastAsia" w:ascii="宋体" w:hAnsi="宋体" w:cs="宋体"/>
                <w:b/>
                <w:bCs/>
                <w:color w:val="auto"/>
                <w:szCs w:val="21"/>
                <w:highlight w:val="none"/>
              </w:rPr>
              <w:t>合同执行前三个月内价格不变</w:t>
            </w:r>
            <w:r>
              <w:rPr>
                <w:rFonts w:hint="eastAsia" w:ascii="宋体" w:hAnsi="宋体" w:cs="宋体"/>
                <w:color w:val="auto"/>
                <w:szCs w:val="21"/>
                <w:highlight w:val="none"/>
              </w:rPr>
              <w:t>，前三个月结算价=每月实际采购数量×货物单价（货物单价=单价最高限价×折扣系数），三个月后可以对市场价格变动幅度超过±20%的商品价格，进行单价最高限价的调整。调整后的结算价=每月实际采购数量×货物单价（货物单价=调整后的单价×折扣系数）；</w:t>
            </w:r>
            <w:r>
              <w:rPr>
                <w:rFonts w:hint="eastAsia" w:ascii="宋体" w:hAnsi="宋体" w:cs="宋体"/>
                <w:b/>
                <w:bCs/>
                <w:color w:val="auto"/>
                <w:szCs w:val="21"/>
                <w:highlight w:val="none"/>
                <w:lang w:eastAsia="zh-CN"/>
              </w:rPr>
              <w:t>合同期内调价次数不超过3次</w:t>
            </w:r>
            <w:r>
              <w:rPr>
                <w:rFonts w:hint="eastAsia" w:ascii="宋体" w:hAnsi="宋体" w:cs="宋体"/>
                <w:color w:val="auto"/>
                <w:szCs w:val="21"/>
                <w:highlight w:val="none"/>
              </w:rPr>
              <w:t>。例如：供应商所报折扣系数为80%，大白菜的前三个月结算单价=2.30元/公斤×80%=1.84元/公斤；三个月后大白菜的结算单价=调整后的单价×80%。投</w:t>
            </w:r>
            <w:r>
              <w:rPr>
                <w:rFonts w:hint="eastAsia" w:ascii="宋体" w:hAnsi="宋体" w:cs="宋体"/>
                <w:b/>
                <w:bCs/>
                <w:color w:val="auto"/>
                <w:szCs w:val="21"/>
                <w:highlight w:val="none"/>
              </w:rPr>
              <w:t>标人所报折扣系数＞100%时，投标无效</w:t>
            </w:r>
            <w:r>
              <w:rPr>
                <w:rFonts w:hint="eastAsia" w:ascii="宋体" w:hAnsi="宋体" w:cs="宋体"/>
                <w:color w:val="auto"/>
                <w:szCs w:val="21"/>
                <w:highlight w:val="none"/>
              </w:rPr>
              <w:t>。</w:t>
            </w:r>
          </w:p>
          <w:p w14:paraId="298399FF">
            <w:pPr>
              <w:widowControl/>
              <w:jc w:val="left"/>
              <w:rPr>
                <w:rFonts w:hint="eastAsia" w:ascii="宋体" w:hAnsi="宋体" w:cs="宋体"/>
                <w:color w:val="auto"/>
                <w:szCs w:val="21"/>
                <w:highlight w:val="none"/>
              </w:rPr>
            </w:pPr>
            <w:r>
              <w:rPr>
                <w:rFonts w:hint="eastAsia" w:ascii="宋体" w:hAnsi="宋体" w:cs="宋体"/>
                <w:color w:val="auto"/>
                <w:szCs w:val="21"/>
                <w:highlight w:val="none"/>
              </w:rPr>
              <w:t>2.本表所列数量仅作参考，最终采购数量以实际采购需求为准。</w:t>
            </w:r>
          </w:p>
          <w:p w14:paraId="466A8C58">
            <w:pPr>
              <w:widowControl/>
              <w:jc w:val="left"/>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b/>
                <w:bCs/>
                <w:color w:val="auto"/>
                <w:szCs w:val="21"/>
                <w:highlight w:val="none"/>
              </w:rPr>
              <w:t>单价调整方式：</w:t>
            </w:r>
            <w:r>
              <w:rPr>
                <w:rFonts w:hint="eastAsia" w:ascii="宋体" w:hAnsi="宋体" w:cs="宋体"/>
                <w:color w:val="auto"/>
                <w:szCs w:val="21"/>
                <w:highlight w:val="none"/>
              </w:rPr>
              <w:t>由采购人在其所在地以询价方式，面向市场主体选择不少于3家具有代表性的调查对象进行市场询价调研（从以下市场或超市中随机抽取3家：梧州市龙圩区大圆塘市场，梧州市新兴市场，梧州市大塘市场，梧州市龙圩区龙人超市，梧州市沃尔玛超市，梧州市大润发超市），以调研的3个市场价格的平均值移交采购人的相关工作小组复核，报采购人单位党委审定，方可调整价格。原则上每三个月复核一次采购价格。投标人应充分考虑到供货期间物品供应基准单价上涨的风险（如有新的价格调动机制文件，按新的文件规定执行）。在调价申请未得到批复前，投标人必须按现行价格供货，否则视为单方违约，同时按违约进行处理。调价申请批复的价格作为重新确定的单价最高限价。</w:t>
            </w:r>
          </w:p>
          <w:p w14:paraId="1F4B4FDC">
            <w:pPr>
              <w:widowControl/>
              <w:jc w:val="left"/>
              <w:rPr>
                <w:rFonts w:hint="eastAsia" w:ascii="宋体" w:hAnsi="宋体" w:cs="宋体"/>
                <w:color w:val="auto"/>
                <w:kern w:val="0"/>
                <w:szCs w:val="21"/>
                <w:highlight w:val="none"/>
                <w:lang w:bidi="ar"/>
              </w:rPr>
            </w:pPr>
            <w:r>
              <w:rPr>
                <w:rFonts w:hint="eastAsia" w:ascii="宋体" w:hAnsi="宋体" w:cs="宋体"/>
                <w:color w:val="auto"/>
                <w:szCs w:val="21"/>
                <w:highlight w:val="none"/>
              </w:rPr>
              <w:t>4.投标报价包括但不仅限于食品和货物的采买、打包、包装、搬运、运输、装卸等所需人工、第三方检验、劳动保险以及用工纠纷、人身损害、法律事务和相关事项处理等一切税金和费用。</w:t>
            </w:r>
          </w:p>
        </w:tc>
      </w:tr>
      <w:tr w14:paraId="5C01F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gridSpan w:val="2"/>
            <w:vAlign w:val="center"/>
          </w:tcPr>
          <w:p w14:paraId="469CC46C">
            <w:pPr>
              <w:rPr>
                <w:rFonts w:hint="eastAsia" w:ascii="宋体" w:hAnsi="宋体" w:cs="宋体"/>
                <w:color w:val="auto"/>
                <w:szCs w:val="21"/>
                <w:highlight w:val="none"/>
                <w:u w:val="single"/>
              </w:rPr>
            </w:pPr>
            <w:r>
              <w:rPr>
                <w:rFonts w:hint="eastAsia" w:ascii="宋体" w:hAnsi="宋体" w:cs="宋体"/>
                <w:color w:val="auto"/>
                <w:szCs w:val="21"/>
                <w:highlight w:val="none"/>
              </w:rPr>
              <w:t>6、▲付款方式</w:t>
            </w:r>
          </w:p>
        </w:tc>
        <w:tc>
          <w:tcPr>
            <w:tcW w:w="4248" w:type="pct"/>
            <w:gridSpan w:val="4"/>
            <w:vAlign w:val="center"/>
          </w:tcPr>
          <w:p w14:paraId="32B96088">
            <w:pPr>
              <w:widowControl/>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按月结算，采购人按月进行公对公账户银行转账，以采购人实际购买的种类及数量据实核算。供应商必须提供详细的物品销售清单与采购人的收货单核对，无误后，由供应商按照采购人财务规定出具正式发票，采购人在收到供应商开具的发票后10个工作日内支付货款。</w:t>
            </w:r>
          </w:p>
          <w:p w14:paraId="6E8ECE5E">
            <w:pPr>
              <w:pStyle w:val="25"/>
              <w:snapToGrid w:val="0"/>
              <w:rPr>
                <w:rFonts w:hint="eastAsia" w:hAnsi="宋体" w:cs="宋体"/>
                <w:color w:val="auto"/>
                <w:sz w:val="21"/>
                <w:highlight w:val="none"/>
              </w:rPr>
            </w:pPr>
            <w:r>
              <w:rPr>
                <w:rFonts w:hint="eastAsia" w:hAnsi="宋体" w:cs="宋体"/>
                <w:color w:val="auto"/>
                <w:sz w:val="21"/>
                <w:highlight w:val="none"/>
              </w:rPr>
              <w:t>2.采购人经市场调查发现供应商在合同服务期内存在提供假冒伪劣、有质量缺陷或非正品商品的情况，针对此情况，采购人将向供应商发出问责通知，问责通知发出两次后，供应商仍未能进行有效整改的，采购人有权终止合同，产生的损失由供应商自行负责。</w:t>
            </w:r>
          </w:p>
        </w:tc>
      </w:tr>
      <w:tr w14:paraId="5FFD8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gridSpan w:val="2"/>
            <w:vAlign w:val="center"/>
          </w:tcPr>
          <w:p w14:paraId="132A3830">
            <w:pPr>
              <w:rPr>
                <w:rFonts w:hint="eastAsia" w:ascii="宋体" w:hAnsi="宋体" w:cs="宋体"/>
                <w:color w:val="auto"/>
                <w:szCs w:val="21"/>
                <w:highlight w:val="none"/>
                <w:u w:val="single"/>
              </w:rPr>
            </w:pPr>
            <w:r>
              <w:rPr>
                <w:rFonts w:hint="eastAsia" w:ascii="宋体" w:hAnsi="宋体" w:cs="宋体"/>
                <w:color w:val="auto"/>
                <w:szCs w:val="21"/>
                <w:highlight w:val="none"/>
              </w:rPr>
              <w:t>7、▲配送要求</w:t>
            </w:r>
          </w:p>
        </w:tc>
        <w:tc>
          <w:tcPr>
            <w:tcW w:w="4248" w:type="pct"/>
            <w:gridSpan w:val="4"/>
            <w:vAlign w:val="center"/>
          </w:tcPr>
          <w:p w14:paraId="5102827B">
            <w:pPr>
              <w:pStyle w:val="18"/>
              <w:rPr>
                <w:rFonts w:hint="eastAsia" w:ascii="宋体" w:hAnsi="宋体" w:cs="宋体"/>
                <w:color w:val="auto"/>
                <w:szCs w:val="21"/>
                <w:highlight w:val="none"/>
              </w:rPr>
            </w:pPr>
            <w:r>
              <w:rPr>
                <w:rFonts w:hint="eastAsia" w:ascii="宋体" w:hAnsi="宋体" w:cs="宋体"/>
                <w:color w:val="auto"/>
                <w:szCs w:val="21"/>
                <w:highlight w:val="none"/>
              </w:rPr>
              <w:t>1.中标供应商必须按照采购人食堂采购人员通知的时间、数量、品种、品质要求及协定的价格准时送货，经验收合格后签字确认，不能以任何理由推脱，一旦影响到采购人食堂的正常运转，中标供应商应承担相应的经济赔偿。</w:t>
            </w:r>
          </w:p>
          <w:p w14:paraId="3663AF84">
            <w:pPr>
              <w:pStyle w:val="18"/>
              <w:rPr>
                <w:rFonts w:hint="eastAsia" w:ascii="宋体" w:hAnsi="宋体" w:cs="宋体"/>
                <w:color w:val="auto"/>
                <w:szCs w:val="21"/>
                <w:highlight w:val="none"/>
              </w:rPr>
            </w:pPr>
            <w:r>
              <w:rPr>
                <w:rFonts w:hint="eastAsia" w:ascii="宋体" w:hAnsi="宋体" w:cs="宋体"/>
                <w:color w:val="auto"/>
                <w:szCs w:val="21"/>
                <w:highlight w:val="none"/>
              </w:rPr>
              <w:t>2.中标供应商必须在双方约定的时间内将货物送到采购人指定的地点，运输费用由中标供应商承担，如出现不合格、损坏的情况，由中标供应商负责及时调换。</w:t>
            </w:r>
          </w:p>
          <w:p w14:paraId="6EE0B151">
            <w:pPr>
              <w:pStyle w:val="18"/>
              <w:rPr>
                <w:rFonts w:hint="eastAsia" w:ascii="宋体" w:hAnsi="宋体" w:cs="宋体"/>
                <w:color w:val="auto"/>
                <w:szCs w:val="21"/>
                <w:highlight w:val="none"/>
              </w:rPr>
            </w:pPr>
            <w:r>
              <w:rPr>
                <w:rFonts w:hint="eastAsia" w:ascii="宋体" w:hAnsi="宋体" w:cs="宋体"/>
                <w:color w:val="auto"/>
                <w:szCs w:val="21"/>
                <w:highlight w:val="none"/>
              </w:rPr>
              <w:t>3.在收到采购人发出订货通知后，中标供应商最迟在次日上午08：00（北京时间）提供当次现场供货。</w:t>
            </w:r>
          </w:p>
          <w:p w14:paraId="5CC1B7B0">
            <w:pPr>
              <w:pStyle w:val="18"/>
              <w:rPr>
                <w:rFonts w:hint="eastAsia" w:ascii="宋体" w:hAnsi="宋体" w:cs="宋体"/>
                <w:color w:val="auto"/>
                <w:szCs w:val="21"/>
                <w:highlight w:val="none"/>
              </w:rPr>
            </w:pPr>
            <w:r>
              <w:rPr>
                <w:rFonts w:hint="eastAsia" w:ascii="宋体" w:hAnsi="宋体" w:cs="宋体"/>
                <w:color w:val="auto"/>
                <w:szCs w:val="21"/>
                <w:highlight w:val="none"/>
              </w:rPr>
              <w:t>4.紧急供货要求：在收到采购人发出紧急供货通知后，中标供应商最迟2小时内完成当次现场供货。</w:t>
            </w:r>
          </w:p>
          <w:p w14:paraId="281BE877">
            <w:pPr>
              <w:widowControl/>
              <w:jc w:val="left"/>
              <w:rPr>
                <w:rFonts w:hint="eastAsia" w:ascii="宋体" w:hAnsi="宋体" w:cs="宋体"/>
                <w:color w:val="auto"/>
                <w:szCs w:val="21"/>
                <w:highlight w:val="none"/>
              </w:rPr>
            </w:pPr>
            <w:r>
              <w:rPr>
                <w:rFonts w:hint="eastAsia" w:ascii="宋体" w:hAnsi="宋体" w:cs="宋体"/>
                <w:color w:val="auto"/>
                <w:szCs w:val="21"/>
                <w:highlight w:val="none"/>
              </w:rPr>
              <w:t>5.中标供应商必须由有健康证的固定人员及车辆长期送货。为确保运输过程的食品安全，必须使用公司自有或租赁车辆，安排专人专车送货，并提供送货人员健康证明及无犯罪记录证明材料，不安排固定车辆人员送货的，每次扣除履约保证金800.00元，履约保证金不足中标金额2%的，由中标供应商在5个工作日内补齐。</w:t>
            </w:r>
          </w:p>
          <w:p w14:paraId="55D90867">
            <w:pPr>
              <w:rPr>
                <w:rFonts w:hint="eastAsia" w:ascii="宋体" w:hAnsi="宋体" w:cs="宋体"/>
                <w:color w:val="auto"/>
                <w:szCs w:val="21"/>
                <w:highlight w:val="none"/>
              </w:rPr>
            </w:pPr>
            <w:r>
              <w:rPr>
                <w:rFonts w:hint="eastAsia" w:ascii="宋体" w:hAnsi="宋体" w:cs="宋体"/>
                <w:color w:val="auto"/>
                <w:szCs w:val="21"/>
                <w:highlight w:val="none"/>
              </w:rPr>
              <w:t>6.为确保运输过程的食品安全，送货时</w:t>
            </w:r>
            <w:r>
              <w:rPr>
                <w:rFonts w:hint="eastAsia" w:ascii="宋体" w:hAnsi="宋体" w:cs="宋体"/>
                <w:color w:val="auto"/>
                <w:szCs w:val="21"/>
                <w:highlight w:val="none"/>
                <w:lang w:val="en-US" w:eastAsia="zh-CN"/>
              </w:rPr>
              <w:t>至少配备1辆</w:t>
            </w:r>
            <w:r>
              <w:rPr>
                <w:rFonts w:hint="eastAsia" w:ascii="宋体" w:hAnsi="宋体" w:cs="宋体"/>
                <w:color w:val="auto"/>
                <w:szCs w:val="21"/>
                <w:highlight w:val="none"/>
              </w:rPr>
              <w:t>冷藏车或冷链车。</w:t>
            </w:r>
          </w:p>
        </w:tc>
      </w:tr>
      <w:tr w14:paraId="6FFFB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gridSpan w:val="2"/>
            <w:vAlign w:val="center"/>
          </w:tcPr>
          <w:p w14:paraId="118433A3">
            <w:pPr>
              <w:jc w:val="center"/>
              <w:rPr>
                <w:rFonts w:hint="eastAsia" w:ascii="宋体" w:hAnsi="宋体" w:cs="宋体"/>
                <w:color w:val="auto"/>
                <w:szCs w:val="21"/>
                <w:highlight w:val="none"/>
                <w:u w:val="single"/>
              </w:rPr>
            </w:pPr>
            <w:r>
              <w:rPr>
                <w:rFonts w:hint="eastAsia" w:ascii="宋体" w:hAnsi="宋体" w:cs="宋体"/>
                <w:color w:val="auto"/>
                <w:szCs w:val="21"/>
                <w:highlight w:val="none"/>
              </w:rPr>
              <w:t>8、▲其他要求</w:t>
            </w:r>
          </w:p>
        </w:tc>
        <w:tc>
          <w:tcPr>
            <w:tcW w:w="4248" w:type="pct"/>
            <w:gridSpan w:val="4"/>
            <w:vAlign w:val="center"/>
          </w:tcPr>
          <w:p w14:paraId="31FFBF4C">
            <w:pPr>
              <w:rPr>
                <w:rFonts w:hint="eastAsia" w:ascii="宋体" w:hAnsi="宋体" w:cs="宋体"/>
                <w:color w:val="auto"/>
                <w:szCs w:val="21"/>
                <w:highlight w:val="none"/>
              </w:rPr>
            </w:pPr>
            <w:r>
              <w:rPr>
                <w:rFonts w:hint="eastAsia" w:ascii="宋体" w:hAnsi="宋体" w:cs="宋体"/>
                <w:color w:val="auto"/>
                <w:szCs w:val="21"/>
                <w:highlight w:val="none"/>
              </w:rPr>
              <w:t>1.投标人中标后提供的货物必须是具有合法销售途径的、完整、新鲜合格产品。货物的技术质量必须符合中华人民共和国农产品质量安全法等有关规定。</w:t>
            </w:r>
          </w:p>
          <w:p w14:paraId="22359431">
            <w:pPr>
              <w:rPr>
                <w:rFonts w:hint="eastAsia" w:ascii="宋体" w:hAnsi="宋体" w:cs="宋体"/>
                <w:color w:val="auto"/>
                <w:szCs w:val="21"/>
                <w:highlight w:val="none"/>
              </w:rPr>
            </w:pPr>
            <w:r>
              <w:rPr>
                <w:rFonts w:hint="eastAsia" w:ascii="宋体" w:hAnsi="宋体" w:cs="宋体"/>
                <w:color w:val="auto"/>
                <w:szCs w:val="21"/>
                <w:highlight w:val="none"/>
              </w:rPr>
              <w:t>2.供货时，中标人必须提供以下证明文件：</w:t>
            </w:r>
          </w:p>
          <w:p w14:paraId="0E5B1BB1">
            <w:pPr>
              <w:rPr>
                <w:rFonts w:hint="eastAsia" w:ascii="宋体" w:hAnsi="宋体" w:cs="宋体"/>
                <w:color w:val="auto"/>
                <w:szCs w:val="21"/>
                <w:highlight w:val="none"/>
              </w:rPr>
            </w:pPr>
            <w:r>
              <w:rPr>
                <w:rFonts w:hint="eastAsia" w:ascii="宋体" w:hAnsi="宋体" w:cs="宋体"/>
                <w:color w:val="auto"/>
                <w:szCs w:val="21"/>
                <w:highlight w:val="none"/>
              </w:rPr>
              <w:t>（1）每批货物必须提供相关的质量安全检验合格证明。</w:t>
            </w:r>
          </w:p>
          <w:p w14:paraId="6863CC76">
            <w:pPr>
              <w:rPr>
                <w:rFonts w:hint="eastAsia" w:ascii="宋体" w:hAnsi="宋体" w:cs="宋体"/>
                <w:color w:val="auto"/>
                <w:szCs w:val="21"/>
                <w:highlight w:val="none"/>
              </w:rPr>
            </w:pPr>
            <w:r>
              <w:rPr>
                <w:rFonts w:hint="eastAsia" w:ascii="宋体" w:hAnsi="宋体" w:cs="宋体"/>
                <w:color w:val="auto"/>
                <w:szCs w:val="21"/>
                <w:highlight w:val="none"/>
              </w:rPr>
              <w:t>（2）投标人中标后每次随货物送上一式两份的送货清单，经双方验收合格后签字确认，双方各执一份，作为送收货凭证。中标人的送货清单必须详细注明商品的单价、数量，送货清单不得涂改。标记不清的，采购人将拒绝签收。合同期末中标人还应提供整个合同期内的所有送货清单供采购人结算。</w:t>
            </w:r>
          </w:p>
          <w:p w14:paraId="0F2D44C5">
            <w:pPr>
              <w:rPr>
                <w:rFonts w:hint="eastAsia" w:ascii="宋体" w:hAnsi="宋体" w:cs="宋体"/>
                <w:color w:val="auto"/>
                <w:szCs w:val="21"/>
                <w:highlight w:val="none"/>
              </w:rPr>
            </w:pPr>
            <w:r>
              <w:rPr>
                <w:rFonts w:hint="eastAsia" w:ascii="宋体" w:hAnsi="宋体" w:cs="宋体"/>
                <w:color w:val="auto"/>
                <w:szCs w:val="21"/>
                <w:highlight w:val="none"/>
              </w:rPr>
              <w:t>3.交货验收必须由采购人和中标人共同进行，采购人如认为有需要的，可委托相关检验部门对产品进行抽检，自检或检验部门抽检不合格的不给予验收，影响采购人实施进度的将追究相关责任，抽检所产生的费用全部由中标人负责。</w:t>
            </w:r>
          </w:p>
          <w:p w14:paraId="5C050F6C">
            <w:pPr>
              <w:rPr>
                <w:rFonts w:hint="eastAsia" w:ascii="宋体" w:hAnsi="宋体" w:cs="宋体"/>
                <w:color w:val="auto"/>
                <w:szCs w:val="21"/>
                <w:highlight w:val="none"/>
              </w:rPr>
            </w:pPr>
            <w:r>
              <w:rPr>
                <w:rFonts w:hint="eastAsia" w:ascii="宋体" w:hAnsi="宋体" w:cs="宋体"/>
                <w:color w:val="auto"/>
                <w:szCs w:val="21"/>
                <w:highlight w:val="none"/>
              </w:rPr>
              <w:t>4.验收工作的一般程序为：根据货物采购清单的具体要求，对所购名称进行清点、外观检查进行实测，并逐项记录。检测结束后，验收人员在验收单上签字。对未能通过验收的，一律退货、更换直至验收合格。</w:t>
            </w:r>
          </w:p>
          <w:p w14:paraId="51289F81">
            <w:pPr>
              <w:rPr>
                <w:rFonts w:hint="eastAsia" w:ascii="宋体" w:hAnsi="宋体" w:cs="宋体"/>
                <w:color w:val="auto"/>
                <w:szCs w:val="21"/>
                <w:highlight w:val="none"/>
              </w:rPr>
            </w:pPr>
            <w:r>
              <w:rPr>
                <w:rFonts w:hint="eastAsia" w:ascii="宋体" w:hAnsi="宋体" w:cs="宋体"/>
                <w:color w:val="auto"/>
                <w:szCs w:val="21"/>
                <w:highlight w:val="none"/>
              </w:rPr>
              <w:t>5.投标人中标后不得泄露采购人的相关秘密。泄密造成采购人损失的，中标人将承担由此产生的一切损失和法律责任。</w:t>
            </w:r>
          </w:p>
          <w:p w14:paraId="6A3CCE92">
            <w:pPr>
              <w:rPr>
                <w:rFonts w:hint="eastAsia" w:ascii="宋体" w:hAnsi="宋体" w:cs="宋体"/>
                <w:color w:val="auto"/>
                <w:szCs w:val="21"/>
                <w:highlight w:val="none"/>
              </w:rPr>
            </w:pPr>
            <w:r>
              <w:rPr>
                <w:rFonts w:hint="eastAsia" w:ascii="宋体" w:hAnsi="宋体" w:cs="宋体"/>
                <w:color w:val="auto"/>
                <w:szCs w:val="21"/>
                <w:highlight w:val="none"/>
              </w:rPr>
              <w:t>6.安全责任方面要求</w:t>
            </w:r>
          </w:p>
          <w:p w14:paraId="46101E16">
            <w:pPr>
              <w:rPr>
                <w:rFonts w:hint="eastAsia" w:ascii="宋体" w:hAnsi="宋体" w:cs="宋体"/>
                <w:color w:val="auto"/>
                <w:szCs w:val="21"/>
                <w:highlight w:val="none"/>
              </w:rPr>
            </w:pPr>
            <w:r>
              <w:rPr>
                <w:rFonts w:hint="eastAsia" w:ascii="宋体" w:hAnsi="宋体" w:cs="宋体"/>
                <w:color w:val="auto"/>
                <w:szCs w:val="21"/>
                <w:highlight w:val="none"/>
              </w:rPr>
              <w:t>1）投标人中标后应保证所提供的食品必须是合格安全的食品，因其所送的食品造成食物中毒等事故，立即终止合同，中标人应承担全部责任，同时通过法律途径解决。</w:t>
            </w:r>
          </w:p>
          <w:p w14:paraId="1366EA72">
            <w:pPr>
              <w:rPr>
                <w:rFonts w:hint="eastAsia" w:ascii="宋体" w:hAnsi="宋体" w:cs="宋体"/>
                <w:color w:val="auto"/>
                <w:szCs w:val="21"/>
                <w:highlight w:val="none"/>
              </w:rPr>
            </w:pPr>
            <w:r>
              <w:rPr>
                <w:rFonts w:hint="eastAsia" w:ascii="宋体" w:hAnsi="宋体" w:cs="宋体"/>
                <w:color w:val="auto"/>
                <w:szCs w:val="21"/>
                <w:highlight w:val="none"/>
              </w:rPr>
              <w:t>2）投标人中标后应严格遵守《中华人民共和国食品安全法》等相关规定，一经发现以下食品，除全部退货外，将取消供货资格，中标人并承担由此造成的经济责任和法律责任：</w:t>
            </w:r>
          </w:p>
          <w:p w14:paraId="273AD144">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1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①</w:t>
            </w:r>
            <w:r>
              <w:rPr>
                <w:rFonts w:hint="eastAsia" w:ascii="宋体" w:hAnsi="宋体" w:cs="宋体"/>
                <w:color w:val="auto"/>
                <w:szCs w:val="21"/>
                <w:highlight w:val="none"/>
              </w:rPr>
              <w:fldChar w:fldCharType="end"/>
            </w:r>
            <w:r>
              <w:rPr>
                <w:rFonts w:hint="eastAsia" w:ascii="宋体" w:hAnsi="宋体" w:cs="宋体"/>
                <w:color w:val="auto"/>
                <w:szCs w:val="21"/>
                <w:highlight w:val="none"/>
              </w:rPr>
              <w:t>食材没有合法供货来源的；</w:t>
            </w:r>
          </w:p>
          <w:p w14:paraId="261BE55A">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2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②</w:t>
            </w:r>
            <w:r>
              <w:rPr>
                <w:rFonts w:hint="eastAsia" w:ascii="宋体" w:hAnsi="宋体" w:cs="宋体"/>
                <w:color w:val="auto"/>
                <w:szCs w:val="21"/>
                <w:highlight w:val="none"/>
              </w:rPr>
              <w:fldChar w:fldCharType="end"/>
            </w:r>
            <w:r>
              <w:rPr>
                <w:rFonts w:hint="eastAsia" w:ascii="宋体" w:hAnsi="宋体" w:cs="宋体"/>
                <w:color w:val="auto"/>
                <w:szCs w:val="21"/>
                <w:highlight w:val="none"/>
              </w:rPr>
              <w:t>腐败变质、霉变、生虫、污秽不洁、混有异物或者其他感官性状异常，对人体健康有害的；</w:t>
            </w:r>
          </w:p>
          <w:p w14:paraId="32B20BB2">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3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③</w:t>
            </w:r>
            <w:r>
              <w:rPr>
                <w:rFonts w:hint="eastAsia" w:ascii="宋体" w:hAnsi="宋体" w:cs="宋体"/>
                <w:color w:val="auto"/>
                <w:szCs w:val="21"/>
                <w:highlight w:val="none"/>
              </w:rPr>
              <w:fldChar w:fldCharType="end"/>
            </w:r>
            <w:r>
              <w:rPr>
                <w:rFonts w:hint="eastAsia" w:ascii="宋体" w:hAnsi="宋体" w:cs="宋体"/>
                <w:color w:val="auto"/>
                <w:szCs w:val="21"/>
                <w:highlight w:val="none"/>
              </w:rPr>
              <w:t>含有毒、有害物质或者被有害物质污染，对人体健康有害的；</w:t>
            </w:r>
          </w:p>
          <w:p w14:paraId="4CF83AB2">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4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④</w:t>
            </w:r>
            <w:r>
              <w:rPr>
                <w:rFonts w:hint="eastAsia" w:ascii="宋体" w:hAnsi="宋体" w:cs="宋体"/>
                <w:color w:val="auto"/>
                <w:szCs w:val="21"/>
                <w:highlight w:val="none"/>
              </w:rPr>
              <w:fldChar w:fldCharType="end"/>
            </w:r>
            <w:r>
              <w:rPr>
                <w:rFonts w:hint="eastAsia" w:ascii="宋体" w:hAnsi="宋体" w:cs="宋体"/>
                <w:color w:val="auto"/>
                <w:szCs w:val="21"/>
                <w:highlight w:val="none"/>
              </w:rPr>
              <w:t>含有致病性寄生虫、微生物或者微生物含量超过国家限定标准的；</w:t>
            </w:r>
          </w:p>
          <w:p w14:paraId="12A7027C">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5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⑤</w:t>
            </w:r>
            <w:r>
              <w:rPr>
                <w:rFonts w:hint="eastAsia" w:ascii="宋体" w:hAnsi="宋体" w:cs="宋体"/>
                <w:color w:val="auto"/>
                <w:szCs w:val="21"/>
                <w:highlight w:val="none"/>
              </w:rPr>
              <w:fldChar w:fldCharType="end"/>
            </w:r>
            <w:r>
              <w:rPr>
                <w:rFonts w:hint="eastAsia" w:ascii="宋体" w:hAnsi="宋体" w:cs="宋体"/>
                <w:color w:val="auto"/>
                <w:szCs w:val="21"/>
                <w:highlight w:val="none"/>
              </w:rPr>
              <w:t>掺假、掺杂、伪造，影响营养、卫生的；</w:t>
            </w:r>
          </w:p>
          <w:p w14:paraId="3CB57D3E">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6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⑥</w:t>
            </w:r>
            <w:r>
              <w:rPr>
                <w:rFonts w:hint="eastAsia" w:ascii="宋体" w:hAnsi="宋体" w:cs="宋体"/>
                <w:color w:val="auto"/>
                <w:szCs w:val="21"/>
                <w:highlight w:val="none"/>
              </w:rPr>
              <w:fldChar w:fldCharType="end"/>
            </w:r>
            <w:r>
              <w:rPr>
                <w:rFonts w:hint="eastAsia" w:ascii="宋体" w:hAnsi="宋体" w:cs="宋体"/>
                <w:color w:val="auto"/>
                <w:szCs w:val="21"/>
                <w:highlight w:val="none"/>
              </w:rPr>
              <w:t>未经检疫部门检疫、检验或者检疫、检验不合格的肉类；</w:t>
            </w:r>
          </w:p>
          <w:p w14:paraId="77F1ED3C">
            <w:pPr>
              <w:widowControl/>
              <w:jc w:val="left"/>
              <w:rPr>
                <w:rFonts w:hint="eastAsia" w:ascii="宋体" w:hAnsi="宋体" w:cs="宋体"/>
                <w:color w:val="auto"/>
                <w:kern w:val="0"/>
                <w:szCs w:val="21"/>
                <w:highlight w:val="none"/>
                <w:lang w:bidi="ar"/>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7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⑦</w:t>
            </w:r>
            <w:r>
              <w:rPr>
                <w:rFonts w:hint="eastAsia" w:ascii="宋体" w:hAnsi="宋体" w:cs="宋体"/>
                <w:color w:val="auto"/>
                <w:szCs w:val="21"/>
                <w:highlight w:val="none"/>
              </w:rPr>
              <w:fldChar w:fldCharType="end"/>
            </w:r>
            <w:r>
              <w:rPr>
                <w:rFonts w:hint="eastAsia" w:ascii="宋体" w:hAnsi="宋体" w:cs="宋体"/>
                <w:color w:val="auto"/>
                <w:szCs w:val="21"/>
                <w:highlight w:val="none"/>
              </w:rPr>
              <w:t>病死、毒死或者死因不明的肉类。</w:t>
            </w:r>
          </w:p>
          <w:p w14:paraId="7734C3A3">
            <w:pPr>
              <w:pStyle w:val="3"/>
              <w:spacing w:line="240" w:lineRule="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7.“供应商同意遵守《广西监狱罪犯生活物资供货商考核管理办法》，招标文件未尽事项按照《广西监狱罪犯生活物资供货商考核管理办法》执行”详见附件1。</w:t>
            </w:r>
          </w:p>
          <w:p w14:paraId="1FF140CD">
            <w:pPr>
              <w:pStyle w:val="3"/>
              <w:spacing w:line="240" w:lineRule="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8.本分标所公布的采购数量为采购人一年的预计采购暂估数量，实际采购数量由采购人根据实际需要确定，中标人不得因实际供应量与暂估数量不一致提出异议。</w:t>
            </w:r>
          </w:p>
          <w:p w14:paraId="12AC07E0">
            <w:pPr>
              <w:pStyle w:val="3"/>
              <w:spacing w:line="240" w:lineRule="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9.本分标标的中如涉及国家、地方有关部门规定的产品生产厂家需办理相关证件的（如《食品生产许可证》等相关的证件），中标人所供应的标的生产厂家须按相关规定办理，否则采购人有权不予验收。如遇有关部门检查需出示相关证件的，中标人应配合采购人检查，并按要求出示相关证件，如未能按有关部门规定出示相关证件或所出具的证件不合格导致采购人受有关部门处罚的，中标人应承担采购人相应的损失，并按违约处理。</w:t>
            </w:r>
          </w:p>
          <w:p w14:paraId="69FD2EA4">
            <w:pPr>
              <w:rPr>
                <w:color w:val="auto"/>
                <w:highlight w:val="none"/>
              </w:rPr>
            </w:pPr>
            <w:r>
              <w:rPr>
                <w:rFonts w:hint="eastAsia" w:ascii="宋体" w:hAnsi="宋体" w:cs="宋体"/>
                <w:b/>
                <w:bCs/>
                <w:color w:val="auto"/>
                <w:kern w:val="0"/>
                <w:szCs w:val="21"/>
                <w:highlight w:val="none"/>
              </w:rPr>
              <w:t>10.本分标合同执行6个月后，如遇上级主管部门重大采购政策调整，合同可以提前终止。</w:t>
            </w:r>
          </w:p>
        </w:tc>
      </w:tr>
      <w:tr w14:paraId="0C4C2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695B642C">
            <w:pPr>
              <w:tabs>
                <w:tab w:val="left" w:pos="180"/>
                <w:tab w:val="left" w:pos="1620"/>
              </w:tabs>
              <w:rPr>
                <w:rFonts w:hint="eastAsia" w:ascii="宋体" w:hAnsi="宋体" w:cs="宋体"/>
                <w:color w:val="auto"/>
                <w:kern w:val="0"/>
                <w:szCs w:val="21"/>
                <w:highlight w:val="none"/>
              </w:rPr>
            </w:pPr>
            <w:r>
              <w:rPr>
                <w:rFonts w:hint="eastAsia" w:ascii="宋体" w:hAnsi="宋体" w:cs="宋体"/>
                <w:b/>
                <w:bCs/>
                <w:color w:val="auto"/>
                <w:sz w:val="24"/>
                <w:highlight w:val="none"/>
              </w:rPr>
              <w:t>三、进口产品说明</w:t>
            </w:r>
          </w:p>
        </w:tc>
      </w:tr>
      <w:tr w14:paraId="0FFCB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728B4F18">
            <w:pPr>
              <w:pStyle w:val="3"/>
              <w:spacing w:line="240" w:lineRule="auto"/>
              <w:rPr>
                <w:rFonts w:hint="eastAsia" w:ascii="宋体" w:hAnsi="宋体" w:cs="宋体"/>
                <w:color w:val="auto"/>
                <w:sz w:val="21"/>
                <w:szCs w:val="21"/>
                <w:highlight w:val="none"/>
              </w:rPr>
            </w:pPr>
            <w:r>
              <w:rPr>
                <w:rFonts w:hint="eastAsia" w:ascii="宋体" w:hAnsi="宋体" w:cs="宋体"/>
                <w:b/>
                <w:bCs/>
                <w:color w:val="auto"/>
                <w:sz w:val="21"/>
                <w:szCs w:val="21"/>
                <w:highlight w:val="none"/>
              </w:rPr>
              <w:t>▲本项目货物不接受进口产品投标（即通过中国海关报关验放进入中国境内且产自关境外的产品），如有此类产品参与投标的作无效投标处理。</w:t>
            </w:r>
          </w:p>
        </w:tc>
      </w:tr>
    </w:tbl>
    <w:p w14:paraId="2D859CA3">
      <w:pPr>
        <w:rPr>
          <w:rFonts w:hint="eastAsia" w:ascii="宋体" w:hAnsi="宋体" w:cs="宋体"/>
          <w:b/>
          <w:bCs/>
          <w:color w:val="auto"/>
          <w:sz w:val="24"/>
          <w:highlight w:val="none"/>
        </w:rPr>
      </w:pPr>
      <w:r>
        <w:rPr>
          <w:rFonts w:hint="eastAsia" w:ascii="宋体" w:hAnsi="宋体" w:cs="宋体"/>
          <w:b/>
          <w:bCs/>
          <w:color w:val="auto"/>
          <w:sz w:val="24"/>
          <w:highlight w:val="none"/>
        </w:rPr>
        <w:br w:type="page"/>
      </w:r>
    </w:p>
    <w:p w14:paraId="0CFDE97E">
      <w:pPr>
        <w:ind w:firstLine="422" w:firstLineChars="175"/>
        <w:rPr>
          <w:rFonts w:hint="eastAsia" w:ascii="宋体" w:hAnsi="宋体" w:cs="宋体"/>
          <w:b/>
          <w:bCs/>
          <w:color w:val="auto"/>
          <w:sz w:val="24"/>
          <w:highlight w:val="none"/>
        </w:rPr>
      </w:pPr>
      <w:r>
        <w:rPr>
          <w:rFonts w:hint="eastAsia" w:ascii="宋体" w:hAnsi="宋体" w:cs="宋体"/>
          <w:b/>
          <w:bCs/>
          <w:color w:val="auto"/>
          <w:sz w:val="24"/>
          <w:highlight w:val="none"/>
        </w:rPr>
        <w:t>分标5：                            采购预算：</w:t>
      </w:r>
      <w:r>
        <w:rPr>
          <w:rFonts w:hint="eastAsia" w:ascii="宋体" w:hAnsi="宋体" w:cs="宋体"/>
          <w:b/>
          <w:bCs/>
          <w:color w:val="auto"/>
          <w:sz w:val="24"/>
          <w:highlight w:val="none"/>
          <w:lang w:eastAsia="zh-CN"/>
        </w:rPr>
        <w:t>1488000.00</w:t>
      </w:r>
      <w:r>
        <w:rPr>
          <w:rFonts w:hint="eastAsia" w:ascii="宋体" w:hAnsi="宋体" w:cs="宋体"/>
          <w:b/>
          <w:bCs/>
          <w:color w:val="auto"/>
          <w:sz w:val="24"/>
          <w:highlight w:val="none"/>
        </w:rPr>
        <w:t>元</w:t>
      </w:r>
    </w:p>
    <w:p w14:paraId="6D9E3C94">
      <w:pPr>
        <w:ind w:firstLine="422" w:firstLineChars="175"/>
        <w:rPr>
          <w:rFonts w:hint="eastAsia" w:ascii="宋体" w:hAnsi="宋体" w:cs="宋体"/>
          <w:b/>
          <w:bCs/>
          <w:color w:val="auto"/>
          <w:sz w:val="24"/>
          <w:highlight w:val="none"/>
        </w:rPr>
      </w:pPr>
      <w:r>
        <w:rPr>
          <w:rFonts w:hint="eastAsia" w:ascii="宋体" w:hAnsi="宋体" w:cs="宋体"/>
          <w:b/>
          <w:bCs/>
          <w:color w:val="auto"/>
          <w:sz w:val="24"/>
          <w:highlight w:val="none"/>
        </w:rPr>
        <w:t>本分标的核心产品为下表的第</w:t>
      </w:r>
      <w:r>
        <w:rPr>
          <w:rFonts w:hint="eastAsia" w:ascii="宋体" w:hAnsi="宋体" w:cs="宋体"/>
          <w:b/>
          <w:bCs/>
          <w:color w:val="auto"/>
          <w:sz w:val="24"/>
          <w:highlight w:val="none"/>
          <w:u w:val="single"/>
        </w:rPr>
        <w:t xml:space="preserve"> 1 </w:t>
      </w:r>
      <w:r>
        <w:rPr>
          <w:rFonts w:hint="eastAsia" w:ascii="宋体" w:hAnsi="宋体" w:cs="宋体"/>
          <w:b/>
          <w:bCs/>
          <w:color w:val="auto"/>
          <w:sz w:val="24"/>
          <w:highlight w:val="none"/>
        </w:rPr>
        <w:t>项产品。</w:t>
      </w:r>
    </w:p>
    <w:tbl>
      <w:tblPr>
        <w:tblStyle w:val="48"/>
        <w:tblW w:w="482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022"/>
        <w:gridCol w:w="1161"/>
        <w:gridCol w:w="724"/>
        <w:gridCol w:w="913"/>
        <w:gridCol w:w="5370"/>
      </w:tblGrid>
      <w:tr w14:paraId="15B24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25B9590F">
            <w:pPr>
              <w:tabs>
                <w:tab w:val="left" w:pos="180"/>
                <w:tab w:val="left" w:pos="1620"/>
              </w:tabs>
              <w:jc w:val="center"/>
              <w:rPr>
                <w:rFonts w:hint="eastAsia" w:ascii="宋体" w:hAnsi="宋体" w:cs="宋体"/>
                <w:b/>
                <w:color w:val="auto"/>
                <w:sz w:val="24"/>
                <w:highlight w:val="none"/>
              </w:rPr>
            </w:pPr>
            <w:r>
              <w:rPr>
                <w:rFonts w:hint="eastAsia" w:ascii="宋体" w:hAnsi="宋体" w:cs="宋体"/>
                <w:b/>
                <w:color w:val="auto"/>
                <w:sz w:val="24"/>
                <w:highlight w:val="none"/>
              </w:rPr>
              <w:t>货物需求一览表</w:t>
            </w:r>
          </w:p>
        </w:tc>
      </w:tr>
      <w:tr w14:paraId="15DE4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1D6B7B4E">
            <w:pPr>
              <w:tabs>
                <w:tab w:val="left" w:pos="180"/>
                <w:tab w:val="left" w:pos="1620"/>
              </w:tabs>
              <w:rPr>
                <w:rFonts w:hint="eastAsia" w:ascii="宋体" w:hAnsi="宋体" w:cs="宋体"/>
                <w:b/>
                <w:bCs/>
                <w:color w:val="auto"/>
                <w:sz w:val="24"/>
                <w:highlight w:val="none"/>
              </w:rPr>
            </w:pPr>
            <w:r>
              <w:rPr>
                <w:rFonts w:hint="eastAsia" w:ascii="宋体" w:hAnsi="宋体" w:cs="宋体"/>
                <w:b/>
                <w:bCs/>
                <w:color w:val="auto"/>
                <w:sz w:val="24"/>
                <w:highlight w:val="none"/>
              </w:rPr>
              <w:t>一、采购标的及技术需求</w:t>
            </w:r>
          </w:p>
        </w:tc>
      </w:tr>
      <w:tr w14:paraId="558FD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221" w:type="pct"/>
            <w:vAlign w:val="center"/>
          </w:tcPr>
          <w:p w14:paraId="7BE1A1DD">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bCs/>
                <w:color w:val="auto"/>
                <w:szCs w:val="21"/>
                <w:highlight w:val="none"/>
              </w:rPr>
              <w:t>项号</w:t>
            </w:r>
          </w:p>
        </w:tc>
        <w:tc>
          <w:tcPr>
            <w:tcW w:w="531" w:type="pct"/>
            <w:vAlign w:val="center"/>
          </w:tcPr>
          <w:p w14:paraId="0A46B71C">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bCs/>
                <w:color w:val="auto"/>
                <w:szCs w:val="21"/>
                <w:highlight w:val="none"/>
              </w:rPr>
              <w:t>货物（标的）名称</w:t>
            </w:r>
          </w:p>
        </w:tc>
        <w:tc>
          <w:tcPr>
            <w:tcW w:w="603" w:type="pct"/>
            <w:vAlign w:val="center"/>
          </w:tcPr>
          <w:p w14:paraId="7BB2F4B4">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bCs/>
                <w:color w:val="auto"/>
                <w:szCs w:val="21"/>
                <w:highlight w:val="none"/>
              </w:rPr>
              <w:t>数量</w:t>
            </w:r>
          </w:p>
        </w:tc>
        <w:tc>
          <w:tcPr>
            <w:tcW w:w="377" w:type="pct"/>
            <w:vAlign w:val="center"/>
          </w:tcPr>
          <w:p w14:paraId="0A6FA4BD">
            <w:pPr>
              <w:tabs>
                <w:tab w:val="left" w:pos="180"/>
                <w:tab w:val="left" w:pos="1620"/>
              </w:tabs>
              <w:jc w:val="center"/>
              <w:rPr>
                <w:rFonts w:hint="eastAsia" w:ascii="宋体" w:hAnsi="宋体" w:cs="宋体"/>
                <w:b/>
                <w:bCs/>
                <w:color w:val="auto"/>
                <w:szCs w:val="21"/>
                <w:highlight w:val="none"/>
              </w:rPr>
            </w:pPr>
            <w:r>
              <w:rPr>
                <w:rFonts w:hint="eastAsia" w:ascii="宋体" w:hAnsi="宋体" w:cs="宋体"/>
                <w:b/>
                <w:bCs/>
                <w:color w:val="auto"/>
                <w:szCs w:val="21"/>
                <w:highlight w:val="none"/>
              </w:rPr>
              <w:t>单位</w:t>
            </w:r>
          </w:p>
        </w:tc>
        <w:tc>
          <w:tcPr>
            <w:tcW w:w="475" w:type="pct"/>
            <w:vAlign w:val="center"/>
          </w:tcPr>
          <w:p w14:paraId="45674F13">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bCs/>
                <w:color w:val="auto"/>
                <w:szCs w:val="21"/>
                <w:highlight w:val="none"/>
              </w:rPr>
              <w:t>▲单价最高限价（元/公斤）</w:t>
            </w:r>
          </w:p>
        </w:tc>
        <w:tc>
          <w:tcPr>
            <w:tcW w:w="2790" w:type="pct"/>
            <w:vAlign w:val="center"/>
          </w:tcPr>
          <w:p w14:paraId="605F7793">
            <w:pPr>
              <w:tabs>
                <w:tab w:val="left" w:pos="180"/>
                <w:tab w:val="left" w:pos="1620"/>
              </w:tabs>
              <w:jc w:val="center"/>
              <w:rPr>
                <w:rFonts w:hint="eastAsia" w:ascii="宋体" w:hAnsi="宋体" w:cs="宋体"/>
                <w:b/>
                <w:bCs/>
                <w:color w:val="auto"/>
                <w:szCs w:val="21"/>
                <w:highlight w:val="none"/>
                <w:u w:val="single"/>
              </w:rPr>
            </w:pPr>
            <w:r>
              <w:rPr>
                <w:rFonts w:hint="eastAsia" w:ascii="宋体" w:hAnsi="宋体" w:cs="宋体"/>
                <w:b/>
                <w:color w:val="auto"/>
                <w:szCs w:val="21"/>
                <w:highlight w:val="none"/>
              </w:rPr>
              <w:t>技术参数及质量（配置）要求</w:t>
            </w:r>
          </w:p>
        </w:tc>
      </w:tr>
      <w:tr w14:paraId="6C39D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 w:type="pct"/>
            <w:vAlign w:val="center"/>
          </w:tcPr>
          <w:p w14:paraId="68516C01">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531" w:type="pct"/>
            <w:vAlign w:val="center"/>
          </w:tcPr>
          <w:p w14:paraId="3425BD85">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河粉</w:t>
            </w:r>
          </w:p>
        </w:tc>
        <w:tc>
          <w:tcPr>
            <w:tcW w:w="603" w:type="pct"/>
            <w:vAlign w:val="center"/>
          </w:tcPr>
          <w:p w14:paraId="2D6C34AA">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420000.00</w:t>
            </w:r>
          </w:p>
        </w:tc>
        <w:tc>
          <w:tcPr>
            <w:tcW w:w="377" w:type="pct"/>
            <w:vAlign w:val="center"/>
          </w:tcPr>
          <w:p w14:paraId="44310FE0">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5" w:type="pct"/>
            <w:vAlign w:val="center"/>
          </w:tcPr>
          <w:p w14:paraId="72A775E0">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2.60</w:t>
            </w:r>
          </w:p>
        </w:tc>
        <w:tc>
          <w:tcPr>
            <w:tcW w:w="2790" w:type="pct"/>
            <w:vAlign w:val="center"/>
          </w:tcPr>
          <w:p w14:paraId="5F082066">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1.▲质量必须达到广西强制性地方标准《鲜湿米粉质量安全要求》及国家相关食品（农产品）标准和卫生标准。</w:t>
            </w:r>
          </w:p>
          <w:p w14:paraId="199591B1">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2.▲米粉、面粉类须标明工厂名称、品名、产品标准号、生产日期、合格证、质保期或保存期，供货时的剩余质保期不少于三分之二。</w:t>
            </w:r>
          </w:p>
        </w:tc>
      </w:tr>
      <w:tr w14:paraId="7A6EB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 w:type="pct"/>
            <w:vAlign w:val="center"/>
          </w:tcPr>
          <w:p w14:paraId="50C5AB16">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531" w:type="pct"/>
            <w:vAlign w:val="center"/>
          </w:tcPr>
          <w:p w14:paraId="344A16B7">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面粉</w:t>
            </w:r>
          </w:p>
        </w:tc>
        <w:tc>
          <w:tcPr>
            <w:tcW w:w="603" w:type="pct"/>
            <w:vAlign w:val="center"/>
          </w:tcPr>
          <w:p w14:paraId="7F3D9A64">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45000.00</w:t>
            </w:r>
          </w:p>
        </w:tc>
        <w:tc>
          <w:tcPr>
            <w:tcW w:w="377" w:type="pct"/>
            <w:vAlign w:val="center"/>
          </w:tcPr>
          <w:p w14:paraId="114F92D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公斤</w:t>
            </w:r>
          </w:p>
        </w:tc>
        <w:tc>
          <w:tcPr>
            <w:tcW w:w="475" w:type="pct"/>
            <w:vAlign w:val="center"/>
          </w:tcPr>
          <w:p w14:paraId="6B3725A4">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6.20</w:t>
            </w:r>
          </w:p>
        </w:tc>
        <w:tc>
          <w:tcPr>
            <w:tcW w:w="2790" w:type="pct"/>
            <w:vAlign w:val="center"/>
          </w:tcPr>
          <w:p w14:paraId="43A67CE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1.▲质量必须达到国家相关食品（农产品）标准和卫生标准。</w:t>
            </w:r>
          </w:p>
          <w:p w14:paraId="70D9AD05">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2.▲米粉、面粉类须标明工厂名称、品名、产品标准号、生产日期、合格证、质保期或保存期，供货时的剩余质保期不少于三分之二。</w:t>
            </w:r>
          </w:p>
        </w:tc>
      </w:tr>
      <w:tr w14:paraId="22831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tcPr>
          <w:p w14:paraId="2EA4431B">
            <w:pPr>
              <w:tabs>
                <w:tab w:val="left" w:pos="180"/>
                <w:tab w:val="left" w:pos="1620"/>
              </w:tabs>
              <w:rPr>
                <w:rFonts w:hint="eastAsia" w:ascii="宋体" w:hAnsi="宋体" w:cs="宋体"/>
                <w:color w:val="auto"/>
                <w:szCs w:val="21"/>
                <w:highlight w:val="none"/>
              </w:rPr>
            </w:pPr>
            <w:r>
              <w:rPr>
                <w:rFonts w:hint="eastAsia" w:ascii="宋体" w:hAnsi="宋体" w:cs="宋体"/>
                <w:b/>
                <w:bCs/>
                <w:color w:val="auto"/>
                <w:sz w:val="24"/>
                <w:highlight w:val="none"/>
              </w:rPr>
              <w:t>二、商务条款</w:t>
            </w:r>
          </w:p>
        </w:tc>
      </w:tr>
      <w:tr w14:paraId="26466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753" w:type="pct"/>
            <w:gridSpan w:val="2"/>
            <w:vAlign w:val="center"/>
          </w:tcPr>
          <w:p w14:paraId="6F4A78F5">
            <w:pPr>
              <w:jc w:val="center"/>
              <w:rPr>
                <w:rFonts w:hint="eastAsia" w:ascii="宋体" w:hAnsi="宋体" w:cs="宋体"/>
                <w:b/>
                <w:bCs/>
                <w:color w:val="auto"/>
                <w:szCs w:val="21"/>
                <w:highlight w:val="none"/>
                <w:u w:val="single"/>
              </w:rPr>
            </w:pPr>
            <w:r>
              <w:rPr>
                <w:rFonts w:hint="eastAsia" w:ascii="宋体" w:hAnsi="宋体" w:cs="宋体"/>
                <w:color w:val="auto"/>
                <w:szCs w:val="21"/>
                <w:highlight w:val="none"/>
              </w:rPr>
              <w:t>1、合同签订时间</w:t>
            </w:r>
          </w:p>
        </w:tc>
        <w:tc>
          <w:tcPr>
            <w:tcW w:w="4246" w:type="pct"/>
            <w:gridSpan w:val="4"/>
            <w:vAlign w:val="center"/>
          </w:tcPr>
          <w:p w14:paraId="0DC13772">
            <w:pPr>
              <w:rPr>
                <w:rFonts w:hint="eastAsia" w:ascii="宋体" w:hAnsi="宋体" w:cs="宋体"/>
                <w:color w:val="auto"/>
                <w:szCs w:val="21"/>
                <w:highlight w:val="none"/>
              </w:rPr>
            </w:pPr>
            <w:r>
              <w:rPr>
                <w:rFonts w:hint="eastAsia" w:ascii="宋体" w:hAnsi="宋体" w:cs="宋体"/>
                <w:color w:val="auto"/>
                <w:szCs w:val="21"/>
                <w:highlight w:val="none"/>
              </w:rPr>
              <w:t>自中标通知书发出之日起</w:t>
            </w:r>
            <w:r>
              <w:rPr>
                <w:rFonts w:hint="eastAsia" w:ascii="宋体" w:hAnsi="宋体" w:cs="宋体"/>
                <w:color w:val="auto"/>
                <w:szCs w:val="21"/>
                <w:highlight w:val="none"/>
                <w:u w:val="single"/>
              </w:rPr>
              <w:t>25</w:t>
            </w:r>
            <w:r>
              <w:rPr>
                <w:rFonts w:hint="eastAsia" w:ascii="宋体" w:hAnsi="宋体" w:cs="宋体"/>
                <w:color w:val="auto"/>
                <w:szCs w:val="21"/>
                <w:highlight w:val="none"/>
              </w:rPr>
              <w:t>日内。</w:t>
            </w:r>
          </w:p>
        </w:tc>
      </w:tr>
      <w:tr w14:paraId="239F4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pct"/>
            <w:gridSpan w:val="2"/>
            <w:vAlign w:val="center"/>
          </w:tcPr>
          <w:p w14:paraId="3500AF90">
            <w:pPr>
              <w:jc w:val="center"/>
              <w:rPr>
                <w:rFonts w:hint="eastAsia" w:ascii="宋体" w:hAnsi="宋体" w:cs="宋体"/>
                <w:color w:val="auto"/>
                <w:szCs w:val="21"/>
                <w:highlight w:val="none"/>
                <w:u w:val="single"/>
              </w:rPr>
            </w:pPr>
            <w:r>
              <w:rPr>
                <w:rFonts w:hint="eastAsia" w:ascii="宋体" w:hAnsi="宋体" w:cs="宋体"/>
                <w:color w:val="auto"/>
                <w:szCs w:val="21"/>
                <w:highlight w:val="none"/>
              </w:rPr>
              <w:t>2、▲交付时间及地点、合同有效期</w:t>
            </w:r>
          </w:p>
        </w:tc>
        <w:tc>
          <w:tcPr>
            <w:tcW w:w="4246" w:type="pct"/>
            <w:gridSpan w:val="4"/>
            <w:vAlign w:val="center"/>
          </w:tcPr>
          <w:p w14:paraId="67C6FDCD">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1.交付时间：中标人向采购人供应食材为每天北京时间上午08:00前，确保一日一供,节假日正常供应,特殊情况双方协商确定。产品运输由中标人负责，运输及卸车费用由中标人承担。</w:t>
            </w:r>
          </w:p>
          <w:p w14:paraId="59993942">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2.交付地点：广西壮族自治区梧州市龙圩区；</w:t>
            </w:r>
          </w:p>
          <w:p w14:paraId="01FEE93E">
            <w:pPr>
              <w:rPr>
                <w:rFonts w:hint="eastAsia" w:ascii="宋体" w:hAnsi="宋体" w:cs="宋体"/>
                <w:color w:val="auto"/>
                <w:szCs w:val="21"/>
                <w:highlight w:val="none"/>
              </w:rPr>
            </w:pPr>
            <w:r>
              <w:rPr>
                <w:rFonts w:hint="eastAsia" w:ascii="宋体" w:hAnsi="宋体" w:cs="宋体"/>
                <w:color w:val="auto"/>
                <w:szCs w:val="21"/>
                <w:highlight w:val="none"/>
              </w:rPr>
              <w:t>3.合同有效期：自合同签订生效之日起1年。</w:t>
            </w:r>
          </w:p>
        </w:tc>
      </w:tr>
      <w:tr w14:paraId="14C68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pct"/>
            <w:gridSpan w:val="2"/>
            <w:vAlign w:val="center"/>
          </w:tcPr>
          <w:p w14:paraId="36EF1E8E">
            <w:pPr>
              <w:rPr>
                <w:rFonts w:hint="eastAsia" w:ascii="宋体" w:hAnsi="宋体" w:cs="宋体"/>
                <w:color w:val="auto"/>
                <w:szCs w:val="21"/>
                <w:highlight w:val="none"/>
                <w:u w:val="single"/>
              </w:rPr>
            </w:pPr>
            <w:r>
              <w:rPr>
                <w:rFonts w:hint="eastAsia" w:ascii="宋体" w:hAnsi="宋体" w:cs="宋体"/>
                <w:color w:val="auto"/>
                <w:szCs w:val="21"/>
                <w:highlight w:val="none"/>
              </w:rPr>
              <w:t>3、▲质保期</w:t>
            </w:r>
          </w:p>
        </w:tc>
        <w:tc>
          <w:tcPr>
            <w:tcW w:w="4246" w:type="pct"/>
            <w:gridSpan w:val="4"/>
            <w:vAlign w:val="center"/>
          </w:tcPr>
          <w:p w14:paraId="35F2018D">
            <w:pPr>
              <w:rPr>
                <w:rFonts w:hint="eastAsia" w:ascii="宋体" w:hAnsi="宋体" w:cs="宋体"/>
                <w:color w:val="auto"/>
                <w:szCs w:val="21"/>
                <w:highlight w:val="none"/>
              </w:rPr>
            </w:pPr>
            <w:r>
              <w:rPr>
                <w:rFonts w:hint="eastAsia" w:ascii="宋体" w:hAnsi="宋体" w:cs="宋体"/>
                <w:color w:val="auto"/>
                <w:szCs w:val="21"/>
                <w:highlight w:val="none"/>
              </w:rPr>
              <w:t>自每批次货物验收合格之日起不少于整个质保期的三分之二（招标文件另有规定除外）。</w:t>
            </w:r>
          </w:p>
        </w:tc>
      </w:tr>
      <w:tr w14:paraId="01972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pct"/>
            <w:gridSpan w:val="2"/>
            <w:vAlign w:val="center"/>
          </w:tcPr>
          <w:p w14:paraId="4593663E">
            <w:pPr>
              <w:jc w:val="center"/>
              <w:rPr>
                <w:rFonts w:hint="eastAsia" w:ascii="宋体" w:hAnsi="宋体" w:cs="宋体"/>
                <w:color w:val="auto"/>
                <w:szCs w:val="21"/>
                <w:highlight w:val="none"/>
                <w:u w:val="single"/>
              </w:rPr>
            </w:pPr>
            <w:r>
              <w:rPr>
                <w:rFonts w:hint="eastAsia" w:ascii="宋体" w:hAnsi="宋体" w:cs="宋体"/>
                <w:color w:val="auto"/>
                <w:szCs w:val="21"/>
                <w:highlight w:val="none"/>
              </w:rPr>
              <w:t>4、▲售后服务要求</w:t>
            </w:r>
          </w:p>
        </w:tc>
        <w:tc>
          <w:tcPr>
            <w:tcW w:w="4246" w:type="pct"/>
            <w:gridSpan w:val="4"/>
          </w:tcPr>
          <w:p w14:paraId="5177791E">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1.负责送货上门，搬运至指定地点。</w:t>
            </w:r>
          </w:p>
          <w:p w14:paraId="29721A71">
            <w:pPr>
              <w:jc w:val="left"/>
              <w:rPr>
                <w:rFonts w:hint="eastAsia" w:ascii="宋体" w:hAnsi="宋体" w:cs="宋体"/>
                <w:color w:val="auto"/>
                <w:szCs w:val="21"/>
                <w:highlight w:val="none"/>
              </w:rPr>
            </w:pPr>
            <w:r>
              <w:rPr>
                <w:rFonts w:hint="eastAsia" w:ascii="宋体" w:hAnsi="宋体" w:cs="宋体"/>
                <w:color w:val="auto"/>
                <w:szCs w:val="21"/>
                <w:highlight w:val="none"/>
              </w:rPr>
              <w:t>2.出现质量问题的收到通知后1个小时内要到现场，并在2个小时内更换合格货物。</w:t>
            </w:r>
          </w:p>
          <w:p w14:paraId="283B7889">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3.中标人按采购人采购计划按时按点供货。</w:t>
            </w:r>
          </w:p>
          <w:p w14:paraId="396BED86">
            <w:pPr>
              <w:tabs>
                <w:tab w:val="left" w:pos="431"/>
              </w:tabs>
              <w:snapToGrid w:val="0"/>
              <w:jc w:val="left"/>
              <w:rPr>
                <w:rFonts w:hint="eastAsia" w:ascii="宋体" w:hAnsi="宋体" w:cs="宋体"/>
                <w:color w:val="auto"/>
                <w:szCs w:val="21"/>
                <w:highlight w:val="none"/>
              </w:rPr>
            </w:pPr>
            <w:r>
              <w:rPr>
                <w:rFonts w:hint="eastAsia" w:ascii="宋体" w:hAnsi="宋体" w:cs="宋体"/>
                <w:color w:val="auto"/>
                <w:szCs w:val="21"/>
                <w:highlight w:val="none"/>
              </w:rPr>
              <w:t>4.中标人无法按规定时间交货，需采购人从其他地方进行临时补货应急的，该批次货物产生的所有相关成本及费用由中标人负责。</w:t>
            </w:r>
          </w:p>
          <w:p w14:paraId="57EC7B4C">
            <w:pPr>
              <w:pStyle w:val="18"/>
              <w:rPr>
                <w:rFonts w:hint="eastAsia" w:ascii="宋体" w:hAnsi="宋体" w:cs="宋体"/>
                <w:color w:val="auto"/>
                <w:kern w:val="0"/>
                <w:szCs w:val="21"/>
                <w:highlight w:val="none"/>
                <w:lang w:bidi="ar"/>
              </w:rPr>
            </w:pPr>
            <w:r>
              <w:rPr>
                <w:rFonts w:hint="eastAsia" w:ascii="宋体" w:hAnsi="宋体" w:cs="宋体"/>
                <w:color w:val="auto"/>
                <w:szCs w:val="21"/>
                <w:highlight w:val="none"/>
              </w:rPr>
              <w:t>5.中标人必须提供相关供货清单（包括货物名称、数量、单价、金额等信息），以便采购人月底结算货款。中标人供货不符合要求的，采购人有权立即退货。中标人应按采购人的要求及时补货，具体交付时间以约定为准。</w:t>
            </w:r>
          </w:p>
        </w:tc>
      </w:tr>
      <w:tr w14:paraId="5552A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pct"/>
            <w:gridSpan w:val="2"/>
            <w:vAlign w:val="center"/>
          </w:tcPr>
          <w:p w14:paraId="58871D5E">
            <w:pPr>
              <w:jc w:val="center"/>
              <w:rPr>
                <w:rFonts w:hint="eastAsia" w:ascii="宋体" w:hAnsi="宋体" w:cs="宋体"/>
                <w:color w:val="auto"/>
                <w:szCs w:val="21"/>
                <w:highlight w:val="none"/>
                <w:u w:val="single"/>
              </w:rPr>
            </w:pPr>
            <w:r>
              <w:rPr>
                <w:rFonts w:hint="eastAsia" w:ascii="宋体" w:hAnsi="宋体" w:cs="宋体"/>
                <w:color w:val="auto"/>
                <w:szCs w:val="21"/>
                <w:highlight w:val="none"/>
              </w:rPr>
              <w:t>5、▲报价要求</w:t>
            </w:r>
          </w:p>
        </w:tc>
        <w:tc>
          <w:tcPr>
            <w:tcW w:w="4246" w:type="pct"/>
            <w:gridSpan w:val="4"/>
          </w:tcPr>
          <w:p w14:paraId="0AD08941">
            <w:pPr>
              <w:widowControl/>
              <w:jc w:val="left"/>
              <w:rPr>
                <w:rFonts w:hint="eastAsia" w:ascii="宋体" w:hAnsi="宋体" w:cs="宋体"/>
                <w:color w:val="auto"/>
                <w:szCs w:val="21"/>
                <w:highlight w:val="none"/>
              </w:rPr>
            </w:pPr>
            <w:r>
              <w:rPr>
                <w:rFonts w:hint="eastAsia" w:ascii="宋体" w:hAnsi="宋体" w:cs="宋体"/>
                <w:color w:val="auto"/>
                <w:szCs w:val="21"/>
                <w:highlight w:val="none"/>
              </w:rPr>
              <w:t>1.本分标投标报价以统一的折扣系数报价，签订合同后，每个月结算价=每月实际采购数量×货物单价（货物单价=单价最高限价×折扣系数）；例如：供应商所报折扣系数为80%，河粉每个月的结算单价=2.60元/公斤×80%=2.08元/公斤。</w:t>
            </w:r>
            <w:r>
              <w:rPr>
                <w:rFonts w:hint="eastAsia" w:ascii="宋体" w:hAnsi="宋体" w:cs="宋体"/>
                <w:b/>
                <w:bCs/>
                <w:color w:val="auto"/>
                <w:szCs w:val="21"/>
                <w:highlight w:val="none"/>
              </w:rPr>
              <w:t>投标人所报折扣系数＞100%时，投标无效</w:t>
            </w:r>
            <w:r>
              <w:rPr>
                <w:rFonts w:hint="eastAsia" w:ascii="宋体" w:hAnsi="宋体" w:cs="宋体"/>
                <w:color w:val="auto"/>
                <w:szCs w:val="21"/>
                <w:highlight w:val="none"/>
              </w:rPr>
              <w:t>。</w:t>
            </w:r>
          </w:p>
          <w:p w14:paraId="7FE50034">
            <w:pPr>
              <w:widowControl/>
              <w:jc w:val="left"/>
              <w:rPr>
                <w:rFonts w:hint="eastAsia" w:ascii="宋体" w:hAnsi="宋体" w:cs="宋体"/>
                <w:color w:val="auto"/>
                <w:szCs w:val="21"/>
                <w:highlight w:val="none"/>
              </w:rPr>
            </w:pPr>
            <w:r>
              <w:rPr>
                <w:rFonts w:hint="eastAsia" w:ascii="宋体" w:hAnsi="宋体" w:cs="宋体"/>
                <w:color w:val="auto"/>
                <w:szCs w:val="21"/>
                <w:highlight w:val="none"/>
              </w:rPr>
              <w:t>2.本表所列数量仅作参考，最终采购数量以实际采购需求为准。</w:t>
            </w:r>
          </w:p>
          <w:p w14:paraId="29C2D98B">
            <w:pPr>
              <w:widowControl/>
              <w:jc w:val="left"/>
              <w:rPr>
                <w:rFonts w:hint="eastAsia" w:ascii="宋体" w:hAnsi="宋体" w:cs="宋体"/>
                <w:color w:val="auto"/>
                <w:szCs w:val="21"/>
                <w:highlight w:val="none"/>
              </w:rPr>
            </w:pPr>
            <w:r>
              <w:rPr>
                <w:rFonts w:hint="eastAsia" w:ascii="宋体" w:hAnsi="宋体" w:cs="宋体"/>
                <w:color w:val="auto"/>
                <w:szCs w:val="21"/>
                <w:highlight w:val="none"/>
              </w:rPr>
              <w:t>3.执行合同过程中，采购单价不再进行调整。</w:t>
            </w:r>
          </w:p>
          <w:p w14:paraId="40380D3C">
            <w:pPr>
              <w:widowControl/>
              <w:jc w:val="left"/>
              <w:rPr>
                <w:rFonts w:hint="eastAsia" w:ascii="宋体" w:hAnsi="宋体" w:cs="宋体"/>
                <w:color w:val="auto"/>
                <w:kern w:val="0"/>
                <w:szCs w:val="21"/>
                <w:highlight w:val="none"/>
                <w:lang w:bidi="ar"/>
              </w:rPr>
            </w:pPr>
            <w:r>
              <w:rPr>
                <w:rFonts w:hint="eastAsia" w:ascii="宋体" w:hAnsi="宋体" w:cs="宋体"/>
                <w:color w:val="auto"/>
                <w:szCs w:val="21"/>
                <w:highlight w:val="none"/>
              </w:rPr>
              <w:t>4.投标报价包括但不仅限于食品和货物的采买、打包、包装、搬运、运输、装卸等所需人工、第三方检验、劳动保险以及用工纠纷、人身损害、法律事务和相关事项处理等一切税金和费用。</w:t>
            </w:r>
          </w:p>
        </w:tc>
      </w:tr>
      <w:tr w14:paraId="3F295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pct"/>
            <w:gridSpan w:val="2"/>
            <w:vAlign w:val="center"/>
          </w:tcPr>
          <w:p w14:paraId="3DB999A2">
            <w:pPr>
              <w:rPr>
                <w:rFonts w:hint="eastAsia" w:ascii="宋体" w:hAnsi="宋体" w:cs="宋体"/>
                <w:color w:val="auto"/>
                <w:szCs w:val="21"/>
                <w:highlight w:val="none"/>
                <w:u w:val="single"/>
              </w:rPr>
            </w:pPr>
            <w:r>
              <w:rPr>
                <w:rFonts w:hint="eastAsia" w:ascii="宋体" w:hAnsi="宋体" w:cs="宋体"/>
                <w:color w:val="auto"/>
                <w:szCs w:val="21"/>
                <w:highlight w:val="none"/>
              </w:rPr>
              <w:t>6、▲付款方式</w:t>
            </w:r>
          </w:p>
        </w:tc>
        <w:tc>
          <w:tcPr>
            <w:tcW w:w="4246" w:type="pct"/>
            <w:gridSpan w:val="4"/>
            <w:vAlign w:val="center"/>
          </w:tcPr>
          <w:p w14:paraId="5136C16C">
            <w:pPr>
              <w:widowControl/>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按月结算，采购人按月进行公对公账户银行转账，以采购人实际购买的种类及数量据实核算。供应商必须提供详细的物品销售清单与采购人的收货单核对，无误后，由供应商按照采购人财务规定出具正式发票，采购人在收到供应商开具的发票后10个工作日内支付货款。</w:t>
            </w:r>
          </w:p>
          <w:p w14:paraId="46E46B85">
            <w:pPr>
              <w:pStyle w:val="25"/>
              <w:snapToGrid w:val="0"/>
              <w:rPr>
                <w:rFonts w:hint="eastAsia" w:hAnsi="宋体" w:cs="宋体"/>
                <w:color w:val="auto"/>
                <w:sz w:val="21"/>
                <w:highlight w:val="none"/>
              </w:rPr>
            </w:pPr>
            <w:r>
              <w:rPr>
                <w:rFonts w:hint="eastAsia" w:hAnsi="宋体" w:cs="宋体"/>
                <w:color w:val="auto"/>
                <w:sz w:val="21"/>
                <w:highlight w:val="none"/>
              </w:rPr>
              <w:t>2.采购人经市场调查发现供应商在合同服务期内存在提供假冒伪劣、有质量缺陷或非正品商品的情况，针对此情况，采购人将向供应商发出问责通知，问责通知发出两次后，供应商仍未能进行有效整改的，采购人有权终止合同，产生的损失由供应商自行负责。</w:t>
            </w:r>
          </w:p>
        </w:tc>
      </w:tr>
      <w:tr w14:paraId="4791F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pct"/>
            <w:gridSpan w:val="2"/>
            <w:vAlign w:val="center"/>
          </w:tcPr>
          <w:p w14:paraId="10DC557F">
            <w:pPr>
              <w:rPr>
                <w:rFonts w:hint="eastAsia" w:ascii="宋体" w:hAnsi="宋体" w:cs="宋体"/>
                <w:color w:val="auto"/>
                <w:szCs w:val="21"/>
                <w:highlight w:val="none"/>
                <w:u w:val="single"/>
              </w:rPr>
            </w:pPr>
            <w:r>
              <w:rPr>
                <w:rFonts w:hint="eastAsia" w:ascii="宋体" w:hAnsi="宋体" w:cs="宋体"/>
                <w:color w:val="auto"/>
                <w:szCs w:val="21"/>
                <w:highlight w:val="none"/>
              </w:rPr>
              <w:t>7、▲配送要求</w:t>
            </w:r>
          </w:p>
        </w:tc>
        <w:tc>
          <w:tcPr>
            <w:tcW w:w="4246" w:type="pct"/>
            <w:gridSpan w:val="4"/>
            <w:vAlign w:val="center"/>
          </w:tcPr>
          <w:p w14:paraId="7F8B6BF9">
            <w:pPr>
              <w:pStyle w:val="18"/>
              <w:rPr>
                <w:rFonts w:hint="eastAsia" w:ascii="宋体" w:hAnsi="宋体" w:cs="宋体"/>
                <w:color w:val="auto"/>
                <w:szCs w:val="21"/>
                <w:highlight w:val="none"/>
              </w:rPr>
            </w:pPr>
            <w:r>
              <w:rPr>
                <w:rFonts w:hint="eastAsia" w:ascii="宋体" w:hAnsi="宋体" w:cs="宋体"/>
                <w:color w:val="auto"/>
                <w:szCs w:val="21"/>
                <w:highlight w:val="none"/>
              </w:rPr>
              <w:t>1.中标供应商必须按照采购人食堂采购人员通知的时间、数量、品种、品质要求及协定的价格准时送货，经验收合格后签字确认，不能以任何理由推脱，一旦影响到采购人食堂的正常运转，中标供应商应承担相应的经济赔偿。</w:t>
            </w:r>
          </w:p>
          <w:p w14:paraId="2D658B91">
            <w:pPr>
              <w:pStyle w:val="18"/>
              <w:rPr>
                <w:rFonts w:hint="eastAsia" w:ascii="宋体" w:hAnsi="宋体" w:cs="宋体"/>
                <w:color w:val="auto"/>
                <w:szCs w:val="21"/>
                <w:highlight w:val="none"/>
              </w:rPr>
            </w:pPr>
            <w:r>
              <w:rPr>
                <w:rFonts w:hint="eastAsia" w:ascii="宋体" w:hAnsi="宋体" w:cs="宋体"/>
                <w:color w:val="auto"/>
                <w:szCs w:val="21"/>
                <w:highlight w:val="none"/>
              </w:rPr>
              <w:t>2.中标供应商必须在双方约定的时间内将货物送到采购人指定的地点，运输费用由中标供应商承担，如出现不合格、损坏的情况，由中标供应商负责及时调换。</w:t>
            </w:r>
          </w:p>
          <w:p w14:paraId="6AF1227C">
            <w:pPr>
              <w:pStyle w:val="18"/>
              <w:rPr>
                <w:rFonts w:hint="eastAsia" w:ascii="宋体" w:hAnsi="宋体" w:cs="宋体"/>
                <w:color w:val="auto"/>
                <w:szCs w:val="21"/>
                <w:highlight w:val="none"/>
              </w:rPr>
            </w:pPr>
            <w:r>
              <w:rPr>
                <w:rFonts w:hint="eastAsia" w:ascii="宋体" w:hAnsi="宋体" w:cs="宋体"/>
                <w:color w:val="auto"/>
                <w:szCs w:val="21"/>
                <w:highlight w:val="none"/>
              </w:rPr>
              <w:t>3.在收到采购人发出订货通知后，中标供应商最迟在次日上午08：00（北京时间）提供当次现场供货。</w:t>
            </w:r>
          </w:p>
          <w:p w14:paraId="61007BD9">
            <w:pPr>
              <w:pStyle w:val="18"/>
              <w:rPr>
                <w:rFonts w:hint="eastAsia" w:ascii="宋体" w:hAnsi="宋体" w:cs="宋体"/>
                <w:color w:val="auto"/>
                <w:szCs w:val="21"/>
                <w:highlight w:val="none"/>
              </w:rPr>
            </w:pPr>
            <w:r>
              <w:rPr>
                <w:rFonts w:hint="eastAsia" w:ascii="宋体" w:hAnsi="宋体" w:cs="宋体"/>
                <w:color w:val="auto"/>
                <w:szCs w:val="21"/>
                <w:highlight w:val="none"/>
              </w:rPr>
              <w:t>4.紧急供货要求：在收到采购人发出紧急供货通知后，中标供应商最迟2小时内完成当次现场供货。</w:t>
            </w:r>
          </w:p>
          <w:p w14:paraId="57E11EF5">
            <w:pPr>
              <w:widowControl/>
              <w:jc w:val="left"/>
              <w:rPr>
                <w:rFonts w:hint="eastAsia" w:ascii="宋体" w:hAnsi="宋体" w:cs="宋体"/>
                <w:color w:val="auto"/>
                <w:szCs w:val="21"/>
                <w:highlight w:val="none"/>
              </w:rPr>
            </w:pPr>
            <w:r>
              <w:rPr>
                <w:rFonts w:hint="eastAsia" w:ascii="宋体" w:hAnsi="宋体" w:cs="宋体"/>
                <w:color w:val="auto"/>
                <w:szCs w:val="21"/>
                <w:highlight w:val="none"/>
              </w:rPr>
              <w:t>5.中标供应商必须由有健康证的固定人员及车辆长期送货。为确保运输过程的食品安全，必须使用公司自有或租赁车辆，安排专人专车送货，并提供送货人员健康证明及无犯罪记录证明材料，不安排固定车辆人员送货的，每次扣除履约保证金800.00元，履约保证金不足中标金额2%的，由中标供应商在5个工作日内补齐。</w:t>
            </w:r>
          </w:p>
          <w:p w14:paraId="7CB209F1">
            <w:pPr>
              <w:rPr>
                <w:rFonts w:hint="eastAsia" w:ascii="宋体" w:hAnsi="宋体" w:cs="宋体"/>
                <w:color w:val="auto"/>
                <w:szCs w:val="21"/>
                <w:highlight w:val="none"/>
              </w:rPr>
            </w:pPr>
            <w:r>
              <w:rPr>
                <w:rFonts w:hint="eastAsia" w:ascii="宋体" w:hAnsi="宋体" w:cs="宋体"/>
                <w:color w:val="auto"/>
                <w:szCs w:val="21"/>
                <w:highlight w:val="none"/>
              </w:rPr>
              <w:t>6.为确保运输过程的食品安全，送货时</w:t>
            </w:r>
            <w:r>
              <w:rPr>
                <w:rFonts w:hint="eastAsia" w:ascii="宋体" w:hAnsi="宋体" w:cs="宋体"/>
                <w:color w:val="auto"/>
                <w:szCs w:val="21"/>
                <w:highlight w:val="none"/>
                <w:lang w:val="en-US" w:eastAsia="zh-CN"/>
              </w:rPr>
              <w:t>至少配备1辆</w:t>
            </w:r>
            <w:r>
              <w:rPr>
                <w:rFonts w:hint="eastAsia" w:ascii="宋体" w:hAnsi="宋体" w:cs="宋体"/>
                <w:color w:val="auto"/>
                <w:szCs w:val="21"/>
                <w:highlight w:val="none"/>
              </w:rPr>
              <w:t>冷藏车或冷链车。</w:t>
            </w:r>
          </w:p>
        </w:tc>
      </w:tr>
      <w:tr w14:paraId="5637B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3" w:type="pct"/>
            <w:gridSpan w:val="2"/>
            <w:vAlign w:val="center"/>
          </w:tcPr>
          <w:p w14:paraId="1161D921">
            <w:pPr>
              <w:jc w:val="center"/>
              <w:rPr>
                <w:rFonts w:hint="eastAsia" w:ascii="宋体" w:hAnsi="宋体" w:cs="宋体"/>
                <w:color w:val="auto"/>
                <w:szCs w:val="21"/>
                <w:highlight w:val="none"/>
                <w:u w:val="single"/>
              </w:rPr>
            </w:pPr>
            <w:r>
              <w:rPr>
                <w:rFonts w:hint="eastAsia" w:ascii="宋体" w:hAnsi="宋体" w:cs="宋体"/>
                <w:color w:val="auto"/>
                <w:szCs w:val="21"/>
                <w:highlight w:val="none"/>
              </w:rPr>
              <w:t>8、▲其他要求</w:t>
            </w:r>
          </w:p>
        </w:tc>
        <w:tc>
          <w:tcPr>
            <w:tcW w:w="8168" w:type="dxa"/>
            <w:gridSpan w:val="4"/>
            <w:vAlign w:val="center"/>
          </w:tcPr>
          <w:p w14:paraId="34ECCFD6">
            <w:pPr>
              <w:rPr>
                <w:rFonts w:hint="eastAsia" w:ascii="宋体" w:hAnsi="宋体" w:cs="宋体"/>
                <w:color w:val="auto"/>
                <w:szCs w:val="21"/>
                <w:highlight w:val="none"/>
              </w:rPr>
            </w:pPr>
            <w:r>
              <w:rPr>
                <w:rFonts w:hint="eastAsia" w:ascii="宋体" w:hAnsi="宋体" w:cs="宋体"/>
                <w:color w:val="auto"/>
                <w:szCs w:val="21"/>
                <w:highlight w:val="none"/>
              </w:rPr>
              <w:t>1.投标人中标后提供的货物必须是具有合法销售途径的、完整、新鲜合格产品。货物的技术质量必须符合中华人民共和国农产品质量安全法等有关规定。</w:t>
            </w:r>
          </w:p>
          <w:p w14:paraId="4374D272">
            <w:pPr>
              <w:rPr>
                <w:rFonts w:hint="eastAsia" w:ascii="宋体" w:hAnsi="宋体" w:cs="宋体"/>
                <w:color w:val="auto"/>
                <w:szCs w:val="21"/>
                <w:highlight w:val="none"/>
              </w:rPr>
            </w:pPr>
            <w:r>
              <w:rPr>
                <w:rFonts w:hint="eastAsia" w:ascii="宋体" w:hAnsi="宋体" w:cs="宋体"/>
                <w:color w:val="auto"/>
                <w:szCs w:val="21"/>
                <w:highlight w:val="none"/>
              </w:rPr>
              <w:t>2.供货时，中标人必须提供以下证明文件：</w:t>
            </w:r>
          </w:p>
          <w:p w14:paraId="07E1541F">
            <w:pPr>
              <w:rPr>
                <w:rFonts w:hint="eastAsia" w:ascii="宋体" w:hAnsi="宋体" w:cs="宋体"/>
                <w:color w:val="auto"/>
                <w:szCs w:val="21"/>
                <w:highlight w:val="none"/>
              </w:rPr>
            </w:pPr>
            <w:r>
              <w:rPr>
                <w:rFonts w:hint="eastAsia" w:ascii="宋体" w:hAnsi="宋体" w:cs="宋体"/>
                <w:color w:val="auto"/>
                <w:szCs w:val="21"/>
                <w:highlight w:val="none"/>
              </w:rPr>
              <w:t>（1）每批货物必须提供相关的质量安全检验合格证明。</w:t>
            </w:r>
          </w:p>
          <w:p w14:paraId="7AE4499C">
            <w:pPr>
              <w:rPr>
                <w:rFonts w:hint="eastAsia" w:ascii="宋体" w:hAnsi="宋体" w:cs="宋体"/>
                <w:color w:val="auto"/>
                <w:szCs w:val="21"/>
                <w:highlight w:val="none"/>
              </w:rPr>
            </w:pPr>
            <w:r>
              <w:rPr>
                <w:rFonts w:hint="eastAsia" w:ascii="宋体" w:hAnsi="宋体" w:cs="宋体"/>
                <w:color w:val="auto"/>
                <w:szCs w:val="21"/>
                <w:highlight w:val="none"/>
              </w:rPr>
              <w:t>（2）投标人中标后每次随货物送上一式两份的送货清单，经双方验收合格后签字确认，双方各执一份，作为送收货凭证。中标人的送货清单必须详细注明商品的单价、数量，送货清单不得涂改。标记不清的，采购人将拒绝签收。合同期末中标人还应提供整个合同期内的所有送货清单供采购人结算。</w:t>
            </w:r>
          </w:p>
          <w:p w14:paraId="25DCBC7C">
            <w:pPr>
              <w:rPr>
                <w:rFonts w:hint="eastAsia" w:ascii="宋体" w:hAnsi="宋体" w:cs="宋体"/>
                <w:color w:val="auto"/>
                <w:szCs w:val="21"/>
                <w:highlight w:val="none"/>
              </w:rPr>
            </w:pPr>
            <w:r>
              <w:rPr>
                <w:rFonts w:hint="eastAsia" w:ascii="宋体" w:hAnsi="宋体" w:cs="宋体"/>
                <w:color w:val="auto"/>
                <w:szCs w:val="21"/>
                <w:highlight w:val="none"/>
              </w:rPr>
              <w:t>3.交货验收必须由采购人和中标人共同进行，采购人如认为有需要的，可委托相关检验部门对产品进行抽检，自检或检验部门抽检不合格的不给予验收，影响采购人实施进度的将追究相关责任，抽检所产生的费用全部由中标人负责。</w:t>
            </w:r>
          </w:p>
          <w:p w14:paraId="585C1A90">
            <w:pPr>
              <w:rPr>
                <w:rFonts w:hint="eastAsia" w:ascii="宋体" w:hAnsi="宋体" w:cs="宋体"/>
                <w:color w:val="auto"/>
                <w:szCs w:val="21"/>
                <w:highlight w:val="none"/>
              </w:rPr>
            </w:pPr>
            <w:r>
              <w:rPr>
                <w:rFonts w:hint="eastAsia" w:ascii="宋体" w:hAnsi="宋体" w:cs="宋体"/>
                <w:color w:val="auto"/>
                <w:szCs w:val="21"/>
                <w:highlight w:val="none"/>
              </w:rPr>
              <w:t>4.验收工作的一般程序为：根据货物采购清单的具体要求，对所购名称进行清点、外观检查进行实测，并逐项记录。检测结束后，验收人员在验收单上签字。对未能通过验收的，一律退货、更换直至验收合格。</w:t>
            </w:r>
          </w:p>
          <w:p w14:paraId="672D1E83">
            <w:pPr>
              <w:rPr>
                <w:rFonts w:hint="eastAsia" w:ascii="宋体" w:hAnsi="宋体" w:cs="宋体"/>
                <w:color w:val="auto"/>
                <w:szCs w:val="21"/>
                <w:highlight w:val="none"/>
              </w:rPr>
            </w:pPr>
            <w:r>
              <w:rPr>
                <w:rFonts w:hint="eastAsia" w:ascii="宋体" w:hAnsi="宋体" w:cs="宋体"/>
                <w:color w:val="auto"/>
                <w:szCs w:val="21"/>
                <w:highlight w:val="none"/>
              </w:rPr>
              <w:t>5.投标人中标后不得泄露采购人的相关秘密。泄密造成采购人损失的，中标人将承担由此产生的一切损失和法律责任。</w:t>
            </w:r>
          </w:p>
          <w:p w14:paraId="3C072FA1">
            <w:pPr>
              <w:rPr>
                <w:rFonts w:hint="eastAsia" w:ascii="宋体" w:hAnsi="宋体" w:cs="宋体"/>
                <w:color w:val="auto"/>
                <w:szCs w:val="21"/>
                <w:highlight w:val="none"/>
              </w:rPr>
            </w:pPr>
            <w:r>
              <w:rPr>
                <w:rFonts w:hint="eastAsia" w:ascii="宋体" w:hAnsi="宋体" w:cs="宋体"/>
                <w:color w:val="auto"/>
                <w:szCs w:val="21"/>
                <w:highlight w:val="none"/>
              </w:rPr>
              <w:t>6.安全责任方面要求</w:t>
            </w:r>
          </w:p>
          <w:p w14:paraId="6CF5FC95">
            <w:pPr>
              <w:rPr>
                <w:rFonts w:hint="eastAsia" w:ascii="宋体" w:hAnsi="宋体" w:cs="宋体"/>
                <w:color w:val="auto"/>
                <w:szCs w:val="21"/>
                <w:highlight w:val="none"/>
              </w:rPr>
            </w:pPr>
            <w:r>
              <w:rPr>
                <w:rFonts w:hint="eastAsia" w:ascii="宋体" w:hAnsi="宋体" w:cs="宋体"/>
                <w:color w:val="auto"/>
                <w:szCs w:val="21"/>
                <w:highlight w:val="none"/>
              </w:rPr>
              <w:t>1）投标人中标后应保证所提供的食品必须是合格安全的食品，因其所送的食品造成食物中毒等事故，立即终止合同，中标人应承担全部责任，同时通过法律途径解决。</w:t>
            </w:r>
          </w:p>
          <w:p w14:paraId="62E766EE">
            <w:pPr>
              <w:rPr>
                <w:rFonts w:hint="eastAsia" w:ascii="宋体" w:hAnsi="宋体" w:cs="宋体"/>
                <w:color w:val="auto"/>
                <w:szCs w:val="21"/>
                <w:highlight w:val="none"/>
              </w:rPr>
            </w:pPr>
            <w:r>
              <w:rPr>
                <w:rFonts w:hint="eastAsia" w:ascii="宋体" w:hAnsi="宋体" w:cs="宋体"/>
                <w:color w:val="auto"/>
                <w:szCs w:val="21"/>
                <w:highlight w:val="none"/>
              </w:rPr>
              <w:t>2）投标人中标后应严格遵守《中华人民共和国食品安全法》等相关规定，一经发现以下食品，除全部退货外，将取消供货资格，中标人并承担由此造成的经济责任和法律责任：</w:t>
            </w:r>
          </w:p>
          <w:p w14:paraId="0495B3B9">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1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①</w:t>
            </w:r>
            <w:r>
              <w:rPr>
                <w:rFonts w:hint="eastAsia" w:ascii="宋体" w:hAnsi="宋体" w:cs="宋体"/>
                <w:color w:val="auto"/>
                <w:szCs w:val="21"/>
                <w:highlight w:val="none"/>
              </w:rPr>
              <w:fldChar w:fldCharType="end"/>
            </w:r>
            <w:r>
              <w:rPr>
                <w:rFonts w:hint="eastAsia" w:ascii="宋体" w:hAnsi="宋体" w:cs="宋体"/>
                <w:color w:val="auto"/>
                <w:szCs w:val="21"/>
                <w:highlight w:val="none"/>
              </w:rPr>
              <w:t>食材没有合法供货来源的；</w:t>
            </w:r>
          </w:p>
          <w:p w14:paraId="4D1220BC">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2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②</w:t>
            </w:r>
            <w:r>
              <w:rPr>
                <w:rFonts w:hint="eastAsia" w:ascii="宋体" w:hAnsi="宋体" w:cs="宋体"/>
                <w:color w:val="auto"/>
                <w:szCs w:val="21"/>
                <w:highlight w:val="none"/>
              </w:rPr>
              <w:fldChar w:fldCharType="end"/>
            </w:r>
            <w:r>
              <w:rPr>
                <w:rFonts w:hint="eastAsia" w:ascii="宋体" w:hAnsi="宋体" w:cs="宋体"/>
                <w:color w:val="auto"/>
                <w:szCs w:val="21"/>
                <w:highlight w:val="none"/>
              </w:rPr>
              <w:t>腐败变质、霉变、生虫、污秽不洁、混有异物或者其他感官性状异常，对人体健康有害的；</w:t>
            </w:r>
          </w:p>
          <w:p w14:paraId="582D6AD2">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3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③</w:t>
            </w:r>
            <w:r>
              <w:rPr>
                <w:rFonts w:hint="eastAsia" w:ascii="宋体" w:hAnsi="宋体" w:cs="宋体"/>
                <w:color w:val="auto"/>
                <w:szCs w:val="21"/>
                <w:highlight w:val="none"/>
              </w:rPr>
              <w:fldChar w:fldCharType="end"/>
            </w:r>
            <w:r>
              <w:rPr>
                <w:rFonts w:hint="eastAsia" w:ascii="宋体" w:hAnsi="宋体" w:cs="宋体"/>
                <w:color w:val="auto"/>
                <w:szCs w:val="21"/>
                <w:highlight w:val="none"/>
              </w:rPr>
              <w:t>含有毒、有害物质或者被有害物质污染，对人体健康有害的；</w:t>
            </w:r>
          </w:p>
          <w:p w14:paraId="3E02DAD5">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4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④</w:t>
            </w:r>
            <w:r>
              <w:rPr>
                <w:rFonts w:hint="eastAsia" w:ascii="宋体" w:hAnsi="宋体" w:cs="宋体"/>
                <w:color w:val="auto"/>
                <w:szCs w:val="21"/>
                <w:highlight w:val="none"/>
              </w:rPr>
              <w:fldChar w:fldCharType="end"/>
            </w:r>
            <w:r>
              <w:rPr>
                <w:rFonts w:hint="eastAsia" w:ascii="宋体" w:hAnsi="宋体" w:cs="宋体"/>
                <w:color w:val="auto"/>
                <w:szCs w:val="21"/>
                <w:highlight w:val="none"/>
              </w:rPr>
              <w:t>含有致病性寄生虫、微生物或者微生物含量超过国家限定标准的；</w:t>
            </w:r>
          </w:p>
          <w:p w14:paraId="1A8C7218">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5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⑤</w:t>
            </w:r>
            <w:r>
              <w:rPr>
                <w:rFonts w:hint="eastAsia" w:ascii="宋体" w:hAnsi="宋体" w:cs="宋体"/>
                <w:color w:val="auto"/>
                <w:szCs w:val="21"/>
                <w:highlight w:val="none"/>
              </w:rPr>
              <w:fldChar w:fldCharType="end"/>
            </w:r>
            <w:r>
              <w:rPr>
                <w:rFonts w:hint="eastAsia" w:ascii="宋体" w:hAnsi="宋体" w:cs="宋体"/>
                <w:color w:val="auto"/>
                <w:szCs w:val="21"/>
                <w:highlight w:val="none"/>
              </w:rPr>
              <w:t>掺假、掺杂、伪造，影响营养、卫生的；</w:t>
            </w:r>
          </w:p>
          <w:p w14:paraId="00F56C8F">
            <w:pPr>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6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⑥</w:t>
            </w:r>
            <w:r>
              <w:rPr>
                <w:rFonts w:hint="eastAsia" w:ascii="宋体" w:hAnsi="宋体" w:cs="宋体"/>
                <w:color w:val="auto"/>
                <w:szCs w:val="21"/>
                <w:highlight w:val="none"/>
              </w:rPr>
              <w:fldChar w:fldCharType="end"/>
            </w:r>
            <w:r>
              <w:rPr>
                <w:rFonts w:hint="eastAsia" w:ascii="宋体" w:hAnsi="宋体" w:cs="宋体"/>
                <w:color w:val="auto"/>
                <w:szCs w:val="21"/>
                <w:highlight w:val="none"/>
              </w:rPr>
              <w:t>未经检疫部门检疫、检验或者检疫、检验不合格的肉类；</w:t>
            </w:r>
          </w:p>
          <w:p w14:paraId="68BBA270">
            <w:pPr>
              <w:widowControl/>
              <w:jc w:val="left"/>
              <w:rPr>
                <w:rFonts w:hint="eastAsia" w:ascii="宋体" w:hAnsi="宋体" w:cs="宋体"/>
                <w:color w:val="auto"/>
                <w:kern w:val="0"/>
                <w:szCs w:val="21"/>
                <w:highlight w:val="none"/>
                <w:lang w:bidi="ar"/>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7 \* GB3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⑦</w:t>
            </w:r>
            <w:r>
              <w:rPr>
                <w:rFonts w:hint="eastAsia" w:ascii="宋体" w:hAnsi="宋体" w:cs="宋体"/>
                <w:color w:val="auto"/>
                <w:szCs w:val="21"/>
                <w:highlight w:val="none"/>
              </w:rPr>
              <w:fldChar w:fldCharType="end"/>
            </w:r>
            <w:r>
              <w:rPr>
                <w:rFonts w:hint="eastAsia" w:ascii="宋体" w:hAnsi="宋体" w:cs="宋体"/>
                <w:color w:val="auto"/>
                <w:szCs w:val="21"/>
                <w:highlight w:val="none"/>
              </w:rPr>
              <w:t>病死、毒死或者死因不明的肉类。</w:t>
            </w:r>
          </w:p>
          <w:p w14:paraId="7A38D1CF">
            <w:pPr>
              <w:pStyle w:val="3"/>
              <w:spacing w:line="240" w:lineRule="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7.“供应商同意遵守《广西监狱罪犯生活物资供货商考核管理办法》，招标文件未尽事项按照《广西监狱罪犯生活物资供货商考核管理办法》执行”详见附件1。</w:t>
            </w:r>
          </w:p>
          <w:p w14:paraId="1C0D5653">
            <w:pPr>
              <w:pStyle w:val="3"/>
              <w:spacing w:line="240" w:lineRule="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8.本分标所公布的采购数量为采购人一年的预计采购暂估数量，实际采购数量由采购人根据实际需要确定，中标人不得因实际供应量与暂估数量不一致提出异议。</w:t>
            </w:r>
          </w:p>
          <w:p w14:paraId="210A56A9">
            <w:pPr>
              <w:pStyle w:val="3"/>
              <w:spacing w:line="240" w:lineRule="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9.本分标标的中如涉及国家、地方有关部门规定的产品生产厂家需办理相关证件的（如《食品生产许可证》等相关的证件），中标人所供应的标的生产厂家须按相关规定办理，否则采购人有权不予验收。如遇有关部门检查需出示相关证件的，中标人应配合采购人检查，并按要求出示相关证件，如未能按有关部门规定出示相关证件或所出具的证件不合格导致采购人受有关部门处罚的，中标人应承担采购人相应的损失，并按违约处理。</w:t>
            </w:r>
          </w:p>
          <w:p w14:paraId="1E51C1A6">
            <w:pPr>
              <w:rPr>
                <w:color w:val="auto"/>
                <w:highlight w:val="none"/>
              </w:rPr>
            </w:pPr>
            <w:r>
              <w:rPr>
                <w:rFonts w:hint="eastAsia" w:ascii="宋体" w:hAnsi="宋体" w:cs="宋体"/>
                <w:b/>
                <w:bCs/>
                <w:color w:val="auto"/>
                <w:kern w:val="0"/>
                <w:szCs w:val="21"/>
                <w:highlight w:val="none"/>
              </w:rPr>
              <w:t>10.本分标合同执行6个月后，如遇上级主管部门重大采购政策调整，合同可以提前终止。</w:t>
            </w:r>
          </w:p>
        </w:tc>
      </w:tr>
      <w:tr w14:paraId="15849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7302CD61">
            <w:pPr>
              <w:tabs>
                <w:tab w:val="left" w:pos="180"/>
                <w:tab w:val="left" w:pos="1620"/>
              </w:tabs>
              <w:rPr>
                <w:rFonts w:hint="eastAsia" w:ascii="宋体" w:hAnsi="宋体" w:cs="宋体"/>
                <w:color w:val="auto"/>
                <w:kern w:val="0"/>
                <w:szCs w:val="21"/>
                <w:highlight w:val="none"/>
              </w:rPr>
            </w:pPr>
            <w:r>
              <w:rPr>
                <w:rFonts w:hint="eastAsia" w:ascii="宋体" w:hAnsi="宋体" w:cs="宋体"/>
                <w:b/>
                <w:bCs/>
                <w:color w:val="auto"/>
                <w:sz w:val="24"/>
                <w:highlight w:val="none"/>
              </w:rPr>
              <w:t>三、进口产品说明</w:t>
            </w:r>
          </w:p>
        </w:tc>
      </w:tr>
      <w:tr w14:paraId="1ABB7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26451E68">
            <w:pPr>
              <w:pStyle w:val="3"/>
              <w:spacing w:line="240" w:lineRule="auto"/>
              <w:rPr>
                <w:rFonts w:hint="eastAsia" w:ascii="宋体" w:hAnsi="宋体" w:cs="宋体"/>
                <w:color w:val="auto"/>
                <w:sz w:val="21"/>
                <w:szCs w:val="21"/>
                <w:highlight w:val="none"/>
              </w:rPr>
            </w:pPr>
            <w:r>
              <w:rPr>
                <w:rFonts w:hint="eastAsia" w:ascii="宋体" w:hAnsi="宋体" w:cs="宋体"/>
                <w:b/>
                <w:bCs/>
                <w:color w:val="auto"/>
                <w:sz w:val="21"/>
                <w:szCs w:val="21"/>
                <w:highlight w:val="none"/>
              </w:rPr>
              <w:t>▲本项目货物不接受进口产品投标（即通过中国海关报关验放进入中国境内且产自关境外的产品），如有此类产品参与投标的作无效投标处理。</w:t>
            </w:r>
          </w:p>
        </w:tc>
      </w:tr>
    </w:tbl>
    <w:p w14:paraId="5345C154">
      <w:pPr>
        <w:rPr>
          <w:b/>
          <w:bCs/>
          <w:color w:val="auto"/>
          <w:sz w:val="36"/>
          <w:szCs w:val="36"/>
          <w:highlight w:val="none"/>
        </w:rPr>
      </w:pPr>
    </w:p>
    <w:p w14:paraId="64CE289F">
      <w:pPr>
        <w:rPr>
          <w:b/>
          <w:bCs/>
          <w:color w:val="auto"/>
          <w:sz w:val="36"/>
          <w:szCs w:val="36"/>
          <w:highlight w:val="none"/>
        </w:rPr>
      </w:pPr>
      <w:r>
        <w:rPr>
          <w:rFonts w:hint="eastAsia"/>
          <w:b/>
          <w:bCs/>
          <w:color w:val="auto"/>
          <w:sz w:val="36"/>
          <w:szCs w:val="36"/>
          <w:highlight w:val="none"/>
        </w:rPr>
        <w:br w:type="page"/>
      </w:r>
    </w:p>
    <w:p w14:paraId="6BD966C8">
      <w:pPr>
        <w:rPr>
          <w:color w:val="auto"/>
          <w:highlight w:val="none"/>
        </w:rPr>
      </w:pPr>
      <w:r>
        <w:rPr>
          <w:rFonts w:hint="eastAsia"/>
          <w:b/>
          <w:bCs/>
          <w:color w:val="auto"/>
          <w:sz w:val="36"/>
          <w:szCs w:val="36"/>
          <w:highlight w:val="none"/>
        </w:rPr>
        <w:t>附件1</w:t>
      </w:r>
    </w:p>
    <w:p w14:paraId="6EFF2D5E">
      <w:pPr>
        <w:rPr>
          <w:color w:val="auto"/>
          <w:highlight w:val="none"/>
        </w:rPr>
      </w:pPr>
    </w:p>
    <w:p w14:paraId="3571681A">
      <w:pPr>
        <w:widowControl/>
        <w:spacing w:line="360" w:lineRule="auto"/>
        <w:jc w:val="center"/>
        <w:rPr>
          <w:rFonts w:hint="eastAsia" w:ascii="宋体" w:hAnsi="宋体" w:cs="宋体"/>
          <w:b/>
          <w:bCs/>
          <w:color w:val="auto"/>
          <w:sz w:val="32"/>
          <w:szCs w:val="32"/>
          <w:highlight w:val="none"/>
        </w:rPr>
      </w:pPr>
      <w:r>
        <w:rPr>
          <w:rFonts w:hint="eastAsia" w:ascii="宋体" w:hAnsi="宋体" w:cs="宋体"/>
          <w:b/>
          <w:bCs/>
          <w:color w:val="auto"/>
          <w:kern w:val="0"/>
          <w:sz w:val="32"/>
          <w:szCs w:val="32"/>
          <w:highlight w:val="none"/>
          <w:lang w:bidi="ar"/>
        </w:rPr>
        <w:t>广西监狱罪犯生活物资供货商考核管理办法</w:t>
      </w:r>
    </w:p>
    <w:p w14:paraId="41B33667">
      <w:pPr>
        <w:widowControl/>
        <w:spacing w:line="360" w:lineRule="auto"/>
        <w:ind w:firstLine="482" w:firstLineChars="200"/>
        <w:jc w:val="left"/>
        <w:rPr>
          <w:rFonts w:hint="eastAsia" w:ascii="宋体" w:hAnsi="宋体" w:cs="宋体"/>
          <w:color w:val="auto"/>
          <w:sz w:val="24"/>
          <w:highlight w:val="none"/>
        </w:rPr>
      </w:pPr>
      <w:r>
        <w:rPr>
          <w:rFonts w:hint="eastAsia" w:ascii="宋体" w:hAnsi="宋体" w:cs="宋体"/>
          <w:b/>
          <w:bCs/>
          <w:color w:val="auto"/>
          <w:kern w:val="0"/>
          <w:sz w:val="24"/>
          <w:highlight w:val="none"/>
          <w:lang w:bidi="ar"/>
        </w:rPr>
        <w:t>第一条</w:t>
      </w:r>
      <w:r>
        <w:rPr>
          <w:rFonts w:hint="eastAsia" w:ascii="宋体" w:hAnsi="宋体" w:cs="宋体"/>
          <w:color w:val="auto"/>
          <w:kern w:val="0"/>
          <w:sz w:val="24"/>
          <w:highlight w:val="none"/>
          <w:lang w:bidi="ar"/>
        </w:rPr>
        <w:t xml:space="preserve"> 为加强罪犯生活物资采购的管理工作，确保狱内物资的正常供应，结合广西监狱工作的实际，制定本办法。</w:t>
      </w:r>
    </w:p>
    <w:p w14:paraId="4AD3CE98">
      <w:pPr>
        <w:widowControl/>
        <w:spacing w:line="360" w:lineRule="auto"/>
        <w:ind w:firstLine="482" w:firstLineChars="200"/>
        <w:jc w:val="left"/>
        <w:rPr>
          <w:rFonts w:hint="eastAsia" w:ascii="宋体" w:hAnsi="宋体" w:cs="宋体"/>
          <w:color w:val="auto"/>
          <w:sz w:val="24"/>
          <w:highlight w:val="none"/>
        </w:rPr>
      </w:pPr>
      <w:r>
        <w:rPr>
          <w:rFonts w:hint="eastAsia" w:ascii="宋体" w:hAnsi="宋体" w:cs="宋体"/>
          <w:b/>
          <w:bCs/>
          <w:color w:val="auto"/>
          <w:kern w:val="0"/>
          <w:sz w:val="24"/>
          <w:highlight w:val="none"/>
          <w:lang w:bidi="ar"/>
        </w:rPr>
        <w:t>第二条</w:t>
      </w:r>
      <w:r>
        <w:rPr>
          <w:rFonts w:hint="eastAsia" w:ascii="宋体" w:hAnsi="宋体" w:cs="宋体"/>
          <w:color w:val="auto"/>
          <w:kern w:val="0"/>
          <w:sz w:val="24"/>
          <w:highlight w:val="none"/>
          <w:lang w:bidi="ar"/>
        </w:rPr>
        <w:t xml:space="preserve"> 本办法适用的对象是自治区监狱管理局和各监狱组织的罪犯生活物资采购项目评选出的中标（成交）供应商（以下统称供货商）。</w:t>
      </w:r>
    </w:p>
    <w:p w14:paraId="06B886AC">
      <w:pPr>
        <w:widowControl/>
        <w:spacing w:line="360" w:lineRule="auto"/>
        <w:ind w:firstLine="482" w:firstLineChars="200"/>
        <w:jc w:val="left"/>
        <w:rPr>
          <w:rFonts w:hint="eastAsia" w:ascii="宋体" w:hAnsi="宋体" w:cs="宋体"/>
          <w:color w:val="auto"/>
          <w:sz w:val="24"/>
          <w:highlight w:val="none"/>
        </w:rPr>
      </w:pPr>
      <w:r>
        <w:rPr>
          <w:rFonts w:hint="eastAsia" w:ascii="宋体" w:hAnsi="宋体" w:cs="宋体"/>
          <w:b/>
          <w:bCs/>
          <w:color w:val="auto"/>
          <w:kern w:val="0"/>
          <w:sz w:val="24"/>
          <w:highlight w:val="none"/>
          <w:lang w:bidi="ar"/>
        </w:rPr>
        <w:t>第三条</w:t>
      </w:r>
      <w:r>
        <w:rPr>
          <w:rFonts w:hint="eastAsia" w:ascii="宋体" w:hAnsi="宋体" w:cs="宋体"/>
          <w:color w:val="auto"/>
          <w:kern w:val="0"/>
          <w:sz w:val="24"/>
          <w:highlight w:val="none"/>
          <w:lang w:bidi="ar"/>
        </w:rPr>
        <w:t xml:space="preserve"> 供货商必须向供货的每个监狱单位分别缴纳履约保证金，收取标准为中标（成交）金额的5%（供货商为中小企业的按2%），货物出现质量问题或供货商出现其他违约行为时，各监狱按本办法从履约保证金中扣除相应金额,供货商应在15个工作日内补足履约保证金。供货合同终止（解除）时剩余履约保证金按双方约定返还。供货商有违反本办法规定，被取消供货商资格或者被直接终止供货合同的，履约保证金不予退还。</w:t>
      </w:r>
    </w:p>
    <w:p w14:paraId="78FEE19C">
      <w:pPr>
        <w:widowControl/>
        <w:spacing w:line="360" w:lineRule="auto"/>
        <w:ind w:firstLine="482" w:firstLineChars="200"/>
        <w:jc w:val="left"/>
        <w:rPr>
          <w:rFonts w:hint="eastAsia" w:ascii="宋体" w:hAnsi="宋体" w:cs="宋体"/>
          <w:color w:val="auto"/>
          <w:sz w:val="24"/>
          <w:highlight w:val="none"/>
        </w:rPr>
      </w:pPr>
      <w:r>
        <w:rPr>
          <w:rFonts w:hint="eastAsia" w:ascii="宋体" w:hAnsi="宋体" w:cs="宋体"/>
          <w:b/>
          <w:bCs/>
          <w:color w:val="auto"/>
          <w:kern w:val="0"/>
          <w:sz w:val="24"/>
          <w:highlight w:val="none"/>
          <w:lang w:bidi="ar"/>
        </w:rPr>
        <w:t>第四条</w:t>
      </w:r>
      <w:r>
        <w:rPr>
          <w:rFonts w:hint="eastAsia" w:ascii="宋体" w:hAnsi="宋体" w:cs="宋体"/>
          <w:color w:val="auto"/>
          <w:kern w:val="0"/>
          <w:sz w:val="24"/>
          <w:highlight w:val="none"/>
          <w:lang w:bidi="ar"/>
        </w:rPr>
        <w:t xml:space="preserve"> 供货商按招（投）标文件、采购（响应）文件以及双方签订的合同内容要求开展物资配送业务，安排有授权的业务代表运送货物到监狱单位，所有单据双方代表共同签字、盖章生效。</w:t>
      </w:r>
    </w:p>
    <w:p w14:paraId="30033202">
      <w:pPr>
        <w:widowControl/>
        <w:spacing w:line="360" w:lineRule="auto"/>
        <w:ind w:firstLine="482" w:firstLineChars="200"/>
        <w:jc w:val="left"/>
        <w:rPr>
          <w:rFonts w:hint="eastAsia" w:ascii="宋体" w:hAnsi="宋体" w:cs="宋体"/>
          <w:color w:val="auto"/>
          <w:sz w:val="24"/>
          <w:highlight w:val="none"/>
        </w:rPr>
      </w:pPr>
      <w:r>
        <w:rPr>
          <w:rFonts w:hint="eastAsia" w:ascii="宋体" w:hAnsi="宋体" w:cs="宋体"/>
          <w:b/>
          <w:bCs/>
          <w:color w:val="auto"/>
          <w:kern w:val="0"/>
          <w:sz w:val="24"/>
          <w:highlight w:val="none"/>
          <w:lang w:bidi="ar"/>
        </w:rPr>
        <w:t>第五条</w:t>
      </w:r>
      <w:r>
        <w:rPr>
          <w:rFonts w:hint="eastAsia" w:ascii="宋体" w:hAnsi="宋体" w:cs="宋体"/>
          <w:color w:val="auto"/>
          <w:kern w:val="0"/>
          <w:sz w:val="24"/>
          <w:highlight w:val="none"/>
          <w:lang w:bidi="ar"/>
        </w:rPr>
        <w:t xml:space="preserve"> 供货商不得将供货资格转包、分包给第三方，一经发现核实，取消供货资格，同时依法追究供货商的相关责任。</w:t>
      </w:r>
    </w:p>
    <w:p w14:paraId="50CCDBDF">
      <w:pPr>
        <w:widowControl/>
        <w:spacing w:line="360" w:lineRule="auto"/>
        <w:ind w:firstLine="482" w:firstLineChars="200"/>
        <w:jc w:val="left"/>
        <w:rPr>
          <w:rFonts w:hint="eastAsia" w:ascii="宋体" w:hAnsi="宋体" w:cs="宋体"/>
          <w:color w:val="auto"/>
          <w:sz w:val="24"/>
          <w:highlight w:val="none"/>
        </w:rPr>
      </w:pPr>
      <w:r>
        <w:rPr>
          <w:rFonts w:hint="eastAsia" w:ascii="宋体" w:hAnsi="宋体" w:cs="宋体"/>
          <w:b/>
          <w:bCs/>
          <w:color w:val="auto"/>
          <w:kern w:val="0"/>
          <w:sz w:val="24"/>
          <w:highlight w:val="none"/>
          <w:lang w:bidi="ar"/>
        </w:rPr>
        <w:t>第六条</w:t>
      </w:r>
      <w:r>
        <w:rPr>
          <w:rFonts w:hint="eastAsia" w:ascii="宋体" w:hAnsi="宋体" w:cs="宋体"/>
          <w:color w:val="auto"/>
          <w:kern w:val="0"/>
          <w:sz w:val="24"/>
          <w:highlight w:val="none"/>
          <w:lang w:bidi="ar"/>
        </w:rPr>
        <w:t xml:space="preserve"> 本办法采用扣分制进行，标准分为100分，各监狱按本办法规定对供货商供货过程中的违约等行为进行记分考核，监狱局或各监狱根据扣分情况按规定对供货商进行处理。</w:t>
      </w:r>
    </w:p>
    <w:p w14:paraId="0B864190">
      <w:pPr>
        <w:widowControl/>
        <w:spacing w:line="360" w:lineRule="auto"/>
        <w:ind w:firstLine="482" w:firstLineChars="200"/>
        <w:jc w:val="left"/>
        <w:rPr>
          <w:rFonts w:hint="eastAsia" w:ascii="宋体" w:hAnsi="宋体" w:cs="宋体"/>
          <w:color w:val="auto"/>
          <w:sz w:val="24"/>
          <w:highlight w:val="none"/>
        </w:rPr>
      </w:pPr>
      <w:r>
        <w:rPr>
          <w:rFonts w:hint="eastAsia" w:ascii="宋体" w:hAnsi="宋体" w:cs="宋体"/>
          <w:b/>
          <w:bCs/>
          <w:color w:val="auto"/>
          <w:kern w:val="0"/>
          <w:sz w:val="24"/>
          <w:highlight w:val="none"/>
          <w:lang w:bidi="ar"/>
        </w:rPr>
        <w:t>第七条</w:t>
      </w:r>
      <w:r>
        <w:rPr>
          <w:rFonts w:hint="eastAsia" w:ascii="宋体" w:hAnsi="宋体" w:cs="宋体"/>
          <w:color w:val="auto"/>
          <w:kern w:val="0"/>
          <w:sz w:val="24"/>
          <w:highlight w:val="none"/>
          <w:lang w:bidi="ar"/>
        </w:rPr>
        <w:t xml:space="preserve"> 对供货商进行处理的主要方式：</w:t>
      </w:r>
    </w:p>
    <w:p w14:paraId="095814BE">
      <w:pPr>
        <w:widowControl/>
        <w:spacing w:line="360" w:lineRule="auto"/>
        <w:ind w:firstLine="240" w:firstLineChars="100"/>
        <w:jc w:val="left"/>
        <w:rPr>
          <w:rFonts w:hint="eastAsia" w:ascii="宋体" w:hAnsi="宋体" w:cs="宋体"/>
          <w:color w:val="auto"/>
          <w:sz w:val="24"/>
          <w:highlight w:val="none"/>
        </w:rPr>
      </w:pPr>
      <w:r>
        <w:rPr>
          <w:rFonts w:hint="eastAsia" w:ascii="宋体" w:hAnsi="宋体" w:cs="宋体"/>
          <w:color w:val="auto"/>
          <w:kern w:val="0"/>
          <w:sz w:val="24"/>
          <w:highlight w:val="none"/>
          <w:lang w:bidi="ar"/>
        </w:rPr>
        <w:t>（一）供货商各项扣分达到100分直接终止所有供货合同；</w:t>
      </w:r>
    </w:p>
    <w:p w14:paraId="60258104">
      <w:pPr>
        <w:widowControl/>
        <w:spacing w:line="360" w:lineRule="auto"/>
        <w:ind w:firstLine="240" w:firstLineChars="100"/>
        <w:jc w:val="left"/>
        <w:rPr>
          <w:rFonts w:hint="eastAsia" w:ascii="宋体" w:hAnsi="宋体" w:cs="宋体"/>
          <w:color w:val="auto"/>
          <w:sz w:val="24"/>
          <w:highlight w:val="none"/>
        </w:rPr>
      </w:pPr>
      <w:r>
        <w:rPr>
          <w:rFonts w:hint="eastAsia" w:ascii="宋体" w:hAnsi="宋体" w:cs="宋体"/>
          <w:color w:val="auto"/>
          <w:kern w:val="0"/>
          <w:sz w:val="24"/>
          <w:highlight w:val="none"/>
          <w:lang w:bidi="ar"/>
        </w:rPr>
        <w:t>（二）供货商单批货物按退货处理的，按合同规定扣履约保证金500.00-2000.00元，扣考核分5-20分；</w:t>
      </w:r>
    </w:p>
    <w:p w14:paraId="0BFC205D">
      <w:pPr>
        <w:widowControl/>
        <w:spacing w:line="360" w:lineRule="auto"/>
        <w:ind w:firstLine="240" w:firstLineChars="100"/>
        <w:jc w:val="left"/>
        <w:rPr>
          <w:rFonts w:hint="eastAsia" w:ascii="宋体" w:hAnsi="宋体" w:cs="宋体"/>
          <w:color w:val="auto"/>
          <w:sz w:val="24"/>
          <w:highlight w:val="none"/>
        </w:rPr>
      </w:pPr>
      <w:r>
        <w:rPr>
          <w:rFonts w:hint="eastAsia" w:ascii="宋体" w:hAnsi="宋体" w:cs="宋体"/>
          <w:color w:val="auto"/>
          <w:kern w:val="0"/>
          <w:sz w:val="24"/>
          <w:highlight w:val="none"/>
          <w:lang w:bidi="ar"/>
        </w:rPr>
        <w:t>（三）累计退货记录有3-6次（根据需采购的物资品种定）的，直接取消该供货商的供应资格；</w:t>
      </w:r>
    </w:p>
    <w:p w14:paraId="20B9F827">
      <w:pPr>
        <w:widowControl/>
        <w:spacing w:line="360" w:lineRule="auto"/>
        <w:ind w:firstLine="240" w:firstLineChars="100"/>
        <w:jc w:val="left"/>
        <w:rPr>
          <w:rFonts w:hint="eastAsia" w:ascii="宋体" w:hAnsi="宋体" w:cs="宋体"/>
          <w:color w:val="auto"/>
          <w:sz w:val="24"/>
          <w:highlight w:val="none"/>
        </w:rPr>
      </w:pPr>
      <w:r>
        <w:rPr>
          <w:rFonts w:hint="eastAsia" w:ascii="宋体" w:hAnsi="宋体" w:cs="宋体"/>
          <w:color w:val="auto"/>
          <w:kern w:val="0"/>
          <w:sz w:val="24"/>
          <w:highlight w:val="none"/>
          <w:lang w:bidi="ar"/>
        </w:rPr>
        <w:t>（四）按招（投）标文件和采购（响应）文件以及双方签订的合同内容设定的其他规定对供货商进行处理。</w:t>
      </w:r>
    </w:p>
    <w:p w14:paraId="15C4291A">
      <w:pPr>
        <w:widowControl/>
        <w:spacing w:line="360" w:lineRule="auto"/>
        <w:ind w:firstLine="482" w:firstLineChars="200"/>
        <w:jc w:val="left"/>
        <w:rPr>
          <w:rFonts w:hint="eastAsia" w:ascii="宋体" w:hAnsi="宋体" w:cs="宋体"/>
          <w:color w:val="auto"/>
          <w:sz w:val="24"/>
          <w:highlight w:val="none"/>
        </w:rPr>
      </w:pPr>
      <w:r>
        <w:rPr>
          <w:rFonts w:hint="eastAsia" w:ascii="宋体" w:hAnsi="宋体" w:cs="宋体"/>
          <w:b/>
          <w:bCs/>
          <w:color w:val="auto"/>
          <w:kern w:val="0"/>
          <w:sz w:val="24"/>
          <w:highlight w:val="none"/>
          <w:lang w:bidi="ar"/>
        </w:rPr>
        <w:t>第八条</w:t>
      </w:r>
      <w:r>
        <w:rPr>
          <w:rFonts w:hint="eastAsia" w:ascii="宋体" w:hAnsi="宋体" w:cs="宋体"/>
          <w:color w:val="auto"/>
          <w:kern w:val="0"/>
          <w:sz w:val="24"/>
          <w:highlight w:val="none"/>
          <w:lang w:bidi="ar"/>
        </w:rPr>
        <w:t xml:space="preserve"> 供货商考核记分的主要内容。</w:t>
      </w:r>
    </w:p>
    <w:p w14:paraId="4A512DB5">
      <w:pPr>
        <w:widowControl/>
        <w:spacing w:line="360" w:lineRule="auto"/>
        <w:ind w:firstLine="240" w:firstLineChars="100"/>
        <w:jc w:val="left"/>
        <w:rPr>
          <w:rFonts w:hint="eastAsia" w:ascii="宋体" w:hAnsi="宋体" w:cs="宋体"/>
          <w:color w:val="auto"/>
          <w:sz w:val="24"/>
          <w:highlight w:val="none"/>
        </w:rPr>
      </w:pPr>
      <w:r>
        <w:rPr>
          <w:rFonts w:hint="eastAsia" w:ascii="宋体" w:hAnsi="宋体" w:cs="宋体"/>
          <w:color w:val="auto"/>
          <w:kern w:val="0"/>
          <w:sz w:val="24"/>
          <w:highlight w:val="none"/>
          <w:lang w:bidi="ar"/>
        </w:rPr>
        <w:t>（一）供货商必须按时将货物送达监狱单位指定地点。超过规定时间在24小时内的，考核分扣1-6分；超过规定时间在48小时内的，考核分扣7-12分；超过48小时未能送达的，直接终止供货商在该监狱单位的供货合同。</w:t>
      </w:r>
    </w:p>
    <w:p w14:paraId="00A71CE7">
      <w:pPr>
        <w:widowControl/>
        <w:spacing w:line="360" w:lineRule="auto"/>
        <w:ind w:firstLine="240" w:firstLineChars="100"/>
        <w:jc w:val="left"/>
        <w:rPr>
          <w:rFonts w:hint="eastAsia" w:ascii="宋体" w:hAnsi="宋体" w:cs="宋体"/>
          <w:color w:val="auto"/>
          <w:sz w:val="24"/>
          <w:highlight w:val="none"/>
        </w:rPr>
      </w:pPr>
      <w:r>
        <w:rPr>
          <w:rFonts w:hint="eastAsia" w:ascii="宋体" w:hAnsi="宋体" w:cs="宋体"/>
          <w:color w:val="auto"/>
          <w:kern w:val="0"/>
          <w:sz w:val="24"/>
          <w:highlight w:val="none"/>
          <w:lang w:bidi="ar"/>
        </w:rPr>
        <w:t>（二）供货商的货物到达监狱单位后，要配合监狱单位进行现场验收，验收不合格则进行退货处理，考核分扣20分，按合同规定扣履约保证金。退货后供货商必须在24小时内送合格的货物到监狱单位，否则视为连续2次送货不合格。</w:t>
      </w:r>
    </w:p>
    <w:p w14:paraId="7FD3CDAE">
      <w:pPr>
        <w:widowControl/>
        <w:spacing w:line="360" w:lineRule="auto"/>
        <w:ind w:firstLine="240" w:firstLineChars="100"/>
        <w:jc w:val="left"/>
        <w:rPr>
          <w:rFonts w:hint="eastAsia" w:ascii="宋体" w:hAnsi="宋体" w:cs="宋体"/>
          <w:color w:val="auto"/>
          <w:sz w:val="24"/>
          <w:highlight w:val="none"/>
        </w:rPr>
      </w:pPr>
      <w:r>
        <w:rPr>
          <w:rFonts w:hint="eastAsia" w:ascii="宋体" w:hAnsi="宋体" w:cs="宋体"/>
          <w:color w:val="auto"/>
          <w:kern w:val="0"/>
          <w:sz w:val="24"/>
          <w:highlight w:val="none"/>
          <w:lang w:bidi="ar"/>
        </w:rPr>
        <w:t>（三）供货商供应的货物出现违规品、违禁品流入监内，造成不良后果的，直接终止其供货资格，并依法依规追究供货商的责任。</w:t>
      </w:r>
    </w:p>
    <w:p w14:paraId="1A136585">
      <w:pPr>
        <w:widowControl/>
        <w:spacing w:line="360" w:lineRule="auto"/>
        <w:ind w:firstLine="240" w:firstLineChars="100"/>
        <w:jc w:val="left"/>
        <w:rPr>
          <w:rFonts w:hint="eastAsia" w:ascii="宋体" w:hAnsi="宋体" w:cs="宋体"/>
          <w:color w:val="auto"/>
          <w:sz w:val="24"/>
          <w:highlight w:val="none"/>
        </w:rPr>
      </w:pPr>
      <w:r>
        <w:rPr>
          <w:rFonts w:hint="eastAsia" w:ascii="宋体" w:hAnsi="宋体" w:cs="宋体"/>
          <w:color w:val="auto"/>
          <w:kern w:val="0"/>
          <w:sz w:val="24"/>
          <w:highlight w:val="none"/>
          <w:lang w:bidi="ar"/>
        </w:rPr>
        <w:t>（四）入库的货物出现质量问题，由监狱单位通知供货商到场协商处理。供货商必须12小时内到场处理，超过12小时不到场处理的考核分扣5分，超过24小时不到场处理的视为质量不合格，直接按退货处理。超过48小时不应答的，直接终止供货商在该监狱单位的供货合同。</w:t>
      </w:r>
    </w:p>
    <w:p w14:paraId="238EE808">
      <w:pPr>
        <w:widowControl/>
        <w:spacing w:line="360" w:lineRule="auto"/>
        <w:ind w:firstLine="240" w:firstLineChars="100"/>
        <w:jc w:val="left"/>
        <w:rPr>
          <w:rFonts w:hint="eastAsia" w:ascii="宋体" w:hAnsi="宋体" w:cs="宋体"/>
          <w:color w:val="auto"/>
          <w:sz w:val="24"/>
          <w:highlight w:val="none"/>
        </w:rPr>
      </w:pPr>
      <w:r>
        <w:rPr>
          <w:rFonts w:hint="eastAsia" w:ascii="宋体" w:hAnsi="宋体" w:cs="宋体"/>
          <w:color w:val="auto"/>
          <w:kern w:val="0"/>
          <w:sz w:val="24"/>
          <w:highlight w:val="none"/>
          <w:lang w:bidi="ar"/>
        </w:rPr>
        <w:t>（五）双方对质量问题意见不一致的，由双方共同在该批货物随机抽取3份样品到当地质量监督部门检验，有一份样品不达标即视为该批货物不达标，按退货程序处理，检测费用由供货商负责；样品都合格的视为该批货物合格，则由监狱负责检测费用。</w:t>
      </w:r>
    </w:p>
    <w:p w14:paraId="30F342E7">
      <w:pPr>
        <w:widowControl/>
        <w:spacing w:line="360" w:lineRule="auto"/>
        <w:ind w:firstLine="240" w:firstLineChars="100"/>
        <w:jc w:val="left"/>
        <w:rPr>
          <w:rFonts w:hint="eastAsia" w:ascii="宋体" w:hAnsi="宋体" w:cs="宋体"/>
          <w:color w:val="auto"/>
          <w:sz w:val="24"/>
          <w:highlight w:val="none"/>
        </w:rPr>
      </w:pPr>
      <w:r>
        <w:rPr>
          <w:rFonts w:hint="eastAsia" w:ascii="宋体" w:hAnsi="宋体" w:cs="宋体"/>
          <w:color w:val="auto"/>
          <w:kern w:val="0"/>
          <w:sz w:val="24"/>
          <w:highlight w:val="none"/>
          <w:lang w:bidi="ar"/>
        </w:rPr>
        <w:t>（六）供货商必须按包装要求足量向监狱单位送货。</w:t>
      </w:r>
    </w:p>
    <w:p w14:paraId="243DC617">
      <w:pPr>
        <w:widowControl/>
        <w:spacing w:line="360" w:lineRule="auto"/>
        <w:ind w:firstLine="240" w:firstLineChars="100"/>
        <w:jc w:val="left"/>
        <w:rPr>
          <w:rFonts w:hint="eastAsia" w:ascii="宋体" w:hAnsi="宋体" w:cs="宋体"/>
          <w:color w:val="auto"/>
          <w:sz w:val="24"/>
          <w:highlight w:val="none"/>
        </w:rPr>
      </w:pPr>
      <w:r>
        <w:rPr>
          <w:rFonts w:hint="eastAsia" w:ascii="宋体" w:hAnsi="宋体" w:cs="宋体"/>
          <w:color w:val="auto"/>
          <w:kern w:val="0"/>
          <w:sz w:val="24"/>
          <w:highlight w:val="none"/>
          <w:lang w:bidi="ar"/>
        </w:rPr>
        <w:t>1. 供货商供应的货物不得短斤少两，分包装的重量必须达到规定重量，每发现1个分包装的重量出现短缺的扣2分，发现10个以上（含10个）分包装的重量出现短缺的扣20分，该批货物视为不达标，进行退货处理。</w:t>
      </w:r>
    </w:p>
    <w:p w14:paraId="0DC2911A">
      <w:pPr>
        <w:widowControl/>
        <w:spacing w:line="360" w:lineRule="auto"/>
        <w:ind w:firstLine="240" w:firstLineChars="100"/>
        <w:jc w:val="left"/>
        <w:rPr>
          <w:rFonts w:hint="eastAsia" w:ascii="宋体" w:hAnsi="宋体" w:cs="宋体"/>
          <w:color w:val="auto"/>
          <w:sz w:val="24"/>
          <w:highlight w:val="none"/>
        </w:rPr>
      </w:pPr>
      <w:r>
        <w:rPr>
          <w:rFonts w:hint="eastAsia" w:ascii="宋体" w:hAnsi="宋体" w:cs="宋体"/>
          <w:color w:val="auto"/>
          <w:kern w:val="0"/>
          <w:sz w:val="24"/>
          <w:highlight w:val="none"/>
          <w:lang w:bidi="ar"/>
        </w:rPr>
        <w:t>2. 供货商送货的总数应当与监狱单位定货品种、数量一致。</w:t>
      </w:r>
    </w:p>
    <w:p w14:paraId="38EC1C51">
      <w:pPr>
        <w:widowControl/>
        <w:spacing w:line="360" w:lineRule="auto"/>
        <w:ind w:firstLine="240" w:firstLineChars="100"/>
        <w:jc w:val="left"/>
        <w:rPr>
          <w:rFonts w:hint="eastAsia" w:ascii="宋体" w:hAnsi="宋体" w:cs="宋体"/>
          <w:color w:val="auto"/>
          <w:sz w:val="24"/>
          <w:highlight w:val="none"/>
        </w:rPr>
      </w:pPr>
      <w:r>
        <w:rPr>
          <w:rFonts w:hint="eastAsia" w:ascii="宋体" w:hAnsi="宋体" w:cs="宋体"/>
          <w:color w:val="auto"/>
          <w:kern w:val="0"/>
          <w:sz w:val="24"/>
          <w:highlight w:val="none"/>
          <w:lang w:bidi="ar"/>
        </w:rPr>
        <w:t>3. 供货商供应必须按规定对货物进行分包装，分包装应当满足运输距离、防潮、防震、防腐和防破损的要求，每发现1个分包装不达标扣2分。</w:t>
      </w:r>
    </w:p>
    <w:p w14:paraId="2E9C5D1B">
      <w:pPr>
        <w:widowControl/>
        <w:spacing w:line="360" w:lineRule="auto"/>
        <w:ind w:firstLine="240" w:firstLineChars="100"/>
        <w:jc w:val="left"/>
        <w:rPr>
          <w:rFonts w:hint="eastAsia" w:ascii="宋体" w:hAnsi="宋体" w:cs="宋体"/>
          <w:color w:val="auto"/>
          <w:sz w:val="24"/>
          <w:highlight w:val="none"/>
        </w:rPr>
      </w:pPr>
      <w:r>
        <w:rPr>
          <w:rFonts w:hint="eastAsia" w:ascii="宋体" w:hAnsi="宋体" w:cs="宋体"/>
          <w:color w:val="auto"/>
          <w:kern w:val="0"/>
          <w:sz w:val="24"/>
          <w:highlight w:val="none"/>
          <w:lang w:bidi="ar"/>
        </w:rPr>
        <w:t>（七）供货商提供的货物造成食品安全事故的，直接取消供货商的供货资格，并追究供货商相关责任。</w:t>
      </w:r>
    </w:p>
    <w:p w14:paraId="0C9EC713">
      <w:pPr>
        <w:widowControl/>
        <w:spacing w:line="360" w:lineRule="auto"/>
        <w:ind w:firstLine="240" w:firstLineChars="100"/>
        <w:jc w:val="left"/>
        <w:rPr>
          <w:rFonts w:hint="eastAsia" w:ascii="宋体" w:hAnsi="宋体" w:cs="宋体"/>
          <w:color w:val="auto"/>
          <w:sz w:val="24"/>
          <w:highlight w:val="none"/>
        </w:rPr>
      </w:pPr>
      <w:r>
        <w:rPr>
          <w:rFonts w:hint="eastAsia" w:ascii="宋体" w:hAnsi="宋体" w:cs="宋体"/>
          <w:color w:val="auto"/>
          <w:kern w:val="0"/>
          <w:sz w:val="24"/>
          <w:highlight w:val="none"/>
          <w:lang w:bidi="ar"/>
        </w:rPr>
        <w:t>（八）因采购物资品种特殊性需要对供货商设定其他考核记分内容的，将增加的考核记分内容列入合同条款作为本办法的附则执行。</w:t>
      </w:r>
    </w:p>
    <w:p w14:paraId="0DFE3FA9">
      <w:pPr>
        <w:widowControl/>
        <w:spacing w:line="360" w:lineRule="auto"/>
        <w:ind w:firstLine="240" w:firstLineChars="100"/>
        <w:jc w:val="left"/>
        <w:rPr>
          <w:rFonts w:hint="eastAsia" w:ascii="宋体" w:hAnsi="宋体" w:cs="宋体"/>
          <w:color w:val="auto"/>
          <w:sz w:val="24"/>
          <w:highlight w:val="none"/>
        </w:rPr>
      </w:pPr>
      <w:r>
        <w:rPr>
          <w:rFonts w:hint="eastAsia" w:ascii="宋体" w:hAnsi="宋体" w:cs="宋体"/>
          <w:color w:val="auto"/>
          <w:kern w:val="0"/>
          <w:sz w:val="24"/>
          <w:highlight w:val="none"/>
          <w:lang w:bidi="ar"/>
        </w:rPr>
        <w:t>（九）供货商代表（包括送货人员）进入监管场所必须服从管理，出现与罪犯私自接触、捎带物品和利益交易等违规行为经监狱查证属实的，直接取消其供货资格。</w:t>
      </w:r>
    </w:p>
    <w:p w14:paraId="0AE387B0">
      <w:pPr>
        <w:widowControl/>
        <w:spacing w:line="360" w:lineRule="auto"/>
        <w:ind w:firstLine="482" w:firstLineChars="200"/>
        <w:jc w:val="left"/>
        <w:rPr>
          <w:rFonts w:hint="eastAsia" w:ascii="宋体" w:hAnsi="宋体" w:cs="宋体"/>
          <w:color w:val="auto"/>
          <w:sz w:val="24"/>
          <w:highlight w:val="none"/>
        </w:rPr>
      </w:pPr>
      <w:r>
        <w:rPr>
          <w:rFonts w:hint="eastAsia" w:ascii="宋体" w:hAnsi="宋体" w:cs="宋体"/>
          <w:b/>
          <w:bCs/>
          <w:color w:val="auto"/>
          <w:kern w:val="0"/>
          <w:sz w:val="24"/>
          <w:highlight w:val="none"/>
          <w:lang w:bidi="ar"/>
        </w:rPr>
        <w:t>第九条</w:t>
      </w:r>
      <w:r>
        <w:rPr>
          <w:rFonts w:hint="eastAsia" w:ascii="宋体" w:hAnsi="宋体" w:cs="宋体"/>
          <w:color w:val="auto"/>
          <w:kern w:val="0"/>
          <w:sz w:val="24"/>
          <w:highlight w:val="none"/>
          <w:lang w:bidi="ar"/>
        </w:rPr>
        <w:t xml:space="preserve"> 对供货商的处理以监狱局或各监狱出具的书面文件（处理单据）为准，被取消供应资格的供货商两年内不得参加广西监狱系统组织的罪犯生活物资集中采购活动。</w:t>
      </w:r>
    </w:p>
    <w:p w14:paraId="269F7151">
      <w:pPr>
        <w:widowControl/>
        <w:spacing w:line="360" w:lineRule="auto"/>
        <w:ind w:firstLine="482" w:firstLineChars="200"/>
        <w:jc w:val="left"/>
        <w:rPr>
          <w:rFonts w:hint="eastAsia" w:ascii="宋体" w:hAnsi="宋体" w:cs="宋体"/>
          <w:color w:val="auto"/>
          <w:sz w:val="24"/>
          <w:highlight w:val="none"/>
        </w:rPr>
      </w:pPr>
      <w:r>
        <w:rPr>
          <w:rFonts w:hint="eastAsia" w:ascii="宋体" w:hAnsi="宋体" w:cs="宋体"/>
          <w:b/>
          <w:bCs/>
          <w:color w:val="auto"/>
          <w:kern w:val="0"/>
          <w:sz w:val="24"/>
          <w:highlight w:val="none"/>
          <w:lang w:bidi="ar"/>
        </w:rPr>
        <w:t>第十条</w:t>
      </w:r>
      <w:r>
        <w:rPr>
          <w:rFonts w:hint="eastAsia" w:ascii="宋体" w:hAnsi="宋体" w:cs="宋体"/>
          <w:color w:val="auto"/>
          <w:kern w:val="0"/>
          <w:sz w:val="24"/>
          <w:highlight w:val="none"/>
          <w:lang w:bidi="ar"/>
        </w:rPr>
        <w:t xml:space="preserve"> 本办法应当列为罪犯生活物资采购项目相应的招标文件、采购文件和合同的主要条款，具体内容可根据采购物资的需要进行适当调整。</w:t>
      </w:r>
    </w:p>
    <w:p w14:paraId="7FB7C084">
      <w:pPr>
        <w:widowControl/>
        <w:spacing w:line="360" w:lineRule="auto"/>
        <w:ind w:firstLine="482" w:firstLineChars="200"/>
        <w:jc w:val="left"/>
        <w:rPr>
          <w:rFonts w:hint="eastAsia" w:ascii="宋体" w:hAnsi="宋体" w:cs="宋体"/>
          <w:color w:val="auto"/>
          <w:kern w:val="0"/>
          <w:sz w:val="24"/>
          <w:highlight w:val="none"/>
          <w:lang w:bidi="ar"/>
        </w:rPr>
      </w:pPr>
      <w:r>
        <w:rPr>
          <w:rFonts w:hint="eastAsia" w:ascii="宋体" w:hAnsi="宋体" w:cs="宋体"/>
          <w:b/>
          <w:bCs/>
          <w:color w:val="auto"/>
          <w:kern w:val="0"/>
          <w:sz w:val="24"/>
          <w:highlight w:val="none"/>
          <w:lang w:bidi="ar"/>
        </w:rPr>
        <w:t>第十一条</w:t>
      </w:r>
      <w:r>
        <w:rPr>
          <w:rFonts w:hint="eastAsia" w:ascii="宋体" w:hAnsi="宋体" w:cs="宋体"/>
          <w:color w:val="auto"/>
          <w:kern w:val="0"/>
          <w:sz w:val="24"/>
          <w:highlight w:val="none"/>
          <w:lang w:bidi="ar"/>
        </w:rPr>
        <w:t xml:space="preserve"> 本办法由自治区监狱管理局负责解释。各监狱可根据本办法制定本单位的考核管理细则，并报自治区监狱管理局生活卫生处备案。</w:t>
      </w:r>
    </w:p>
    <w:p w14:paraId="3D9A1340">
      <w:pPr>
        <w:widowControl/>
        <w:spacing w:line="360" w:lineRule="auto"/>
        <w:ind w:firstLine="482" w:firstLineChars="200"/>
        <w:jc w:val="left"/>
        <w:rPr>
          <w:rFonts w:hint="eastAsia" w:ascii="宋体" w:hAnsi="宋体" w:cs="宋体"/>
          <w:color w:val="auto"/>
          <w:kern w:val="0"/>
          <w:sz w:val="24"/>
          <w:highlight w:val="none"/>
          <w:lang w:bidi="ar"/>
        </w:rPr>
      </w:pPr>
      <w:r>
        <w:rPr>
          <w:rFonts w:hint="eastAsia" w:ascii="宋体" w:hAnsi="宋体" w:cs="宋体"/>
          <w:b/>
          <w:bCs/>
          <w:color w:val="auto"/>
          <w:kern w:val="0"/>
          <w:sz w:val="24"/>
          <w:highlight w:val="none"/>
          <w:lang w:bidi="ar"/>
        </w:rPr>
        <w:t xml:space="preserve">第十二条 </w:t>
      </w:r>
      <w:r>
        <w:rPr>
          <w:rFonts w:hint="eastAsia" w:ascii="宋体" w:hAnsi="宋体" w:cs="宋体"/>
          <w:color w:val="auto"/>
          <w:kern w:val="0"/>
          <w:sz w:val="24"/>
          <w:highlight w:val="none"/>
          <w:lang w:bidi="ar"/>
        </w:rPr>
        <w:t>本办法自印发之日起施行。</w:t>
      </w:r>
    </w:p>
    <w:p w14:paraId="163A91B0">
      <w:pPr>
        <w:rPr>
          <w:rFonts w:hint="eastAsia" w:ascii="宋体" w:hAnsi="宋体" w:cs="宋体"/>
          <w:color w:val="auto"/>
          <w:highlight w:val="none"/>
        </w:rPr>
      </w:pPr>
      <w:r>
        <w:rPr>
          <w:rFonts w:hint="eastAsia" w:ascii="宋体" w:hAnsi="宋体" w:cs="宋体"/>
          <w:color w:val="auto"/>
          <w:sz w:val="32"/>
          <w:szCs w:val="32"/>
          <w:highlight w:val="none"/>
        </w:rPr>
        <w:br w:type="page"/>
      </w:r>
    </w:p>
    <w:p w14:paraId="3AC9BFC7">
      <w:pPr>
        <w:pStyle w:val="4"/>
        <w:jc w:val="center"/>
        <w:rPr>
          <w:rFonts w:hint="eastAsia" w:ascii="宋体" w:hAnsi="宋体" w:cs="宋体"/>
          <w:color w:val="auto"/>
          <w:highlight w:val="none"/>
        </w:rPr>
      </w:pPr>
      <w:bookmarkStart w:id="39" w:name="_Toc30470"/>
      <w:r>
        <w:rPr>
          <w:rFonts w:hint="eastAsia" w:ascii="宋体" w:hAnsi="宋体" w:cs="宋体"/>
          <w:color w:val="auto"/>
          <w:highlight w:val="none"/>
        </w:rPr>
        <w:t>第三章  投标人须知</w:t>
      </w:r>
      <w:bookmarkEnd w:id="39"/>
    </w:p>
    <w:p w14:paraId="205885C0">
      <w:pPr>
        <w:jc w:val="center"/>
        <w:rPr>
          <w:rFonts w:hint="eastAsia" w:ascii="宋体" w:hAnsi="宋体" w:cs="宋体"/>
          <w:color w:val="auto"/>
          <w:sz w:val="36"/>
          <w:szCs w:val="36"/>
          <w:highlight w:val="none"/>
        </w:rPr>
      </w:pPr>
      <w:bookmarkStart w:id="40" w:name="_Toc254970526"/>
      <w:bookmarkStart w:id="41" w:name="_Toc254970667"/>
      <w:r>
        <w:rPr>
          <w:rFonts w:hint="eastAsia" w:ascii="宋体" w:hAnsi="宋体" w:cs="宋体"/>
          <w:color w:val="auto"/>
          <w:sz w:val="36"/>
          <w:szCs w:val="36"/>
          <w:highlight w:val="none"/>
        </w:rPr>
        <w:t>投标人须知前附表</w:t>
      </w:r>
      <w:bookmarkEnd w:id="40"/>
      <w:bookmarkEnd w:id="41"/>
    </w:p>
    <w:p w14:paraId="7D111E9C">
      <w:pPr>
        <w:jc w:val="center"/>
        <w:rPr>
          <w:rFonts w:hint="eastAsia" w:ascii="宋体" w:hAnsi="宋体" w:cs="宋体"/>
          <w:color w:val="auto"/>
          <w:sz w:val="36"/>
          <w:szCs w:val="36"/>
          <w:highlight w:val="none"/>
        </w:rPr>
      </w:pPr>
    </w:p>
    <w:tbl>
      <w:tblPr>
        <w:tblStyle w:val="48"/>
        <w:tblW w:w="960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5"/>
        <w:gridCol w:w="8708"/>
      </w:tblGrid>
      <w:tr w14:paraId="3199B7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28D00118">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条款号</w:t>
            </w:r>
          </w:p>
        </w:tc>
        <w:tc>
          <w:tcPr>
            <w:tcW w:w="8708" w:type="dxa"/>
            <w:tcBorders>
              <w:top w:val="single" w:color="auto" w:sz="4" w:space="0"/>
              <w:left w:val="single" w:color="auto" w:sz="4" w:space="0"/>
              <w:bottom w:val="single" w:color="auto" w:sz="4" w:space="0"/>
              <w:right w:val="single" w:color="auto" w:sz="4" w:space="0"/>
            </w:tcBorders>
            <w:vAlign w:val="center"/>
          </w:tcPr>
          <w:p w14:paraId="35D9490D">
            <w:pPr>
              <w:snapToGrid w:val="0"/>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编列内容</w:t>
            </w:r>
          </w:p>
        </w:tc>
      </w:tr>
      <w:tr w14:paraId="5FD88E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3AD27F85">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8708" w:type="dxa"/>
            <w:tcBorders>
              <w:top w:val="single" w:color="auto" w:sz="4" w:space="0"/>
              <w:left w:val="single" w:color="auto" w:sz="4" w:space="0"/>
              <w:bottom w:val="single" w:color="auto" w:sz="4" w:space="0"/>
              <w:right w:val="single" w:color="auto" w:sz="4" w:space="0"/>
            </w:tcBorders>
            <w:vAlign w:val="center"/>
          </w:tcPr>
          <w:p w14:paraId="3E3303F5">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投标人的资格要求：详见招标公告。</w:t>
            </w:r>
          </w:p>
        </w:tc>
      </w:tr>
      <w:tr w14:paraId="767FE5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5682FEE0">
            <w:pPr>
              <w:spacing w:line="400" w:lineRule="exact"/>
              <w:jc w:val="center"/>
              <w:rPr>
                <w:rFonts w:hint="eastAsia" w:ascii="宋体" w:hAnsi="宋体" w:cs="宋体"/>
                <w:color w:val="auto"/>
                <w:szCs w:val="21"/>
                <w:highlight w:val="none"/>
              </w:rPr>
            </w:pPr>
            <w:bookmarkStart w:id="42" w:name="_9.2"/>
            <w:bookmarkEnd w:id="42"/>
            <w:bookmarkStart w:id="43" w:name="_8.1"/>
            <w:bookmarkEnd w:id="43"/>
            <w:bookmarkStart w:id="44" w:name="_5"/>
            <w:bookmarkEnd w:id="44"/>
            <w:r>
              <w:rPr>
                <w:rFonts w:hint="eastAsia" w:ascii="宋体" w:hAnsi="宋体" w:cs="宋体"/>
                <w:color w:val="auto"/>
                <w:szCs w:val="21"/>
                <w:highlight w:val="none"/>
              </w:rPr>
              <w:t>6.1</w:t>
            </w:r>
          </w:p>
        </w:tc>
        <w:tc>
          <w:tcPr>
            <w:tcW w:w="8708" w:type="dxa"/>
            <w:tcBorders>
              <w:top w:val="single" w:color="auto" w:sz="4" w:space="0"/>
              <w:left w:val="single" w:color="auto" w:sz="4" w:space="0"/>
              <w:bottom w:val="single" w:color="auto" w:sz="4" w:space="0"/>
              <w:right w:val="single" w:color="auto" w:sz="4" w:space="0"/>
            </w:tcBorders>
            <w:vAlign w:val="center"/>
          </w:tcPr>
          <w:p w14:paraId="696063FF">
            <w:pPr>
              <w:pStyle w:val="18"/>
              <w:spacing w:line="400" w:lineRule="exact"/>
              <w:rPr>
                <w:rFonts w:hint="eastAsia" w:ascii="宋体" w:hAnsi="宋体" w:cs="宋体"/>
                <w:color w:val="auto"/>
                <w:szCs w:val="21"/>
                <w:highlight w:val="none"/>
              </w:rPr>
            </w:pPr>
            <w:r>
              <w:rPr>
                <w:rFonts w:hint="eastAsia" w:ascii="宋体" w:hAnsi="宋体" w:cs="宋体"/>
                <w:color w:val="auto"/>
                <w:szCs w:val="21"/>
                <w:highlight w:val="none"/>
              </w:rPr>
              <w:t>本项目是否接受联合体投标：详见招标公告。</w:t>
            </w:r>
          </w:p>
        </w:tc>
      </w:tr>
      <w:tr w14:paraId="6CAA50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64D20BED">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6.2</w:t>
            </w:r>
          </w:p>
        </w:tc>
        <w:tc>
          <w:tcPr>
            <w:tcW w:w="8708" w:type="dxa"/>
            <w:tcBorders>
              <w:top w:val="single" w:color="auto" w:sz="4" w:space="0"/>
              <w:left w:val="single" w:color="auto" w:sz="4" w:space="0"/>
              <w:bottom w:val="single" w:color="auto" w:sz="4" w:space="0"/>
              <w:right w:val="single" w:color="auto" w:sz="4" w:space="0"/>
            </w:tcBorders>
            <w:vAlign w:val="center"/>
          </w:tcPr>
          <w:p w14:paraId="792A07F7">
            <w:pPr>
              <w:autoSpaceDE w:val="0"/>
              <w:autoSpaceDN w:val="0"/>
              <w:snapToGrid w:val="0"/>
              <w:spacing w:line="400" w:lineRule="exact"/>
              <w:textAlignment w:val="bottom"/>
              <w:rPr>
                <w:rFonts w:hint="eastAsia" w:ascii="宋体" w:hAnsi="宋体" w:cs="宋体"/>
                <w:color w:val="auto"/>
                <w:szCs w:val="21"/>
                <w:highlight w:val="none"/>
              </w:rPr>
            </w:pPr>
            <w:bookmarkStart w:id="45" w:name="_Hlk54105293"/>
            <w:r>
              <w:rPr>
                <w:rFonts w:hint="eastAsia" w:ascii="宋体" w:hAnsi="宋体" w:cs="宋体"/>
                <w:color w:val="auto"/>
                <w:szCs w:val="21"/>
                <w:highlight w:val="none"/>
              </w:rPr>
              <w:t>如接受联合体投标，</w:t>
            </w:r>
            <w:bookmarkEnd w:id="45"/>
            <w:r>
              <w:rPr>
                <w:rFonts w:hint="eastAsia" w:ascii="宋体" w:hAnsi="宋体" w:cs="宋体"/>
                <w:color w:val="auto"/>
                <w:szCs w:val="21"/>
                <w:highlight w:val="none"/>
              </w:rPr>
              <w:t>联合体投标要求如下：</w:t>
            </w:r>
          </w:p>
          <w:p w14:paraId="0DF864A1">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1、两个以上投标人可以组成一个投标联合体，以一个投标人的身份共同参加投标，联合体投标人的名称应统一按“XXX公司与XXX公司的联合体”的规则填写。</w:t>
            </w:r>
            <w:r>
              <w:rPr>
                <w:rFonts w:hint="eastAsia" w:ascii="宋体" w:hAnsi="宋体" w:cs="宋体"/>
                <w:color w:val="auto"/>
                <w:szCs w:val="21"/>
                <w:highlight w:val="none"/>
              </w:rPr>
              <w:tab/>
            </w:r>
          </w:p>
          <w:p w14:paraId="74DD7DD3">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2、以联合体形式参加投标的，联合体各方均必须具备《中华人民共和国政府采购法》第二十二条第一款规定的基本条件（涉及行政许可范围的内容，联合体各方均应具备相应资质）。本项目有特殊要求规定投标人特定条件的，联合体各方中至少有一方必须符合本项目招标公告“申请人的资格要求”第3点“3、本项目的特定资格要求”的要求。</w:t>
            </w:r>
          </w:p>
          <w:p w14:paraId="3896DF64">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3、联合体投标的，须提供《联合体投标协议书》（格式后附），协议书必须明确主体方（或者牵头方）并明确约定联合体各方承担的工作和相应的责任（各方承担责任与义务的分工必须符合采购需求，否则，联合体投标无效），并将联合投标协议放入投标文件。联合体各方必须共同与采购人签订采购合同，就采购合同约定的事项对采购人承担连带责任。</w:t>
            </w:r>
            <w:r>
              <w:rPr>
                <w:rFonts w:hint="eastAsia" w:ascii="宋体" w:hAnsi="宋体" w:cs="宋体"/>
                <w:color w:val="auto"/>
                <w:szCs w:val="21"/>
                <w:highlight w:val="none"/>
              </w:rPr>
              <w:tab/>
            </w:r>
          </w:p>
          <w:p w14:paraId="01709093">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4、以联合体形式参加政府采购活动的，联合体各方不得再单独参加或者与其他投标人另外组成联合体参加同一合同项下的政府采购活动，否则与之相关的投标文件作废。</w:t>
            </w:r>
            <w:r>
              <w:rPr>
                <w:rFonts w:hint="eastAsia" w:ascii="宋体" w:hAnsi="宋体" w:cs="宋体"/>
                <w:color w:val="auto"/>
                <w:szCs w:val="21"/>
                <w:highlight w:val="none"/>
              </w:rPr>
              <w:tab/>
            </w:r>
            <w:r>
              <w:rPr>
                <w:rFonts w:hint="eastAsia" w:ascii="宋体" w:hAnsi="宋体" w:cs="宋体"/>
                <w:color w:val="auto"/>
                <w:szCs w:val="21"/>
                <w:highlight w:val="none"/>
              </w:rPr>
              <w:tab/>
            </w:r>
          </w:p>
          <w:p w14:paraId="48D07572">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5、联合体中有同类资质的投标人按照联合体分工承担相同工作的，应当按照资质等级较低的投标人确定资质等级。</w:t>
            </w:r>
            <w:r>
              <w:rPr>
                <w:rFonts w:hint="eastAsia" w:ascii="宋体" w:hAnsi="宋体" w:cs="宋体"/>
                <w:color w:val="auto"/>
                <w:szCs w:val="21"/>
                <w:highlight w:val="none"/>
              </w:rPr>
              <w:tab/>
            </w:r>
            <w:r>
              <w:rPr>
                <w:rFonts w:hint="eastAsia" w:ascii="宋体" w:hAnsi="宋体" w:cs="宋体"/>
                <w:color w:val="auto"/>
                <w:szCs w:val="21"/>
                <w:highlight w:val="none"/>
              </w:rPr>
              <w:tab/>
            </w:r>
          </w:p>
          <w:p w14:paraId="490D4666">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6、联合体投标业绩、履约能力按照联合体各方其中较高的一方认定并计算（招标文件另有规定的除外）。</w:t>
            </w:r>
            <w:r>
              <w:rPr>
                <w:rFonts w:hint="eastAsia" w:ascii="宋体" w:hAnsi="宋体" w:cs="宋体"/>
                <w:color w:val="auto"/>
                <w:szCs w:val="21"/>
                <w:highlight w:val="none"/>
              </w:rPr>
              <w:tab/>
            </w:r>
            <w:r>
              <w:rPr>
                <w:rFonts w:hint="eastAsia" w:ascii="宋体" w:hAnsi="宋体" w:cs="宋体"/>
                <w:color w:val="auto"/>
                <w:szCs w:val="21"/>
                <w:highlight w:val="none"/>
              </w:rPr>
              <w:tab/>
            </w:r>
            <w:r>
              <w:rPr>
                <w:rFonts w:hint="eastAsia" w:ascii="宋体" w:hAnsi="宋体" w:cs="宋体"/>
                <w:color w:val="auto"/>
                <w:szCs w:val="21"/>
                <w:highlight w:val="none"/>
              </w:rPr>
              <w:tab/>
            </w:r>
          </w:p>
          <w:p w14:paraId="10D0CFB1">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7、联合体各方均应按照招标文件的规定提交资格证明文件。</w:t>
            </w:r>
          </w:p>
        </w:tc>
      </w:tr>
      <w:tr w14:paraId="030C6F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0CA69699">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7.2</w:t>
            </w:r>
          </w:p>
        </w:tc>
        <w:tc>
          <w:tcPr>
            <w:tcW w:w="8708" w:type="dxa"/>
            <w:tcBorders>
              <w:top w:val="single" w:color="auto" w:sz="4" w:space="0"/>
              <w:left w:val="single" w:color="auto" w:sz="4" w:space="0"/>
              <w:bottom w:val="single" w:color="auto" w:sz="4" w:space="0"/>
              <w:right w:val="single" w:color="auto" w:sz="4" w:space="0"/>
            </w:tcBorders>
            <w:vAlign w:val="center"/>
          </w:tcPr>
          <w:p w14:paraId="58963334">
            <w:pPr>
              <w:pStyle w:val="18"/>
              <w:spacing w:line="400" w:lineRule="exact"/>
              <w:rPr>
                <w:rFonts w:hint="eastAsia" w:ascii="宋体" w:hAnsi="宋体" w:cs="宋体"/>
                <w:color w:val="auto"/>
                <w:szCs w:val="21"/>
                <w:highlight w:val="none"/>
              </w:rPr>
            </w:pPr>
            <w:r>
              <w:rPr>
                <w:rFonts w:hint="eastAsia" w:ascii="宋体" w:hAnsi="宋体" w:cs="宋体"/>
                <w:color w:val="auto"/>
                <w:szCs w:val="21"/>
                <w:highlight w:val="none"/>
              </w:rPr>
              <w:t>☑本项目不允许分包。</w:t>
            </w:r>
          </w:p>
          <w:p w14:paraId="18F164FD">
            <w:pPr>
              <w:pStyle w:val="18"/>
              <w:spacing w:line="400" w:lineRule="exact"/>
              <w:rPr>
                <w:rFonts w:hint="eastAsia" w:ascii="宋体" w:hAnsi="宋体" w:cs="宋体"/>
                <w:color w:val="auto"/>
                <w:szCs w:val="21"/>
                <w:highlight w:val="none"/>
              </w:rPr>
            </w:pPr>
            <w:r>
              <w:rPr>
                <w:rFonts w:hint="eastAsia" w:ascii="宋体" w:hAnsi="宋体" w:cs="宋体"/>
                <w:color w:val="auto"/>
                <w:szCs w:val="21"/>
                <w:highlight w:val="none"/>
              </w:rPr>
              <w:t>□本项目允许分包：</w:t>
            </w:r>
          </w:p>
          <w:p w14:paraId="4CC208ED">
            <w:pPr>
              <w:pStyle w:val="18"/>
              <w:spacing w:line="400" w:lineRule="exact"/>
              <w:rPr>
                <w:rFonts w:hint="eastAsia" w:ascii="宋体" w:hAnsi="宋体" w:cs="宋体"/>
                <w:color w:val="auto"/>
                <w:szCs w:val="21"/>
                <w:highlight w:val="none"/>
                <w:u w:val="single"/>
              </w:rPr>
            </w:pPr>
            <w:r>
              <w:rPr>
                <w:rFonts w:hint="eastAsia" w:ascii="宋体" w:hAnsi="宋体" w:cs="宋体"/>
                <w:color w:val="auto"/>
                <w:szCs w:val="21"/>
                <w:highlight w:val="none"/>
              </w:rPr>
              <w:t>分包内容：</w:t>
            </w:r>
            <w:r>
              <w:rPr>
                <w:rFonts w:hint="eastAsia" w:ascii="宋体" w:hAnsi="宋体" w:cs="宋体"/>
                <w:color w:val="auto"/>
                <w:szCs w:val="21"/>
                <w:highlight w:val="none"/>
                <w:u w:val="single"/>
              </w:rPr>
              <w:t xml:space="preserve">                   /                 。</w:t>
            </w:r>
          </w:p>
          <w:p w14:paraId="64FD7026">
            <w:pPr>
              <w:pStyle w:val="18"/>
              <w:spacing w:line="400" w:lineRule="exact"/>
              <w:jc w:val="both"/>
              <w:rPr>
                <w:rFonts w:hint="eastAsia" w:ascii="宋体" w:hAnsi="宋体" w:cs="宋体"/>
                <w:color w:val="auto"/>
                <w:szCs w:val="21"/>
                <w:highlight w:val="none"/>
                <w:u w:val="single"/>
              </w:rPr>
            </w:pPr>
            <w:r>
              <w:rPr>
                <w:rFonts w:hint="eastAsia" w:ascii="宋体" w:hAnsi="宋体" w:cs="宋体"/>
                <w:color w:val="auto"/>
                <w:szCs w:val="21"/>
                <w:highlight w:val="none"/>
              </w:rPr>
              <w:t>分包金额或者比例：</w:t>
            </w:r>
            <w:r>
              <w:rPr>
                <w:rFonts w:hint="eastAsia" w:ascii="宋体" w:hAnsi="宋体" w:cs="宋体"/>
                <w:color w:val="auto"/>
                <w:szCs w:val="21"/>
                <w:highlight w:val="none"/>
                <w:u w:val="single"/>
              </w:rPr>
              <w:t xml:space="preserve">                  /                  。</w:t>
            </w:r>
          </w:p>
        </w:tc>
      </w:tr>
      <w:tr w14:paraId="33EBFE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06" w:hRule="atLeast"/>
          <w:jc w:val="center"/>
        </w:trPr>
        <w:tc>
          <w:tcPr>
            <w:tcW w:w="895" w:type="dxa"/>
            <w:tcBorders>
              <w:top w:val="single" w:color="auto" w:sz="4" w:space="0"/>
              <w:left w:val="single" w:color="auto" w:sz="4" w:space="0"/>
              <w:bottom w:val="single" w:color="auto" w:sz="4" w:space="0"/>
              <w:right w:val="single" w:color="auto" w:sz="4" w:space="0"/>
            </w:tcBorders>
            <w:vAlign w:val="center"/>
          </w:tcPr>
          <w:p w14:paraId="0356AD15">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8.1</w:t>
            </w:r>
          </w:p>
        </w:tc>
        <w:tc>
          <w:tcPr>
            <w:tcW w:w="8708" w:type="dxa"/>
            <w:tcBorders>
              <w:top w:val="single" w:color="auto" w:sz="4" w:space="0"/>
              <w:left w:val="single" w:color="auto" w:sz="4" w:space="0"/>
              <w:bottom w:val="single" w:color="auto" w:sz="4" w:space="0"/>
              <w:right w:val="single" w:color="auto" w:sz="4" w:space="0"/>
            </w:tcBorders>
            <w:vAlign w:val="center"/>
          </w:tcPr>
          <w:p w14:paraId="4DB03234">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1、采用最低评标价法的采购项目，提供相同品牌产品（非单一产品采购项目的，指核心产品）的不同投标人评标价相同时，按照下列方式确定一个投标人获得中标人推荐资格：评标委员会随机抽取/按投标报价低的原则确定，投标报价相同的按节能环保优先、技术指标高优先、质保期长优先、交货期短优先、故障响应时间短优先的顺序依次确定。</w:t>
            </w:r>
          </w:p>
          <w:p w14:paraId="35E383A9">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2、采用综合评分法的采购项目，提供相同品牌产品（非单一产品采购项目的，指核心产品）的不同投标人评审得分相同时，按照下列方式确定一个投标人获得中标人推荐资格：评标委员会随机抽取/按投标报价低的原则确定，投标报价相同的按综合评分中技术水平、售后服务、履约能力、政策功能得分高低依次确定。</w:t>
            </w:r>
          </w:p>
        </w:tc>
      </w:tr>
      <w:tr w14:paraId="6AE62F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2" w:hRule="atLeast"/>
          <w:jc w:val="center"/>
        </w:trPr>
        <w:tc>
          <w:tcPr>
            <w:tcW w:w="895" w:type="dxa"/>
            <w:vMerge w:val="restart"/>
            <w:tcBorders>
              <w:top w:val="single" w:color="auto" w:sz="4" w:space="0"/>
              <w:left w:val="single" w:color="auto" w:sz="4" w:space="0"/>
              <w:right w:val="single" w:color="auto" w:sz="4" w:space="0"/>
            </w:tcBorders>
            <w:vAlign w:val="center"/>
          </w:tcPr>
          <w:p w14:paraId="64A39A5B">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11.5</w:t>
            </w:r>
          </w:p>
        </w:tc>
        <w:tc>
          <w:tcPr>
            <w:tcW w:w="8708" w:type="dxa"/>
            <w:tcBorders>
              <w:top w:val="single" w:color="auto" w:sz="4" w:space="0"/>
              <w:left w:val="single" w:color="auto" w:sz="4" w:space="0"/>
              <w:bottom w:val="single" w:color="auto" w:sz="4" w:space="0"/>
              <w:right w:val="single" w:color="auto" w:sz="4" w:space="0"/>
            </w:tcBorders>
            <w:vAlign w:val="center"/>
          </w:tcPr>
          <w:p w14:paraId="5FA52B48">
            <w:pPr>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本项目不组织现场考察。</w:t>
            </w:r>
          </w:p>
        </w:tc>
      </w:tr>
      <w:tr w14:paraId="2804B7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64" w:hRule="atLeast"/>
          <w:jc w:val="center"/>
        </w:trPr>
        <w:tc>
          <w:tcPr>
            <w:tcW w:w="895" w:type="dxa"/>
            <w:vMerge w:val="continue"/>
            <w:tcBorders>
              <w:left w:val="single" w:color="auto" w:sz="4" w:space="0"/>
              <w:bottom w:val="single" w:color="auto" w:sz="4" w:space="0"/>
              <w:right w:val="single" w:color="auto" w:sz="4" w:space="0"/>
            </w:tcBorders>
            <w:vAlign w:val="center"/>
          </w:tcPr>
          <w:p w14:paraId="38F5510E">
            <w:pPr>
              <w:spacing w:line="400" w:lineRule="exact"/>
              <w:jc w:val="center"/>
              <w:rPr>
                <w:rFonts w:hint="eastAsia" w:ascii="宋体" w:hAnsi="宋体" w:cs="宋体"/>
                <w:color w:val="auto"/>
                <w:szCs w:val="21"/>
                <w:highlight w:val="none"/>
              </w:rPr>
            </w:pPr>
          </w:p>
        </w:tc>
        <w:tc>
          <w:tcPr>
            <w:tcW w:w="8708" w:type="dxa"/>
            <w:tcBorders>
              <w:top w:val="single" w:color="auto" w:sz="4" w:space="0"/>
              <w:left w:val="single" w:color="auto" w:sz="4" w:space="0"/>
              <w:bottom w:val="single" w:color="auto" w:sz="4" w:space="0"/>
              <w:right w:val="single" w:color="auto" w:sz="4" w:space="0"/>
            </w:tcBorders>
            <w:vAlign w:val="center"/>
          </w:tcPr>
          <w:p w14:paraId="7C38F6CA">
            <w:pPr>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☑本项目不组织召开开标前答疑会/□组织召开开标前答疑会</w:t>
            </w:r>
          </w:p>
          <w:p w14:paraId="045B509E">
            <w:pPr>
              <w:snapToGrid w:val="0"/>
              <w:spacing w:line="400" w:lineRule="exact"/>
              <w:rPr>
                <w:rFonts w:hint="eastAsia" w:ascii="宋体" w:hAnsi="宋体" w:cs="宋体"/>
                <w:color w:val="auto"/>
                <w:szCs w:val="21"/>
                <w:highlight w:val="none"/>
                <w:u w:val="single"/>
              </w:rPr>
            </w:pPr>
            <w:r>
              <w:rPr>
                <w:rFonts w:hint="eastAsia" w:ascii="宋体" w:hAnsi="宋体" w:cs="宋体"/>
                <w:color w:val="auto"/>
                <w:szCs w:val="21"/>
                <w:highlight w:val="none"/>
              </w:rPr>
              <w:t>会议开始时间：年月日 时</w:t>
            </w:r>
            <w:r>
              <w:rPr>
                <w:rFonts w:hint="eastAsia" w:ascii="宋体" w:hAnsi="宋体" w:cs="宋体"/>
                <w:color w:val="auto"/>
                <w:szCs w:val="21"/>
                <w:highlight w:val="none"/>
                <w:u w:val="single"/>
              </w:rPr>
              <w:t xml:space="preserve">  分</w:t>
            </w:r>
            <w:r>
              <w:rPr>
                <w:rFonts w:hint="eastAsia" w:ascii="宋体" w:hAnsi="宋体" w:cs="宋体"/>
                <w:color w:val="auto"/>
                <w:szCs w:val="21"/>
                <w:highlight w:val="none"/>
              </w:rPr>
              <w:t>，逾期后果自负。会议地点：</w:t>
            </w:r>
          </w:p>
          <w:p w14:paraId="04A0F2CF">
            <w:pPr>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联系人：        ；联系电话：</w:t>
            </w:r>
          </w:p>
        </w:tc>
      </w:tr>
      <w:tr w14:paraId="68A6EB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vMerge w:val="restart"/>
            <w:tcBorders>
              <w:top w:val="single" w:color="auto" w:sz="4" w:space="0"/>
              <w:left w:val="single" w:color="auto" w:sz="4" w:space="0"/>
              <w:right w:val="single" w:color="auto" w:sz="4" w:space="0"/>
            </w:tcBorders>
            <w:vAlign w:val="center"/>
          </w:tcPr>
          <w:p w14:paraId="4D81616B">
            <w:pPr>
              <w:spacing w:line="400" w:lineRule="exact"/>
              <w:jc w:val="center"/>
              <w:rPr>
                <w:rFonts w:hint="eastAsia" w:ascii="宋体" w:hAnsi="宋体" w:cs="宋体"/>
                <w:color w:val="auto"/>
                <w:szCs w:val="21"/>
                <w:highlight w:val="none"/>
              </w:rPr>
            </w:pPr>
            <w:bookmarkStart w:id="46" w:name="_13.1"/>
            <w:bookmarkEnd w:id="46"/>
            <w:r>
              <w:rPr>
                <w:rFonts w:hint="eastAsia" w:ascii="宋体" w:hAnsi="宋体" w:cs="宋体"/>
                <w:color w:val="auto"/>
                <w:szCs w:val="21"/>
                <w:highlight w:val="none"/>
              </w:rPr>
              <w:t>13.</w:t>
            </w:r>
            <w:bookmarkStart w:id="47" w:name="_Hlt19632543"/>
            <w:r>
              <w:rPr>
                <w:rFonts w:hint="eastAsia" w:ascii="宋体" w:hAnsi="宋体" w:cs="宋体"/>
                <w:color w:val="auto"/>
                <w:szCs w:val="21"/>
                <w:highlight w:val="none"/>
              </w:rPr>
              <w:t>1</w:t>
            </w:r>
            <w:bookmarkEnd w:id="47"/>
          </w:p>
        </w:tc>
        <w:tc>
          <w:tcPr>
            <w:tcW w:w="8708" w:type="dxa"/>
            <w:tcBorders>
              <w:top w:val="single" w:color="auto" w:sz="4" w:space="0"/>
              <w:left w:val="single" w:color="auto" w:sz="4" w:space="0"/>
              <w:bottom w:val="single" w:color="auto" w:sz="4" w:space="0"/>
              <w:right w:val="single" w:color="auto" w:sz="4" w:space="0"/>
            </w:tcBorders>
            <w:vAlign w:val="center"/>
          </w:tcPr>
          <w:p w14:paraId="447A0883">
            <w:pPr>
              <w:snapToGrid w:val="0"/>
              <w:spacing w:line="400" w:lineRule="exact"/>
              <w:jc w:val="left"/>
              <w:rPr>
                <w:rFonts w:hint="eastAsia" w:ascii="宋体" w:hAnsi="宋体" w:cs="宋体"/>
                <w:b/>
                <w:color w:val="auto"/>
                <w:szCs w:val="21"/>
                <w:highlight w:val="none"/>
              </w:rPr>
            </w:pPr>
            <w:r>
              <w:rPr>
                <w:rFonts w:hint="eastAsia" w:ascii="宋体" w:hAnsi="宋体" w:cs="宋体"/>
                <w:b/>
                <w:color w:val="auto"/>
                <w:szCs w:val="21"/>
                <w:highlight w:val="none"/>
              </w:rPr>
              <w:t>报价文件：</w:t>
            </w:r>
          </w:p>
          <w:p w14:paraId="2A008FD1">
            <w:pPr>
              <w:tabs>
                <w:tab w:val="left" w:pos="459"/>
              </w:tabs>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1、投标函（格式后附）；</w:t>
            </w:r>
            <w:r>
              <w:rPr>
                <w:rFonts w:hint="eastAsia" w:ascii="宋体" w:hAnsi="宋体" w:cs="宋体"/>
                <w:b/>
                <w:color w:val="auto"/>
                <w:szCs w:val="21"/>
                <w:highlight w:val="none"/>
              </w:rPr>
              <w:t>（必须提供，否则按无效投标处理）</w:t>
            </w:r>
          </w:p>
          <w:p w14:paraId="5CACF59F">
            <w:pPr>
              <w:tabs>
                <w:tab w:val="left" w:pos="459"/>
              </w:tabs>
              <w:snapToGrid w:val="0"/>
              <w:spacing w:line="400" w:lineRule="exact"/>
              <w:jc w:val="left"/>
              <w:rPr>
                <w:rFonts w:hint="eastAsia" w:ascii="宋体" w:hAnsi="宋体" w:cs="宋体"/>
                <w:color w:val="auto"/>
                <w:szCs w:val="21"/>
                <w:highlight w:val="none"/>
              </w:rPr>
            </w:pPr>
            <w:bookmarkStart w:id="48" w:name="_Hlk71299233"/>
            <w:r>
              <w:rPr>
                <w:rFonts w:hint="eastAsia" w:ascii="宋体" w:hAnsi="宋体" w:cs="宋体"/>
                <w:color w:val="auto"/>
                <w:szCs w:val="21"/>
                <w:highlight w:val="none"/>
              </w:rPr>
              <w:t>2、开标一览表</w:t>
            </w:r>
            <w:bookmarkEnd w:id="48"/>
            <w:r>
              <w:rPr>
                <w:rFonts w:hint="eastAsia" w:ascii="宋体" w:hAnsi="宋体" w:cs="宋体"/>
                <w:color w:val="auto"/>
                <w:szCs w:val="21"/>
                <w:highlight w:val="none"/>
              </w:rPr>
              <w:t>（格式后附）；</w:t>
            </w:r>
            <w:r>
              <w:rPr>
                <w:rFonts w:hint="eastAsia" w:ascii="宋体" w:hAnsi="宋体" w:cs="宋体"/>
                <w:b/>
                <w:color w:val="auto"/>
                <w:szCs w:val="21"/>
                <w:highlight w:val="none"/>
              </w:rPr>
              <w:t>（必须提供，否则按无效投标处理）</w:t>
            </w:r>
          </w:p>
          <w:p w14:paraId="6F88C824">
            <w:pPr>
              <w:tabs>
                <w:tab w:val="left" w:pos="459"/>
              </w:tabs>
              <w:snapToGrid w:val="0"/>
              <w:spacing w:line="400" w:lineRule="exact"/>
              <w:jc w:val="left"/>
              <w:rPr>
                <w:rFonts w:hint="eastAsia" w:ascii="宋体" w:hAnsi="宋体" w:cs="宋体"/>
                <w:b/>
                <w:color w:val="auto"/>
                <w:szCs w:val="21"/>
                <w:highlight w:val="none"/>
              </w:rPr>
            </w:pPr>
            <w:r>
              <w:rPr>
                <w:rFonts w:hint="eastAsia" w:ascii="宋体" w:hAnsi="宋体" w:cs="宋体"/>
                <w:color w:val="auto"/>
                <w:szCs w:val="21"/>
                <w:highlight w:val="none"/>
              </w:rPr>
              <w:t>3、中小企业或残疾企业或监狱企业申明函或残疾人福利声明函（格式后附）；</w:t>
            </w:r>
            <w:r>
              <w:rPr>
                <w:rFonts w:hint="eastAsia" w:ascii="宋体" w:hAnsi="宋体" w:cs="宋体"/>
                <w:b/>
                <w:color w:val="auto"/>
                <w:szCs w:val="21"/>
                <w:highlight w:val="none"/>
              </w:rPr>
              <w:t>（分标1、2</w:t>
            </w:r>
            <w:r>
              <w:rPr>
                <w:rFonts w:hint="eastAsia" w:ascii="宋体" w:hAnsi="宋体" w:cs="宋体"/>
                <w:b/>
                <w:bCs/>
                <w:color w:val="auto"/>
                <w:szCs w:val="21"/>
                <w:highlight w:val="none"/>
              </w:rPr>
              <w:t>如有请提供</w:t>
            </w:r>
            <w:r>
              <w:rPr>
                <w:rFonts w:hint="eastAsia" w:ascii="宋体" w:hAnsi="宋体" w:cs="宋体"/>
                <w:b/>
                <w:color w:val="auto"/>
                <w:szCs w:val="21"/>
                <w:highlight w:val="none"/>
              </w:rPr>
              <w:t>）</w:t>
            </w:r>
          </w:p>
          <w:p w14:paraId="140CAB23">
            <w:pPr>
              <w:tabs>
                <w:tab w:val="left" w:pos="459"/>
              </w:tabs>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4、投标人针对报价需要说明的其他文件和说明（格式自拟）。</w:t>
            </w:r>
          </w:p>
          <w:p w14:paraId="1F8F70E3">
            <w:pPr>
              <w:snapToGrid w:val="0"/>
              <w:spacing w:line="400" w:lineRule="exact"/>
              <w:ind w:firstLine="420"/>
              <w:jc w:val="left"/>
              <w:rPr>
                <w:rFonts w:hint="eastAsia" w:ascii="宋体" w:hAnsi="宋体" w:cs="宋体"/>
                <w:color w:val="auto"/>
                <w:szCs w:val="21"/>
                <w:highlight w:val="none"/>
              </w:rPr>
            </w:pPr>
            <w:r>
              <w:rPr>
                <w:rFonts w:hint="eastAsia" w:ascii="宋体" w:hAnsi="宋体" w:cs="宋体"/>
                <w:b/>
                <w:bCs/>
                <w:color w:val="auto"/>
                <w:szCs w:val="21"/>
                <w:highlight w:val="none"/>
              </w:rPr>
              <w:t>注：投标函、开标一览表必须由法定代表人或者委托代理人在规定签章处逐一签字（章）并加盖投标人公章，否则按无效投标</w:t>
            </w:r>
            <w:r>
              <w:rPr>
                <w:rFonts w:hint="eastAsia" w:ascii="宋体" w:hAnsi="宋体" w:cs="宋体"/>
                <w:b/>
                <w:color w:val="auto"/>
                <w:szCs w:val="21"/>
                <w:highlight w:val="none"/>
              </w:rPr>
              <w:t>处理</w:t>
            </w:r>
            <w:r>
              <w:rPr>
                <w:rFonts w:hint="eastAsia" w:ascii="宋体" w:hAnsi="宋体" w:cs="宋体"/>
                <w:b/>
                <w:bCs/>
                <w:color w:val="auto"/>
                <w:szCs w:val="21"/>
                <w:highlight w:val="none"/>
              </w:rPr>
              <w:t>。</w:t>
            </w:r>
          </w:p>
        </w:tc>
      </w:tr>
      <w:tr w14:paraId="5B5A46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vMerge w:val="continue"/>
            <w:tcBorders>
              <w:left w:val="single" w:color="auto" w:sz="4" w:space="0"/>
              <w:right w:val="single" w:color="auto" w:sz="4" w:space="0"/>
            </w:tcBorders>
            <w:vAlign w:val="center"/>
          </w:tcPr>
          <w:p w14:paraId="3559E236">
            <w:pPr>
              <w:spacing w:line="400" w:lineRule="exact"/>
              <w:rPr>
                <w:rFonts w:hint="eastAsia" w:ascii="宋体" w:hAnsi="宋体" w:cs="宋体"/>
                <w:color w:val="auto"/>
                <w:szCs w:val="21"/>
                <w:highlight w:val="none"/>
              </w:rPr>
            </w:pPr>
            <w:bookmarkStart w:id="49" w:name="_13.2"/>
            <w:bookmarkEnd w:id="49"/>
          </w:p>
        </w:tc>
        <w:tc>
          <w:tcPr>
            <w:tcW w:w="8708" w:type="dxa"/>
            <w:tcBorders>
              <w:top w:val="single" w:color="auto" w:sz="4" w:space="0"/>
              <w:left w:val="single" w:color="auto" w:sz="4" w:space="0"/>
              <w:bottom w:val="single" w:color="auto" w:sz="4" w:space="0"/>
              <w:right w:val="single" w:color="auto" w:sz="4" w:space="0"/>
            </w:tcBorders>
            <w:vAlign w:val="center"/>
          </w:tcPr>
          <w:p w14:paraId="23494D63">
            <w:pPr>
              <w:snapToGrid w:val="0"/>
              <w:spacing w:line="400" w:lineRule="exact"/>
              <w:jc w:val="left"/>
              <w:rPr>
                <w:rFonts w:hint="eastAsia" w:ascii="宋体" w:hAnsi="宋体" w:cs="宋体"/>
                <w:b/>
                <w:color w:val="auto"/>
                <w:szCs w:val="21"/>
                <w:highlight w:val="none"/>
              </w:rPr>
            </w:pPr>
            <w:r>
              <w:rPr>
                <w:rFonts w:hint="eastAsia" w:ascii="宋体" w:hAnsi="宋体" w:cs="宋体"/>
                <w:b/>
                <w:color w:val="auto"/>
                <w:szCs w:val="21"/>
                <w:highlight w:val="none"/>
              </w:rPr>
              <w:t>资格证明文件：</w:t>
            </w:r>
          </w:p>
          <w:p w14:paraId="3245C189">
            <w:pPr>
              <w:autoSpaceDE w:val="0"/>
              <w:autoSpaceDN w:val="0"/>
              <w:snapToGrid w:val="0"/>
              <w:spacing w:line="400" w:lineRule="exact"/>
              <w:textAlignment w:val="bottom"/>
              <w:rPr>
                <w:rFonts w:hint="eastAsia" w:ascii="宋体" w:hAnsi="宋体" w:cs="宋体"/>
                <w:b/>
                <w:color w:val="auto"/>
                <w:szCs w:val="21"/>
                <w:highlight w:val="none"/>
              </w:rPr>
            </w:pPr>
            <w:r>
              <w:rPr>
                <w:rFonts w:hint="eastAsia" w:ascii="宋体" w:hAnsi="宋体" w:cs="宋体"/>
                <w:color w:val="auto"/>
                <w:szCs w:val="21"/>
                <w:highlight w:val="none"/>
              </w:rPr>
              <w:t>1、投标人为法人或者其他组织的，提供营业执照等证明文件（如营业执照或者事业单位法人证书或者执业许可证或者登记证书等），投标人为自然人的，提供身份证复印件；</w:t>
            </w:r>
            <w:r>
              <w:rPr>
                <w:rFonts w:hint="eastAsia" w:ascii="宋体" w:hAnsi="宋体" w:cs="宋体"/>
                <w:b/>
                <w:color w:val="auto"/>
                <w:szCs w:val="21"/>
                <w:highlight w:val="none"/>
              </w:rPr>
              <w:t>（必须提供，否则按无效投标处理）</w:t>
            </w:r>
          </w:p>
          <w:p w14:paraId="74BA0D9D">
            <w:pPr>
              <w:autoSpaceDE w:val="0"/>
              <w:autoSpaceDN w:val="0"/>
              <w:snapToGrid w:val="0"/>
              <w:spacing w:line="400" w:lineRule="exact"/>
              <w:textAlignment w:val="bottom"/>
              <w:rPr>
                <w:rFonts w:hint="eastAsia" w:ascii="宋体" w:hAnsi="宋体" w:cs="宋体"/>
                <w:b/>
                <w:color w:val="auto"/>
                <w:szCs w:val="21"/>
                <w:highlight w:val="none"/>
              </w:rPr>
            </w:pPr>
            <w:r>
              <w:rPr>
                <w:rFonts w:hint="eastAsia" w:ascii="宋体" w:hAnsi="宋体" w:cs="宋体"/>
                <w:color w:val="auto"/>
                <w:szCs w:val="21"/>
                <w:highlight w:val="none"/>
              </w:rPr>
              <w:t>2、投标人依法缴纳税收的相关材料（投标截止之日起半年内任意连续3个月的依法缴纳税收的凭据复印件；依法免税的供应商，必须提供相应文件证明其依法免税。从成立之日起到投标文件提交截止时间止不足要求月数的，只需提供从成立之日起的依法缴纳税收相应证明文件）；</w:t>
            </w:r>
            <w:r>
              <w:rPr>
                <w:rFonts w:hint="eastAsia" w:ascii="宋体" w:hAnsi="宋体" w:cs="宋体"/>
                <w:b/>
                <w:color w:val="auto"/>
                <w:szCs w:val="21"/>
                <w:highlight w:val="none"/>
              </w:rPr>
              <w:t>（必须提供，否则按无效投标处理）</w:t>
            </w:r>
          </w:p>
          <w:p w14:paraId="359ECDEE">
            <w:pPr>
              <w:autoSpaceDE w:val="0"/>
              <w:autoSpaceDN w:val="0"/>
              <w:snapToGrid w:val="0"/>
              <w:spacing w:line="400" w:lineRule="exact"/>
              <w:textAlignment w:val="bottom"/>
              <w:rPr>
                <w:rFonts w:hint="eastAsia" w:ascii="宋体" w:hAnsi="宋体" w:cs="宋体"/>
                <w:b/>
                <w:color w:val="auto"/>
                <w:szCs w:val="21"/>
                <w:highlight w:val="none"/>
              </w:rPr>
            </w:pPr>
            <w:r>
              <w:rPr>
                <w:rFonts w:hint="eastAsia" w:ascii="宋体" w:hAnsi="宋体" w:cs="宋体"/>
                <w:color w:val="auto"/>
                <w:szCs w:val="21"/>
                <w:highlight w:val="none"/>
              </w:rPr>
              <w:t>3、投标人依法缴纳社会保障资金的相关材料[投标截止之日起半年内任意连续3个月的依法缴纳社会保障资金的缴费凭证（专用收据或者社会保险缴纳清单）复印件；依法不需要缴纳社会保障资金的供应商，必须提供相应文件证明不需要缴纳社会保障资金。从成立之日起到投标文件提交截止时间止不足要求月数的只需提供从成立之日起的依法缴纳社会保障资金的相应证明文件]；</w:t>
            </w:r>
            <w:r>
              <w:rPr>
                <w:rFonts w:hint="eastAsia" w:ascii="宋体" w:hAnsi="宋体" w:cs="宋体"/>
                <w:b/>
                <w:color w:val="auto"/>
                <w:szCs w:val="21"/>
                <w:highlight w:val="none"/>
              </w:rPr>
              <w:t>（必须提供，否则按无效投标处理）</w:t>
            </w:r>
          </w:p>
          <w:p w14:paraId="4CB95760">
            <w:pPr>
              <w:snapToGrid w:val="0"/>
              <w:spacing w:line="400" w:lineRule="exact"/>
              <w:jc w:val="left"/>
              <w:rPr>
                <w:rFonts w:hint="eastAsia" w:ascii="宋体" w:hAnsi="宋体" w:cs="宋体"/>
                <w:b/>
                <w:color w:val="auto"/>
                <w:szCs w:val="21"/>
                <w:highlight w:val="none"/>
              </w:rPr>
            </w:pPr>
            <w:r>
              <w:rPr>
                <w:rFonts w:hint="eastAsia" w:ascii="宋体" w:hAnsi="宋体" w:cs="宋体"/>
                <w:color w:val="auto"/>
                <w:szCs w:val="21"/>
                <w:highlight w:val="none"/>
              </w:rPr>
              <w:t>4、投标人财务状况报告（2025年度年度财务报表复印件或者银行出具的资信证明；投标人属于成立时间在规定年度之后的法人或其他组织，需提供成立之日起至投标截止时间前的月报表或银行出具的资信证明；资信证明应在有效期内，未注明有效期的，银行出具时间至投标截止时间不超过一年）；</w:t>
            </w:r>
            <w:r>
              <w:rPr>
                <w:rFonts w:hint="eastAsia" w:ascii="宋体" w:hAnsi="宋体" w:cs="宋体"/>
                <w:b/>
                <w:color w:val="auto"/>
                <w:szCs w:val="21"/>
                <w:highlight w:val="none"/>
              </w:rPr>
              <w:t>（除自然人外必须提供，否则按无效投标处理）</w:t>
            </w:r>
          </w:p>
          <w:p w14:paraId="605D00A3">
            <w:pPr>
              <w:autoSpaceDE w:val="0"/>
              <w:autoSpaceDN w:val="0"/>
              <w:snapToGrid w:val="0"/>
              <w:spacing w:line="400" w:lineRule="exact"/>
              <w:textAlignment w:val="bottom"/>
              <w:rPr>
                <w:rFonts w:hint="eastAsia" w:ascii="宋体" w:hAnsi="宋体" w:cs="宋体"/>
                <w:b/>
                <w:color w:val="auto"/>
                <w:szCs w:val="21"/>
                <w:highlight w:val="none"/>
              </w:rPr>
            </w:pPr>
            <w:r>
              <w:rPr>
                <w:rFonts w:hint="eastAsia" w:ascii="宋体" w:hAnsi="宋体" w:cs="宋体"/>
                <w:color w:val="auto"/>
                <w:szCs w:val="21"/>
                <w:highlight w:val="none"/>
              </w:rPr>
              <w:t>5、投标人直接控股、管理关系信息表（格式后附）；</w:t>
            </w:r>
            <w:r>
              <w:rPr>
                <w:rFonts w:hint="eastAsia" w:ascii="宋体" w:hAnsi="宋体" w:cs="宋体"/>
                <w:b/>
                <w:color w:val="auto"/>
                <w:szCs w:val="21"/>
                <w:highlight w:val="none"/>
              </w:rPr>
              <w:t>（必须提供，否则按无效投标处理）</w:t>
            </w:r>
          </w:p>
          <w:p w14:paraId="124E0565">
            <w:pPr>
              <w:autoSpaceDE w:val="0"/>
              <w:autoSpaceDN w:val="0"/>
              <w:snapToGrid w:val="0"/>
              <w:spacing w:line="400" w:lineRule="exact"/>
              <w:textAlignment w:val="bottom"/>
              <w:rPr>
                <w:rFonts w:hint="eastAsia" w:ascii="宋体" w:hAnsi="宋体" w:cs="宋体"/>
                <w:b/>
                <w:color w:val="auto"/>
                <w:szCs w:val="21"/>
                <w:highlight w:val="none"/>
              </w:rPr>
            </w:pPr>
            <w:r>
              <w:rPr>
                <w:rFonts w:hint="eastAsia" w:ascii="宋体" w:hAnsi="宋体" w:cs="宋体"/>
                <w:color w:val="auto"/>
                <w:szCs w:val="21"/>
                <w:highlight w:val="none"/>
              </w:rPr>
              <w:t>6、投标声明（格式后附）；</w:t>
            </w:r>
            <w:r>
              <w:rPr>
                <w:rFonts w:hint="eastAsia" w:ascii="宋体" w:hAnsi="宋体" w:cs="宋体"/>
                <w:b/>
                <w:color w:val="auto"/>
                <w:szCs w:val="21"/>
                <w:highlight w:val="none"/>
              </w:rPr>
              <w:t>（必须提供，否则按无效投标处理）</w:t>
            </w:r>
          </w:p>
          <w:p w14:paraId="4DF8B709">
            <w:pPr>
              <w:autoSpaceDE w:val="0"/>
              <w:autoSpaceDN w:val="0"/>
              <w:snapToGrid w:val="0"/>
              <w:spacing w:line="400" w:lineRule="exact"/>
              <w:textAlignment w:val="bottom"/>
              <w:rPr>
                <w:rFonts w:hint="eastAsia" w:ascii="宋体" w:hAnsi="宋体" w:cs="宋体"/>
                <w:b/>
                <w:color w:val="auto"/>
                <w:szCs w:val="21"/>
                <w:highlight w:val="none"/>
              </w:rPr>
            </w:pPr>
            <w:r>
              <w:rPr>
                <w:rFonts w:hint="eastAsia" w:ascii="宋体" w:hAnsi="宋体" w:cs="宋体"/>
                <w:color w:val="auto"/>
                <w:szCs w:val="21"/>
                <w:highlight w:val="none"/>
              </w:rPr>
              <w:t>7、联合体协议书（格式后附）；</w:t>
            </w:r>
            <w:r>
              <w:rPr>
                <w:rFonts w:hint="eastAsia" w:ascii="宋体" w:hAnsi="宋体" w:cs="宋体"/>
                <w:b/>
                <w:color w:val="auto"/>
                <w:szCs w:val="21"/>
                <w:highlight w:val="none"/>
              </w:rPr>
              <w:t>（联合体投标时必须提供，否则按无效投标处理）</w:t>
            </w:r>
          </w:p>
          <w:p w14:paraId="0F0F8F5C">
            <w:pPr>
              <w:pStyle w:val="2"/>
              <w:rPr>
                <w:rFonts w:hint="eastAsia" w:ascii="宋体" w:hAnsi="宋体" w:cs="宋体"/>
                <w:color w:val="auto"/>
                <w:sz w:val="21"/>
                <w:szCs w:val="21"/>
                <w:highlight w:val="none"/>
              </w:rPr>
            </w:pPr>
            <w:r>
              <w:rPr>
                <w:rFonts w:hint="eastAsia" w:ascii="宋体" w:hAnsi="宋体" w:cs="宋体"/>
                <w:bCs w:val="0"/>
                <w:color w:val="auto"/>
                <w:spacing w:val="0"/>
                <w:kern w:val="2"/>
                <w:sz w:val="21"/>
                <w:szCs w:val="21"/>
                <w:highlight w:val="none"/>
              </w:rPr>
              <w:t>8、中小企业或残疾企业或监狱企业申明函或残疾人福利性单位声明函；</w:t>
            </w:r>
            <w:r>
              <w:rPr>
                <w:rFonts w:hint="eastAsia" w:ascii="宋体" w:hAnsi="宋体" w:cs="宋体"/>
                <w:b/>
                <w:color w:val="auto"/>
                <w:sz w:val="21"/>
                <w:szCs w:val="21"/>
                <w:highlight w:val="none"/>
              </w:rPr>
              <w:t>（分标3、4、5必须提供，否则按无效投标处理）</w:t>
            </w:r>
          </w:p>
          <w:p w14:paraId="6DBADECD">
            <w:pPr>
              <w:autoSpaceDE w:val="0"/>
              <w:autoSpaceDN w:val="0"/>
              <w:snapToGrid w:val="0"/>
              <w:spacing w:line="400" w:lineRule="exact"/>
              <w:textAlignment w:val="bottom"/>
              <w:rPr>
                <w:rFonts w:hint="eastAsia" w:ascii="宋体" w:hAnsi="宋体" w:cs="宋体"/>
                <w:b/>
                <w:color w:val="auto"/>
                <w:szCs w:val="21"/>
                <w:highlight w:val="none"/>
              </w:rPr>
            </w:pPr>
            <w:r>
              <w:rPr>
                <w:rFonts w:hint="eastAsia" w:ascii="宋体" w:hAnsi="宋体" w:cs="宋体"/>
                <w:color w:val="auto"/>
                <w:szCs w:val="21"/>
                <w:highlight w:val="none"/>
              </w:rPr>
              <w:t>9、根据公开招标公告对应的特定资格要求设置供应商提供的资格证明材料。</w:t>
            </w:r>
            <w:r>
              <w:rPr>
                <w:rFonts w:hint="eastAsia" w:ascii="宋体" w:hAnsi="宋体" w:cs="宋体"/>
                <w:b/>
                <w:color w:val="auto"/>
                <w:szCs w:val="21"/>
                <w:highlight w:val="none"/>
              </w:rPr>
              <w:t>（分标2、5必须提供，否则按无效投标处理）</w:t>
            </w:r>
          </w:p>
          <w:p w14:paraId="15C4EE53">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10、除招标文件规定必须提供以外，投标人认为需要提供的其他证明材料。</w:t>
            </w:r>
          </w:p>
          <w:p w14:paraId="18BFCD44">
            <w:pPr>
              <w:snapToGrid w:val="0"/>
              <w:spacing w:line="400" w:lineRule="exact"/>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t>注：</w:t>
            </w:r>
          </w:p>
          <w:p w14:paraId="363F6961">
            <w:pPr>
              <w:snapToGrid w:val="0"/>
              <w:spacing w:line="400" w:lineRule="exact"/>
              <w:ind w:firstLine="422" w:firstLineChars="200"/>
              <w:jc w:val="left"/>
              <w:rPr>
                <w:rFonts w:hint="eastAsia" w:ascii="宋体" w:hAnsi="宋体" w:cs="宋体"/>
                <w:b/>
                <w:color w:val="auto"/>
                <w:szCs w:val="21"/>
                <w:highlight w:val="none"/>
              </w:rPr>
            </w:pPr>
            <w:r>
              <w:rPr>
                <w:rFonts w:hint="eastAsia" w:ascii="宋体" w:hAnsi="宋体" w:cs="宋体"/>
                <w:b/>
                <w:bCs/>
                <w:color w:val="auto"/>
                <w:szCs w:val="21"/>
                <w:highlight w:val="none"/>
              </w:rPr>
              <w:t>1、以上标明“必须提供”的材料属于复印件的，必须加盖投标人公章，否则按无效投标</w:t>
            </w:r>
            <w:r>
              <w:rPr>
                <w:rFonts w:hint="eastAsia" w:ascii="宋体" w:hAnsi="宋体" w:cs="宋体"/>
                <w:b/>
                <w:color w:val="auto"/>
                <w:szCs w:val="21"/>
                <w:highlight w:val="none"/>
              </w:rPr>
              <w:t>处理。</w:t>
            </w:r>
          </w:p>
          <w:p w14:paraId="4ABEE125">
            <w:pPr>
              <w:snapToGrid w:val="0"/>
              <w:spacing w:line="400" w:lineRule="exact"/>
              <w:ind w:firstLine="422" w:firstLineChars="200"/>
              <w:jc w:val="left"/>
              <w:rPr>
                <w:rFonts w:hint="eastAsia" w:ascii="宋体" w:hAnsi="宋体" w:cs="宋体"/>
                <w:b/>
                <w:bCs/>
                <w:color w:val="auto"/>
                <w:szCs w:val="21"/>
                <w:highlight w:val="none"/>
              </w:rPr>
            </w:pPr>
            <w:r>
              <w:rPr>
                <w:rFonts w:hint="eastAsia" w:ascii="宋体" w:hAnsi="宋体" w:cs="宋体"/>
                <w:b/>
                <w:color w:val="auto"/>
                <w:szCs w:val="21"/>
                <w:highlight w:val="none"/>
              </w:rPr>
              <w:t>2、</w:t>
            </w:r>
            <w:r>
              <w:rPr>
                <w:rFonts w:hint="eastAsia" w:ascii="宋体" w:hAnsi="宋体" w:cs="宋体"/>
                <w:b/>
                <w:bCs/>
                <w:color w:val="auto"/>
                <w:szCs w:val="21"/>
                <w:highlight w:val="none"/>
              </w:rPr>
              <w:t>投标声明必须由法定代表人在规定签章处签章并加盖投标人公章，否则按无效投标处理。</w:t>
            </w:r>
          </w:p>
          <w:p w14:paraId="32DABC3B">
            <w:pPr>
              <w:snapToGrid w:val="0"/>
              <w:spacing w:line="400" w:lineRule="exact"/>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t>3、投标人直接控股、管理关系信息表必须由法定代表人或者委托代理人在规定签章处签字并加盖投标人公章，否则按无效投标</w:t>
            </w:r>
            <w:r>
              <w:rPr>
                <w:rFonts w:hint="eastAsia" w:ascii="宋体" w:hAnsi="宋体" w:cs="宋体"/>
                <w:b/>
                <w:color w:val="auto"/>
                <w:szCs w:val="21"/>
                <w:highlight w:val="none"/>
              </w:rPr>
              <w:t>处理</w:t>
            </w:r>
            <w:r>
              <w:rPr>
                <w:rFonts w:hint="eastAsia" w:ascii="宋体" w:hAnsi="宋体" w:cs="宋体"/>
                <w:b/>
                <w:bCs/>
                <w:color w:val="auto"/>
                <w:szCs w:val="21"/>
                <w:highlight w:val="none"/>
              </w:rPr>
              <w:t>。</w:t>
            </w:r>
          </w:p>
          <w:p w14:paraId="355EF1B6">
            <w:pPr>
              <w:snapToGrid w:val="0"/>
              <w:spacing w:line="400" w:lineRule="exact"/>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t>4、联合体投标时，第1-5项资格证明文件联合体各方均必须分别提供，联合体各方分别盖章和签字，否则按无效投标</w:t>
            </w:r>
            <w:r>
              <w:rPr>
                <w:rFonts w:hint="eastAsia" w:ascii="宋体" w:hAnsi="宋体" w:cs="宋体"/>
                <w:b/>
                <w:color w:val="auto"/>
                <w:szCs w:val="21"/>
                <w:highlight w:val="none"/>
              </w:rPr>
              <w:t>处理</w:t>
            </w:r>
            <w:r>
              <w:rPr>
                <w:rFonts w:hint="eastAsia" w:ascii="宋体" w:hAnsi="宋体" w:cs="宋体"/>
                <w:b/>
                <w:bCs/>
                <w:color w:val="auto"/>
                <w:szCs w:val="21"/>
                <w:highlight w:val="none"/>
              </w:rPr>
              <w:t>。</w:t>
            </w:r>
          </w:p>
          <w:p w14:paraId="43CEFA67">
            <w:pPr>
              <w:snapToGrid w:val="0"/>
              <w:spacing w:line="400" w:lineRule="exact"/>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t>5、分公司参加投标的，应当取得总公司授权，否则按无效投标处理。</w:t>
            </w:r>
          </w:p>
        </w:tc>
      </w:tr>
      <w:tr w14:paraId="38269E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vMerge w:val="continue"/>
            <w:tcBorders>
              <w:left w:val="single" w:color="auto" w:sz="4" w:space="0"/>
              <w:right w:val="single" w:color="auto" w:sz="4" w:space="0"/>
            </w:tcBorders>
            <w:vAlign w:val="center"/>
          </w:tcPr>
          <w:p w14:paraId="13F83891">
            <w:pPr>
              <w:spacing w:line="400" w:lineRule="exact"/>
              <w:rPr>
                <w:rFonts w:hint="eastAsia" w:ascii="宋体" w:hAnsi="宋体" w:cs="宋体"/>
                <w:color w:val="auto"/>
                <w:szCs w:val="21"/>
                <w:highlight w:val="none"/>
              </w:rPr>
            </w:pPr>
            <w:bookmarkStart w:id="50" w:name="_13.3"/>
            <w:bookmarkEnd w:id="50"/>
          </w:p>
        </w:tc>
        <w:tc>
          <w:tcPr>
            <w:tcW w:w="8708" w:type="dxa"/>
            <w:tcBorders>
              <w:top w:val="single" w:color="auto" w:sz="4" w:space="0"/>
              <w:left w:val="single" w:color="auto" w:sz="4" w:space="0"/>
              <w:bottom w:val="single" w:color="auto" w:sz="4" w:space="0"/>
              <w:right w:val="single" w:color="auto" w:sz="4" w:space="0"/>
            </w:tcBorders>
            <w:vAlign w:val="center"/>
          </w:tcPr>
          <w:p w14:paraId="1B831FC9">
            <w:pPr>
              <w:snapToGrid w:val="0"/>
              <w:spacing w:line="400" w:lineRule="exact"/>
              <w:jc w:val="left"/>
              <w:rPr>
                <w:rFonts w:hint="eastAsia" w:ascii="宋体" w:hAnsi="宋体" w:cs="宋体"/>
                <w:b/>
                <w:color w:val="auto"/>
                <w:szCs w:val="21"/>
                <w:highlight w:val="none"/>
              </w:rPr>
            </w:pPr>
            <w:r>
              <w:rPr>
                <w:rFonts w:hint="eastAsia" w:ascii="宋体" w:hAnsi="宋体" w:cs="宋体"/>
                <w:b/>
                <w:color w:val="auto"/>
                <w:szCs w:val="21"/>
                <w:highlight w:val="none"/>
              </w:rPr>
              <w:t>商务文件：</w:t>
            </w:r>
          </w:p>
          <w:p w14:paraId="4DC419EB">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1、无串通投标行为的承诺函（格式后附）；</w:t>
            </w:r>
            <w:r>
              <w:rPr>
                <w:rFonts w:hint="eastAsia" w:ascii="宋体" w:hAnsi="宋体" w:cs="宋体"/>
                <w:b/>
                <w:bCs/>
                <w:color w:val="auto"/>
                <w:szCs w:val="21"/>
                <w:highlight w:val="none"/>
              </w:rPr>
              <w:t>（必须提供，否则按无效投标处理）</w:t>
            </w:r>
          </w:p>
          <w:p w14:paraId="54423ABF">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2、投标人廉洁承诺（格式后附）；</w:t>
            </w:r>
            <w:r>
              <w:rPr>
                <w:rFonts w:hint="eastAsia" w:ascii="宋体" w:hAnsi="宋体" w:cs="宋体"/>
                <w:b/>
                <w:bCs/>
                <w:color w:val="auto"/>
                <w:szCs w:val="21"/>
                <w:highlight w:val="none"/>
              </w:rPr>
              <w:t>（必须提供，否则按无效投标处理）</w:t>
            </w:r>
          </w:p>
          <w:p w14:paraId="24192D5F">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3、投标保证金缴纳凭证复印件；</w:t>
            </w:r>
            <w:r>
              <w:rPr>
                <w:rFonts w:hint="eastAsia" w:ascii="宋体" w:hAnsi="宋体" w:cs="宋体"/>
                <w:b/>
                <w:bCs/>
                <w:color w:val="auto"/>
                <w:szCs w:val="21"/>
                <w:highlight w:val="none"/>
              </w:rPr>
              <w:t>（必须提供，否则按无效投标处理）</w:t>
            </w:r>
          </w:p>
          <w:p w14:paraId="7D93CB48">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4、法定代表人身份证明及法定代表人有效身份证正反面复印件（格式后附）；</w:t>
            </w:r>
            <w:r>
              <w:rPr>
                <w:rFonts w:hint="eastAsia" w:ascii="宋体" w:hAnsi="宋体" w:cs="宋体"/>
                <w:b/>
                <w:bCs/>
                <w:color w:val="auto"/>
                <w:szCs w:val="21"/>
                <w:highlight w:val="none"/>
              </w:rPr>
              <w:t>（除自然人投标外必须提供，否则按无效投标处理）</w:t>
            </w:r>
          </w:p>
          <w:p w14:paraId="40AD7DE7">
            <w:pPr>
              <w:snapToGrid w:val="0"/>
              <w:spacing w:line="400" w:lineRule="exact"/>
              <w:jc w:val="left"/>
              <w:rPr>
                <w:rFonts w:hint="eastAsia" w:ascii="宋体" w:hAnsi="宋体" w:cs="宋体"/>
                <w:b/>
                <w:bCs/>
                <w:color w:val="auto"/>
                <w:szCs w:val="21"/>
                <w:highlight w:val="none"/>
              </w:rPr>
            </w:pPr>
            <w:r>
              <w:rPr>
                <w:rFonts w:hint="eastAsia" w:ascii="宋体" w:hAnsi="宋体" w:cs="宋体"/>
                <w:color w:val="auto"/>
                <w:szCs w:val="21"/>
                <w:highlight w:val="none"/>
              </w:rPr>
              <w:t>5、授权委托书及委托代理人有效身份证正反面复印件（格式后附）；</w:t>
            </w:r>
            <w:r>
              <w:rPr>
                <w:rFonts w:hint="eastAsia" w:ascii="宋体" w:hAnsi="宋体" w:cs="宋体"/>
                <w:b/>
                <w:bCs/>
                <w:color w:val="auto"/>
                <w:szCs w:val="21"/>
                <w:highlight w:val="none"/>
              </w:rPr>
              <w:t>（委托时必须提供，否则按无效投标处理）</w:t>
            </w:r>
          </w:p>
          <w:p w14:paraId="6C55AF63">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6、商务要求偏离表（格式后附）；</w:t>
            </w:r>
            <w:r>
              <w:rPr>
                <w:rFonts w:hint="eastAsia" w:ascii="宋体" w:hAnsi="宋体" w:cs="宋体"/>
                <w:b/>
                <w:bCs/>
                <w:color w:val="auto"/>
                <w:szCs w:val="21"/>
                <w:highlight w:val="none"/>
              </w:rPr>
              <w:t>（必须提供，否则按无效投标处理）</w:t>
            </w:r>
          </w:p>
          <w:p w14:paraId="41F6FCBB">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7、售后服务承诺（格式自拟）；</w:t>
            </w:r>
          </w:p>
          <w:p w14:paraId="014230C9">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8、投标人情况介绍（格式自拟）；</w:t>
            </w:r>
          </w:p>
          <w:p w14:paraId="58C3BC55">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9、投标人业绩证明材料（格式后附）；</w:t>
            </w:r>
          </w:p>
          <w:p w14:paraId="6AED88D4">
            <w:pPr>
              <w:snapToGrid w:val="0"/>
              <w:spacing w:line="400" w:lineRule="exact"/>
              <w:jc w:val="left"/>
              <w:rPr>
                <w:rFonts w:hint="eastAsia" w:ascii="宋体" w:hAnsi="宋体" w:cs="宋体"/>
                <w:b/>
                <w:bCs/>
                <w:color w:val="auto"/>
                <w:szCs w:val="21"/>
                <w:highlight w:val="none"/>
              </w:rPr>
            </w:pPr>
            <w:r>
              <w:rPr>
                <w:rFonts w:hint="eastAsia" w:ascii="宋体" w:hAnsi="宋体" w:cs="宋体"/>
                <w:color w:val="auto"/>
                <w:szCs w:val="21"/>
                <w:highlight w:val="none"/>
              </w:rPr>
              <w:t>10、“第二章采购需求”中商务条款要求必须提供的证明材料；</w:t>
            </w:r>
            <w:r>
              <w:rPr>
                <w:rFonts w:hint="eastAsia" w:ascii="宋体" w:hAnsi="宋体" w:cs="宋体"/>
                <w:b/>
                <w:bCs/>
                <w:color w:val="auto"/>
                <w:szCs w:val="21"/>
                <w:highlight w:val="none"/>
              </w:rPr>
              <w:t>（如采购需求内容中有要求的，必须按要求提供，否则作投标无效处理）</w:t>
            </w:r>
          </w:p>
          <w:p w14:paraId="6905AD50">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11、除招标文件规定必须提供以外，投标人认为需要提供的其他证明材料（格式自拟）。</w:t>
            </w:r>
            <w:r>
              <w:rPr>
                <w:rFonts w:hint="eastAsia" w:ascii="宋体" w:hAnsi="宋体" w:cs="宋体"/>
                <w:b/>
                <w:bCs/>
                <w:color w:val="auto"/>
                <w:szCs w:val="21"/>
                <w:highlight w:val="none"/>
              </w:rPr>
              <w:t>（投标人根据“第二章采购需求”及“第四章评标方法及评标标准”提供有关证明材料）</w:t>
            </w:r>
          </w:p>
          <w:p w14:paraId="5E843B5C">
            <w:pPr>
              <w:snapToGrid w:val="0"/>
              <w:spacing w:line="400" w:lineRule="exact"/>
              <w:ind w:firstLine="422" w:firstLineChars="200"/>
              <w:jc w:val="left"/>
              <w:rPr>
                <w:rFonts w:hint="eastAsia" w:ascii="宋体" w:hAnsi="宋体" w:cs="宋体"/>
                <w:color w:val="auto"/>
                <w:szCs w:val="21"/>
                <w:highlight w:val="none"/>
              </w:rPr>
            </w:pPr>
            <w:r>
              <w:rPr>
                <w:rFonts w:hint="eastAsia" w:ascii="宋体" w:hAnsi="宋体" w:cs="宋体"/>
                <w:b/>
                <w:bCs/>
                <w:color w:val="auto"/>
                <w:szCs w:val="21"/>
                <w:highlight w:val="none"/>
              </w:rPr>
              <w:t>注：以上标明“必须提供”的材料属于复印件的，必须加盖投标人公章，否则按无效投标</w:t>
            </w:r>
            <w:r>
              <w:rPr>
                <w:rFonts w:hint="eastAsia" w:ascii="宋体" w:hAnsi="宋体" w:cs="宋体"/>
                <w:b/>
                <w:color w:val="auto"/>
                <w:szCs w:val="21"/>
                <w:highlight w:val="none"/>
              </w:rPr>
              <w:t>处理</w:t>
            </w:r>
            <w:r>
              <w:rPr>
                <w:rFonts w:hint="eastAsia" w:ascii="宋体" w:hAnsi="宋体" w:cs="宋体"/>
                <w:b/>
                <w:bCs/>
                <w:color w:val="auto"/>
                <w:szCs w:val="21"/>
                <w:highlight w:val="none"/>
              </w:rPr>
              <w:t>。</w:t>
            </w:r>
          </w:p>
        </w:tc>
      </w:tr>
      <w:tr w14:paraId="3A5430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vMerge w:val="continue"/>
            <w:tcBorders>
              <w:left w:val="single" w:color="auto" w:sz="4" w:space="0"/>
              <w:bottom w:val="single" w:color="auto" w:sz="4" w:space="0"/>
              <w:right w:val="single" w:color="auto" w:sz="4" w:space="0"/>
            </w:tcBorders>
            <w:vAlign w:val="center"/>
          </w:tcPr>
          <w:p w14:paraId="7A89DF8E">
            <w:pPr>
              <w:spacing w:line="400" w:lineRule="exact"/>
              <w:rPr>
                <w:rFonts w:hint="eastAsia" w:ascii="宋体" w:hAnsi="宋体" w:cs="宋体"/>
                <w:color w:val="auto"/>
                <w:szCs w:val="21"/>
                <w:highlight w:val="none"/>
              </w:rPr>
            </w:pPr>
            <w:bookmarkStart w:id="51" w:name="_13.4"/>
            <w:bookmarkEnd w:id="51"/>
          </w:p>
        </w:tc>
        <w:tc>
          <w:tcPr>
            <w:tcW w:w="8708" w:type="dxa"/>
            <w:tcBorders>
              <w:top w:val="single" w:color="auto" w:sz="4" w:space="0"/>
              <w:left w:val="single" w:color="auto" w:sz="4" w:space="0"/>
              <w:bottom w:val="single" w:color="auto" w:sz="4" w:space="0"/>
              <w:right w:val="single" w:color="auto" w:sz="4" w:space="0"/>
            </w:tcBorders>
            <w:vAlign w:val="center"/>
          </w:tcPr>
          <w:p w14:paraId="4B56E263">
            <w:pPr>
              <w:snapToGrid w:val="0"/>
              <w:spacing w:line="400" w:lineRule="exact"/>
              <w:jc w:val="left"/>
              <w:rPr>
                <w:rFonts w:hint="eastAsia" w:ascii="宋体" w:hAnsi="宋体" w:cs="宋体"/>
                <w:b/>
                <w:color w:val="auto"/>
                <w:szCs w:val="21"/>
                <w:highlight w:val="none"/>
              </w:rPr>
            </w:pPr>
            <w:r>
              <w:rPr>
                <w:rFonts w:hint="eastAsia" w:ascii="宋体" w:hAnsi="宋体" w:cs="宋体"/>
                <w:b/>
                <w:color w:val="auto"/>
                <w:szCs w:val="21"/>
                <w:highlight w:val="none"/>
              </w:rPr>
              <w:t>技术文件：</w:t>
            </w:r>
          </w:p>
          <w:p w14:paraId="359F9931">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1、货物配置清单（格式后附）；（</w:t>
            </w:r>
            <w:r>
              <w:rPr>
                <w:rFonts w:hint="eastAsia" w:ascii="宋体" w:hAnsi="宋体" w:cs="宋体"/>
                <w:b/>
                <w:color w:val="auto"/>
                <w:szCs w:val="21"/>
                <w:highlight w:val="none"/>
              </w:rPr>
              <w:t>必须提供，否则按无效投标处理</w:t>
            </w:r>
            <w:r>
              <w:rPr>
                <w:rFonts w:hint="eastAsia" w:ascii="宋体" w:hAnsi="宋体" w:cs="宋体"/>
                <w:color w:val="auto"/>
                <w:szCs w:val="21"/>
                <w:highlight w:val="none"/>
              </w:rPr>
              <w:t>）</w:t>
            </w:r>
          </w:p>
          <w:p w14:paraId="0034741E">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2、货物技术要求偏离表（格式后附）；（</w:t>
            </w:r>
            <w:r>
              <w:rPr>
                <w:rFonts w:hint="eastAsia" w:ascii="宋体" w:hAnsi="宋体" w:cs="宋体"/>
                <w:b/>
                <w:color w:val="auto"/>
                <w:szCs w:val="21"/>
                <w:highlight w:val="none"/>
              </w:rPr>
              <w:t>必须提供，否则按无效投标处理</w:t>
            </w:r>
            <w:r>
              <w:rPr>
                <w:rFonts w:hint="eastAsia" w:ascii="宋体" w:hAnsi="宋体" w:cs="宋体"/>
                <w:color w:val="auto"/>
                <w:szCs w:val="21"/>
                <w:highlight w:val="none"/>
              </w:rPr>
              <w:t>）</w:t>
            </w:r>
          </w:p>
          <w:p w14:paraId="17127148">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3、项目实施方案（格式自拟，可以参考“第四章评标方法及评标标准”有关要求提供）；</w:t>
            </w:r>
          </w:p>
          <w:p w14:paraId="73A3CB85">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4、项目实施人员一览表（格式后附）；（</w:t>
            </w:r>
            <w:r>
              <w:rPr>
                <w:rFonts w:hint="eastAsia" w:ascii="宋体" w:hAnsi="宋体" w:cs="宋体"/>
                <w:b/>
                <w:bCs/>
                <w:color w:val="auto"/>
                <w:szCs w:val="21"/>
                <w:highlight w:val="none"/>
              </w:rPr>
              <w:t>必须提供，否则按无效投标处理）</w:t>
            </w:r>
          </w:p>
          <w:p w14:paraId="408E126B">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5、对本项目系统总体要求的理解（格式自拟）；</w:t>
            </w:r>
          </w:p>
          <w:p w14:paraId="3AF13407">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6、“第二章采购需求”中“货物需求一览表”及“第四章评标方法及评标标准”中“评标标准”还有其他相关产品出厂标准、质量检测报告[其中有精度要求的仪器设备类政府采购项目，应当要求投标人提供精度数据（国家认可的有资质的第三方检测机构出具的检测报告复印件或者由采购人在投标前组织的实测获得）]；（</w:t>
            </w:r>
            <w:r>
              <w:rPr>
                <w:rFonts w:hint="eastAsia" w:ascii="宋体" w:hAnsi="宋体" w:cs="宋体"/>
                <w:b/>
                <w:color w:val="auto"/>
                <w:szCs w:val="21"/>
                <w:highlight w:val="none"/>
              </w:rPr>
              <w:t>招标文件中要求必须提供时必须提供，否则按无效投标处理</w:t>
            </w:r>
            <w:r>
              <w:rPr>
                <w:rFonts w:hint="eastAsia" w:ascii="宋体" w:hAnsi="宋体" w:cs="宋体"/>
                <w:color w:val="auto"/>
                <w:szCs w:val="21"/>
                <w:highlight w:val="none"/>
              </w:rPr>
              <w:t>）</w:t>
            </w:r>
          </w:p>
          <w:p w14:paraId="4852A872">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7、优惠条件：投标人承诺给予招标人的各种优惠条件，包括售后服务、备品备件、专用耗材等方面的优惠；投标人不得给予赠品或者与采购无关的其他商品、服务；</w:t>
            </w:r>
          </w:p>
          <w:p w14:paraId="4A578458">
            <w:pPr>
              <w:snapToGrid w:val="0"/>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8、投标人对本项目的合理化建议和改进措施（格式自拟）；</w:t>
            </w:r>
          </w:p>
          <w:p w14:paraId="3D6D8BC3">
            <w:pPr>
              <w:snapToGrid w:val="0"/>
              <w:spacing w:line="400" w:lineRule="exact"/>
              <w:jc w:val="left"/>
              <w:rPr>
                <w:rFonts w:hint="eastAsia" w:ascii="宋体" w:hAnsi="宋体" w:cs="宋体"/>
                <w:bCs/>
                <w:color w:val="auto"/>
                <w:szCs w:val="21"/>
                <w:highlight w:val="none"/>
              </w:rPr>
            </w:pPr>
            <w:r>
              <w:rPr>
                <w:rFonts w:hint="eastAsia" w:ascii="宋体" w:hAnsi="宋体" w:cs="宋体"/>
                <w:color w:val="auto"/>
                <w:szCs w:val="21"/>
                <w:highlight w:val="none"/>
              </w:rPr>
              <w:t>9、除招标文件规定必须提供以外，投标人需要说明的其他文件和说明（格式自拟）。</w:t>
            </w:r>
          </w:p>
          <w:p w14:paraId="5C305CA4">
            <w:pPr>
              <w:snapToGrid w:val="0"/>
              <w:spacing w:line="400" w:lineRule="exact"/>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t>注：以上标明“必须提供”的材料属于复印件的，必须加盖投标人公章，否则按无效投标</w:t>
            </w:r>
            <w:r>
              <w:rPr>
                <w:rFonts w:hint="eastAsia" w:ascii="宋体" w:hAnsi="宋体" w:cs="宋体"/>
                <w:b/>
                <w:color w:val="auto"/>
                <w:szCs w:val="21"/>
                <w:highlight w:val="none"/>
              </w:rPr>
              <w:t>处理</w:t>
            </w:r>
            <w:r>
              <w:rPr>
                <w:rFonts w:hint="eastAsia" w:ascii="宋体" w:hAnsi="宋体" w:cs="宋体"/>
                <w:b/>
                <w:bCs/>
                <w:color w:val="auto"/>
                <w:szCs w:val="21"/>
                <w:highlight w:val="none"/>
              </w:rPr>
              <w:t>。</w:t>
            </w:r>
          </w:p>
        </w:tc>
      </w:tr>
      <w:tr w14:paraId="0B9B43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2E5AF566">
            <w:pPr>
              <w:spacing w:line="400" w:lineRule="exact"/>
              <w:jc w:val="center"/>
              <w:rPr>
                <w:rFonts w:hint="eastAsia" w:ascii="宋体" w:hAnsi="宋体" w:cs="宋体"/>
                <w:color w:val="auto"/>
                <w:szCs w:val="21"/>
                <w:highlight w:val="none"/>
              </w:rPr>
            </w:pPr>
            <w:bookmarkStart w:id="52" w:name="_13.5"/>
            <w:bookmarkEnd w:id="52"/>
            <w:bookmarkStart w:id="53" w:name="_16.2"/>
            <w:bookmarkEnd w:id="53"/>
            <w:r>
              <w:rPr>
                <w:rFonts w:hint="eastAsia" w:ascii="宋体" w:hAnsi="宋体" w:cs="宋体"/>
                <w:color w:val="auto"/>
                <w:szCs w:val="21"/>
                <w:highlight w:val="none"/>
              </w:rPr>
              <w:t>16</w:t>
            </w:r>
            <w:bookmarkStart w:id="54" w:name="_Hlt19693758"/>
            <w:bookmarkStart w:id="55" w:name="_Hlt19194067"/>
            <w:bookmarkStart w:id="56" w:name="_Hlt19194066"/>
            <w:bookmarkStart w:id="57" w:name="_Hlt19693759"/>
            <w:r>
              <w:rPr>
                <w:rFonts w:hint="eastAsia" w:ascii="宋体" w:hAnsi="宋体" w:cs="宋体"/>
                <w:color w:val="auto"/>
                <w:szCs w:val="21"/>
                <w:highlight w:val="none"/>
              </w:rPr>
              <w:t>.</w:t>
            </w:r>
            <w:bookmarkEnd w:id="54"/>
            <w:bookmarkEnd w:id="55"/>
            <w:bookmarkEnd w:id="56"/>
            <w:bookmarkEnd w:id="57"/>
            <w:r>
              <w:rPr>
                <w:rFonts w:hint="eastAsia" w:ascii="宋体" w:hAnsi="宋体" w:cs="宋体"/>
                <w:color w:val="auto"/>
                <w:szCs w:val="21"/>
                <w:highlight w:val="none"/>
              </w:rPr>
              <w:t>2</w:t>
            </w:r>
          </w:p>
        </w:tc>
        <w:tc>
          <w:tcPr>
            <w:tcW w:w="8708" w:type="dxa"/>
            <w:tcBorders>
              <w:top w:val="single" w:color="auto" w:sz="4" w:space="0"/>
              <w:left w:val="single" w:color="auto" w:sz="4" w:space="0"/>
              <w:bottom w:val="single" w:color="auto" w:sz="4" w:space="0"/>
              <w:right w:val="single" w:color="auto" w:sz="4" w:space="0"/>
            </w:tcBorders>
            <w:vAlign w:val="center"/>
          </w:tcPr>
          <w:p w14:paraId="0E2EF3A7">
            <w:pPr>
              <w:snapToGrid w:val="0"/>
              <w:spacing w:line="400" w:lineRule="exact"/>
              <w:rPr>
                <w:rFonts w:hint="eastAsia" w:ascii="宋体" w:hAnsi="宋体" w:cs="宋体"/>
                <w:b/>
                <w:color w:val="auto"/>
                <w:szCs w:val="21"/>
                <w:highlight w:val="none"/>
              </w:rPr>
            </w:pPr>
            <w:r>
              <w:rPr>
                <w:rFonts w:hint="eastAsia" w:ascii="宋体" w:hAnsi="宋体" w:cs="宋体"/>
                <w:color w:val="auto"/>
                <w:szCs w:val="21"/>
                <w:highlight w:val="none"/>
              </w:rPr>
              <w:t>投标报价是履行合同的最终价格，包括投标货物（包括备品备件、专用工具等）的价格，投标货物运输（含保险）、安装（如有）、调试、检验、技术服务、培训和招标文件要求提供的所有伴随服务、工程等费用和税费。</w:t>
            </w:r>
            <w:r>
              <w:rPr>
                <w:rFonts w:hint="eastAsia" w:ascii="宋体" w:hAnsi="宋体" w:cs="宋体"/>
                <w:b/>
                <w:color w:val="auto"/>
                <w:szCs w:val="21"/>
                <w:highlight w:val="none"/>
              </w:rPr>
              <w:t>（采购需求另有约定的，从其约定）</w:t>
            </w:r>
          </w:p>
        </w:tc>
      </w:tr>
      <w:tr w14:paraId="643581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3494C719">
            <w:pPr>
              <w:spacing w:line="400" w:lineRule="exact"/>
              <w:jc w:val="center"/>
              <w:rPr>
                <w:rFonts w:hint="eastAsia" w:ascii="宋体" w:hAnsi="宋体" w:cs="宋体"/>
                <w:color w:val="auto"/>
                <w:szCs w:val="21"/>
                <w:highlight w:val="none"/>
              </w:rPr>
            </w:pPr>
            <w:bookmarkStart w:id="58" w:name="_17.1"/>
            <w:bookmarkEnd w:id="58"/>
            <w:r>
              <w:rPr>
                <w:rFonts w:hint="eastAsia" w:ascii="宋体" w:hAnsi="宋体" w:cs="宋体"/>
                <w:color w:val="auto"/>
                <w:szCs w:val="21"/>
                <w:highlight w:val="none"/>
              </w:rPr>
              <w:t>17.2</w:t>
            </w:r>
          </w:p>
        </w:tc>
        <w:tc>
          <w:tcPr>
            <w:tcW w:w="8708" w:type="dxa"/>
            <w:tcBorders>
              <w:top w:val="single" w:color="auto" w:sz="4" w:space="0"/>
              <w:left w:val="single" w:color="auto" w:sz="4" w:space="0"/>
              <w:bottom w:val="single" w:color="auto" w:sz="4" w:space="0"/>
              <w:right w:val="single" w:color="auto" w:sz="4" w:space="0"/>
            </w:tcBorders>
            <w:vAlign w:val="center"/>
          </w:tcPr>
          <w:p w14:paraId="2124532C">
            <w:pPr>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投标有效期：投标截止之日起90天内。</w:t>
            </w:r>
          </w:p>
        </w:tc>
      </w:tr>
      <w:tr w14:paraId="41E07F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612D61D2">
            <w:pPr>
              <w:spacing w:line="400" w:lineRule="exact"/>
              <w:jc w:val="center"/>
              <w:rPr>
                <w:rFonts w:hint="eastAsia" w:ascii="宋体" w:hAnsi="宋体" w:cs="宋体"/>
                <w:color w:val="auto"/>
                <w:szCs w:val="21"/>
                <w:highlight w:val="none"/>
              </w:rPr>
            </w:pPr>
            <w:bookmarkStart w:id="59" w:name="_18"/>
            <w:bookmarkEnd w:id="59"/>
            <w:r>
              <w:rPr>
                <w:rFonts w:hint="eastAsia" w:ascii="宋体" w:hAnsi="宋体" w:cs="宋体"/>
                <w:color w:val="auto"/>
                <w:szCs w:val="21"/>
                <w:highlight w:val="none"/>
              </w:rPr>
              <w:t>18.1</w:t>
            </w:r>
          </w:p>
        </w:tc>
        <w:tc>
          <w:tcPr>
            <w:tcW w:w="8708" w:type="dxa"/>
            <w:tcBorders>
              <w:top w:val="single" w:color="auto" w:sz="4" w:space="0"/>
              <w:left w:val="single" w:color="auto" w:sz="4" w:space="0"/>
              <w:bottom w:val="single" w:color="auto" w:sz="4" w:space="0"/>
              <w:right w:val="single" w:color="auto" w:sz="4" w:space="0"/>
            </w:tcBorders>
            <w:vAlign w:val="center"/>
          </w:tcPr>
          <w:p w14:paraId="0970619E">
            <w:pPr>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sym w:font="Wingdings" w:char="00A8"/>
            </w:r>
            <w:r>
              <w:rPr>
                <w:rFonts w:hint="eastAsia" w:ascii="宋体" w:hAnsi="宋体" w:cs="宋体"/>
                <w:color w:val="auto"/>
                <w:szCs w:val="21"/>
                <w:highlight w:val="none"/>
              </w:rPr>
              <w:t>本项目不收取投标保证金；</w:t>
            </w:r>
          </w:p>
          <w:p w14:paraId="1459EAAB">
            <w:pPr>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sym w:font="Wingdings" w:char="00FE"/>
            </w:r>
            <w:r>
              <w:rPr>
                <w:rFonts w:hint="eastAsia" w:ascii="宋体" w:hAnsi="宋体" w:cs="宋体"/>
                <w:color w:val="auto"/>
                <w:szCs w:val="21"/>
                <w:highlight w:val="none"/>
              </w:rPr>
              <w:t>本项目收取投标保证金，具体规定如下：</w:t>
            </w:r>
          </w:p>
          <w:p w14:paraId="16BD879D">
            <w:pPr>
              <w:snapToGrid w:val="0"/>
              <w:spacing w:line="40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保证金金额：分标1：22000.00元；分标2：15000.00元；分标3：14000.00元；分标4：13000.00元；分标5：12000.00元。</w:t>
            </w:r>
          </w:p>
          <w:p w14:paraId="26662FF1">
            <w:pPr>
              <w:snapToGrid w:val="0"/>
              <w:spacing w:line="400" w:lineRule="exact"/>
              <w:rPr>
                <w:rFonts w:hint="eastAsia" w:ascii="宋体" w:hAnsi="宋体" w:cs="宋体"/>
                <w:color w:val="auto"/>
                <w:szCs w:val="21"/>
                <w:highlight w:val="none"/>
              </w:rPr>
            </w:pPr>
            <w:r>
              <w:rPr>
                <w:rFonts w:hint="eastAsia" w:ascii="宋体" w:hAnsi="宋体" w:cs="宋体"/>
                <w:color w:val="auto"/>
                <w:kern w:val="0"/>
                <w:szCs w:val="21"/>
                <w:highlight w:val="none"/>
              </w:rPr>
              <w:t>投标保证金的交纳方式：银行转账、支票、汇票、本票或者金融、担保机构出具的保函，禁止采用现钞方式。采用银行转账方式的，在投标截止时间前交至指定账户并且到账（</w:t>
            </w:r>
            <w:r>
              <w:rPr>
                <w:rFonts w:hint="eastAsia" w:ascii="宋体" w:hAnsi="宋体" w:cs="宋体"/>
                <w:b/>
                <w:color w:val="auto"/>
                <w:szCs w:val="21"/>
                <w:highlight w:val="none"/>
              </w:rPr>
              <w:t>开户名称：广西科文招标有限公司宾阳分公司，开户银行：</w:t>
            </w:r>
            <w:r>
              <w:rPr>
                <w:rFonts w:hint="eastAsia" w:ascii="宋体" w:hAnsi="宋体" w:cs="宋体"/>
                <w:b/>
                <w:color w:val="auto"/>
                <w:szCs w:val="21"/>
                <w:highlight w:val="none"/>
                <w:lang w:eastAsia="zh-CN"/>
              </w:rPr>
              <w:t>中国银行宾阳支行营业部</w:t>
            </w:r>
            <w:r>
              <w:rPr>
                <w:rFonts w:hint="eastAsia" w:ascii="宋体" w:hAnsi="宋体" w:cs="宋体"/>
                <w:b/>
                <w:color w:val="auto"/>
                <w:szCs w:val="21"/>
                <w:highlight w:val="none"/>
              </w:rPr>
              <w:t>，银行账号：</w:t>
            </w:r>
            <w:r>
              <w:rPr>
                <w:rFonts w:hint="eastAsia" w:ascii="宋体" w:hAnsi="宋体" w:cs="宋体"/>
                <w:b/>
                <w:color w:val="auto"/>
                <w:szCs w:val="21"/>
                <w:highlight w:val="none"/>
                <w:lang w:eastAsia="zh-CN"/>
              </w:rPr>
              <w:t>618471419553</w:t>
            </w:r>
            <w:r>
              <w:rPr>
                <w:rFonts w:hint="eastAsia" w:ascii="宋体" w:hAnsi="宋体" w:cs="宋体"/>
                <w:color w:val="auto"/>
                <w:kern w:val="0"/>
                <w:szCs w:val="21"/>
                <w:highlight w:val="none"/>
              </w:rPr>
              <w:t>）；采用支票、汇票、本票或者保函等方式的，在投标截止时间前，投标人必须递交支票、汇票、本票或者保函原件。否则视为无效投标保证金。</w:t>
            </w:r>
          </w:p>
          <w:p w14:paraId="76B029AB">
            <w:pPr>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相关要求：</w:t>
            </w:r>
          </w:p>
          <w:p w14:paraId="2D1C0ABF">
            <w:pPr>
              <w:pStyle w:val="18"/>
              <w:spacing w:line="400" w:lineRule="exact"/>
              <w:rPr>
                <w:rFonts w:hint="eastAsia" w:ascii="宋体" w:hAnsi="宋体" w:cs="宋体"/>
                <w:color w:val="auto"/>
                <w:szCs w:val="21"/>
                <w:highlight w:val="none"/>
              </w:rPr>
            </w:pPr>
            <w:r>
              <w:rPr>
                <w:rFonts w:hint="eastAsia" w:ascii="宋体" w:hAnsi="宋体" w:cs="宋体"/>
                <w:color w:val="auto"/>
                <w:szCs w:val="21"/>
                <w:highlight w:val="none"/>
              </w:rPr>
              <w:t>1、投标保证金采用银行转账交纳方式的，在投标截止时间前交至指定账户并且到账，投标人应将银行转账底单的复印件或截图作为投标保证金提交凭证，放置于商务文件中，</w:t>
            </w:r>
            <w:r>
              <w:rPr>
                <w:rFonts w:hint="eastAsia" w:ascii="宋体" w:hAnsi="宋体" w:cs="宋体"/>
                <w:b/>
                <w:color w:val="auto"/>
                <w:szCs w:val="21"/>
                <w:highlight w:val="none"/>
              </w:rPr>
              <w:t>否则投标无效</w:t>
            </w:r>
            <w:r>
              <w:rPr>
                <w:rFonts w:hint="eastAsia" w:ascii="宋体" w:hAnsi="宋体" w:cs="宋体"/>
                <w:color w:val="auto"/>
                <w:szCs w:val="21"/>
                <w:highlight w:val="none"/>
              </w:rPr>
              <w:t>。</w:t>
            </w:r>
          </w:p>
          <w:p w14:paraId="17584A7F">
            <w:pPr>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2、投标保证金采用支票、汇票、本票或者金融、担保机构出具的保函交纳方式的，投标人应将支票、汇票、本票或者金融、担保机构出具的保函的复印件作为投标保证金提交凭证，放置于商务文件中，</w:t>
            </w:r>
            <w:r>
              <w:rPr>
                <w:rFonts w:hint="eastAsia" w:ascii="宋体" w:hAnsi="宋体" w:cs="宋体"/>
                <w:b/>
                <w:color w:val="auto"/>
                <w:szCs w:val="21"/>
                <w:highlight w:val="none"/>
              </w:rPr>
              <w:t>否则投标无效</w:t>
            </w:r>
            <w:r>
              <w:rPr>
                <w:rFonts w:hint="eastAsia" w:ascii="宋体" w:hAnsi="宋体" w:cs="宋体"/>
                <w:color w:val="auto"/>
                <w:szCs w:val="21"/>
                <w:highlight w:val="none"/>
              </w:rPr>
              <w:t>。</w:t>
            </w:r>
            <w:r>
              <w:rPr>
                <w:rFonts w:hint="eastAsia" w:ascii="宋体" w:hAnsi="宋体" w:cs="宋体"/>
                <w:b/>
                <w:color w:val="auto"/>
                <w:szCs w:val="21"/>
                <w:highlight w:val="none"/>
              </w:rPr>
              <w:t>投标人必须在投标截止时间前将支票、汇票、本票或者金融、担保机构出具的保函原件提交给采购代理机构，由采购代理机构向投标人出具回执，并妥善保管。</w:t>
            </w:r>
          </w:p>
          <w:p w14:paraId="04C1AA71">
            <w:pPr>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3、投标人为联合体的，可以由联合体中的一方或者多方共同交纳投标保证金，其交纳的保证金对联合体各方均具有约束力。</w:t>
            </w:r>
          </w:p>
          <w:p w14:paraId="75DA1946">
            <w:pPr>
              <w:snapToGrid w:val="0"/>
              <w:spacing w:line="400" w:lineRule="exact"/>
              <w:rPr>
                <w:rFonts w:hint="eastAsia" w:ascii="宋体" w:hAnsi="宋体" w:cs="宋体"/>
                <w:b/>
                <w:color w:val="auto"/>
                <w:szCs w:val="21"/>
                <w:highlight w:val="none"/>
              </w:rPr>
            </w:pPr>
            <w:r>
              <w:rPr>
                <w:rFonts w:hint="eastAsia" w:ascii="宋体" w:hAnsi="宋体" w:cs="宋体"/>
                <w:b/>
                <w:color w:val="auto"/>
                <w:szCs w:val="21"/>
                <w:highlight w:val="none"/>
              </w:rPr>
              <w:t>备注：</w:t>
            </w:r>
          </w:p>
          <w:p w14:paraId="3CD964F8">
            <w:pPr>
              <w:snapToGrid w:val="0"/>
              <w:spacing w:line="400" w:lineRule="exact"/>
              <w:rPr>
                <w:rFonts w:hint="eastAsia" w:ascii="宋体" w:hAnsi="宋体" w:cs="宋体"/>
                <w:b/>
                <w:color w:val="auto"/>
                <w:szCs w:val="21"/>
                <w:highlight w:val="none"/>
              </w:rPr>
            </w:pPr>
            <w:r>
              <w:rPr>
                <w:rFonts w:hint="eastAsia" w:ascii="宋体" w:hAnsi="宋体" w:cs="宋体"/>
                <w:b/>
                <w:color w:val="auto"/>
                <w:szCs w:val="21"/>
                <w:highlight w:val="none"/>
              </w:rPr>
              <w:t>1、投标保证金在投标截止时间后提交的，或者不按规定交纳方式交纳的，或者未足额交纳的（包含保函额度不足的），视为无效投标保证金。</w:t>
            </w:r>
          </w:p>
          <w:p w14:paraId="3C4124C3">
            <w:pPr>
              <w:snapToGrid w:val="0"/>
              <w:spacing w:line="400" w:lineRule="exact"/>
              <w:rPr>
                <w:rFonts w:hint="eastAsia" w:ascii="宋体" w:hAnsi="宋体" w:cs="宋体"/>
                <w:b/>
                <w:color w:val="auto"/>
                <w:szCs w:val="21"/>
                <w:highlight w:val="none"/>
              </w:rPr>
            </w:pPr>
            <w:r>
              <w:rPr>
                <w:rFonts w:hint="eastAsia" w:ascii="宋体" w:hAnsi="宋体" w:cs="宋体"/>
                <w:b/>
                <w:color w:val="auto"/>
                <w:szCs w:val="21"/>
                <w:highlight w:val="none"/>
              </w:rPr>
              <w:t>2、投标人采用现钞方式或者从个人账户（自然人投标除外）转出的投标保证金，视为无效投标保证金。</w:t>
            </w:r>
          </w:p>
          <w:p w14:paraId="34EC598A">
            <w:pPr>
              <w:snapToGrid w:val="0"/>
              <w:spacing w:line="400" w:lineRule="exact"/>
              <w:rPr>
                <w:rFonts w:hint="eastAsia" w:ascii="宋体" w:hAnsi="宋体" w:cs="宋体"/>
                <w:b/>
                <w:color w:val="auto"/>
                <w:szCs w:val="21"/>
                <w:highlight w:val="none"/>
              </w:rPr>
            </w:pPr>
            <w:r>
              <w:rPr>
                <w:rFonts w:hint="eastAsia" w:ascii="宋体" w:hAnsi="宋体" w:cs="宋体"/>
                <w:b/>
                <w:color w:val="auto"/>
                <w:szCs w:val="21"/>
                <w:highlight w:val="none"/>
              </w:rPr>
              <w:t>3、支票、汇票或者本票出现无效或者背书情形的，视为无效投标保证金。</w:t>
            </w:r>
          </w:p>
          <w:p w14:paraId="0B97F957">
            <w:pPr>
              <w:snapToGrid w:val="0"/>
              <w:spacing w:line="400" w:lineRule="exact"/>
              <w:rPr>
                <w:rFonts w:hint="eastAsia" w:ascii="宋体" w:hAnsi="宋体" w:cs="宋体"/>
                <w:b/>
                <w:color w:val="auto"/>
                <w:szCs w:val="21"/>
                <w:highlight w:val="none"/>
              </w:rPr>
            </w:pPr>
            <w:r>
              <w:rPr>
                <w:rFonts w:hint="eastAsia" w:ascii="宋体" w:hAnsi="宋体" w:cs="宋体"/>
                <w:b/>
                <w:color w:val="auto"/>
                <w:szCs w:val="21"/>
                <w:highlight w:val="none"/>
              </w:rPr>
              <w:t>4、保函有效期低于投标有效期的，视为无效投标保证金。</w:t>
            </w:r>
          </w:p>
          <w:p w14:paraId="1CBD89D9">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b/>
                <w:color w:val="auto"/>
                <w:szCs w:val="21"/>
                <w:highlight w:val="none"/>
              </w:rPr>
              <w:t>5、采用金融、担保机构出具保函的，必须为无条件保函，否则视为无效投标保证金。</w:t>
            </w:r>
          </w:p>
        </w:tc>
      </w:tr>
      <w:tr w14:paraId="59EEC4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44097AB2">
            <w:pPr>
              <w:spacing w:line="400" w:lineRule="exact"/>
              <w:jc w:val="center"/>
              <w:rPr>
                <w:rFonts w:hint="eastAsia" w:ascii="宋体" w:hAnsi="宋体" w:cs="宋体"/>
                <w:color w:val="auto"/>
                <w:szCs w:val="21"/>
                <w:highlight w:val="none"/>
              </w:rPr>
            </w:pPr>
            <w:bookmarkStart w:id="60" w:name="_19.2"/>
            <w:bookmarkEnd w:id="60"/>
            <w:r>
              <w:rPr>
                <w:rFonts w:hint="eastAsia" w:ascii="宋体" w:hAnsi="宋体" w:cs="宋体"/>
                <w:color w:val="auto"/>
                <w:szCs w:val="21"/>
                <w:highlight w:val="none"/>
              </w:rPr>
              <w:t>19.2</w:t>
            </w:r>
          </w:p>
        </w:tc>
        <w:tc>
          <w:tcPr>
            <w:tcW w:w="8708" w:type="dxa"/>
            <w:tcBorders>
              <w:top w:val="single" w:color="auto" w:sz="4" w:space="0"/>
              <w:left w:val="single" w:color="auto" w:sz="4" w:space="0"/>
              <w:bottom w:val="single" w:color="auto" w:sz="4" w:space="0"/>
              <w:right w:val="single" w:color="auto" w:sz="4" w:space="0"/>
            </w:tcBorders>
            <w:vAlign w:val="center"/>
          </w:tcPr>
          <w:p w14:paraId="642C5FA4">
            <w:pPr>
              <w:numPr>
                <w:ilvl w:val="0"/>
                <w:numId w:val="1"/>
              </w:num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投标文件应按报价文件、资格证明文件、商务文件、技术文件分别编制，并按广西政府采购云平台的要求编制、加密、上传。</w:t>
            </w:r>
          </w:p>
          <w:p w14:paraId="4FB090E0">
            <w:pPr>
              <w:numPr>
                <w:ilvl w:val="0"/>
                <w:numId w:val="1"/>
              </w:num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因项目档案保存需要，中标供应商应在领取中标通知书时向招标代理机构提交2套装订完好的纸质投标文件（须与“广西政府采购云平台”上传的电子版一致）。</w:t>
            </w:r>
          </w:p>
        </w:tc>
      </w:tr>
      <w:tr w14:paraId="695EDB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1F221C95">
            <w:pPr>
              <w:spacing w:line="360" w:lineRule="auto"/>
              <w:jc w:val="center"/>
              <w:rPr>
                <w:rFonts w:hint="eastAsia" w:ascii="宋体" w:hAnsi="宋体" w:cs="宋体"/>
                <w:color w:val="auto"/>
                <w:szCs w:val="21"/>
                <w:highlight w:val="none"/>
              </w:rPr>
            </w:pPr>
            <w:r>
              <w:rPr>
                <w:rFonts w:hint="eastAsia" w:ascii="宋体" w:hAnsi="宋体"/>
                <w:color w:val="auto"/>
                <w:szCs w:val="21"/>
                <w:highlight w:val="none"/>
              </w:rPr>
              <w:t>20.1</w:t>
            </w:r>
          </w:p>
        </w:tc>
        <w:tc>
          <w:tcPr>
            <w:tcW w:w="8708" w:type="dxa"/>
            <w:tcBorders>
              <w:top w:val="single" w:color="auto" w:sz="4" w:space="0"/>
              <w:left w:val="single" w:color="auto" w:sz="4" w:space="0"/>
              <w:bottom w:val="single" w:color="auto" w:sz="4" w:space="0"/>
              <w:right w:val="single" w:color="auto" w:sz="4" w:space="0"/>
            </w:tcBorders>
            <w:vAlign w:val="center"/>
          </w:tcPr>
          <w:p w14:paraId="68A54050">
            <w:pPr>
              <w:snapToGrid w:val="0"/>
              <w:spacing w:line="360" w:lineRule="auto"/>
              <w:rPr>
                <w:color w:val="auto"/>
                <w:highlight w:val="none"/>
              </w:rPr>
            </w:pPr>
            <w:r>
              <w:rPr>
                <w:rFonts w:hint="eastAsia"/>
                <w:color w:val="auto"/>
                <w:highlight w:val="none"/>
              </w:rPr>
              <w:t>本项目是否接受备份投标文件：</w:t>
            </w:r>
          </w:p>
          <w:p w14:paraId="25112EFB">
            <w:pPr>
              <w:snapToGrid w:val="0"/>
              <w:spacing w:line="360" w:lineRule="auto"/>
              <w:rPr>
                <w:rFonts w:hint="eastAsia" w:ascii="宋体" w:hAnsi="宋体"/>
                <w:color w:val="auto"/>
                <w:highlight w:val="none"/>
              </w:rPr>
            </w:pPr>
            <w:r>
              <w:rPr>
                <w:rFonts w:hint="eastAsia" w:ascii="宋体" w:hAnsi="宋体" w:cs="宋体"/>
                <w:color w:val="auto"/>
                <w:szCs w:val="21"/>
                <w:highlight w:val="none"/>
              </w:rPr>
              <w:t>☑</w:t>
            </w:r>
            <w:r>
              <w:rPr>
                <w:rFonts w:hint="eastAsia" w:ascii="宋体" w:hAnsi="宋体"/>
                <w:color w:val="auto"/>
                <w:highlight w:val="none"/>
              </w:rPr>
              <w:t>不接受</w:t>
            </w:r>
          </w:p>
          <w:p w14:paraId="3941602E">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color w:val="auto"/>
                <w:highlight w:val="none"/>
              </w:rPr>
              <w:t>接受，需要递交备份投标文件的投标人应按招标公告中的招标代理机构联系方式，联系代理机构递交。如因投标人未及时联系代理机构导致无法按时递交备份投标文件或递交的备份投标文件解密失败等情形，由投标人自行承担后果。</w:t>
            </w:r>
          </w:p>
        </w:tc>
      </w:tr>
      <w:tr w14:paraId="7D5E3C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4C6E247B">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20.2</w:t>
            </w:r>
          </w:p>
        </w:tc>
        <w:tc>
          <w:tcPr>
            <w:tcW w:w="8708" w:type="dxa"/>
            <w:tcBorders>
              <w:top w:val="single" w:color="auto" w:sz="4" w:space="0"/>
              <w:left w:val="single" w:color="auto" w:sz="4" w:space="0"/>
              <w:bottom w:val="single" w:color="auto" w:sz="4" w:space="0"/>
              <w:right w:val="single" w:color="auto" w:sz="4" w:space="0"/>
            </w:tcBorders>
            <w:vAlign w:val="center"/>
          </w:tcPr>
          <w:p w14:paraId="4B30B271">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电子投标文件应在制作完成后，投标人应按广西政府采购云平台的要求进行加密，并在规定时间内解密，否则，由此产生的后果由投标人自行负责。</w:t>
            </w:r>
          </w:p>
        </w:tc>
      </w:tr>
      <w:tr w14:paraId="4C1371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6" w:hRule="atLeast"/>
          <w:jc w:val="center"/>
        </w:trPr>
        <w:tc>
          <w:tcPr>
            <w:tcW w:w="895" w:type="dxa"/>
            <w:tcBorders>
              <w:top w:val="single" w:color="auto" w:sz="4" w:space="0"/>
              <w:left w:val="single" w:color="auto" w:sz="4" w:space="0"/>
              <w:bottom w:val="single" w:color="auto" w:sz="4" w:space="0"/>
              <w:right w:val="single" w:color="auto" w:sz="4" w:space="0"/>
            </w:tcBorders>
            <w:vAlign w:val="center"/>
          </w:tcPr>
          <w:p w14:paraId="17194577">
            <w:pPr>
              <w:spacing w:line="400" w:lineRule="exact"/>
              <w:jc w:val="center"/>
              <w:rPr>
                <w:rFonts w:hint="eastAsia" w:ascii="宋体" w:hAnsi="宋体" w:cs="宋体"/>
                <w:color w:val="auto"/>
                <w:szCs w:val="21"/>
                <w:highlight w:val="none"/>
              </w:rPr>
            </w:pPr>
            <w:bookmarkStart w:id="61" w:name="_21.1"/>
            <w:bookmarkEnd w:id="61"/>
            <w:r>
              <w:rPr>
                <w:rFonts w:hint="eastAsia" w:ascii="宋体" w:hAnsi="宋体" w:cs="宋体"/>
                <w:color w:val="auto"/>
                <w:szCs w:val="21"/>
                <w:highlight w:val="none"/>
              </w:rPr>
              <w:t>21.1</w:t>
            </w:r>
          </w:p>
        </w:tc>
        <w:tc>
          <w:tcPr>
            <w:tcW w:w="8708" w:type="dxa"/>
            <w:tcBorders>
              <w:top w:val="single" w:color="auto" w:sz="4" w:space="0"/>
              <w:left w:val="single" w:color="auto" w:sz="4" w:space="0"/>
              <w:bottom w:val="single" w:color="auto" w:sz="4" w:space="0"/>
              <w:right w:val="single" w:color="auto" w:sz="4" w:space="0"/>
            </w:tcBorders>
            <w:vAlign w:val="center"/>
          </w:tcPr>
          <w:p w14:paraId="4DEE2508">
            <w:pPr>
              <w:snapToGrid w:val="0"/>
              <w:spacing w:line="400" w:lineRule="exact"/>
              <w:rPr>
                <w:rFonts w:hint="eastAsia" w:ascii="宋体" w:hAnsi="宋体" w:cs="宋体"/>
                <w:color w:val="auto"/>
                <w:szCs w:val="21"/>
                <w:highlight w:val="none"/>
                <w:u w:val="single"/>
              </w:rPr>
            </w:pPr>
            <w:r>
              <w:rPr>
                <w:rFonts w:hint="eastAsia" w:ascii="宋体" w:hAnsi="宋体" w:cs="宋体"/>
                <w:color w:val="auto"/>
                <w:szCs w:val="21"/>
                <w:highlight w:val="none"/>
              </w:rPr>
              <w:t>1、投标截止时间：详见招标公告</w:t>
            </w:r>
          </w:p>
          <w:p w14:paraId="23D37983">
            <w:pPr>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2、投标地点：详见招标公告</w:t>
            </w:r>
          </w:p>
        </w:tc>
      </w:tr>
      <w:tr w14:paraId="4A4F69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4725B9A1">
            <w:pPr>
              <w:spacing w:line="400" w:lineRule="exact"/>
              <w:jc w:val="center"/>
              <w:rPr>
                <w:rFonts w:hint="eastAsia" w:ascii="宋体" w:hAnsi="宋体" w:cs="宋体"/>
                <w:color w:val="auto"/>
                <w:szCs w:val="21"/>
                <w:highlight w:val="none"/>
              </w:rPr>
            </w:pPr>
            <w:bookmarkStart w:id="62" w:name="_23"/>
            <w:bookmarkEnd w:id="62"/>
            <w:r>
              <w:rPr>
                <w:rFonts w:hint="eastAsia" w:ascii="宋体" w:hAnsi="宋体" w:cs="宋体"/>
                <w:color w:val="auto"/>
                <w:szCs w:val="21"/>
                <w:highlight w:val="none"/>
              </w:rPr>
              <w:t>23</w:t>
            </w:r>
          </w:p>
        </w:tc>
        <w:tc>
          <w:tcPr>
            <w:tcW w:w="8708" w:type="dxa"/>
            <w:tcBorders>
              <w:top w:val="single" w:color="auto" w:sz="4" w:space="0"/>
              <w:left w:val="single" w:color="auto" w:sz="4" w:space="0"/>
              <w:bottom w:val="single" w:color="auto" w:sz="4" w:space="0"/>
              <w:right w:val="single" w:color="auto" w:sz="4" w:space="0"/>
            </w:tcBorders>
            <w:vAlign w:val="center"/>
          </w:tcPr>
          <w:p w14:paraId="3DA6F994">
            <w:pPr>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1、开标时间：详见招标公告</w:t>
            </w:r>
          </w:p>
          <w:p w14:paraId="60E4C3F9">
            <w:pPr>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2、开标地点：详见招标公告</w:t>
            </w:r>
          </w:p>
        </w:tc>
      </w:tr>
      <w:tr w14:paraId="37CF8A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35AA8A96">
            <w:pPr>
              <w:spacing w:line="400" w:lineRule="exact"/>
              <w:jc w:val="center"/>
              <w:rPr>
                <w:rFonts w:hint="eastAsia" w:ascii="宋体" w:hAnsi="宋体" w:cs="宋体"/>
                <w:color w:val="auto"/>
                <w:szCs w:val="21"/>
                <w:highlight w:val="none"/>
              </w:rPr>
            </w:pPr>
            <w:r>
              <w:rPr>
                <w:rFonts w:hint="eastAsia" w:ascii="宋体" w:hAnsi="宋体" w:cs="宋体"/>
                <w:bCs/>
                <w:color w:val="auto"/>
                <w:szCs w:val="21"/>
                <w:highlight w:val="none"/>
              </w:rPr>
              <w:t>24.2</w:t>
            </w:r>
          </w:p>
        </w:tc>
        <w:tc>
          <w:tcPr>
            <w:tcW w:w="8708" w:type="dxa"/>
            <w:tcBorders>
              <w:top w:val="single" w:color="auto" w:sz="4" w:space="0"/>
              <w:left w:val="single" w:color="auto" w:sz="4" w:space="0"/>
              <w:bottom w:val="single" w:color="auto" w:sz="4" w:space="0"/>
              <w:right w:val="single" w:color="auto" w:sz="4" w:space="0"/>
            </w:tcBorders>
            <w:vAlign w:val="center"/>
          </w:tcPr>
          <w:p w14:paraId="007B1F69">
            <w:pPr>
              <w:autoSpaceDE w:val="0"/>
              <w:autoSpaceDN w:val="0"/>
              <w:adjustRightInd w:val="0"/>
              <w:spacing w:line="400" w:lineRule="exact"/>
              <w:rPr>
                <w:rFonts w:hint="eastAsia" w:ascii="宋体" w:hAnsi="宋体" w:cs="宋体"/>
                <w:color w:val="auto"/>
                <w:szCs w:val="21"/>
                <w:highlight w:val="none"/>
              </w:rPr>
            </w:pPr>
            <w:r>
              <w:rPr>
                <w:rFonts w:hint="eastAsia" w:ascii="宋体" w:hAnsi="宋体" w:cs="宋体"/>
                <w:bCs/>
                <w:color w:val="auto"/>
                <w:szCs w:val="21"/>
                <w:highlight w:val="none"/>
              </w:rPr>
              <w:t>广西政府采购云平台按开标时间自动提取所有投标文件。采购代理机构依托广西政府采购云平台向各投标人发出电子加密投标文件【开始解密】通知，由投标人进行投标文件解密。</w:t>
            </w:r>
            <w:r>
              <w:rPr>
                <w:rFonts w:hint="eastAsia" w:ascii="宋体" w:hAnsi="宋体" w:cs="宋体"/>
                <w:b/>
                <w:bCs/>
                <w:color w:val="auto"/>
                <w:szCs w:val="21"/>
                <w:highlight w:val="none"/>
              </w:rPr>
              <w:t>投标人的法定代表人或其委托代理人须携带加密时所用的CA锁准时登录到广西政府采购云平台电子开标大厅签到</w:t>
            </w:r>
            <w:r>
              <w:rPr>
                <w:rFonts w:hint="eastAsia" w:ascii="宋体" w:hAnsi="宋体" w:cs="宋体"/>
                <w:b/>
                <w:color w:val="auto"/>
                <w:szCs w:val="21"/>
                <w:highlight w:val="none"/>
              </w:rPr>
              <w:t>并在发起解密</w:t>
            </w:r>
            <w:r>
              <w:rPr>
                <w:rFonts w:hint="eastAsia" w:ascii="宋体" w:hAnsi="宋体" w:cs="宋体"/>
                <w:b/>
                <w:bCs/>
                <w:color w:val="auto"/>
                <w:szCs w:val="21"/>
                <w:highlight w:val="none"/>
              </w:rPr>
              <w:t>通知</w:t>
            </w:r>
            <w:r>
              <w:rPr>
                <w:rFonts w:hint="eastAsia" w:ascii="宋体" w:hAnsi="宋体" w:cs="宋体"/>
                <w:b/>
                <w:color w:val="auto"/>
                <w:szCs w:val="21"/>
                <w:highlight w:val="none"/>
              </w:rPr>
              <w:t>之时起30分钟内完成</w:t>
            </w:r>
            <w:r>
              <w:rPr>
                <w:rFonts w:hint="eastAsia" w:ascii="宋体" w:hAnsi="宋体" w:cs="宋体"/>
                <w:b/>
                <w:bCs/>
                <w:color w:val="auto"/>
                <w:szCs w:val="21"/>
                <w:highlight w:val="none"/>
              </w:rPr>
              <w:t>对电子投标文件解密。投标文件未按时解密的，视为无效投标。</w:t>
            </w:r>
          </w:p>
        </w:tc>
      </w:tr>
      <w:tr w14:paraId="5477F1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759E8758">
            <w:pPr>
              <w:spacing w:line="400" w:lineRule="exact"/>
              <w:jc w:val="center"/>
              <w:rPr>
                <w:rFonts w:hint="eastAsia" w:ascii="宋体" w:hAnsi="宋体" w:cs="宋体"/>
                <w:color w:val="auto"/>
                <w:szCs w:val="21"/>
                <w:highlight w:val="none"/>
              </w:rPr>
            </w:pPr>
            <w:bookmarkStart w:id="63" w:name="_25.3"/>
            <w:bookmarkEnd w:id="63"/>
            <w:r>
              <w:rPr>
                <w:rFonts w:hint="eastAsia" w:ascii="宋体" w:hAnsi="宋体" w:cs="宋体"/>
                <w:color w:val="auto"/>
                <w:szCs w:val="21"/>
                <w:highlight w:val="none"/>
              </w:rPr>
              <w:t>25.3（3）</w:t>
            </w:r>
          </w:p>
        </w:tc>
        <w:tc>
          <w:tcPr>
            <w:tcW w:w="8708" w:type="dxa"/>
            <w:tcBorders>
              <w:top w:val="single" w:color="auto" w:sz="4" w:space="0"/>
              <w:left w:val="single" w:color="auto" w:sz="4" w:space="0"/>
              <w:bottom w:val="single" w:color="auto" w:sz="4" w:space="0"/>
              <w:right w:val="single" w:color="auto" w:sz="4" w:space="0"/>
            </w:tcBorders>
            <w:vAlign w:val="center"/>
          </w:tcPr>
          <w:p w14:paraId="1401E01D">
            <w:pPr>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采购人或者采购代理机构在资格审查结束前，对投标人进行信用查询。</w:t>
            </w:r>
          </w:p>
          <w:p w14:paraId="6748D9FB">
            <w:pPr>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查询渠道：“信用中国”网站（www.creditchina.gov.cn）、中国政府采购网（</w:t>
            </w:r>
            <w:r>
              <w:rPr>
                <w:rFonts w:hint="eastAsia"/>
                <w:color w:val="auto"/>
                <w:highlight w:val="none"/>
              </w:rPr>
              <w:fldChar w:fldCharType="begin"/>
            </w:r>
            <w:r>
              <w:rPr>
                <w:rFonts w:hint="eastAsia" w:ascii="宋体" w:hAnsi="宋体" w:cs="宋体"/>
                <w:color w:val="auto"/>
                <w:szCs w:val="21"/>
                <w:highlight w:val="none"/>
              </w:rPr>
              <w:instrText xml:space="preserve"> HYPERLINK "http://www.ccgp.gov.cn" </w:instrText>
            </w:r>
            <w:r>
              <w:rPr>
                <w:rFonts w:hint="eastAsia"/>
                <w:color w:val="auto"/>
                <w:highlight w:val="none"/>
              </w:rPr>
              <w:fldChar w:fldCharType="separate"/>
            </w:r>
            <w:r>
              <w:rPr>
                <w:rStyle w:val="55"/>
                <w:rFonts w:hint="eastAsia" w:ascii="宋体" w:hAnsi="宋体" w:cs="宋体"/>
                <w:color w:val="auto"/>
                <w:szCs w:val="21"/>
                <w:highlight w:val="none"/>
              </w:rPr>
              <w:t>www.ccgp.gov.cn</w:t>
            </w:r>
            <w:r>
              <w:rPr>
                <w:rStyle w:val="55"/>
                <w:rFonts w:hint="eastAsia" w:ascii="宋体" w:hAnsi="宋体" w:cs="宋体"/>
                <w:color w:val="auto"/>
                <w:szCs w:val="21"/>
                <w:highlight w:val="none"/>
              </w:rPr>
              <w:fldChar w:fldCharType="end"/>
            </w:r>
            <w:r>
              <w:rPr>
                <w:rFonts w:hint="eastAsia" w:ascii="宋体" w:hAnsi="宋体" w:cs="宋体"/>
                <w:color w:val="auto"/>
                <w:szCs w:val="21"/>
                <w:highlight w:val="none"/>
              </w:rPr>
              <w:t>）。</w:t>
            </w:r>
          </w:p>
          <w:p w14:paraId="301F844F">
            <w:pPr>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信用查询截止时点：资格审查结束前。</w:t>
            </w:r>
          </w:p>
          <w:p w14:paraId="5D2357E9">
            <w:pPr>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查询记录和证据留存方式：将查询网站中的查询记录截图并作为评审资料保存。</w:t>
            </w:r>
          </w:p>
          <w:p w14:paraId="69AF5134">
            <w:pPr>
              <w:snapToGrid w:val="0"/>
              <w:spacing w:line="400" w:lineRule="exact"/>
              <w:rPr>
                <w:rFonts w:hint="eastAsia" w:ascii="宋体" w:hAnsi="宋体" w:cs="宋体"/>
                <w:b/>
                <w:color w:val="auto"/>
                <w:szCs w:val="21"/>
                <w:highlight w:val="none"/>
              </w:rPr>
            </w:pPr>
            <w:r>
              <w:rPr>
                <w:rFonts w:hint="eastAsia" w:ascii="宋体" w:hAnsi="宋体" w:cs="宋体"/>
                <w:color w:val="auto"/>
                <w:szCs w:val="21"/>
                <w:highlight w:val="none"/>
              </w:rPr>
              <w:t>信用信息使用规则：根据财政部《关于在政府采购活动中查询及使用信用记录有关问题的通知》（财库〔2016〕125号）的规定，对在“信用中国”网站(www.creditchina.gov.cn) 、中国政府采购网(www.ccgp.gov.cn)被列入失信被执行人、重大税收违法失信主体名单、政府采购严重违法失信行为记录名单及其他不符合《中华人民共和国政府采购法》第二十二条规定条件的供应商，不得参与政府采购活动。</w:t>
            </w:r>
          </w:p>
        </w:tc>
      </w:tr>
      <w:tr w14:paraId="3E5648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509FCAD0">
            <w:pPr>
              <w:spacing w:line="400" w:lineRule="exact"/>
              <w:jc w:val="center"/>
              <w:rPr>
                <w:rFonts w:hint="eastAsia" w:ascii="宋体" w:hAnsi="宋体" w:cs="宋体"/>
                <w:color w:val="auto"/>
                <w:szCs w:val="21"/>
                <w:highlight w:val="none"/>
              </w:rPr>
            </w:pPr>
            <w:bookmarkStart w:id="64" w:name="_26"/>
            <w:bookmarkEnd w:id="64"/>
            <w:r>
              <w:rPr>
                <w:rFonts w:hint="eastAsia" w:ascii="宋体" w:hAnsi="宋体" w:cs="宋体"/>
                <w:color w:val="auto"/>
                <w:szCs w:val="21"/>
                <w:highlight w:val="none"/>
              </w:rPr>
              <w:t>26</w:t>
            </w:r>
          </w:p>
        </w:tc>
        <w:tc>
          <w:tcPr>
            <w:tcW w:w="8708" w:type="dxa"/>
            <w:tcBorders>
              <w:top w:val="single" w:color="auto" w:sz="4" w:space="0"/>
              <w:left w:val="single" w:color="auto" w:sz="4" w:space="0"/>
              <w:bottom w:val="single" w:color="auto" w:sz="4" w:space="0"/>
              <w:right w:val="single" w:color="auto" w:sz="4" w:space="0"/>
            </w:tcBorders>
            <w:vAlign w:val="center"/>
          </w:tcPr>
          <w:p w14:paraId="2F1BF36C">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评标委员会的人数：5人。</w:t>
            </w:r>
          </w:p>
        </w:tc>
      </w:tr>
      <w:tr w14:paraId="668402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4BD333D5">
            <w:pPr>
              <w:spacing w:line="400" w:lineRule="exact"/>
              <w:jc w:val="center"/>
              <w:rPr>
                <w:rFonts w:hint="eastAsia" w:ascii="宋体" w:hAnsi="宋体" w:cs="宋体"/>
                <w:color w:val="auto"/>
                <w:szCs w:val="21"/>
                <w:highlight w:val="none"/>
              </w:rPr>
            </w:pPr>
            <w:bookmarkStart w:id="65" w:name="_28.3"/>
            <w:bookmarkEnd w:id="65"/>
            <w:r>
              <w:rPr>
                <w:rFonts w:hint="eastAsia" w:ascii="宋体" w:hAnsi="宋体" w:cs="宋体"/>
                <w:color w:val="auto"/>
                <w:szCs w:val="21"/>
                <w:highlight w:val="none"/>
              </w:rPr>
              <w:t>29.1</w:t>
            </w:r>
          </w:p>
        </w:tc>
        <w:tc>
          <w:tcPr>
            <w:tcW w:w="8708" w:type="dxa"/>
            <w:tcBorders>
              <w:top w:val="single" w:color="auto" w:sz="4" w:space="0"/>
              <w:left w:val="single" w:color="auto" w:sz="4" w:space="0"/>
              <w:bottom w:val="single" w:color="auto" w:sz="4" w:space="0"/>
              <w:right w:val="single" w:color="auto" w:sz="4" w:space="0"/>
            </w:tcBorders>
            <w:vAlign w:val="center"/>
          </w:tcPr>
          <w:p w14:paraId="001F5D3C">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评标方法：</w:t>
            </w:r>
          </w:p>
          <w:p w14:paraId="7552A3A4">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☑综合评分法</w:t>
            </w:r>
          </w:p>
          <w:p w14:paraId="586CC8AB">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□最低评标价法</w:t>
            </w:r>
          </w:p>
        </w:tc>
      </w:tr>
      <w:tr w14:paraId="3259E1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66086EF7">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29.2</w:t>
            </w:r>
          </w:p>
        </w:tc>
        <w:tc>
          <w:tcPr>
            <w:tcW w:w="8708" w:type="dxa"/>
            <w:tcBorders>
              <w:top w:val="single" w:color="auto" w:sz="4" w:space="0"/>
              <w:left w:val="single" w:color="auto" w:sz="4" w:space="0"/>
              <w:bottom w:val="single" w:color="auto" w:sz="4" w:space="0"/>
              <w:right w:val="single" w:color="auto" w:sz="4" w:space="0"/>
            </w:tcBorders>
            <w:vAlign w:val="center"/>
          </w:tcPr>
          <w:p w14:paraId="048749A5">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中标候选人推荐数量：3家</w:t>
            </w:r>
          </w:p>
        </w:tc>
      </w:tr>
      <w:tr w14:paraId="6D03DB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8" w:hRule="atLeast"/>
          <w:jc w:val="center"/>
        </w:trPr>
        <w:tc>
          <w:tcPr>
            <w:tcW w:w="895" w:type="dxa"/>
            <w:tcBorders>
              <w:top w:val="single" w:color="auto" w:sz="4" w:space="0"/>
              <w:left w:val="single" w:color="auto" w:sz="4" w:space="0"/>
              <w:right w:val="single" w:color="auto" w:sz="4" w:space="0"/>
            </w:tcBorders>
            <w:vAlign w:val="center"/>
          </w:tcPr>
          <w:p w14:paraId="6A49789C">
            <w:pPr>
              <w:spacing w:line="400" w:lineRule="exact"/>
              <w:jc w:val="center"/>
              <w:rPr>
                <w:rFonts w:hint="eastAsia" w:ascii="宋体" w:hAnsi="宋体" w:cs="宋体"/>
                <w:color w:val="auto"/>
                <w:szCs w:val="21"/>
                <w:highlight w:val="none"/>
              </w:rPr>
            </w:pPr>
            <w:bookmarkStart w:id="66" w:name="_29.2.2（2）"/>
            <w:bookmarkEnd w:id="66"/>
            <w:r>
              <w:rPr>
                <w:rFonts w:hint="eastAsia" w:ascii="宋体" w:hAnsi="宋体" w:cs="宋体"/>
                <w:color w:val="auto"/>
                <w:szCs w:val="21"/>
                <w:highlight w:val="none"/>
              </w:rPr>
              <w:t>29.3</w:t>
            </w:r>
          </w:p>
        </w:tc>
        <w:tc>
          <w:tcPr>
            <w:tcW w:w="8708" w:type="dxa"/>
            <w:tcBorders>
              <w:top w:val="single" w:color="auto" w:sz="4" w:space="0"/>
              <w:left w:val="single" w:color="auto" w:sz="4" w:space="0"/>
              <w:right w:val="single" w:color="auto" w:sz="4" w:space="0"/>
            </w:tcBorders>
            <w:vAlign w:val="center"/>
          </w:tcPr>
          <w:p w14:paraId="2B614123">
            <w:pPr>
              <w:rPr>
                <w:rFonts w:hint="eastAsia" w:ascii="宋体" w:hAnsi="宋体" w:cs="宋体"/>
                <w:b/>
                <w:bCs/>
                <w:color w:val="auto"/>
                <w:szCs w:val="21"/>
                <w:highlight w:val="none"/>
              </w:rPr>
            </w:pPr>
            <w:r>
              <w:rPr>
                <w:rFonts w:hint="eastAsia" w:ascii="宋体" w:hAnsi="宋体" w:cs="宋体"/>
                <w:b/>
                <w:bCs/>
                <w:color w:val="auto"/>
                <w:szCs w:val="21"/>
                <w:highlight w:val="none"/>
              </w:rPr>
              <w:t>商务要求评审中允许负偏离的条款数为 分标1：</w:t>
            </w:r>
            <w:r>
              <w:rPr>
                <w:rFonts w:hint="eastAsia" w:ascii="宋体" w:hAnsi="宋体" w:cs="宋体"/>
                <w:b/>
                <w:bCs/>
                <w:color w:val="auto"/>
                <w:szCs w:val="21"/>
                <w:highlight w:val="none"/>
                <w:u w:val="single"/>
              </w:rPr>
              <w:t>1</w:t>
            </w:r>
            <w:r>
              <w:rPr>
                <w:rFonts w:hint="eastAsia" w:ascii="宋体" w:hAnsi="宋体" w:cs="宋体"/>
                <w:b/>
                <w:bCs/>
                <w:color w:val="auto"/>
                <w:szCs w:val="21"/>
                <w:highlight w:val="none"/>
              </w:rPr>
              <w:t>项，分标2：</w:t>
            </w:r>
            <w:r>
              <w:rPr>
                <w:rFonts w:hint="eastAsia" w:ascii="宋体" w:hAnsi="宋体" w:cs="宋体"/>
                <w:b/>
                <w:bCs/>
                <w:color w:val="auto"/>
                <w:szCs w:val="21"/>
                <w:highlight w:val="none"/>
                <w:u w:val="single"/>
              </w:rPr>
              <w:t>1</w:t>
            </w:r>
            <w:r>
              <w:rPr>
                <w:rFonts w:hint="eastAsia" w:ascii="宋体" w:hAnsi="宋体" w:cs="宋体"/>
                <w:b/>
                <w:bCs/>
                <w:color w:val="auto"/>
                <w:szCs w:val="21"/>
                <w:highlight w:val="none"/>
              </w:rPr>
              <w:t>项，分标3：</w:t>
            </w:r>
            <w:r>
              <w:rPr>
                <w:rFonts w:hint="eastAsia" w:ascii="宋体" w:hAnsi="宋体" w:cs="宋体"/>
                <w:b/>
                <w:bCs/>
                <w:color w:val="auto"/>
                <w:szCs w:val="21"/>
                <w:highlight w:val="none"/>
                <w:u w:val="single"/>
              </w:rPr>
              <w:t>1</w:t>
            </w:r>
            <w:r>
              <w:rPr>
                <w:rFonts w:hint="eastAsia" w:ascii="宋体" w:hAnsi="宋体" w:cs="宋体"/>
                <w:b/>
                <w:bCs/>
                <w:color w:val="auto"/>
                <w:szCs w:val="21"/>
                <w:highlight w:val="none"/>
              </w:rPr>
              <w:t>项，分标4：</w:t>
            </w:r>
            <w:r>
              <w:rPr>
                <w:rFonts w:hint="eastAsia" w:ascii="宋体" w:hAnsi="宋体" w:cs="宋体"/>
                <w:b/>
                <w:bCs/>
                <w:color w:val="auto"/>
                <w:szCs w:val="21"/>
                <w:highlight w:val="none"/>
                <w:u w:val="single"/>
              </w:rPr>
              <w:t>1</w:t>
            </w:r>
            <w:r>
              <w:rPr>
                <w:rFonts w:hint="eastAsia" w:ascii="宋体" w:hAnsi="宋体" w:cs="宋体"/>
                <w:b/>
                <w:bCs/>
                <w:color w:val="auto"/>
                <w:szCs w:val="21"/>
                <w:highlight w:val="none"/>
              </w:rPr>
              <w:t>项，分标5：</w:t>
            </w:r>
            <w:r>
              <w:rPr>
                <w:rFonts w:hint="eastAsia" w:ascii="宋体" w:hAnsi="宋体" w:cs="宋体"/>
                <w:b/>
                <w:bCs/>
                <w:color w:val="auto"/>
                <w:szCs w:val="21"/>
                <w:highlight w:val="none"/>
                <w:u w:val="single"/>
              </w:rPr>
              <w:t>1</w:t>
            </w:r>
            <w:r>
              <w:rPr>
                <w:rFonts w:hint="eastAsia" w:ascii="宋体" w:hAnsi="宋体" w:cs="宋体"/>
                <w:b/>
                <w:bCs/>
                <w:color w:val="auto"/>
                <w:szCs w:val="21"/>
                <w:highlight w:val="none"/>
              </w:rPr>
              <w:t>项。</w:t>
            </w:r>
          </w:p>
          <w:p w14:paraId="30B25C9A">
            <w:pPr>
              <w:snapToGrid w:val="0"/>
              <w:spacing w:line="400" w:lineRule="exact"/>
              <w:rPr>
                <w:rFonts w:hint="eastAsia" w:ascii="宋体" w:hAnsi="宋体" w:cs="宋体"/>
                <w:b/>
                <w:bCs/>
                <w:color w:val="auto"/>
                <w:szCs w:val="21"/>
                <w:highlight w:val="none"/>
              </w:rPr>
            </w:pPr>
            <w:r>
              <w:rPr>
                <w:rFonts w:hint="eastAsia" w:ascii="宋体" w:hAnsi="宋体" w:cs="宋体"/>
                <w:b/>
                <w:bCs/>
                <w:color w:val="auto"/>
                <w:szCs w:val="21"/>
                <w:highlight w:val="none"/>
              </w:rPr>
              <w:t>技术要求评审中允许负偏离的条款数为 分标1：</w:t>
            </w:r>
            <w:r>
              <w:rPr>
                <w:rFonts w:hint="eastAsia" w:ascii="宋体" w:hAnsi="宋体" w:cs="宋体"/>
                <w:b/>
                <w:bCs/>
                <w:color w:val="auto"/>
                <w:szCs w:val="21"/>
                <w:highlight w:val="none"/>
                <w:u w:val="single"/>
              </w:rPr>
              <w:t>2</w:t>
            </w:r>
            <w:r>
              <w:rPr>
                <w:rFonts w:hint="eastAsia" w:ascii="宋体" w:hAnsi="宋体" w:cs="宋体"/>
                <w:b/>
                <w:bCs/>
                <w:color w:val="auto"/>
                <w:szCs w:val="21"/>
                <w:highlight w:val="none"/>
              </w:rPr>
              <w:t>项，分标2：</w:t>
            </w:r>
            <w:r>
              <w:rPr>
                <w:rFonts w:hint="eastAsia" w:ascii="宋体" w:hAnsi="宋体" w:cs="宋体"/>
                <w:b/>
                <w:bCs/>
                <w:color w:val="auto"/>
                <w:szCs w:val="21"/>
                <w:highlight w:val="none"/>
                <w:u w:val="single"/>
              </w:rPr>
              <w:t>22</w:t>
            </w:r>
            <w:r>
              <w:rPr>
                <w:rFonts w:hint="eastAsia" w:ascii="宋体" w:hAnsi="宋体" w:cs="宋体"/>
                <w:b/>
                <w:bCs/>
                <w:color w:val="auto"/>
                <w:szCs w:val="21"/>
                <w:highlight w:val="none"/>
              </w:rPr>
              <w:t>项，分标3：</w:t>
            </w:r>
            <w:r>
              <w:rPr>
                <w:rFonts w:hint="eastAsia" w:ascii="宋体" w:hAnsi="宋体" w:cs="宋体"/>
                <w:b/>
                <w:bCs/>
                <w:color w:val="auto"/>
                <w:szCs w:val="21"/>
                <w:highlight w:val="none"/>
                <w:u w:val="single"/>
              </w:rPr>
              <w:t>3</w:t>
            </w:r>
            <w:r>
              <w:rPr>
                <w:rFonts w:hint="eastAsia" w:ascii="宋体" w:hAnsi="宋体" w:cs="宋体"/>
                <w:b/>
                <w:bCs/>
                <w:color w:val="auto"/>
                <w:szCs w:val="21"/>
                <w:highlight w:val="none"/>
              </w:rPr>
              <w:t>项，分标4：</w:t>
            </w:r>
            <w:r>
              <w:rPr>
                <w:rFonts w:hint="eastAsia" w:ascii="宋体" w:hAnsi="宋体" w:cs="宋体"/>
                <w:b/>
                <w:bCs/>
                <w:color w:val="auto"/>
                <w:szCs w:val="21"/>
                <w:highlight w:val="none"/>
                <w:u w:val="single"/>
              </w:rPr>
              <w:t>0</w:t>
            </w:r>
            <w:r>
              <w:rPr>
                <w:rFonts w:hint="eastAsia" w:ascii="宋体" w:hAnsi="宋体" w:cs="宋体"/>
                <w:b/>
                <w:bCs/>
                <w:color w:val="auto"/>
                <w:szCs w:val="21"/>
                <w:highlight w:val="none"/>
              </w:rPr>
              <w:t>项，分标5：</w:t>
            </w:r>
            <w:r>
              <w:rPr>
                <w:rFonts w:hint="eastAsia" w:ascii="宋体" w:hAnsi="宋体" w:cs="宋体"/>
                <w:b/>
                <w:bCs/>
                <w:color w:val="auto"/>
                <w:szCs w:val="21"/>
                <w:highlight w:val="none"/>
                <w:u w:val="single"/>
              </w:rPr>
              <w:t>0</w:t>
            </w:r>
            <w:r>
              <w:rPr>
                <w:rFonts w:hint="eastAsia" w:ascii="宋体" w:hAnsi="宋体" w:cs="宋体"/>
                <w:b/>
                <w:bCs/>
                <w:color w:val="auto"/>
                <w:szCs w:val="21"/>
                <w:highlight w:val="none"/>
              </w:rPr>
              <w:t>项。</w:t>
            </w:r>
          </w:p>
        </w:tc>
      </w:tr>
      <w:tr w14:paraId="5D8CB9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0EF56EAE">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30.1</w:t>
            </w:r>
          </w:p>
        </w:tc>
        <w:tc>
          <w:tcPr>
            <w:tcW w:w="8708" w:type="dxa"/>
            <w:tcBorders>
              <w:top w:val="single" w:color="auto" w:sz="4" w:space="0"/>
              <w:left w:val="single" w:color="auto" w:sz="4" w:space="0"/>
              <w:bottom w:val="single" w:color="auto" w:sz="4" w:space="0"/>
              <w:right w:val="single" w:color="auto" w:sz="4" w:space="0"/>
            </w:tcBorders>
            <w:vAlign w:val="center"/>
          </w:tcPr>
          <w:p w14:paraId="00CFF61E">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采用综合评分法的采购项目，采购人确定中标人时，出现中标候选人并列的情形，采购人按以下的方式确定中标人：按综合评分中技术水平、售后服务、履约能力、政策功能得分高低依次确定。（具体以第四章“评标方法及评标标准”为准）</w:t>
            </w:r>
          </w:p>
        </w:tc>
      </w:tr>
      <w:tr w14:paraId="074844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895" w:type="dxa"/>
            <w:tcBorders>
              <w:top w:val="single" w:color="auto" w:sz="4" w:space="0"/>
              <w:left w:val="single" w:color="auto" w:sz="4" w:space="0"/>
              <w:bottom w:val="single" w:color="auto" w:sz="4" w:space="0"/>
              <w:right w:val="single" w:color="auto" w:sz="4" w:space="0"/>
            </w:tcBorders>
            <w:vAlign w:val="center"/>
          </w:tcPr>
          <w:p w14:paraId="705C68F3">
            <w:pPr>
              <w:spacing w:line="400" w:lineRule="exact"/>
              <w:jc w:val="center"/>
              <w:rPr>
                <w:rFonts w:hint="eastAsia" w:ascii="宋体" w:hAnsi="宋体" w:cs="宋体"/>
                <w:color w:val="auto"/>
                <w:szCs w:val="21"/>
                <w:highlight w:val="none"/>
              </w:rPr>
            </w:pPr>
            <w:bookmarkStart w:id="67" w:name="_39.1"/>
            <w:bookmarkEnd w:id="67"/>
            <w:r>
              <w:rPr>
                <w:rFonts w:hint="eastAsia" w:ascii="宋体" w:hAnsi="宋体" w:cs="宋体"/>
                <w:color w:val="auto"/>
                <w:szCs w:val="21"/>
                <w:highlight w:val="none"/>
              </w:rPr>
              <w:t>35.1</w:t>
            </w:r>
          </w:p>
        </w:tc>
        <w:tc>
          <w:tcPr>
            <w:tcW w:w="8708" w:type="dxa"/>
            <w:tcBorders>
              <w:top w:val="single" w:color="auto" w:sz="4" w:space="0"/>
              <w:left w:val="single" w:color="auto" w:sz="4" w:space="0"/>
              <w:bottom w:val="single" w:color="auto" w:sz="4" w:space="0"/>
              <w:right w:val="single" w:color="auto" w:sz="4" w:space="0"/>
            </w:tcBorders>
            <w:vAlign w:val="center"/>
          </w:tcPr>
          <w:p w14:paraId="02C90BF2">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□本项目不收取履约保证金。</w:t>
            </w:r>
          </w:p>
          <w:p w14:paraId="21F7F773">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☑本项目收取履约保证金，具体规定如下：</w:t>
            </w:r>
          </w:p>
          <w:p w14:paraId="45CB10EB">
            <w:pPr>
              <w:snapToGrid w:val="0"/>
              <w:spacing w:line="400" w:lineRule="exact"/>
              <w:contextualSpacing/>
              <w:rPr>
                <w:rFonts w:hint="eastAsia" w:ascii="宋体" w:hAnsi="宋体" w:cs="宋体"/>
                <w:color w:val="auto"/>
                <w:szCs w:val="21"/>
                <w:highlight w:val="none"/>
              </w:rPr>
            </w:pPr>
            <w:r>
              <w:rPr>
                <w:rFonts w:hint="eastAsia" w:ascii="宋体" w:hAnsi="宋体" w:cs="宋体"/>
                <w:color w:val="auto"/>
                <w:szCs w:val="21"/>
                <w:highlight w:val="none"/>
              </w:rPr>
              <w:t>履约保证金金额：政府采购合同金额的</w:t>
            </w:r>
            <w:r>
              <w:rPr>
                <w:rFonts w:hint="eastAsia" w:ascii="宋体" w:hAnsi="宋体" w:cs="宋体"/>
                <w:color w:val="auto"/>
                <w:szCs w:val="21"/>
                <w:highlight w:val="none"/>
                <w:u w:val="single"/>
              </w:rPr>
              <w:t xml:space="preserve"> 2 </w:t>
            </w:r>
            <w:r>
              <w:rPr>
                <w:rFonts w:hint="eastAsia" w:ascii="宋体" w:hAnsi="宋体" w:cs="宋体"/>
                <w:color w:val="auto"/>
                <w:szCs w:val="21"/>
                <w:highlight w:val="none"/>
              </w:rPr>
              <w:t>%（供应商为中小微企业的，履约保证金为政府采购合同金额的2%，供应商提供声明函或证明材料）。</w:t>
            </w:r>
          </w:p>
          <w:p w14:paraId="4454D69C">
            <w:pPr>
              <w:snapToGrid w:val="0"/>
              <w:spacing w:line="400" w:lineRule="exact"/>
              <w:contextualSpacing/>
              <w:rPr>
                <w:rFonts w:hint="eastAsia" w:ascii="宋体" w:hAnsi="宋体" w:cs="宋体"/>
                <w:color w:val="auto"/>
                <w:szCs w:val="21"/>
                <w:highlight w:val="none"/>
              </w:rPr>
            </w:pPr>
            <w:r>
              <w:rPr>
                <w:rFonts w:hint="eastAsia" w:ascii="宋体" w:hAnsi="宋体" w:cs="宋体"/>
                <w:color w:val="auto"/>
                <w:szCs w:val="21"/>
                <w:highlight w:val="none"/>
              </w:rPr>
              <w:t>履约保证金提交方式：由中标人在签订合同前以银行转账、支票、汇票、本票或者金融、担保机构出具的保函等非现金方式足额缴纳履约保证金。</w:t>
            </w:r>
          </w:p>
          <w:p w14:paraId="3582774A">
            <w:pPr>
              <w:snapToGrid w:val="0"/>
              <w:spacing w:line="400" w:lineRule="exact"/>
              <w:contextualSpacing/>
              <w:rPr>
                <w:rFonts w:hint="eastAsia" w:ascii="宋体" w:hAnsi="宋体" w:cs="宋体"/>
                <w:color w:val="auto"/>
                <w:szCs w:val="21"/>
                <w:highlight w:val="none"/>
              </w:rPr>
            </w:pPr>
            <w:r>
              <w:rPr>
                <w:rFonts w:hint="eastAsia" w:ascii="宋体" w:hAnsi="宋体" w:cs="宋体"/>
                <w:color w:val="auto"/>
                <w:szCs w:val="21"/>
                <w:highlight w:val="none"/>
              </w:rPr>
              <w:t>履约保证金退付方式、时间及条件：</w:t>
            </w:r>
            <w:r>
              <w:rPr>
                <w:rFonts w:hint="eastAsia" w:ascii="宋体" w:hAnsi="宋体" w:cs="宋体"/>
                <w:color w:val="auto"/>
                <w:szCs w:val="21"/>
                <w:highlight w:val="none"/>
                <w:u w:val="single"/>
              </w:rPr>
              <w:t>供应商若不能完全履行合同，履约保证金不返还；供应商若完全履行合同，按合同履行相关售后服务和配套服务，并对项目出现的质量及安全问题负责处理解决并承担一切费用，项目（分标）验收合格质保期满后，供应商提交《广西壮族自治区政府采购项目合同验收书》及《政府采购项目履约保证金退付意见书》到采购人财务部门在收到合格材料后办理无息退还手续（不计利息）。</w:t>
            </w:r>
          </w:p>
          <w:p w14:paraId="1F5E8293">
            <w:pPr>
              <w:snapToGrid w:val="0"/>
              <w:spacing w:line="400" w:lineRule="exact"/>
              <w:contextualSpacing/>
              <w:rPr>
                <w:rFonts w:hint="eastAsia" w:ascii="宋体" w:hAnsi="宋体" w:cs="宋体"/>
                <w:b/>
                <w:color w:val="auto"/>
                <w:szCs w:val="21"/>
                <w:highlight w:val="none"/>
              </w:rPr>
            </w:pPr>
            <w:r>
              <w:rPr>
                <w:rFonts w:hint="eastAsia" w:ascii="宋体" w:hAnsi="宋体" w:cs="宋体"/>
                <w:color w:val="auto"/>
                <w:szCs w:val="21"/>
                <w:highlight w:val="none"/>
              </w:rPr>
              <w:t>履约保证金指定账户：</w:t>
            </w:r>
            <w:r>
              <w:rPr>
                <w:rFonts w:hint="eastAsia" w:ascii="宋体" w:hAnsi="宋体" w:cs="宋体"/>
                <w:color w:val="auto"/>
                <w:szCs w:val="21"/>
                <w:highlight w:val="none"/>
                <w:u w:val="single"/>
              </w:rPr>
              <w:t>中标后提供。</w:t>
            </w:r>
          </w:p>
          <w:p w14:paraId="503D0A7D">
            <w:pPr>
              <w:snapToGrid w:val="0"/>
              <w:spacing w:line="400" w:lineRule="exact"/>
              <w:contextualSpacing/>
              <w:rPr>
                <w:rFonts w:hint="eastAsia" w:ascii="宋体" w:hAnsi="宋体" w:cs="宋体"/>
                <w:color w:val="auto"/>
                <w:szCs w:val="21"/>
                <w:highlight w:val="none"/>
              </w:rPr>
            </w:pPr>
            <w:r>
              <w:rPr>
                <w:rFonts w:hint="eastAsia" w:ascii="宋体" w:hAnsi="宋体" w:cs="宋体"/>
                <w:b/>
                <w:color w:val="auto"/>
                <w:szCs w:val="21"/>
                <w:highlight w:val="none"/>
              </w:rPr>
              <w:t>备注：</w:t>
            </w:r>
          </w:p>
          <w:p w14:paraId="7F1BFBEA">
            <w:pPr>
              <w:snapToGrid w:val="0"/>
              <w:spacing w:line="400" w:lineRule="exact"/>
              <w:contextualSpacing/>
              <w:rPr>
                <w:rFonts w:hint="eastAsia" w:ascii="宋体" w:hAnsi="宋体" w:cs="宋体"/>
                <w:b/>
                <w:color w:val="auto"/>
                <w:szCs w:val="21"/>
                <w:highlight w:val="none"/>
              </w:rPr>
            </w:pPr>
            <w:r>
              <w:rPr>
                <w:rFonts w:hint="eastAsia" w:ascii="宋体" w:hAnsi="宋体" w:cs="宋体"/>
                <w:b/>
                <w:color w:val="auto"/>
                <w:szCs w:val="21"/>
                <w:highlight w:val="none"/>
              </w:rPr>
              <w:t>1、根据《广西壮族自治区财政厅关于持续优化政府采购营商环境推动高质量发展的通知》（桂财采〔2024〕55号）规定，采购文件要求中标或者成交供应商提交履约保证金的，履约保证金数额不得超过政府采购合同金额的5%，对中小企业收取的履约保证金数额不得超过政府采购合同金额的2%。</w:t>
            </w:r>
          </w:p>
          <w:p w14:paraId="44907E75">
            <w:pPr>
              <w:snapToGrid w:val="0"/>
              <w:spacing w:line="400" w:lineRule="exact"/>
              <w:contextualSpacing/>
              <w:rPr>
                <w:rFonts w:hint="eastAsia" w:ascii="宋体" w:hAnsi="宋体" w:cs="宋体"/>
                <w:b/>
                <w:color w:val="auto"/>
                <w:szCs w:val="21"/>
                <w:highlight w:val="none"/>
              </w:rPr>
            </w:pPr>
            <w:r>
              <w:rPr>
                <w:rFonts w:hint="eastAsia" w:ascii="宋体" w:hAnsi="宋体" w:cs="宋体"/>
                <w:b/>
                <w:color w:val="auto"/>
                <w:szCs w:val="21"/>
                <w:highlight w:val="none"/>
              </w:rPr>
              <w:t>2、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p>
          <w:p w14:paraId="6D046372">
            <w:pPr>
              <w:snapToGrid w:val="0"/>
              <w:spacing w:line="400" w:lineRule="exact"/>
              <w:contextualSpacing/>
              <w:rPr>
                <w:rFonts w:hint="eastAsia" w:ascii="宋体" w:hAnsi="宋体" w:cs="宋体"/>
                <w:b/>
                <w:color w:val="auto"/>
                <w:szCs w:val="21"/>
                <w:highlight w:val="none"/>
              </w:rPr>
            </w:pPr>
            <w:r>
              <w:rPr>
                <w:rFonts w:hint="eastAsia" w:ascii="宋体" w:hAnsi="宋体" w:cs="宋体"/>
                <w:b/>
                <w:color w:val="auto"/>
                <w:szCs w:val="21"/>
                <w:highlight w:val="none"/>
              </w:rPr>
              <w:t>3、采用金融、担保机构出具的保函的，必须为无条件保函，否则不予签订合同。</w:t>
            </w:r>
          </w:p>
          <w:p w14:paraId="5C1C58CE">
            <w:pPr>
              <w:snapToGrid w:val="0"/>
              <w:spacing w:line="400" w:lineRule="exact"/>
              <w:rPr>
                <w:rFonts w:hint="eastAsia" w:ascii="宋体" w:hAnsi="宋体" w:cs="宋体"/>
                <w:color w:val="auto"/>
                <w:szCs w:val="21"/>
                <w:highlight w:val="none"/>
              </w:rPr>
            </w:pPr>
            <w:r>
              <w:rPr>
                <w:rFonts w:hint="eastAsia" w:ascii="宋体" w:hAnsi="宋体" w:cs="宋体"/>
                <w:b/>
                <w:color w:val="auto"/>
                <w:szCs w:val="21"/>
                <w:highlight w:val="none"/>
              </w:rPr>
              <w:t>4、供应商为联合体的，由联合体任意一方按规定提交的履约保证金，视为有效履约保证金。</w:t>
            </w:r>
          </w:p>
        </w:tc>
      </w:tr>
      <w:tr w14:paraId="0B4C41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142DDC6E">
            <w:pPr>
              <w:spacing w:line="400" w:lineRule="exact"/>
              <w:jc w:val="center"/>
              <w:rPr>
                <w:rFonts w:hint="eastAsia" w:ascii="宋体" w:hAnsi="宋体" w:cs="宋体"/>
                <w:color w:val="auto"/>
                <w:szCs w:val="21"/>
                <w:highlight w:val="none"/>
              </w:rPr>
            </w:pPr>
            <w:bookmarkStart w:id="68" w:name="_40.1"/>
            <w:bookmarkEnd w:id="68"/>
            <w:r>
              <w:rPr>
                <w:rFonts w:hint="eastAsia" w:ascii="宋体" w:hAnsi="宋体" w:cs="宋体"/>
                <w:color w:val="auto"/>
                <w:szCs w:val="21"/>
                <w:highlight w:val="none"/>
              </w:rPr>
              <w:t>36.1</w:t>
            </w:r>
          </w:p>
        </w:tc>
        <w:tc>
          <w:tcPr>
            <w:tcW w:w="8708" w:type="dxa"/>
            <w:tcBorders>
              <w:top w:val="single" w:color="auto" w:sz="4" w:space="0"/>
              <w:left w:val="single" w:color="auto" w:sz="4" w:space="0"/>
              <w:bottom w:val="single" w:color="auto" w:sz="4" w:space="0"/>
              <w:right w:val="single" w:color="auto" w:sz="4" w:space="0"/>
            </w:tcBorders>
            <w:vAlign w:val="center"/>
          </w:tcPr>
          <w:p w14:paraId="48555DDE">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1、签订合同携带的证明材料：</w:t>
            </w:r>
          </w:p>
          <w:p w14:paraId="343C902A">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（1）委托代理人负责签订合同的，须携带授权委托书及委托代理人身份证原件等其他资格证件。</w:t>
            </w:r>
          </w:p>
          <w:p w14:paraId="5833AE99">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（2）法定代表人负责签订合同的，须携带法定代表人身份证明原件及身份证原件等其他证明材料。</w:t>
            </w:r>
          </w:p>
          <w:p w14:paraId="16785FB0">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2、签订电子合同携带的材料：电子采购合同需要供应商通过有效CA证书进行电子签署。</w:t>
            </w:r>
          </w:p>
        </w:tc>
      </w:tr>
      <w:tr w14:paraId="33C1A3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10D26BD8">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38.2</w:t>
            </w:r>
          </w:p>
        </w:tc>
        <w:tc>
          <w:tcPr>
            <w:tcW w:w="8708" w:type="dxa"/>
            <w:tcBorders>
              <w:top w:val="single" w:color="auto" w:sz="4" w:space="0"/>
              <w:left w:val="single" w:color="auto" w:sz="4" w:space="0"/>
              <w:bottom w:val="single" w:color="auto" w:sz="4" w:space="0"/>
              <w:right w:val="single" w:color="auto" w:sz="4" w:space="0"/>
            </w:tcBorders>
            <w:vAlign w:val="center"/>
          </w:tcPr>
          <w:p w14:paraId="1C2B78DA">
            <w:pPr>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接收质疑函方式：以纸质书面形式</w:t>
            </w:r>
          </w:p>
          <w:p w14:paraId="024CDD3E">
            <w:pPr>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质疑联系部门及联系方式：广西科文招标有限公司质量管理部，质疑联系人：</w:t>
            </w:r>
            <w:r>
              <w:rPr>
                <w:rFonts w:hint="eastAsia" w:ascii="宋体" w:hAnsi="宋体" w:cs="宋体"/>
                <w:color w:val="auto"/>
                <w:szCs w:val="21"/>
                <w:highlight w:val="none"/>
                <w:lang w:eastAsia="zh-CN"/>
              </w:rPr>
              <w:t>谢工</w:t>
            </w:r>
            <w:r>
              <w:rPr>
                <w:rFonts w:hint="eastAsia" w:ascii="宋体" w:hAnsi="宋体" w:cs="宋体"/>
                <w:color w:val="auto"/>
                <w:szCs w:val="21"/>
                <w:highlight w:val="none"/>
              </w:rPr>
              <w:t>；联系电话：0771-8232208，通讯地址：广西南宁市民族大道141号中鼎万象东方D区五层</w:t>
            </w:r>
          </w:p>
          <w:p w14:paraId="0CEC4CD6">
            <w:pPr>
              <w:autoSpaceDE w:val="0"/>
              <w:autoSpaceDN w:val="0"/>
              <w:snapToGrid w:val="0"/>
              <w:spacing w:line="400" w:lineRule="exact"/>
              <w:textAlignment w:val="bottom"/>
              <w:rPr>
                <w:rFonts w:hint="eastAsia" w:ascii="宋体" w:hAnsi="宋体" w:cs="宋体"/>
                <w:color w:val="auto"/>
                <w:szCs w:val="21"/>
                <w:highlight w:val="none"/>
              </w:rPr>
            </w:pPr>
            <w:r>
              <w:rPr>
                <w:rFonts w:hint="eastAsia" w:ascii="宋体" w:hAnsi="宋体" w:cs="宋体"/>
                <w:color w:val="auto"/>
                <w:szCs w:val="21"/>
                <w:highlight w:val="none"/>
              </w:rPr>
              <w:t>现场提交质疑办理业务时间：工作日，上午08:00-12:00；下午15:00-18:00（北京时间）</w:t>
            </w:r>
          </w:p>
        </w:tc>
      </w:tr>
      <w:tr w14:paraId="473E7D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59460311">
            <w:pPr>
              <w:spacing w:line="400" w:lineRule="exact"/>
              <w:jc w:val="center"/>
              <w:rPr>
                <w:rFonts w:hint="eastAsia" w:ascii="宋体" w:hAnsi="宋体" w:cs="宋体"/>
                <w:color w:val="auto"/>
                <w:szCs w:val="21"/>
                <w:highlight w:val="none"/>
              </w:rPr>
            </w:pPr>
            <w:bookmarkStart w:id="69" w:name="_41"/>
            <w:bookmarkEnd w:id="69"/>
            <w:bookmarkStart w:id="70" w:name="_42"/>
            <w:bookmarkEnd w:id="70"/>
            <w:bookmarkStart w:id="71" w:name="_Hlt17709148"/>
            <w:r>
              <w:rPr>
                <w:rFonts w:hint="eastAsia" w:ascii="宋体" w:hAnsi="宋体" w:cs="宋体"/>
                <w:color w:val="auto"/>
                <w:szCs w:val="21"/>
                <w:highlight w:val="none"/>
              </w:rPr>
              <w:t>3</w:t>
            </w:r>
            <w:bookmarkEnd w:id="71"/>
            <w:r>
              <w:rPr>
                <w:rFonts w:hint="eastAsia" w:ascii="宋体" w:hAnsi="宋体" w:cs="宋体"/>
                <w:color w:val="auto"/>
                <w:szCs w:val="21"/>
                <w:highlight w:val="none"/>
              </w:rPr>
              <w:t>9.1</w:t>
            </w:r>
          </w:p>
        </w:tc>
        <w:tc>
          <w:tcPr>
            <w:tcW w:w="8708" w:type="dxa"/>
            <w:tcBorders>
              <w:top w:val="single" w:color="auto" w:sz="4" w:space="0"/>
              <w:left w:val="single" w:color="auto" w:sz="4" w:space="0"/>
              <w:bottom w:val="single" w:color="auto" w:sz="4" w:space="0"/>
              <w:right w:val="single" w:color="auto" w:sz="4" w:space="0"/>
            </w:tcBorders>
            <w:vAlign w:val="center"/>
          </w:tcPr>
          <w:p w14:paraId="63A7116A">
            <w:pPr>
              <w:pStyle w:val="25"/>
              <w:snapToGrid w:val="0"/>
              <w:spacing w:line="400" w:lineRule="exact"/>
              <w:rPr>
                <w:rFonts w:hint="eastAsia" w:hAnsi="宋体" w:cs="宋体"/>
                <w:color w:val="auto"/>
                <w:sz w:val="21"/>
                <w:highlight w:val="none"/>
              </w:rPr>
            </w:pPr>
            <w:r>
              <w:rPr>
                <w:rFonts w:hint="eastAsia" w:hAnsi="宋体" w:cs="宋体"/>
                <w:color w:val="auto"/>
                <w:sz w:val="21"/>
                <w:highlight w:val="none"/>
              </w:rPr>
              <w:t>1、采购代理服务费支付方式：本项目的招标代理服务费按以下收费标准向中标人收取，领取中标通知书前，中标人应向采购代理机构一次付清招标代理服务费，否则采购代理机构有权不予以办理。</w:t>
            </w:r>
          </w:p>
          <w:p w14:paraId="11C3BEB3">
            <w:pPr>
              <w:pStyle w:val="25"/>
              <w:snapToGrid w:val="0"/>
              <w:spacing w:line="400" w:lineRule="exact"/>
              <w:rPr>
                <w:rFonts w:hint="eastAsia" w:hAnsi="宋体" w:cs="宋体"/>
                <w:color w:val="auto"/>
                <w:sz w:val="21"/>
                <w:highlight w:val="none"/>
              </w:rPr>
            </w:pPr>
            <w:r>
              <w:rPr>
                <w:rFonts w:hint="eastAsia" w:hAnsi="宋体" w:cs="宋体"/>
                <w:color w:val="auto"/>
                <w:sz w:val="21"/>
                <w:highlight w:val="none"/>
              </w:rPr>
              <w:t>2、采购代理服务费收取标准：</w:t>
            </w:r>
          </w:p>
          <w:p w14:paraId="7821927E">
            <w:pPr>
              <w:pStyle w:val="25"/>
              <w:snapToGrid w:val="0"/>
              <w:spacing w:line="400" w:lineRule="exact"/>
              <w:rPr>
                <w:rFonts w:hint="eastAsia" w:hAnsi="宋体" w:cs="宋体"/>
                <w:color w:val="auto"/>
                <w:sz w:val="21"/>
                <w:highlight w:val="none"/>
              </w:rPr>
            </w:pPr>
            <w:r>
              <w:rPr>
                <w:rFonts w:hint="eastAsia" w:hAnsi="宋体" w:cs="宋体"/>
                <w:color w:val="auto"/>
                <w:sz w:val="21"/>
                <w:highlight w:val="none"/>
              </w:rPr>
              <w:t>以分标的采购预算金额为计费金额，按本须知正文第39.2条规定的收费计算标准（货物招标）采用差额定率累进法计算出收费基准价格，采购代理服务费以收费基准价格收取。</w:t>
            </w:r>
          </w:p>
          <w:p w14:paraId="736A26A1">
            <w:pPr>
              <w:pStyle w:val="25"/>
              <w:snapToGrid w:val="0"/>
              <w:spacing w:line="400" w:lineRule="exact"/>
              <w:rPr>
                <w:rFonts w:hint="eastAsia" w:hAnsi="宋体" w:cs="宋体"/>
                <w:color w:val="auto"/>
                <w:sz w:val="21"/>
                <w:highlight w:val="none"/>
              </w:rPr>
            </w:pPr>
            <w:r>
              <w:rPr>
                <w:rFonts w:hint="eastAsia" w:hAnsi="宋体" w:cs="宋体"/>
                <w:color w:val="auto"/>
                <w:sz w:val="21"/>
                <w:highlight w:val="none"/>
              </w:rPr>
              <w:t>3、采购代理费收取银行账户：</w:t>
            </w:r>
          </w:p>
          <w:p w14:paraId="32F2592C">
            <w:pPr>
              <w:pStyle w:val="25"/>
              <w:snapToGrid w:val="0"/>
              <w:spacing w:line="400" w:lineRule="exact"/>
              <w:rPr>
                <w:rFonts w:hint="eastAsia" w:hAnsi="宋体" w:cs="宋体"/>
                <w:color w:val="auto"/>
                <w:sz w:val="21"/>
                <w:highlight w:val="none"/>
              </w:rPr>
            </w:pPr>
            <w:r>
              <w:rPr>
                <w:rFonts w:hint="eastAsia" w:hAnsi="宋体" w:cs="宋体"/>
                <w:color w:val="auto"/>
                <w:sz w:val="21"/>
                <w:highlight w:val="none"/>
              </w:rPr>
              <w:t>账户名称：广西科文招标有限公司宾阳分公司</w:t>
            </w:r>
          </w:p>
          <w:p w14:paraId="136B9AD1">
            <w:pPr>
              <w:pStyle w:val="25"/>
              <w:snapToGrid w:val="0"/>
              <w:spacing w:line="400" w:lineRule="exact"/>
              <w:rPr>
                <w:rFonts w:hint="eastAsia" w:hAnsi="宋体" w:eastAsia="宋体" w:cs="宋体"/>
                <w:color w:val="auto"/>
                <w:sz w:val="21"/>
                <w:highlight w:val="none"/>
                <w:lang w:eastAsia="zh-CN"/>
              </w:rPr>
            </w:pPr>
            <w:r>
              <w:rPr>
                <w:rFonts w:hint="eastAsia" w:hAnsi="宋体" w:cs="宋体"/>
                <w:color w:val="auto"/>
                <w:sz w:val="21"/>
                <w:highlight w:val="none"/>
              </w:rPr>
              <w:t>开户银行：</w:t>
            </w:r>
            <w:r>
              <w:rPr>
                <w:rFonts w:hint="eastAsia" w:hAnsi="宋体" w:cs="宋体"/>
                <w:color w:val="auto"/>
                <w:sz w:val="21"/>
                <w:highlight w:val="none"/>
                <w:lang w:eastAsia="zh-CN"/>
              </w:rPr>
              <w:t>中国银行宾阳支行营业部</w:t>
            </w:r>
          </w:p>
          <w:p w14:paraId="052288DC">
            <w:pPr>
              <w:pStyle w:val="25"/>
              <w:snapToGrid w:val="0"/>
              <w:spacing w:line="400" w:lineRule="exact"/>
              <w:rPr>
                <w:rFonts w:hint="eastAsia" w:hAnsi="宋体" w:cs="宋体"/>
                <w:color w:val="auto"/>
                <w:sz w:val="21"/>
                <w:highlight w:val="none"/>
              </w:rPr>
            </w:pPr>
            <w:r>
              <w:rPr>
                <w:rFonts w:hint="eastAsia" w:hAnsi="宋体" w:cs="宋体"/>
                <w:color w:val="auto"/>
                <w:sz w:val="21"/>
                <w:highlight w:val="none"/>
              </w:rPr>
              <w:t>银行账号：618471419553</w:t>
            </w:r>
          </w:p>
        </w:tc>
      </w:tr>
      <w:tr w14:paraId="1050E6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4A5AE0D4">
            <w:pPr>
              <w:snapToGrid w:val="0"/>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40.1</w:t>
            </w:r>
          </w:p>
        </w:tc>
        <w:tc>
          <w:tcPr>
            <w:tcW w:w="8708" w:type="dxa"/>
            <w:tcBorders>
              <w:top w:val="single" w:color="auto" w:sz="4" w:space="0"/>
              <w:left w:val="single" w:color="auto" w:sz="4" w:space="0"/>
              <w:bottom w:val="single" w:color="auto" w:sz="4" w:space="0"/>
              <w:right w:val="single" w:color="auto" w:sz="4" w:space="0"/>
            </w:tcBorders>
            <w:vAlign w:val="center"/>
          </w:tcPr>
          <w:p w14:paraId="3B7C472E">
            <w:pPr>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解释：构成本招标文件的各个组成文件应互为解释，互为说明；除招标文件中有特别规定外，仅适用于招标投标阶段的规定，按更正公告（澄清公告）、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由采购人或者采购代理机构负责解释。</w:t>
            </w:r>
          </w:p>
        </w:tc>
      </w:tr>
      <w:tr w14:paraId="6B08C3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4F1843AB">
            <w:pPr>
              <w:snapToGrid w:val="0"/>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40.2</w:t>
            </w:r>
          </w:p>
        </w:tc>
        <w:tc>
          <w:tcPr>
            <w:tcW w:w="8708" w:type="dxa"/>
            <w:tcBorders>
              <w:top w:val="single" w:color="auto" w:sz="4" w:space="0"/>
              <w:left w:val="single" w:color="auto" w:sz="4" w:space="0"/>
              <w:bottom w:val="single" w:color="auto" w:sz="4" w:space="0"/>
              <w:right w:val="single" w:color="auto" w:sz="4" w:space="0"/>
            </w:tcBorders>
            <w:vAlign w:val="center"/>
          </w:tcPr>
          <w:p w14:paraId="34EBA7CC">
            <w:pPr>
              <w:pStyle w:val="25"/>
              <w:snapToGrid w:val="0"/>
              <w:spacing w:line="400" w:lineRule="exact"/>
              <w:rPr>
                <w:rFonts w:hint="eastAsia" w:hAnsi="宋体" w:cs="宋体"/>
                <w:bCs/>
                <w:color w:val="auto"/>
                <w:sz w:val="21"/>
                <w:highlight w:val="none"/>
              </w:rPr>
            </w:pPr>
            <w:r>
              <w:rPr>
                <w:rFonts w:hint="eastAsia" w:hAnsi="宋体" w:cs="宋体"/>
                <w:bCs/>
                <w:color w:val="auto"/>
                <w:sz w:val="21"/>
                <w:highlight w:val="none"/>
              </w:rPr>
              <w:t>1、本招标文件中描述投标人的“公章”是指根据我国对公章的管理规定，用投标人法定主体行为名称制作的印章</w:t>
            </w:r>
            <w:r>
              <w:rPr>
                <w:rFonts w:hint="eastAsia" w:hAnsi="宋体" w:cs="宋体"/>
                <w:color w:val="auto"/>
                <w:sz w:val="21"/>
                <w:highlight w:val="none"/>
              </w:rPr>
              <w:t>（含电子印章）</w:t>
            </w:r>
            <w:r>
              <w:rPr>
                <w:rFonts w:hint="eastAsia" w:hAnsi="宋体" w:cs="宋体"/>
                <w:bCs/>
                <w:color w:val="auto"/>
                <w:sz w:val="21"/>
                <w:highlight w:val="none"/>
              </w:rPr>
              <w:t>，除本招标文件有特殊规定外，投标人的财务章、部门章、分公司章、工会章、合同章、投标专用章、业务专用章及银行的转账章、现金收讫章、现金付讫章等其他形式印章均不能代替公章。</w:t>
            </w:r>
          </w:p>
          <w:p w14:paraId="7758AA89">
            <w:pPr>
              <w:pStyle w:val="25"/>
              <w:snapToGrid w:val="0"/>
              <w:spacing w:line="400" w:lineRule="exact"/>
              <w:rPr>
                <w:rFonts w:hint="eastAsia" w:hAnsi="宋体" w:cs="宋体"/>
                <w:bCs/>
                <w:color w:val="auto"/>
                <w:sz w:val="21"/>
                <w:highlight w:val="none"/>
              </w:rPr>
            </w:pPr>
            <w:r>
              <w:rPr>
                <w:rFonts w:hint="eastAsia" w:hAnsi="宋体" w:cs="宋体"/>
                <w:bCs/>
                <w:color w:val="auto"/>
                <w:sz w:val="21"/>
                <w:highlight w:val="none"/>
              </w:rPr>
              <w:t>2、投标人为其他组织或者自然人时，本招标文件规定的法定代表人指负责人或者自然人。本招标文件所称负责人是指参加投标的其他组织营业执照或者执业许可证等证照上的负责人，本招标文件所称自然人指参与投标的自然人本人，且应具备独立承担民事责任能力，自然人应当为年满18岁以上成年人（十六周岁以上的未成年人，以自己的劳动收入为主要生活来源的，视为完全民事行为能力人）。</w:t>
            </w:r>
          </w:p>
          <w:p w14:paraId="58E6EE2D">
            <w:pPr>
              <w:pStyle w:val="25"/>
              <w:snapToGrid w:val="0"/>
              <w:spacing w:line="400" w:lineRule="exact"/>
              <w:rPr>
                <w:rFonts w:hint="eastAsia" w:hAnsi="宋体" w:cs="宋体"/>
                <w:bCs/>
                <w:color w:val="auto"/>
                <w:sz w:val="21"/>
                <w:highlight w:val="none"/>
              </w:rPr>
            </w:pPr>
            <w:r>
              <w:rPr>
                <w:rFonts w:hint="eastAsia" w:hAnsi="宋体" w:cs="宋体"/>
                <w:bCs/>
                <w:color w:val="auto"/>
                <w:sz w:val="21"/>
                <w:highlight w:val="none"/>
              </w:rPr>
              <w:t>3、本招标文件中描述投标人的“签字”是指投标人的法定代表人或者委托代理人</w:t>
            </w:r>
            <w:r>
              <w:rPr>
                <w:rFonts w:hint="eastAsia" w:hAnsi="宋体" w:cs="宋体"/>
                <w:color w:val="auto"/>
                <w:sz w:val="21"/>
                <w:highlight w:val="none"/>
              </w:rPr>
              <w:t>在文件规定签署处签名（含电子签名）的行为，私章、印鉴等其他形式均不能代替签字</w:t>
            </w:r>
            <w:r>
              <w:rPr>
                <w:rFonts w:hint="eastAsia" w:hAnsi="宋体" w:cs="宋体"/>
                <w:bCs/>
                <w:color w:val="auto"/>
                <w:sz w:val="21"/>
                <w:highlight w:val="none"/>
              </w:rPr>
              <w:t>。</w:t>
            </w:r>
          </w:p>
          <w:p w14:paraId="1728434A">
            <w:pPr>
              <w:pStyle w:val="25"/>
              <w:snapToGrid w:val="0"/>
              <w:spacing w:line="400" w:lineRule="exact"/>
              <w:rPr>
                <w:rFonts w:hint="eastAsia" w:hAnsi="宋体" w:cs="宋体"/>
                <w:bCs/>
                <w:color w:val="auto"/>
                <w:sz w:val="21"/>
                <w:highlight w:val="none"/>
              </w:rPr>
            </w:pPr>
            <w:r>
              <w:rPr>
                <w:rFonts w:hint="eastAsia" w:hAnsi="宋体" w:cs="宋体"/>
                <w:bCs/>
                <w:color w:val="auto"/>
                <w:sz w:val="21"/>
                <w:highlight w:val="none"/>
              </w:rPr>
              <w:t>4、自然人投标的，招标文件规定盖公章处由自然人摁手指指印。</w:t>
            </w:r>
          </w:p>
          <w:p w14:paraId="0ADEC3E0">
            <w:pPr>
              <w:spacing w:line="400" w:lineRule="exact"/>
              <w:jc w:val="left"/>
              <w:rPr>
                <w:rFonts w:hint="eastAsia" w:ascii="宋体" w:hAnsi="宋体" w:cs="宋体"/>
                <w:color w:val="auto"/>
                <w:szCs w:val="21"/>
                <w:highlight w:val="none"/>
              </w:rPr>
            </w:pPr>
            <w:r>
              <w:rPr>
                <w:rFonts w:hint="eastAsia" w:ascii="宋体" w:hAnsi="宋体" w:cs="宋体"/>
                <w:bCs/>
                <w:color w:val="auto"/>
                <w:szCs w:val="21"/>
                <w:highlight w:val="none"/>
              </w:rPr>
              <w:t>5、本招标文件所称的“以上”“以下”“以内”“届满”，包括本数；所称的“不满”“超过”“以外”，不包括本数。</w:t>
            </w:r>
          </w:p>
        </w:tc>
      </w:tr>
    </w:tbl>
    <w:p w14:paraId="20591926">
      <w:pPr>
        <w:snapToGrid w:val="0"/>
        <w:rPr>
          <w:rFonts w:hint="eastAsia" w:ascii="宋体" w:hAnsi="宋体" w:cs="宋体"/>
          <w:color w:val="auto"/>
          <w:sz w:val="24"/>
          <w:szCs w:val="20"/>
          <w:highlight w:val="none"/>
        </w:rPr>
      </w:pPr>
    </w:p>
    <w:p w14:paraId="6717F9B2">
      <w:pPr>
        <w:pStyle w:val="6"/>
        <w:keepNext w:val="0"/>
        <w:keepLines w:val="0"/>
        <w:jc w:val="center"/>
        <w:rPr>
          <w:rFonts w:hint="eastAsia" w:ascii="宋体" w:hAnsi="宋体" w:cs="宋体"/>
          <w:color w:val="auto"/>
          <w:highlight w:val="none"/>
        </w:rPr>
      </w:pPr>
      <w:r>
        <w:rPr>
          <w:rFonts w:hint="eastAsia" w:ascii="宋体" w:hAnsi="宋体" w:cs="宋体"/>
          <w:color w:val="auto"/>
          <w:highlight w:val="none"/>
        </w:rPr>
        <w:br w:type="page"/>
      </w:r>
      <w:r>
        <w:rPr>
          <w:rFonts w:hint="eastAsia" w:ascii="宋体" w:hAnsi="宋体" w:cs="宋体"/>
          <w:color w:val="auto"/>
          <w:highlight w:val="none"/>
        </w:rPr>
        <w:t>投标人须知正文</w:t>
      </w:r>
    </w:p>
    <w:p w14:paraId="084C5B1F">
      <w:pPr>
        <w:pStyle w:val="6"/>
        <w:keepNext w:val="0"/>
        <w:keepLines w:val="0"/>
        <w:jc w:val="center"/>
        <w:rPr>
          <w:rFonts w:hint="eastAsia" w:ascii="宋体" w:hAnsi="宋体" w:cs="宋体"/>
          <w:color w:val="auto"/>
          <w:highlight w:val="none"/>
        </w:rPr>
      </w:pPr>
      <w:r>
        <w:rPr>
          <w:rFonts w:hint="eastAsia" w:ascii="宋体" w:hAnsi="宋体" w:cs="宋体"/>
          <w:color w:val="auto"/>
          <w:highlight w:val="none"/>
        </w:rPr>
        <w:t>一、总则</w:t>
      </w:r>
    </w:p>
    <w:p w14:paraId="060E9E6F">
      <w:pPr>
        <w:pStyle w:val="8"/>
        <w:keepNext w:val="0"/>
        <w:keepLines w:val="0"/>
        <w:spacing w:before="0" w:after="0" w:line="360" w:lineRule="auto"/>
        <w:ind w:left="420" w:leftChars="200"/>
        <w:rPr>
          <w:rFonts w:hint="eastAsia" w:ascii="宋体" w:hAnsi="宋体" w:cs="宋体"/>
          <w:color w:val="auto"/>
          <w:sz w:val="24"/>
          <w:highlight w:val="none"/>
        </w:rPr>
      </w:pPr>
      <w:bookmarkStart w:id="72" w:name="_Toc254970668"/>
      <w:bookmarkStart w:id="73" w:name="_Toc254970527"/>
      <w:r>
        <w:rPr>
          <w:rFonts w:hint="eastAsia" w:ascii="宋体" w:hAnsi="宋体" w:cs="宋体"/>
          <w:color w:val="auto"/>
          <w:sz w:val="24"/>
          <w:highlight w:val="none"/>
        </w:rPr>
        <w:t>1.适用范围</w:t>
      </w:r>
      <w:bookmarkEnd w:id="72"/>
      <w:bookmarkEnd w:id="73"/>
    </w:p>
    <w:p w14:paraId="41D50C1B">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1260C73D">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1.2本招标文件</w:t>
      </w:r>
      <w:r>
        <w:rPr>
          <w:rFonts w:hint="eastAsia" w:ascii="宋体" w:hAnsi="宋体" w:cs="宋体"/>
          <w:color w:val="auto"/>
          <w:spacing w:val="-6"/>
          <w:szCs w:val="21"/>
          <w:highlight w:val="none"/>
        </w:rPr>
        <w:t>适用于本项目的所有采购程序和环节（法律、法规另有规定的，从其规定）。</w:t>
      </w:r>
    </w:p>
    <w:p w14:paraId="602BFEC3">
      <w:pPr>
        <w:pStyle w:val="8"/>
        <w:keepNext w:val="0"/>
        <w:keepLines w:val="0"/>
        <w:spacing w:before="0" w:after="0" w:line="360" w:lineRule="auto"/>
        <w:ind w:left="420" w:leftChars="200"/>
        <w:rPr>
          <w:rFonts w:hint="eastAsia" w:ascii="宋体" w:hAnsi="宋体" w:cs="宋体"/>
          <w:color w:val="auto"/>
          <w:sz w:val="24"/>
          <w:highlight w:val="none"/>
        </w:rPr>
      </w:pPr>
      <w:bookmarkStart w:id="74" w:name="_Toc254970669"/>
      <w:bookmarkStart w:id="75" w:name="_Toc254970528"/>
      <w:r>
        <w:rPr>
          <w:rFonts w:hint="eastAsia" w:ascii="宋体" w:hAnsi="宋体" w:cs="宋体"/>
          <w:color w:val="auto"/>
          <w:sz w:val="24"/>
          <w:highlight w:val="none"/>
        </w:rPr>
        <w:t>2.定义</w:t>
      </w:r>
      <w:bookmarkEnd w:id="74"/>
      <w:bookmarkEnd w:id="75"/>
    </w:p>
    <w:p w14:paraId="5CA42904">
      <w:pPr>
        <w:pStyle w:val="8"/>
        <w:keepNext w:val="0"/>
        <w:keepLines w:val="0"/>
        <w:spacing w:before="0" w:after="0" w:line="360" w:lineRule="auto"/>
        <w:ind w:left="420" w:left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2.1“采购人”是指依法进行政府采购的国家机关、事业单位、团体组织。</w:t>
      </w:r>
    </w:p>
    <w:p w14:paraId="243B0A92">
      <w:pPr>
        <w:pStyle w:val="8"/>
        <w:keepNext w:val="0"/>
        <w:keepLines w:val="0"/>
        <w:spacing w:before="0" w:after="0" w:line="360" w:lineRule="auto"/>
        <w:ind w:left="420" w:left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2.2“采购代理机构”是指政府采购集中采购机构和集中采购机构以外的采购代理机构。</w:t>
      </w:r>
    </w:p>
    <w:p w14:paraId="5C67E55C">
      <w:pPr>
        <w:pStyle w:val="8"/>
        <w:keepNext w:val="0"/>
        <w:keepLines w:val="0"/>
        <w:spacing w:before="0" w:after="0" w:line="360" w:lineRule="auto"/>
        <w:ind w:left="420" w:left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2.3“供应商”是指向采购人提供货物、工程或者服务的法人、其他组织或者自然人。</w:t>
      </w:r>
    </w:p>
    <w:p w14:paraId="62C61E60">
      <w:pPr>
        <w:pStyle w:val="11"/>
        <w:spacing w:line="360" w:lineRule="auto"/>
        <w:rPr>
          <w:rFonts w:hint="eastAsia" w:ascii="宋体" w:hAnsi="宋体" w:cs="宋体"/>
          <w:color w:val="auto"/>
          <w:szCs w:val="21"/>
          <w:highlight w:val="none"/>
        </w:rPr>
      </w:pPr>
      <w:r>
        <w:rPr>
          <w:rFonts w:hint="eastAsia" w:ascii="宋体" w:hAnsi="宋体" w:cs="宋体"/>
          <w:color w:val="auto"/>
          <w:szCs w:val="21"/>
          <w:highlight w:val="none"/>
        </w:rPr>
        <w:t>2.4“投标人”是指响应招标、参加投标竞争的法人、其他组织或者自然人。</w:t>
      </w:r>
    </w:p>
    <w:p w14:paraId="022DA65D">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2.5“货物”是指各种形态和种类的物品，包括原材料、燃料、设备、产品等。</w:t>
      </w:r>
    </w:p>
    <w:p w14:paraId="52DEA385">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2.6“售后服务”是指商品出售以后所提供的各种服务，包含但不限于投标人须承担的备品备件、包装、运输、装卸、保险、货到就位以及安装、调试、培训、保修以及其他各种服务。</w:t>
      </w:r>
    </w:p>
    <w:p w14:paraId="7F9F4E48">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2.7“书面形式”是指合同书、信件和数据电文（包括电报、电传、传真、电子数据交换和电子邮件）等可以有形地表现所载内容的形式。</w:t>
      </w:r>
    </w:p>
    <w:p w14:paraId="5827A1B7">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2.8“实质性要求”是指招标文件中已经指明不满足则投标无效的条款，或者不能负偏离的条款，或者采购需求中带“▲”的条款。</w:t>
      </w:r>
    </w:p>
    <w:p w14:paraId="5FEE42AB">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2.9“正偏离”，是指投标文件对招标文件“采购需求”中有关条款作出的响应优于条款要求并有利于采购人的情形。</w:t>
      </w:r>
    </w:p>
    <w:p w14:paraId="6292E203">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2.10“负偏离”，是指投标文件对招标文件“采购需求”中有关条款作出的响应不满足条款要求，导致采购人要求不能得到满足的情形。</w:t>
      </w:r>
    </w:p>
    <w:p w14:paraId="1E4E8900">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2.11“允许负偏离的条款”是指采购需求中的不属于“实质性要求”的条款。</w:t>
      </w:r>
      <w:bookmarkStart w:id="76" w:name="_Toc254970670"/>
      <w:bookmarkStart w:id="77" w:name="_Toc254970529"/>
    </w:p>
    <w:p w14:paraId="40144237">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3.</w:t>
      </w:r>
      <w:bookmarkEnd w:id="76"/>
      <w:bookmarkEnd w:id="77"/>
      <w:r>
        <w:rPr>
          <w:rFonts w:hint="eastAsia" w:ascii="宋体" w:hAnsi="宋体" w:cs="宋体"/>
          <w:color w:val="auto"/>
          <w:sz w:val="24"/>
          <w:highlight w:val="none"/>
        </w:rPr>
        <w:t>投标人的资格要求</w:t>
      </w:r>
    </w:p>
    <w:p w14:paraId="3BD5582D">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投标人的资格要求详见“投标人须知前附表”。</w:t>
      </w:r>
    </w:p>
    <w:p w14:paraId="5583A821">
      <w:pPr>
        <w:pStyle w:val="8"/>
        <w:keepNext w:val="0"/>
        <w:keepLines w:val="0"/>
        <w:spacing w:before="0" w:after="0" w:line="360" w:lineRule="auto"/>
        <w:ind w:left="420" w:leftChars="200"/>
        <w:rPr>
          <w:rFonts w:hint="eastAsia" w:ascii="宋体" w:hAnsi="宋体" w:cs="宋体"/>
          <w:color w:val="auto"/>
          <w:sz w:val="24"/>
          <w:highlight w:val="none"/>
        </w:rPr>
      </w:pPr>
      <w:bookmarkStart w:id="78" w:name="_Toc254970530"/>
      <w:bookmarkStart w:id="79" w:name="_Toc254970671"/>
      <w:r>
        <w:rPr>
          <w:rFonts w:hint="eastAsia" w:ascii="宋体" w:hAnsi="宋体" w:cs="宋体"/>
          <w:color w:val="auto"/>
          <w:sz w:val="24"/>
          <w:highlight w:val="none"/>
        </w:rPr>
        <w:t>4.投标委托</w:t>
      </w:r>
      <w:bookmarkEnd w:id="78"/>
      <w:bookmarkEnd w:id="79"/>
    </w:p>
    <w:p w14:paraId="110E7BD3">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投标人代表参加投标活动过程中必须携带个人有效身份证件。如投标人代表不是法定代表人，须持有授权委托书（按第六章要求格式填写）。</w:t>
      </w:r>
    </w:p>
    <w:p w14:paraId="7C68EA23">
      <w:pPr>
        <w:pStyle w:val="8"/>
        <w:keepNext w:val="0"/>
        <w:keepLines w:val="0"/>
        <w:spacing w:before="0" w:after="0" w:line="360" w:lineRule="auto"/>
        <w:ind w:left="420" w:leftChars="200"/>
        <w:rPr>
          <w:rFonts w:hint="eastAsia" w:ascii="宋体" w:hAnsi="宋体" w:cs="宋体"/>
          <w:color w:val="auto"/>
          <w:sz w:val="24"/>
          <w:highlight w:val="none"/>
        </w:rPr>
      </w:pPr>
      <w:bookmarkStart w:id="80" w:name="_5.投标费用"/>
      <w:bookmarkEnd w:id="80"/>
      <w:bookmarkStart w:id="81" w:name="_Toc254970672"/>
      <w:bookmarkStart w:id="82" w:name="_Toc254970531"/>
      <w:r>
        <w:rPr>
          <w:rFonts w:hint="eastAsia" w:ascii="宋体" w:hAnsi="宋体" w:cs="宋体"/>
          <w:color w:val="auto"/>
          <w:sz w:val="24"/>
          <w:highlight w:val="none"/>
        </w:rPr>
        <w:t>5.投标费用</w:t>
      </w:r>
      <w:bookmarkEnd w:id="81"/>
      <w:bookmarkEnd w:id="82"/>
    </w:p>
    <w:p w14:paraId="05BF2DE6">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投标费用：投标人应承担参与本次采购活动有关的所有费用，包括但不限于获取招标文件、勘查现场、编制和提交投标文件、参加澄清说明、签订合同等，不论投标结果如何，均应自行承担。</w:t>
      </w:r>
    </w:p>
    <w:p w14:paraId="37D915E4">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6.联合体投标</w:t>
      </w:r>
    </w:p>
    <w:p w14:paraId="68DCB86B">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6.1本项目是否接受联合体投标，详见“投标人须知前附表”。</w:t>
      </w:r>
    </w:p>
    <w:p w14:paraId="41ACF132">
      <w:pPr>
        <w:snapToGrid w:val="0"/>
        <w:spacing w:line="360" w:lineRule="auto"/>
        <w:ind w:firstLine="420" w:firstLineChars="200"/>
        <w:jc w:val="left"/>
        <w:rPr>
          <w:rFonts w:hint="eastAsia" w:ascii="宋体" w:hAnsi="宋体" w:cs="宋体"/>
          <w:bCs/>
          <w:color w:val="auto"/>
          <w:szCs w:val="21"/>
          <w:highlight w:val="none"/>
        </w:rPr>
      </w:pPr>
      <w:r>
        <w:rPr>
          <w:rFonts w:hint="eastAsia" w:ascii="宋体" w:hAnsi="宋体" w:cs="宋体"/>
          <w:bCs/>
          <w:color w:val="auto"/>
          <w:szCs w:val="21"/>
          <w:highlight w:val="none"/>
        </w:rPr>
        <w:t>6.2如接受联合体投标，联合体投标要求详见“投标人须知前附表”。</w:t>
      </w:r>
    </w:p>
    <w:p w14:paraId="59634861">
      <w:pPr>
        <w:pStyle w:val="8"/>
        <w:keepNext w:val="0"/>
        <w:keepLines w:val="0"/>
        <w:spacing w:before="0" w:after="0" w:line="360" w:lineRule="auto"/>
        <w:ind w:firstLine="424" w:firstLineChars="202"/>
        <w:rPr>
          <w:rFonts w:hint="eastAsia" w:ascii="宋体" w:hAnsi="宋体" w:cs="宋体"/>
          <w:color w:val="auto"/>
          <w:sz w:val="24"/>
          <w:highlight w:val="none"/>
        </w:rPr>
      </w:pPr>
      <w:r>
        <w:rPr>
          <w:rFonts w:hint="eastAsia" w:ascii="宋体" w:hAnsi="宋体" w:cs="宋体"/>
          <w:b w:val="0"/>
          <w:bCs/>
          <w:color w:val="auto"/>
          <w:sz w:val="21"/>
          <w:szCs w:val="21"/>
          <w:highlight w:val="none"/>
        </w:rPr>
        <w:t>6.3</w:t>
      </w:r>
      <w:bookmarkStart w:id="83" w:name="_Hlk65857072"/>
      <w:r>
        <w:rPr>
          <w:rFonts w:hint="eastAsia" w:ascii="宋体" w:hAnsi="宋体" w:cs="宋体"/>
          <w:b w:val="0"/>
          <w:bCs/>
          <w:color w:val="auto"/>
          <w:sz w:val="21"/>
          <w:szCs w:val="21"/>
          <w:highlight w:val="none"/>
        </w:rPr>
        <w:t>根据《政府采购促进中小企业发展管理办法》（财库〔2020〕46号）及《广西壮族自治区财政厅关于持续优化政府采购营商环境推动高质量发展的通知》（桂财采〔2024〕55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w:t>
      </w:r>
      <w:bookmarkEnd w:id="83"/>
    </w:p>
    <w:p w14:paraId="06ED1FDF">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7.转包与分包</w:t>
      </w:r>
    </w:p>
    <w:p w14:paraId="150FEC18">
      <w:pPr>
        <w:pStyle w:val="8"/>
        <w:keepNext w:val="0"/>
        <w:keepLines w:val="0"/>
        <w:spacing w:before="0" w:after="0" w:line="360" w:lineRule="auto"/>
        <w:ind w:left="420" w:left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7.1本项目不允许转包。</w:t>
      </w:r>
    </w:p>
    <w:p w14:paraId="2C5BD940">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7.2本项目是否允许分包详见“投标人须知前附表”，本项目不允许违法分包。允许分包的非主体、非关键性工作，根据法律法规规定承担该工作需要行政许可的，如该工作由投标人自行承担，投标人应具备相应的行政许可，如投标人不具备相应的行政许可必须采用分包的方式，但分包投标人应具备相应行政许可。</w:t>
      </w:r>
    </w:p>
    <w:p w14:paraId="082354F1">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7.3投标人根据招标文件的规定和采购项目的实际情况，拟在中标后将中标项目的非主体、非关键性工作分包的，应当在投标文件中载明分包承担主体，分包承担主体应当具备相应资质条件且不得再次分包。</w:t>
      </w:r>
    </w:p>
    <w:p w14:paraId="3202018B">
      <w:pPr>
        <w:pStyle w:val="8"/>
        <w:keepNext w:val="0"/>
        <w:keepLines w:val="0"/>
        <w:spacing w:before="0" w:after="0" w:line="360" w:lineRule="auto"/>
        <w:ind w:left="420" w:leftChars="200"/>
        <w:rPr>
          <w:rFonts w:hint="eastAsia" w:ascii="宋体" w:hAnsi="宋体" w:cs="宋体"/>
          <w:color w:val="auto"/>
          <w:sz w:val="24"/>
          <w:highlight w:val="none"/>
        </w:rPr>
      </w:pPr>
      <w:bookmarkStart w:id="84" w:name="_Toc254970532"/>
      <w:bookmarkStart w:id="85" w:name="_Toc254970673"/>
      <w:r>
        <w:rPr>
          <w:rFonts w:hint="eastAsia" w:ascii="宋体" w:hAnsi="宋体" w:cs="宋体"/>
          <w:color w:val="auto"/>
          <w:sz w:val="24"/>
          <w:highlight w:val="none"/>
        </w:rPr>
        <w:t>8.特别说明</w:t>
      </w:r>
      <w:bookmarkEnd w:id="84"/>
      <w:bookmarkEnd w:id="85"/>
    </w:p>
    <w:p w14:paraId="3F8DF60D">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bookmarkStart w:id="86" w:name="_8.1提供相同品牌产品且通过资格审查、符合性审查的不同投标人参加同一合"/>
      <w:bookmarkEnd w:id="86"/>
      <w:r>
        <w:rPr>
          <w:rFonts w:hint="eastAsia" w:ascii="宋体" w:hAnsi="宋体" w:cs="宋体"/>
          <w:b w:val="0"/>
          <w:color w:val="auto"/>
          <w:sz w:val="21"/>
          <w:szCs w:val="21"/>
          <w:highlight w:val="none"/>
        </w:rPr>
        <w:fldChar w:fldCharType="begin"/>
      </w:r>
      <w:r>
        <w:rPr>
          <w:rFonts w:hint="eastAsia" w:ascii="宋体" w:hAnsi="宋体" w:cs="宋体"/>
          <w:b w:val="0"/>
          <w:color w:val="auto"/>
          <w:sz w:val="21"/>
          <w:szCs w:val="21"/>
          <w:highlight w:val="none"/>
        </w:rPr>
        <w:instrText xml:space="preserve"> HYPERLINK  \l "_8.1"</w:instrText>
      </w:r>
      <w:r>
        <w:rPr>
          <w:rFonts w:hint="eastAsia" w:ascii="宋体" w:hAnsi="宋体" w:cs="宋体"/>
          <w:b w:val="0"/>
          <w:color w:val="auto"/>
          <w:sz w:val="21"/>
          <w:szCs w:val="21"/>
          <w:highlight w:val="none"/>
        </w:rPr>
        <w:fldChar w:fldCharType="separate"/>
      </w:r>
      <w:r>
        <w:rPr>
          <w:rFonts w:hint="eastAsia" w:ascii="宋体" w:hAnsi="宋体" w:cs="宋体"/>
          <w:b w:val="0"/>
          <w:color w:val="auto"/>
          <w:sz w:val="21"/>
          <w:szCs w:val="21"/>
          <w:highlight w:val="none"/>
        </w:rPr>
        <w:t>8.1</w:t>
      </w:r>
      <w:r>
        <w:rPr>
          <w:rFonts w:hint="eastAsia" w:ascii="宋体" w:hAnsi="宋体" w:cs="宋体"/>
          <w:b w:val="0"/>
          <w:color w:val="auto"/>
          <w:sz w:val="21"/>
          <w:szCs w:val="21"/>
          <w:highlight w:val="none"/>
        </w:rPr>
        <w:fldChar w:fldCharType="end"/>
      </w:r>
      <w:r>
        <w:rPr>
          <w:rFonts w:hint="eastAsia" w:ascii="宋体" w:hAnsi="宋体" w:cs="宋体"/>
          <w:b w:val="0"/>
          <w:color w:val="auto"/>
          <w:sz w:val="21"/>
          <w:szCs w:val="21"/>
          <w:highlight w:val="none"/>
        </w:rPr>
        <w:t>采用最低评标价法的采购项目，提供相同品牌产品的不同投标人参加同一合同项下投标的，以其中通过资格审查、符合性审查且报价最低的参加评标；报价相同的，由采购人或者采购人委托评标委员会按照“投标人须知前附表”规定的方式确定一个参加评标的投标人，</w:t>
      </w:r>
      <w:r>
        <w:rPr>
          <w:rFonts w:hint="eastAsia" w:ascii="宋体" w:hAnsi="宋体" w:cs="宋体"/>
          <w:color w:val="auto"/>
          <w:sz w:val="22"/>
          <w:szCs w:val="22"/>
          <w:highlight w:val="none"/>
        </w:rPr>
        <w:t>其他投标无效。</w:t>
      </w:r>
    </w:p>
    <w:p w14:paraId="164CEF18">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投标人须知前附表”规定的方式确定一个投标人获得中标人推荐资格，其他同品牌投标人不作为中标候选人。</w:t>
      </w:r>
    </w:p>
    <w:p w14:paraId="237B0D1E">
      <w:pPr>
        <w:pStyle w:val="25"/>
        <w:snapToGrid w:val="0"/>
        <w:spacing w:line="360" w:lineRule="auto"/>
        <w:ind w:left="2" w:leftChars="1" w:firstLine="420" w:firstLineChars="200"/>
        <w:rPr>
          <w:rFonts w:hint="eastAsia" w:hAnsi="宋体" w:cs="宋体"/>
          <w:color w:val="auto"/>
          <w:kern w:val="2"/>
          <w:sz w:val="21"/>
          <w:highlight w:val="none"/>
        </w:rPr>
      </w:pPr>
      <w:r>
        <w:rPr>
          <w:rFonts w:hint="eastAsia" w:hAnsi="宋体" w:cs="宋体"/>
          <w:color w:val="auto"/>
          <w:kern w:val="2"/>
          <w:sz w:val="21"/>
          <w:highlight w:val="none"/>
        </w:rPr>
        <w:t>非单一产品采购项目，多家投标人提供的核心产品品牌相同的，</w:t>
      </w:r>
      <w:r>
        <w:rPr>
          <w:rFonts w:hint="eastAsia" w:hAnsi="宋体" w:cs="宋体"/>
          <w:color w:val="auto"/>
          <w:sz w:val="22"/>
          <w:szCs w:val="22"/>
          <w:highlight w:val="none"/>
        </w:rPr>
        <w:t>按前两款规定处理</w:t>
      </w:r>
      <w:r>
        <w:rPr>
          <w:rFonts w:hint="eastAsia" w:hAnsi="宋体" w:cs="宋体"/>
          <w:color w:val="auto"/>
          <w:kern w:val="2"/>
          <w:sz w:val="21"/>
          <w:highlight w:val="none"/>
        </w:rPr>
        <w:t>。</w:t>
      </w:r>
    </w:p>
    <w:p w14:paraId="0D3DC570">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8.2如果本招标文件要求提供投标人或制造商的资格、信誉、荣誉、业绩与企业认证等材料的，资格、信誉、荣誉、业绩与企业认证等必须为投标人或者制造商所拥有或自身获得 。</w:t>
      </w:r>
    </w:p>
    <w:p w14:paraId="7F45C495">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8.3投标人应仔细阅读招标文件的所有内容，按照招标文件的要求提交投标文件，并对所提供的全部资料的真实性承担法律责任。</w:t>
      </w:r>
    </w:p>
    <w:p w14:paraId="30CA0143">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8.4投标人在投标活动中提供任何虚假材料，将报监管部门查处；中标后发现的，中标人须依法赔偿采购人，且民事赔偿并不免除违法投标人的行政与刑事责任。</w:t>
      </w:r>
    </w:p>
    <w:p w14:paraId="2167E911">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9.回避与串通投标</w:t>
      </w:r>
    </w:p>
    <w:p w14:paraId="11B022EE">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9.1在政府采购活动中，采购人员及相关人员与供应商有下列利害关系之一的，应当回避：</w:t>
      </w:r>
    </w:p>
    <w:p w14:paraId="6C13813B">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（1）参加采购活动前3年内与供应商存在劳动关系；</w:t>
      </w:r>
    </w:p>
    <w:p w14:paraId="32D168B5">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（2）参加采购活动前3年内担任供应商的董事、监事；</w:t>
      </w:r>
    </w:p>
    <w:p w14:paraId="0AC6798D">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（3）参加采购活动前3年内是供应商的控股股东或者实际控制人；</w:t>
      </w:r>
    </w:p>
    <w:p w14:paraId="3730BE0D">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（4）与供应商的法定代表人或者负责人有夫妻、直系血亲、三代以内旁系血亲或者近姻亲关系；</w:t>
      </w:r>
    </w:p>
    <w:p w14:paraId="29A3F071">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（5）与供应商有其他可能影响政府采购活动公平、公正进行的关系。</w:t>
      </w:r>
    </w:p>
    <w:p w14:paraId="3960ADD1">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38C6F57">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9.2有下列情形之一的视为投标人相互串通投标，投标文件将被视为无效：</w:t>
      </w:r>
    </w:p>
    <w:p w14:paraId="6F689E0C">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 xml:space="preserve">（1）不同投标人的投标文件由同一单位或者个人编制； </w:t>
      </w:r>
    </w:p>
    <w:p w14:paraId="5A6FAF58">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（2）不同投标人委托同一单位或者个人办理投标事宜；</w:t>
      </w:r>
    </w:p>
    <w:p w14:paraId="71940E02">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（3）不同的投标人的投标文件载明的项目管理员为同一个人；</w:t>
      </w:r>
    </w:p>
    <w:p w14:paraId="31384A06">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（4）不同投标人的投标文件异常一致或者投标报价呈规律性差异；</w:t>
      </w:r>
    </w:p>
    <w:p w14:paraId="1E42710E">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（5）不同投标人的投标文件相互混装；</w:t>
      </w:r>
    </w:p>
    <w:p w14:paraId="054F93F2">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（6）不同投标人的投标保证金从同一单位或者个人账户转出。</w:t>
      </w:r>
    </w:p>
    <w:p w14:paraId="404C6EBB">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9.3供应商有下列情形之一的，属于恶意串通行为，将报同级监督管理部门：</w:t>
      </w:r>
    </w:p>
    <w:p w14:paraId="4D2BF5A5">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（1）供应商直接或者间接从采购人或者采购代理机构处获得其他供应商的相关信息并修改其投标文件或者响应文件；</w:t>
      </w:r>
    </w:p>
    <w:p w14:paraId="0C769AE0">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（2）供应商按照采购人或者采购代理机构的授意撤换、修改投标文件或者响应文件；</w:t>
      </w:r>
    </w:p>
    <w:p w14:paraId="1843BB16">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（3）供应商之间协商报价、技术方案等投标文件或者响应文件的实质性内容；</w:t>
      </w:r>
    </w:p>
    <w:p w14:paraId="7DCD6BB6">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（4）属于同一集团、协会、商会等组织成员的供应商按照该组织要求协同参加政府采购活动；</w:t>
      </w:r>
    </w:p>
    <w:p w14:paraId="27DBCD2A">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（5）供应商之间事先约定一致抬高或者压低投标报价，或者在招标项目中事先约定轮流以高价位或者低价位中标，或者事先约定由某一特定供应商中标，然后再参加投标；</w:t>
      </w:r>
    </w:p>
    <w:p w14:paraId="2136F615">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（6）供应商之间商定部分供应商放弃参加政府采购活动或者放弃中标；</w:t>
      </w:r>
    </w:p>
    <w:p w14:paraId="71EBB74B">
      <w:pPr>
        <w:pStyle w:val="8"/>
        <w:keepNext w:val="0"/>
        <w:keepLines w:val="0"/>
        <w:spacing w:before="0" w:after="0" w:line="360" w:lineRule="auto"/>
        <w:ind w:firstLine="424" w:firstLineChars="202"/>
        <w:rPr>
          <w:rFonts w:hint="eastAsia" w:ascii="宋体" w:hAnsi="宋体" w:cs="宋体"/>
          <w:color w:val="auto"/>
          <w:sz w:val="21"/>
          <w:highlight w:val="none"/>
        </w:rPr>
      </w:pPr>
      <w:r>
        <w:rPr>
          <w:rFonts w:hint="eastAsia" w:ascii="宋体" w:hAnsi="宋体" w:cs="宋体"/>
          <w:b w:val="0"/>
          <w:bCs/>
          <w:color w:val="auto"/>
          <w:sz w:val="21"/>
          <w:szCs w:val="21"/>
          <w:highlight w:val="none"/>
        </w:rPr>
        <w:t>（7）供应商与采购人或者采购代理机构之间、供应商相互之间，为谋求特定供应商中标或者排斥其他供应商的其他串通行为。</w:t>
      </w:r>
    </w:p>
    <w:p w14:paraId="776A73DC">
      <w:pPr>
        <w:pStyle w:val="6"/>
        <w:keepNext w:val="0"/>
        <w:keepLines w:val="0"/>
        <w:jc w:val="center"/>
        <w:rPr>
          <w:rFonts w:hint="eastAsia" w:ascii="宋体" w:hAnsi="宋体" w:cs="宋体"/>
          <w:color w:val="auto"/>
          <w:highlight w:val="none"/>
        </w:rPr>
      </w:pPr>
      <w:bookmarkStart w:id="87" w:name="_Toc254970675"/>
      <w:bookmarkStart w:id="88" w:name="_Toc254970534"/>
      <w:r>
        <w:rPr>
          <w:rFonts w:hint="eastAsia" w:ascii="宋体" w:hAnsi="宋体" w:cs="宋体"/>
          <w:color w:val="auto"/>
          <w:highlight w:val="none"/>
        </w:rPr>
        <w:t>二、招标文件</w:t>
      </w:r>
      <w:bookmarkEnd w:id="87"/>
      <w:bookmarkEnd w:id="88"/>
    </w:p>
    <w:p w14:paraId="217086EA">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10.招标文件的组成</w:t>
      </w:r>
    </w:p>
    <w:p w14:paraId="310EF307">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（1）招标公告；</w:t>
      </w:r>
    </w:p>
    <w:p w14:paraId="5A34AE49">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（2）采购需求；</w:t>
      </w:r>
    </w:p>
    <w:p w14:paraId="05A5C1C0">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（3）投标人须知；</w:t>
      </w:r>
    </w:p>
    <w:p w14:paraId="6FF1B41C">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（4）评标方法及评标标准；</w:t>
      </w:r>
    </w:p>
    <w:p w14:paraId="5E9EFDF9">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（5）拟签订的合同文本；</w:t>
      </w:r>
    </w:p>
    <w:p w14:paraId="79C80806">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（6）投标文件格式。</w:t>
      </w:r>
    </w:p>
    <w:p w14:paraId="039B0F58">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11.招标文件的澄清、修改、现场考察和答疑会</w:t>
      </w:r>
    </w:p>
    <w:p w14:paraId="3CBD5B23">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11.1投标人应认真审阅本招标文件，如有疑问，或发现其中有误或有要求不合理的，应在招标公告公告期限届满之日起7个工作日内以纸质书面形式要求采购人或采购代理机构对招标文件予以澄清；否则，由此产生的后果由投标人自行负责。</w:t>
      </w:r>
    </w:p>
    <w:p w14:paraId="638B6DA7">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11.2采购人或者采购代理机构可以对已发出的招标文件进行必要的澄清或者修改，但不得改变采购标的和资格条件。澄清或者修改将在原公告发布媒体上发布更正公告。澄清或者修改的内容为招标文件的组成部分。澄清或者修改的内容可能影响投标文件编制的，采购人或者采购代理机构应当在投标截止时间至少15日前，在原公告发布媒体上发布更正公告；不足15日的，采购人或者采购代理机构应当顺延提交投标文件的截止时间。</w:t>
      </w:r>
    </w:p>
    <w:p w14:paraId="51C9F65E">
      <w:pPr>
        <w:pStyle w:val="8"/>
        <w:keepNext w:val="0"/>
        <w:keepLines w:val="0"/>
        <w:spacing w:before="0" w:after="0" w:line="360" w:lineRule="auto"/>
        <w:ind w:firstLine="424" w:firstLineChars="202"/>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11.3采购人和采购代理机构可以视采购具体情况，变更投标截止时间和开标时间，并在原公告发布媒体上发布更正公告。</w:t>
      </w:r>
    </w:p>
    <w:p w14:paraId="24CF5A3B">
      <w:pPr>
        <w:spacing w:line="360" w:lineRule="auto"/>
        <w:ind w:firstLine="420" w:firstLineChars="200"/>
        <w:rPr>
          <w:rFonts w:hint="eastAsia" w:ascii="宋体" w:hAnsi="宋体" w:cs="宋体"/>
          <w:color w:val="auto"/>
          <w:highlight w:val="none"/>
        </w:rPr>
      </w:pPr>
      <w:r>
        <w:rPr>
          <w:rFonts w:hint="eastAsia" w:ascii="宋体" w:hAnsi="宋体" w:cs="宋体"/>
          <w:color w:val="auto"/>
          <w:szCs w:val="21"/>
          <w:highlight w:val="none"/>
        </w:rPr>
        <w:t>11.4招标文件澄清、答复、修改、补充的内容为招标文件的组成部分。</w:t>
      </w:r>
      <w:r>
        <w:rPr>
          <w:rFonts w:hint="eastAsia" w:ascii="宋体" w:hAnsi="宋体" w:cs="宋体"/>
          <w:b/>
          <w:color w:val="auto"/>
          <w:szCs w:val="21"/>
          <w:highlight w:val="none"/>
        </w:rPr>
        <w:t>当招标文件与招标文件的澄清、答复、修改、补充通知就同一内容的表述不一致时，以最后发出的文件为准。</w:t>
      </w:r>
    </w:p>
    <w:p w14:paraId="7D5FE2D3">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11.</w:t>
      </w:r>
      <w:bookmarkStart w:id="89" w:name="_Hlk53134511"/>
      <w:r>
        <w:rPr>
          <w:rFonts w:hint="eastAsia" w:hAnsi="宋体" w:cs="宋体"/>
          <w:color w:val="auto"/>
          <w:sz w:val="21"/>
          <w:highlight w:val="none"/>
        </w:rPr>
        <w:t>5采购人或者采购代理机构可以在招标文件提供期限截止后，组织已获取招标文件的潜在投标人现场考察或者召开开标前答疑会，具体详见“投标人须知前附表”。</w:t>
      </w:r>
    </w:p>
    <w:bookmarkEnd w:id="89"/>
    <w:p w14:paraId="021D6F7B">
      <w:pPr>
        <w:pStyle w:val="6"/>
        <w:keepNext w:val="0"/>
        <w:keepLines w:val="0"/>
        <w:jc w:val="center"/>
        <w:rPr>
          <w:rFonts w:hint="eastAsia" w:ascii="宋体" w:hAnsi="宋体" w:cs="宋体"/>
          <w:color w:val="auto"/>
          <w:highlight w:val="none"/>
        </w:rPr>
      </w:pPr>
      <w:bookmarkStart w:id="90" w:name="_Toc254970676"/>
      <w:bookmarkStart w:id="91" w:name="_Toc254970535"/>
      <w:r>
        <w:rPr>
          <w:rFonts w:hint="eastAsia" w:ascii="宋体" w:hAnsi="宋体" w:cs="宋体"/>
          <w:color w:val="auto"/>
          <w:highlight w:val="none"/>
        </w:rPr>
        <w:t>三、投标文件的编制</w:t>
      </w:r>
      <w:bookmarkEnd w:id="90"/>
      <w:bookmarkEnd w:id="91"/>
    </w:p>
    <w:p w14:paraId="30D4776B">
      <w:pPr>
        <w:pStyle w:val="8"/>
        <w:keepNext w:val="0"/>
        <w:keepLines w:val="0"/>
        <w:spacing w:before="0" w:after="0" w:line="360" w:lineRule="auto"/>
        <w:ind w:left="420" w:leftChars="200"/>
        <w:rPr>
          <w:rFonts w:hint="eastAsia" w:ascii="宋体" w:hAnsi="宋体" w:cs="宋体"/>
          <w:color w:val="auto"/>
          <w:sz w:val="24"/>
          <w:highlight w:val="none"/>
        </w:rPr>
      </w:pPr>
      <w:bookmarkStart w:id="92" w:name="_Toc254970677"/>
      <w:bookmarkStart w:id="93" w:name="_Toc254970536"/>
      <w:r>
        <w:rPr>
          <w:rFonts w:hint="eastAsia" w:ascii="宋体" w:hAnsi="宋体" w:cs="宋体"/>
          <w:color w:val="auto"/>
          <w:sz w:val="24"/>
          <w:highlight w:val="none"/>
        </w:rPr>
        <w:t>12.投标文件的编制原则</w:t>
      </w:r>
    </w:p>
    <w:p w14:paraId="3DF0F6FD">
      <w:pPr>
        <w:snapToGrid w:val="0"/>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投标人必须按照招标文件的要求编制投标文件。投标文件必须对招标文件提出的要求和条件作出明确响应。</w:t>
      </w:r>
    </w:p>
    <w:p w14:paraId="3DA8E630">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13.投标文件的组成</w:t>
      </w:r>
      <w:bookmarkEnd w:id="92"/>
      <w:bookmarkEnd w:id="93"/>
    </w:p>
    <w:p w14:paraId="503878B3">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13.1投标文件由报价文件、资格证明文件、商务文件、技术文件四部分组成。</w:t>
      </w:r>
    </w:p>
    <w:p w14:paraId="42E97114">
      <w:pPr>
        <w:pStyle w:val="8"/>
        <w:keepNext w:val="0"/>
        <w:keepLines w:val="0"/>
        <w:spacing w:before="0" w:after="0" w:line="360" w:lineRule="auto"/>
        <w:ind w:left="420" w:leftChars="200"/>
        <w:rPr>
          <w:rFonts w:hint="eastAsia" w:ascii="宋体" w:hAnsi="宋体" w:cs="宋体"/>
          <w:b w:val="0"/>
          <w:color w:val="auto"/>
          <w:sz w:val="21"/>
          <w:szCs w:val="21"/>
          <w:highlight w:val="none"/>
        </w:rPr>
      </w:pPr>
      <w:bookmarkStart w:id="94" w:name="_13.1报价文件:_具体材料见“投标人须知前附表”。"/>
      <w:bookmarkEnd w:id="94"/>
      <w:r>
        <w:rPr>
          <w:rFonts w:hint="eastAsia" w:ascii="宋体" w:hAnsi="宋体" w:cs="宋体"/>
          <w:b w:val="0"/>
          <w:color w:val="auto"/>
          <w:sz w:val="21"/>
          <w:szCs w:val="21"/>
          <w:highlight w:val="none"/>
        </w:rPr>
        <w:t>（1）报价文件：具体材料见“投标人须知前附表”。</w:t>
      </w:r>
    </w:p>
    <w:p w14:paraId="08FC2FAE">
      <w:pPr>
        <w:pStyle w:val="8"/>
        <w:keepNext w:val="0"/>
        <w:keepLines w:val="0"/>
        <w:spacing w:before="0" w:after="0" w:line="360" w:lineRule="auto"/>
        <w:ind w:left="420" w:leftChars="200"/>
        <w:rPr>
          <w:rFonts w:hint="eastAsia" w:ascii="宋体" w:hAnsi="宋体" w:cs="宋体"/>
          <w:b w:val="0"/>
          <w:color w:val="auto"/>
          <w:sz w:val="21"/>
          <w:szCs w:val="21"/>
          <w:highlight w:val="none"/>
        </w:rPr>
      </w:pPr>
      <w:bookmarkStart w:id="95" w:name="_13.2资格证明文件：具体材料见“投标人须知前附表”。"/>
      <w:bookmarkEnd w:id="95"/>
      <w:r>
        <w:rPr>
          <w:rFonts w:hint="eastAsia" w:ascii="宋体" w:hAnsi="宋体" w:cs="宋体"/>
          <w:b w:val="0"/>
          <w:color w:val="auto"/>
          <w:sz w:val="21"/>
          <w:szCs w:val="21"/>
          <w:highlight w:val="none"/>
        </w:rPr>
        <w:t>（2）资格证明文件：具体材料见“投标人须知前附表”。</w:t>
      </w:r>
    </w:p>
    <w:p w14:paraId="67FC3531">
      <w:pPr>
        <w:pStyle w:val="8"/>
        <w:keepNext w:val="0"/>
        <w:keepLines w:val="0"/>
        <w:spacing w:before="0" w:after="0" w:line="360" w:lineRule="auto"/>
        <w:ind w:left="420" w:leftChars="200"/>
        <w:rPr>
          <w:rFonts w:hint="eastAsia" w:ascii="宋体" w:hAnsi="宋体" w:cs="宋体"/>
          <w:b w:val="0"/>
          <w:color w:val="auto"/>
          <w:sz w:val="21"/>
          <w:szCs w:val="21"/>
          <w:highlight w:val="none"/>
        </w:rPr>
      </w:pPr>
      <w:bookmarkStart w:id="96" w:name="_13.3商务文件:_具体材料见“投标人须知前附表”。"/>
      <w:bookmarkEnd w:id="96"/>
      <w:r>
        <w:rPr>
          <w:rFonts w:hint="eastAsia" w:ascii="宋体" w:hAnsi="宋体" w:cs="宋体"/>
          <w:b w:val="0"/>
          <w:color w:val="auto"/>
          <w:sz w:val="21"/>
          <w:szCs w:val="21"/>
          <w:highlight w:val="none"/>
        </w:rPr>
        <w:t>（3）商务文件：具体材料见“投标人须知前附表”。</w:t>
      </w:r>
    </w:p>
    <w:p w14:paraId="0D9786C1">
      <w:pPr>
        <w:pStyle w:val="8"/>
        <w:keepNext w:val="0"/>
        <w:keepLines w:val="0"/>
        <w:spacing w:before="0" w:after="0" w:line="360" w:lineRule="auto"/>
        <w:ind w:left="420" w:leftChars="200"/>
        <w:rPr>
          <w:rFonts w:hint="eastAsia" w:ascii="宋体" w:hAnsi="宋体" w:cs="宋体"/>
          <w:b w:val="0"/>
          <w:color w:val="auto"/>
          <w:sz w:val="21"/>
          <w:szCs w:val="21"/>
          <w:highlight w:val="none"/>
        </w:rPr>
      </w:pPr>
      <w:bookmarkStart w:id="97" w:name="_13.4技术文件：具体材料见“投标人须知前附表”。"/>
      <w:bookmarkEnd w:id="97"/>
      <w:r>
        <w:rPr>
          <w:rFonts w:hint="eastAsia" w:ascii="宋体" w:hAnsi="宋体" w:cs="宋体"/>
          <w:b w:val="0"/>
          <w:color w:val="auto"/>
          <w:sz w:val="21"/>
          <w:szCs w:val="21"/>
          <w:highlight w:val="none"/>
        </w:rPr>
        <w:t>（4）技术文件：具体材料见“投标人须知前附表”。</w:t>
      </w:r>
      <w:bookmarkStart w:id="98" w:name="_13.5投标文件电子版：具体材料见“投标人须知前附表”。"/>
      <w:bookmarkEnd w:id="98"/>
    </w:p>
    <w:p w14:paraId="7287651D">
      <w:pPr>
        <w:pStyle w:val="8"/>
        <w:keepNext w:val="0"/>
        <w:keepLines w:val="0"/>
        <w:spacing w:before="0" w:after="0" w:line="360" w:lineRule="auto"/>
        <w:ind w:left="420" w:leftChars="200"/>
        <w:rPr>
          <w:rFonts w:hint="eastAsia" w:ascii="宋体" w:hAnsi="宋体" w:cs="宋体"/>
          <w:color w:val="auto"/>
          <w:sz w:val="24"/>
          <w:highlight w:val="none"/>
        </w:rPr>
      </w:pPr>
      <w:bookmarkStart w:id="99" w:name="_Toc254970537"/>
      <w:bookmarkStart w:id="100" w:name="_Toc254970678"/>
      <w:r>
        <w:rPr>
          <w:rFonts w:hint="eastAsia" w:ascii="宋体" w:hAnsi="宋体" w:cs="宋体"/>
          <w:color w:val="auto"/>
          <w:sz w:val="24"/>
          <w:highlight w:val="none"/>
        </w:rPr>
        <w:t>14.投标文件的语言及计量</w:t>
      </w:r>
      <w:bookmarkEnd w:id="99"/>
      <w:bookmarkEnd w:id="100"/>
    </w:p>
    <w:p w14:paraId="3FD57A98">
      <w:pPr>
        <w:pStyle w:val="8"/>
        <w:keepNext w:val="0"/>
        <w:keepLines w:val="0"/>
        <w:spacing w:before="0" w:after="0" w:line="360" w:lineRule="auto"/>
        <w:ind w:left="420" w:left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14.1语言文字</w:t>
      </w:r>
    </w:p>
    <w:p w14:paraId="5C677F90">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454CF105">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14.2投标计量单位</w:t>
      </w:r>
    </w:p>
    <w:p w14:paraId="2254AA63">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招标文件已有明确规定的，使用招标文件规定的计量单位；招标文件没有规定的，应采用中华人民共和国法定计量单位，货币种类为人民币，否则视同未响应。</w:t>
      </w:r>
    </w:p>
    <w:p w14:paraId="477930CF">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15.投标的风险</w:t>
      </w:r>
    </w:p>
    <w:p w14:paraId="7B15DA42">
      <w:pPr>
        <w:pStyle w:val="25"/>
        <w:snapToGrid w:val="0"/>
        <w:spacing w:line="360" w:lineRule="auto"/>
        <w:ind w:firstLine="420" w:firstLineChars="200"/>
        <w:jc w:val="left"/>
        <w:rPr>
          <w:rFonts w:hint="eastAsia" w:hAnsi="宋体" w:cs="宋体"/>
          <w:color w:val="auto"/>
          <w:sz w:val="21"/>
          <w:highlight w:val="none"/>
        </w:rPr>
      </w:pPr>
      <w:r>
        <w:rPr>
          <w:rFonts w:hint="eastAsia" w:hAnsi="宋体" w:cs="宋体"/>
          <w:color w:val="auto"/>
          <w:sz w:val="21"/>
          <w:highlight w:val="none"/>
        </w:rPr>
        <w:t>投标人没有按照招标文件要求提供全部资料，或者投标人没有对招标文件作出实质性响应是投标人的风险，并可能导致其投标被拒绝。</w:t>
      </w:r>
    </w:p>
    <w:p w14:paraId="38C41016">
      <w:pPr>
        <w:pStyle w:val="8"/>
        <w:keepNext w:val="0"/>
        <w:keepLines w:val="0"/>
        <w:spacing w:before="0" w:after="0" w:line="360" w:lineRule="auto"/>
        <w:ind w:left="420" w:leftChars="200"/>
        <w:rPr>
          <w:rFonts w:hint="eastAsia" w:ascii="宋体" w:hAnsi="宋体" w:cs="宋体"/>
          <w:color w:val="auto"/>
          <w:sz w:val="24"/>
          <w:highlight w:val="none"/>
        </w:rPr>
      </w:pPr>
      <w:bookmarkStart w:id="101" w:name="_Toc254970538"/>
      <w:bookmarkStart w:id="102" w:name="_Toc254970679"/>
      <w:r>
        <w:rPr>
          <w:rFonts w:hint="eastAsia" w:ascii="宋体" w:hAnsi="宋体" w:cs="宋体"/>
          <w:color w:val="auto"/>
          <w:sz w:val="24"/>
          <w:highlight w:val="none"/>
        </w:rPr>
        <w:t>16.投标报价</w:t>
      </w:r>
      <w:bookmarkEnd w:id="101"/>
      <w:bookmarkEnd w:id="102"/>
    </w:p>
    <w:p w14:paraId="0F2601DF">
      <w:pPr>
        <w:pStyle w:val="8"/>
        <w:keepNext w:val="0"/>
        <w:keepLines w:val="0"/>
        <w:spacing w:before="0" w:after="0" w:line="360" w:lineRule="auto"/>
        <w:ind w:left="420" w:left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16.1投标报价应按“第六章　投标文件格式”中“开标一览表”格式填写。</w:t>
      </w:r>
    </w:p>
    <w:p w14:paraId="110C3DA4">
      <w:pPr>
        <w:pStyle w:val="8"/>
        <w:keepNext w:val="0"/>
        <w:keepLines w:val="0"/>
        <w:spacing w:before="0" w:after="0" w:line="360" w:lineRule="auto"/>
        <w:ind w:left="420" w:leftChars="200"/>
        <w:rPr>
          <w:rFonts w:hint="eastAsia" w:ascii="宋体" w:hAnsi="宋体" w:cs="宋体"/>
          <w:b w:val="0"/>
          <w:color w:val="auto"/>
          <w:sz w:val="21"/>
          <w:szCs w:val="21"/>
          <w:highlight w:val="none"/>
        </w:rPr>
      </w:pPr>
      <w:bookmarkStart w:id="103" w:name="_16.2投标报价具体定义见投标人须知前附表。"/>
      <w:bookmarkEnd w:id="103"/>
      <w:r>
        <w:rPr>
          <w:rFonts w:hint="eastAsia" w:ascii="宋体" w:hAnsi="宋体" w:cs="宋体"/>
          <w:b w:val="0"/>
          <w:color w:val="auto"/>
          <w:sz w:val="21"/>
          <w:szCs w:val="21"/>
          <w:highlight w:val="none"/>
        </w:rPr>
        <w:t>16.2投标报价具体包括内容详见“投标人须知前附表”。</w:t>
      </w:r>
    </w:p>
    <w:p w14:paraId="7502F6B0">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16.3投标人必须就所投每个分标的全部内容分别作完整唯一总价报价，不得存在漏项报价；投标人必须就所投分标的单项内容作唯一报价。</w:t>
      </w:r>
    </w:p>
    <w:p w14:paraId="7558A58B">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17.投标有效期</w:t>
      </w:r>
    </w:p>
    <w:p w14:paraId="072862B8">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bookmarkStart w:id="104" w:name="_17.1投标有效期应按“投标人须知中的前附表”规定的期限。"/>
      <w:bookmarkEnd w:id="104"/>
      <w:r>
        <w:rPr>
          <w:rFonts w:hint="eastAsia" w:ascii="宋体" w:hAnsi="宋体" w:cs="宋体"/>
          <w:b w:val="0"/>
          <w:color w:val="auto"/>
          <w:sz w:val="21"/>
          <w:szCs w:val="21"/>
          <w:highlight w:val="none"/>
        </w:rPr>
        <w:t>17.1投标有效期是指为保证采购人有足够的时间在开标后完成评标、定标、合同签订等工作而要求投标人提交的投标文件在一定时间内保持有效的期限。</w:t>
      </w:r>
    </w:p>
    <w:p w14:paraId="1E46E14F">
      <w:pPr>
        <w:pStyle w:val="8"/>
        <w:keepNext w:val="0"/>
        <w:keepLines w:val="0"/>
        <w:spacing w:before="0" w:after="0" w:line="360" w:lineRule="auto"/>
        <w:ind w:left="420" w:left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17.2</w:t>
      </w:r>
      <w:bookmarkStart w:id="105" w:name="_Toc254970681"/>
      <w:bookmarkStart w:id="106" w:name="_Toc254970540"/>
      <w:r>
        <w:rPr>
          <w:rFonts w:hint="eastAsia" w:ascii="宋体" w:hAnsi="宋体" w:cs="宋体"/>
          <w:b w:val="0"/>
          <w:color w:val="auto"/>
          <w:sz w:val="21"/>
          <w:szCs w:val="21"/>
          <w:highlight w:val="none"/>
        </w:rPr>
        <w:t>投标有效期应按规定的期限作出承诺，具体详见“投标人须知前附表”。</w:t>
      </w:r>
    </w:p>
    <w:p w14:paraId="0F4A4EC9">
      <w:pPr>
        <w:pStyle w:val="8"/>
        <w:keepNext w:val="0"/>
        <w:keepLines w:val="0"/>
        <w:spacing w:before="0" w:after="0" w:line="360" w:lineRule="auto"/>
        <w:ind w:left="420" w:left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17.3投标人的投标文件在投标有效期内均保持有效。</w:t>
      </w:r>
      <w:bookmarkEnd w:id="105"/>
      <w:bookmarkEnd w:id="106"/>
    </w:p>
    <w:p w14:paraId="40FACAAB">
      <w:pPr>
        <w:pStyle w:val="8"/>
        <w:keepNext w:val="0"/>
        <w:keepLines w:val="0"/>
        <w:spacing w:before="0" w:after="0" w:line="360" w:lineRule="auto"/>
        <w:ind w:left="420" w:leftChars="200"/>
        <w:rPr>
          <w:rFonts w:hint="eastAsia" w:ascii="宋体" w:hAnsi="宋体" w:cs="宋体"/>
          <w:color w:val="auto"/>
          <w:sz w:val="24"/>
          <w:highlight w:val="none"/>
        </w:rPr>
      </w:pPr>
      <w:bookmarkStart w:id="107" w:name="_18.投标保证金"/>
      <w:bookmarkEnd w:id="107"/>
      <w:bookmarkStart w:id="108" w:name="_Toc254970541"/>
      <w:bookmarkStart w:id="109" w:name="_Toc254970682"/>
      <w:r>
        <w:rPr>
          <w:rFonts w:hint="eastAsia" w:ascii="宋体" w:hAnsi="宋体" w:cs="宋体"/>
          <w:color w:val="auto"/>
          <w:sz w:val="24"/>
          <w:highlight w:val="none"/>
        </w:rPr>
        <w:t>18.投标保证金</w:t>
      </w:r>
      <w:bookmarkEnd w:id="108"/>
      <w:bookmarkEnd w:id="109"/>
    </w:p>
    <w:p w14:paraId="68B6E8FE">
      <w:pPr>
        <w:pStyle w:val="8"/>
        <w:keepNext w:val="0"/>
        <w:keepLines w:val="0"/>
        <w:spacing w:before="0" w:after="0" w:line="360" w:lineRule="auto"/>
        <w:ind w:left="420" w:left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18.1投标人须按“投标人须知前附表”的规定提交投标保证金。</w:t>
      </w:r>
    </w:p>
    <w:p w14:paraId="6EF4FFB1">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18.2投标保证金的退还</w:t>
      </w:r>
    </w:p>
    <w:p w14:paraId="52FAE7C2">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未中标人的投标保证金自中标通知书发出之日起5个工作日内退还；中标人的投标保证金自政府采购合同签订之日起5个工作日内退还。</w:t>
      </w:r>
    </w:p>
    <w:p w14:paraId="2326DFA7">
      <w:pPr>
        <w:pStyle w:val="8"/>
        <w:keepNext w:val="0"/>
        <w:keepLines w:val="0"/>
        <w:spacing w:before="0" w:after="0" w:line="360" w:lineRule="auto"/>
        <w:ind w:left="420" w:left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18.3除逾期退还投标保证金和终止招标的情形以外，投标保证金不计息。</w:t>
      </w:r>
    </w:p>
    <w:p w14:paraId="2FABD70C">
      <w:pPr>
        <w:pStyle w:val="8"/>
        <w:keepNext w:val="0"/>
        <w:keepLines w:val="0"/>
        <w:spacing w:before="0" w:after="0" w:line="360" w:lineRule="auto"/>
        <w:ind w:left="420" w:left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18.4投标人有下列情形之一的，投标保证金将不予退还： </w:t>
      </w:r>
    </w:p>
    <w:p w14:paraId="122D8F7C">
      <w:pPr>
        <w:snapToGrid w:val="0"/>
        <w:spacing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（1）投标人在投标有效期内撤销投标文件的；</w:t>
      </w:r>
    </w:p>
    <w:p w14:paraId="103A24CF">
      <w:pPr>
        <w:snapToGrid w:val="0"/>
        <w:spacing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（2）未按规定提交履约保证金的；</w:t>
      </w:r>
    </w:p>
    <w:p w14:paraId="2E3016F1">
      <w:pPr>
        <w:snapToGrid w:val="0"/>
        <w:spacing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（3）投标人在投标过程中弄虚作假，提供虚假材料的；</w:t>
      </w:r>
    </w:p>
    <w:p w14:paraId="12E349D9">
      <w:pPr>
        <w:snapToGrid w:val="0"/>
        <w:spacing w:line="360" w:lineRule="auto"/>
        <w:ind w:firstLine="411" w:firstLineChars="196"/>
        <w:rPr>
          <w:rFonts w:hint="eastAsia" w:ascii="宋体" w:hAnsi="宋体" w:cs="宋体"/>
          <w:color w:val="auto"/>
          <w:szCs w:val="21"/>
          <w:highlight w:val="none"/>
        </w:rPr>
      </w:pPr>
      <w:r>
        <w:rPr>
          <w:rFonts w:hint="eastAsia" w:ascii="宋体" w:hAnsi="宋体" w:cs="宋体"/>
          <w:color w:val="auto"/>
          <w:szCs w:val="21"/>
          <w:highlight w:val="none"/>
        </w:rPr>
        <w:t>（4）中标人无正当理由不与采购人签订合同的；</w:t>
      </w:r>
    </w:p>
    <w:p w14:paraId="2E3C24F3">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（5）投标人出现本章第9.2、9.3情形的；</w:t>
      </w:r>
    </w:p>
    <w:p w14:paraId="4E0628B3">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（6）法律法规规定的其他情形。</w:t>
      </w:r>
    </w:p>
    <w:p w14:paraId="575BC6FA">
      <w:pPr>
        <w:pStyle w:val="8"/>
        <w:keepNext w:val="0"/>
        <w:keepLines w:val="0"/>
        <w:spacing w:before="0" w:after="0" w:line="360" w:lineRule="auto"/>
        <w:ind w:left="420" w:leftChars="200"/>
        <w:rPr>
          <w:rFonts w:hint="eastAsia" w:ascii="宋体" w:hAnsi="宋体" w:cs="宋体"/>
          <w:color w:val="auto"/>
          <w:sz w:val="24"/>
          <w:highlight w:val="none"/>
        </w:rPr>
      </w:pPr>
      <w:bookmarkStart w:id="110" w:name="_Toc254970542"/>
      <w:bookmarkStart w:id="111" w:name="_Toc254970683"/>
      <w:r>
        <w:rPr>
          <w:rFonts w:hint="eastAsia" w:ascii="宋体" w:hAnsi="宋体" w:cs="宋体"/>
          <w:color w:val="auto"/>
          <w:sz w:val="24"/>
          <w:highlight w:val="none"/>
        </w:rPr>
        <w:t>19.投标文件的</w:t>
      </w:r>
      <w:bookmarkEnd w:id="110"/>
      <w:bookmarkEnd w:id="111"/>
      <w:r>
        <w:rPr>
          <w:rFonts w:hint="eastAsia" w:ascii="宋体" w:hAnsi="宋体" w:cs="宋体"/>
          <w:color w:val="auto"/>
          <w:sz w:val="24"/>
          <w:highlight w:val="none"/>
        </w:rPr>
        <w:t>编制</w:t>
      </w:r>
    </w:p>
    <w:p w14:paraId="4652FBA4">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19.1投标人应按照本项目招标文件规定的格式和顺序和广西政府采购云平台的要求编制并加密。投标文件内容不完整、编排混乱导致投标文件被误读、漏读或者查找不到相关内容的，由此引发的后果由投标人承担。</w:t>
      </w:r>
    </w:p>
    <w:p w14:paraId="0FF3AB1F">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bookmarkStart w:id="112" w:name="_19.2投标文件应按报价文件、资格证明文件、商务文件、技术文件分别编制"/>
      <w:bookmarkEnd w:id="112"/>
      <w:r>
        <w:rPr>
          <w:rFonts w:hint="eastAsia" w:ascii="宋体" w:hAnsi="宋体" w:cs="宋体"/>
          <w:b w:val="0"/>
          <w:color w:val="auto"/>
          <w:sz w:val="21"/>
          <w:szCs w:val="21"/>
          <w:highlight w:val="none"/>
        </w:rPr>
        <w:t>19.2为确保网上操作合法、有效和安全，投标人应当在投标截止时间前完成在广西政府采购云平台的身份认证，确保在电子投标过程中能够对相关数据电文进行加密和使用电子签章。</w:t>
      </w:r>
    </w:p>
    <w:p w14:paraId="4839E60A">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19.</w:t>
      </w:r>
      <w:bookmarkStart w:id="113" w:name="_Hlk65832616"/>
      <w:r>
        <w:rPr>
          <w:rFonts w:hint="eastAsia" w:ascii="宋体" w:hAnsi="宋体" w:cs="宋体"/>
          <w:b w:val="0"/>
          <w:color w:val="auto"/>
          <w:sz w:val="21"/>
          <w:szCs w:val="21"/>
          <w:highlight w:val="none"/>
        </w:rPr>
        <w:t>3</w:t>
      </w:r>
      <w:bookmarkEnd w:id="113"/>
      <w:r>
        <w:rPr>
          <w:rFonts w:hint="eastAsia" w:ascii="宋体" w:hAnsi="宋体" w:cs="宋体"/>
          <w:b w:val="0"/>
          <w:color w:val="auto"/>
          <w:sz w:val="21"/>
          <w:szCs w:val="21"/>
          <w:highlight w:val="none"/>
        </w:rPr>
        <w:t>投标文件须由投标人在规定位置签字（或者电子签名）、盖章（具体以投标人须知前附表或投标文件格式规定为准），否则按无效投标处理。</w:t>
      </w:r>
    </w:p>
    <w:p w14:paraId="52A4217A">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19.4投标文件中标注的投标人名称应与主体资格证明（如营业执照或者事业单位法人证书或者执业许可证或者登记证书等）及公章一致，并与广西政府采购云平台中获取招标文件的投标人名称一致，投标人为自然人的，标注的投标人名称应与身份证姓名及签名一致，否则按无效投标处理。</w:t>
      </w:r>
    </w:p>
    <w:p w14:paraId="0B6FA60C">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19.5投标文件应尽量避免涂改、行间插字或者删除。如果出现上述情况，改动之处应由投标人的法定代表人或者其委托代理人签字（或者电子签名）或者加盖公章或者加盖电子签章。投标文件因字迹潦草或者表达不清所引起的后果由投标人承担。</w:t>
      </w:r>
    </w:p>
    <w:p w14:paraId="55D3ECE0">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20.电子备份投标文件</w:t>
      </w:r>
    </w:p>
    <w:p w14:paraId="0C6E9F78">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20.1电子备份投标文件是指通过在线编制生成且后缀名为“bfbs”的文件，是否接受电子备份投标文件详见在“投标人须知前附表”。</w:t>
      </w:r>
    </w:p>
    <w:p w14:paraId="41740979">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20.2投标文件的加密、解密：电子投标文件编制完成后，投标人应按广西政府采购云平台的要求进行加密，并在规定时间内解密，否则，由此产生的后果由投标人自行负责。</w:t>
      </w:r>
    </w:p>
    <w:p w14:paraId="580D9772">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21.投标文件的提交</w:t>
      </w:r>
    </w:p>
    <w:p w14:paraId="4FD88A40">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bookmarkStart w:id="114" w:name="_21.1投标人必须在“投标人须知中的前附表”规定的投标文件接收时间和投"/>
      <w:bookmarkEnd w:id="114"/>
      <w:r>
        <w:rPr>
          <w:rFonts w:hint="eastAsia" w:ascii="宋体" w:hAnsi="宋体" w:cs="宋体"/>
          <w:b w:val="0"/>
          <w:color w:val="auto"/>
          <w:sz w:val="21"/>
          <w:szCs w:val="21"/>
          <w:highlight w:val="none"/>
        </w:rPr>
        <w:t>21.1投标人必须在“投标人须知前附表”规定的提交投标文件截止时间前将电子投标文件提交至投标地点。电子投标文件应在制作完成后，在投标截止时间前通过有效数字证书（CA认证锁）进行电子签章、加密，然后通过网络将加密的电子投标文件递交至广西政府采购云平台。</w:t>
      </w:r>
    </w:p>
    <w:p w14:paraId="6D4EE18F">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21.2本项目为全流程电子化政府采购项目，通过广西政府采购云平台（https://www.gcy.zfcg.gxzf.gov.cn/）实行在线电子投标。投标人必须在“投标人须知前附表”规定的投标文件接收时间内通过网络将电子投标文件上传至广西政府采购云平台，供应商在广西政府采购云平台提交电子版投标文件时，请填写参加远程开标活动经办人联系方式。</w:t>
      </w:r>
    </w:p>
    <w:p w14:paraId="3BA51AAA">
      <w:pPr>
        <w:pStyle w:val="8"/>
        <w:keepNext w:val="0"/>
        <w:keepLines w:val="0"/>
        <w:spacing w:before="0" w:after="0" w:line="360" w:lineRule="auto"/>
        <w:ind w:firstLine="420" w:firstLineChars="200"/>
        <w:jc w:val="left"/>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21.3未在规定时间内提交或者未按照招标文件要求加密的电子投标文件，广西政府采购云平台将拒收。</w:t>
      </w:r>
    </w:p>
    <w:p w14:paraId="70D96337">
      <w:pPr>
        <w:pStyle w:val="11"/>
        <w:rPr>
          <w:rFonts w:hint="eastAsia" w:ascii="宋体" w:hAnsi="宋体" w:cs="宋体"/>
          <w:color w:val="auto"/>
          <w:highlight w:val="none"/>
        </w:rPr>
      </w:pPr>
      <w:r>
        <w:rPr>
          <w:rFonts w:hint="eastAsia" w:ascii="宋体" w:hAnsi="宋体" w:cs="宋体"/>
          <w:color w:val="auto"/>
          <w:szCs w:val="21"/>
          <w:highlight w:val="none"/>
        </w:rPr>
        <w:t>21.4电子投标文件提交方式见“招标公告”中“四、提交投标文件截止时间、开标时间和地点”</w:t>
      </w:r>
    </w:p>
    <w:p w14:paraId="00CF4DE7">
      <w:pPr>
        <w:pStyle w:val="11"/>
        <w:rPr>
          <w:rFonts w:hint="eastAsia" w:ascii="宋体" w:hAnsi="宋体" w:cs="宋体"/>
          <w:color w:val="auto"/>
          <w:highlight w:val="none"/>
        </w:rPr>
      </w:pPr>
    </w:p>
    <w:p w14:paraId="694B2067">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22.投标文件的补充、修改、撤回与退回</w:t>
      </w:r>
    </w:p>
    <w:p w14:paraId="3ECF3C2D">
      <w:pPr>
        <w:snapToGrid w:val="0"/>
        <w:spacing w:line="360" w:lineRule="auto"/>
        <w:ind w:firstLine="420"/>
        <w:jc w:val="left"/>
        <w:rPr>
          <w:rFonts w:hint="eastAsia" w:ascii="宋体" w:hAnsi="宋体" w:cs="宋体"/>
          <w:color w:val="auto"/>
          <w:szCs w:val="21"/>
          <w:highlight w:val="none"/>
        </w:rPr>
      </w:pPr>
      <w:bookmarkStart w:id="115" w:name="_Toc254970543"/>
      <w:bookmarkStart w:id="116" w:name="_Toc254970684"/>
      <w:r>
        <w:rPr>
          <w:rFonts w:hint="eastAsia" w:ascii="宋体" w:hAnsi="宋体" w:cs="宋体"/>
          <w:color w:val="auto"/>
          <w:szCs w:val="21"/>
          <w:highlight w:val="none"/>
        </w:rPr>
        <w:t>22.1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广西政府采购云平台将予以拒收。</w:t>
      </w:r>
    </w:p>
    <w:bookmarkEnd w:id="115"/>
    <w:bookmarkEnd w:id="116"/>
    <w:p w14:paraId="178A4229">
      <w:pPr>
        <w:snapToGrid w:val="0"/>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22.2在投标截止时间止提交投标文件的投标人不足3家时，不得开标，采购代理机构将根据广西政府采购云平台的操作将电子版投标文件退回，除此之外采购人和采购代理机构对已提交的投标文件概不退回。</w:t>
      </w:r>
    </w:p>
    <w:p w14:paraId="1912DB5E">
      <w:pPr>
        <w:spacing w:line="360" w:lineRule="auto"/>
        <w:ind w:firstLine="420" w:firstLineChars="200"/>
        <w:rPr>
          <w:rFonts w:hint="eastAsia" w:ascii="宋体" w:hAnsi="宋体" w:cs="宋体"/>
          <w:snapToGrid w:val="0"/>
          <w:color w:val="auto"/>
          <w:szCs w:val="21"/>
          <w:highlight w:val="none"/>
        </w:rPr>
      </w:pPr>
      <w:r>
        <w:rPr>
          <w:rFonts w:hint="eastAsia" w:ascii="宋体" w:hAnsi="宋体" w:cs="宋体"/>
          <w:color w:val="auto"/>
          <w:szCs w:val="21"/>
          <w:highlight w:val="none"/>
        </w:rPr>
        <w:t>22.3投标人在投标截止时间后书面通知采购人、采购代理机构撤销投标文件的，将根据本须知正文18.4的规定不予退还其投标保证金。</w:t>
      </w:r>
    </w:p>
    <w:p w14:paraId="0C9E3FA4">
      <w:pPr>
        <w:pStyle w:val="6"/>
        <w:keepNext w:val="0"/>
        <w:keepLines w:val="0"/>
        <w:jc w:val="center"/>
        <w:rPr>
          <w:rFonts w:hint="eastAsia" w:ascii="宋体" w:hAnsi="宋体" w:cs="宋体"/>
          <w:color w:val="auto"/>
          <w:highlight w:val="none"/>
        </w:rPr>
      </w:pPr>
      <w:bookmarkStart w:id="117" w:name="_Toc254970544"/>
      <w:bookmarkStart w:id="118" w:name="_Toc254970685"/>
      <w:r>
        <w:rPr>
          <w:rFonts w:hint="eastAsia" w:ascii="宋体" w:hAnsi="宋体" w:cs="宋体"/>
          <w:color w:val="auto"/>
          <w:highlight w:val="none"/>
        </w:rPr>
        <w:t>四、开标</w:t>
      </w:r>
      <w:bookmarkEnd w:id="117"/>
      <w:bookmarkEnd w:id="118"/>
    </w:p>
    <w:p w14:paraId="75178A86">
      <w:pPr>
        <w:pStyle w:val="8"/>
        <w:keepNext w:val="0"/>
        <w:keepLines w:val="0"/>
        <w:spacing w:before="0" w:after="0" w:line="360" w:lineRule="auto"/>
        <w:ind w:left="420" w:leftChars="200"/>
        <w:rPr>
          <w:rFonts w:hint="eastAsia" w:ascii="宋体" w:hAnsi="宋体" w:cs="宋体"/>
          <w:color w:val="auto"/>
          <w:sz w:val="24"/>
          <w:highlight w:val="none"/>
        </w:rPr>
      </w:pPr>
      <w:bookmarkStart w:id="119" w:name="_23.开标时间和地点"/>
      <w:bookmarkEnd w:id="119"/>
      <w:r>
        <w:rPr>
          <w:rFonts w:hint="eastAsia" w:ascii="宋体" w:hAnsi="宋体" w:cs="宋体"/>
          <w:color w:val="auto"/>
          <w:sz w:val="24"/>
          <w:highlight w:val="none"/>
        </w:rPr>
        <w:t>23.开标时间和地点</w:t>
      </w:r>
    </w:p>
    <w:p w14:paraId="3D84AF8F">
      <w:pPr>
        <w:snapToGrid w:val="0"/>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23.1开标时间及地点详见“投标人须知前附表”</w:t>
      </w:r>
    </w:p>
    <w:p w14:paraId="3146A5FF">
      <w:pPr>
        <w:snapToGrid w:val="0"/>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23.2如投标人成功解密投标文件，但未在“广西政府采购云平台”电子开标大厅参加开标的，视同认可开标过程和结果，由此产生的后果由投标人自行负责。成功解密投标文件的投标人不足3家的，不得开标。</w:t>
      </w:r>
    </w:p>
    <w:p w14:paraId="5E8E0143">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24.开标程序</w:t>
      </w:r>
    </w:p>
    <w:p w14:paraId="1EF1204E">
      <w:pPr>
        <w:snapToGrid w:val="0"/>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24.1开标形式：</w:t>
      </w:r>
    </w:p>
    <w:p w14:paraId="1F145A9D">
      <w:pPr>
        <w:snapToGrid w:val="0"/>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采购代理机构将按照招标文件规定的时间通过广西政府采购云平台组织线上开标活动、开启投标文件，所有供应商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500177BE">
      <w:pPr>
        <w:snapToGrid w:val="0"/>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24.2开标程序：</w:t>
      </w:r>
    </w:p>
    <w:p w14:paraId="4CF34DF7">
      <w:pPr>
        <w:snapToGrid w:val="0"/>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1）解密电子投标文件。广西政府采购云平台按开标时间自动提取所有投标文件。采购代理机构依托广西政府采购云平台向各投标人发出电子加密投标文件【开始解密】通知，由投标人按“投标人须知前附表”规定的时间内自行进行投标文件解密。投标人的法定代表人或其委托代理人须凭加密时所用的CA锁准时登录到广西政府采购云平台电子开标大厅签到并对电子投标文件解密。</w:t>
      </w:r>
      <w:r>
        <w:rPr>
          <w:rFonts w:hint="eastAsia" w:ascii="宋体" w:hAnsi="宋体" w:cs="宋体"/>
          <w:b/>
          <w:bCs/>
          <w:color w:val="auto"/>
          <w:szCs w:val="21"/>
          <w:highlight w:val="none"/>
        </w:rPr>
        <w:t>投标人未在规定的时间内解密投标文件或者解密失败的，投标人的投标文件作无效处理。提交投标文件截止时间止，投标人不足3家的，不得开标。</w:t>
      </w:r>
    </w:p>
    <w:p w14:paraId="655BC7F1">
      <w:pPr>
        <w:snapToGrid w:val="0"/>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（2）电子唱标。投标文件解密结束，宣布的内容均在广西政府采购云平台远程开标大厅展示；</w:t>
      </w:r>
    </w:p>
    <w:p w14:paraId="1B1E7B39">
      <w:pPr>
        <w:snapToGrid w:val="0"/>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（3）开标过程由采购代理机构如实记录，并电子留痕，由参加电子开标的各投标人代表对电子开标记录在开标记录公布后15分钟内进行当场校核及勘误，并线上确认是否有异议，未确认的视同认可开标结果。</w:t>
      </w:r>
    </w:p>
    <w:p w14:paraId="25085A66">
      <w:pPr>
        <w:snapToGrid w:val="0"/>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4）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25E3C37E">
      <w:pPr>
        <w:snapToGrid w:val="0"/>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（5）开标结束。</w:t>
      </w:r>
    </w:p>
    <w:p w14:paraId="2758C66B">
      <w:pPr>
        <w:snapToGrid w:val="0"/>
        <w:spacing w:line="360" w:lineRule="auto"/>
        <w:ind w:firstLine="420"/>
        <w:jc w:val="left"/>
        <w:rPr>
          <w:rFonts w:hint="eastAsia" w:ascii="宋体" w:hAnsi="宋体" w:cs="宋体"/>
          <w:b/>
          <w:bCs/>
          <w:color w:val="auto"/>
          <w:szCs w:val="21"/>
          <w:highlight w:val="none"/>
        </w:rPr>
      </w:pPr>
      <w:r>
        <w:rPr>
          <w:rFonts w:hint="eastAsia" w:ascii="宋体" w:hAnsi="宋体" w:cs="宋体"/>
          <w:b/>
          <w:bCs/>
          <w:color w:val="auto"/>
          <w:szCs w:val="21"/>
          <w:highlight w:val="none"/>
        </w:rPr>
        <w:t>特别说明：如遇广西政府采购云平台电子化开标或评审程序调整的，按调整后执行。</w:t>
      </w:r>
    </w:p>
    <w:p w14:paraId="684557BC">
      <w:pPr>
        <w:pStyle w:val="6"/>
        <w:keepNext w:val="0"/>
        <w:keepLines w:val="0"/>
        <w:jc w:val="center"/>
        <w:rPr>
          <w:rFonts w:hint="eastAsia" w:ascii="宋体" w:hAnsi="宋体" w:cs="宋体"/>
          <w:color w:val="auto"/>
          <w:highlight w:val="none"/>
        </w:rPr>
      </w:pPr>
      <w:r>
        <w:rPr>
          <w:rFonts w:hint="eastAsia" w:ascii="宋体" w:hAnsi="宋体" w:cs="宋体"/>
          <w:color w:val="auto"/>
          <w:highlight w:val="none"/>
        </w:rPr>
        <w:t>五、资格审查</w:t>
      </w:r>
    </w:p>
    <w:p w14:paraId="6ED297FC">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25.资格审查</w:t>
      </w:r>
    </w:p>
    <w:p w14:paraId="58EEC96D">
      <w:pPr>
        <w:snapToGrid w:val="0"/>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25.1开标结束后，采购人或者采购代理机构通过电子开评标系统依据招标文件对电子投标文件进行线上资格审查。</w:t>
      </w:r>
    </w:p>
    <w:p w14:paraId="793E963C">
      <w:pPr>
        <w:snapToGrid w:val="0"/>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25.2资格审查标准为本招标文件中载明对投标人资格要求的条件。本项目资格审查采用合格制，凡符合招标文件规定的投标人资格要求的投标人均通过资格审查。</w:t>
      </w:r>
    </w:p>
    <w:p w14:paraId="1DED3087">
      <w:pPr>
        <w:pStyle w:val="25"/>
        <w:snapToGrid w:val="0"/>
        <w:spacing w:line="360" w:lineRule="auto"/>
        <w:ind w:firstLine="422" w:firstLineChars="200"/>
        <w:rPr>
          <w:rFonts w:hint="eastAsia" w:hAnsi="宋体" w:cs="宋体"/>
          <w:b/>
          <w:bCs/>
          <w:color w:val="auto"/>
          <w:sz w:val="21"/>
          <w:highlight w:val="none"/>
        </w:rPr>
      </w:pPr>
      <w:bookmarkStart w:id="120" w:name="_25.3_投标人有下列情形之一的，资格审查不通过而导致其投标无效："/>
      <w:bookmarkEnd w:id="120"/>
      <w:r>
        <w:rPr>
          <w:rFonts w:hint="eastAsia" w:hAnsi="宋体" w:cs="宋体"/>
          <w:b/>
          <w:bCs/>
          <w:color w:val="auto"/>
          <w:sz w:val="21"/>
          <w:highlight w:val="none"/>
        </w:rPr>
        <w:t>25.3投标人有下列情形之一的，资格审查不通过，作无效投标处理：</w:t>
      </w:r>
    </w:p>
    <w:p w14:paraId="6B02B651">
      <w:pPr>
        <w:pStyle w:val="25"/>
        <w:snapToGrid w:val="0"/>
        <w:spacing w:line="360" w:lineRule="auto"/>
        <w:ind w:firstLine="422" w:firstLineChars="200"/>
        <w:rPr>
          <w:rFonts w:hint="eastAsia" w:hAnsi="宋体" w:cs="宋体"/>
          <w:b/>
          <w:bCs/>
          <w:color w:val="auto"/>
          <w:sz w:val="21"/>
          <w:highlight w:val="none"/>
        </w:rPr>
      </w:pPr>
      <w:r>
        <w:rPr>
          <w:rFonts w:hint="eastAsia" w:hAnsi="宋体" w:cs="宋体"/>
          <w:b/>
          <w:bCs/>
          <w:color w:val="auto"/>
          <w:sz w:val="21"/>
          <w:highlight w:val="none"/>
        </w:rPr>
        <w:t>（1）未按招标文件规定的方式获取本招标文件的投标人；</w:t>
      </w:r>
    </w:p>
    <w:p w14:paraId="1D719CAA">
      <w:pPr>
        <w:pStyle w:val="25"/>
        <w:snapToGrid w:val="0"/>
        <w:spacing w:line="360" w:lineRule="auto"/>
        <w:ind w:firstLine="422" w:firstLineChars="200"/>
        <w:rPr>
          <w:rFonts w:hint="eastAsia" w:hAnsi="宋体" w:cs="宋体"/>
          <w:b/>
          <w:bCs/>
          <w:color w:val="auto"/>
          <w:sz w:val="21"/>
          <w:highlight w:val="none"/>
        </w:rPr>
      </w:pPr>
      <w:r>
        <w:rPr>
          <w:rFonts w:hint="eastAsia" w:hAnsi="宋体" w:cs="宋体"/>
          <w:b/>
          <w:bCs/>
          <w:color w:val="auto"/>
          <w:sz w:val="21"/>
          <w:highlight w:val="none"/>
        </w:rPr>
        <w:t>（2）不具备招标文件中规定的资格要求的；</w:t>
      </w:r>
    </w:p>
    <w:p w14:paraId="2E303A0C">
      <w:pPr>
        <w:pStyle w:val="25"/>
        <w:snapToGrid w:val="0"/>
        <w:spacing w:line="360" w:lineRule="auto"/>
        <w:ind w:firstLine="422" w:firstLineChars="200"/>
        <w:rPr>
          <w:rFonts w:hint="eastAsia" w:hAnsi="宋体" w:cs="宋体"/>
          <w:b/>
          <w:bCs/>
          <w:color w:val="auto"/>
          <w:sz w:val="21"/>
          <w:highlight w:val="none"/>
        </w:rPr>
      </w:pPr>
      <w:r>
        <w:rPr>
          <w:rFonts w:hint="eastAsia" w:hAnsi="宋体" w:cs="宋体"/>
          <w:b/>
          <w:bCs/>
          <w:color w:val="auto"/>
          <w:sz w:val="21"/>
          <w:highlight w:val="none"/>
        </w:rPr>
        <w:t>（3）在“信用中国”网站（www.creditchina.gov.cn） 、中国政府采购网（www.ccgp.gov.cn）被列入失信被执行人、重大税收违法失信主体名单、政府采购严重违法失信行为记录名单及其他不符合《中华人民共和国政府采购法》第二十二条规定条件的；（注：其中信用查询规则见“投标人须知前附表”）</w:t>
      </w:r>
    </w:p>
    <w:p w14:paraId="11139930">
      <w:pPr>
        <w:pStyle w:val="25"/>
        <w:snapToGrid w:val="0"/>
        <w:spacing w:line="360" w:lineRule="auto"/>
        <w:ind w:firstLine="422" w:firstLineChars="200"/>
        <w:rPr>
          <w:rFonts w:hint="eastAsia" w:hAnsi="宋体" w:cs="宋体"/>
          <w:b/>
          <w:bCs/>
          <w:color w:val="auto"/>
          <w:sz w:val="21"/>
          <w:highlight w:val="none"/>
        </w:rPr>
      </w:pPr>
      <w:r>
        <w:rPr>
          <w:rFonts w:hint="eastAsia" w:hAnsi="宋体" w:cs="宋体"/>
          <w:b/>
          <w:bCs/>
          <w:color w:val="auto"/>
          <w:sz w:val="21"/>
          <w:highlight w:val="none"/>
        </w:rPr>
        <w:t>（4）同一合同项下的不同投标人，单位负责人为同一人或者存在直接控股、管理关系的；为本项目提供过整体设计、规范编制或者项目管理、监理、检测等服务的供应商，再参加该采购项目的其他采购活动的；</w:t>
      </w:r>
    </w:p>
    <w:p w14:paraId="6DE9354D">
      <w:pPr>
        <w:pStyle w:val="25"/>
        <w:snapToGrid w:val="0"/>
        <w:spacing w:line="360" w:lineRule="auto"/>
        <w:ind w:firstLine="422" w:firstLineChars="200"/>
        <w:rPr>
          <w:rFonts w:hint="eastAsia" w:hAnsi="宋体" w:cs="宋体"/>
          <w:b/>
          <w:bCs/>
          <w:color w:val="auto"/>
          <w:sz w:val="21"/>
          <w:highlight w:val="none"/>
        </w:rPr>
      </w:pPr>
      <w:r>
        <w:rPr>
          <w:rFonts w:hint="eastAsia" w:hAnsi="宋体" w:cs="宋体"/>
          <w:b/>
          <w:bCs/>
          <w:color w:val="auto"/>
          <w:sz w:val="21"/>
          <w:highlight w:val="none"/>
        </w:rPr>
        <w:t>（5）投标文件中的资格证明文件缺少任一项“投标人须知前附表”资格证明文件规定“必须提供”的文件资料的；</w:t>
      </w:r>
    </w:p>
    <w:p w14:paraId="6EDCA789">
      <w:pPr>
        <w:pStyle w:val="25"/>
        <w:snapToGrid w:val="0"/>
        <w:spacing w:line="360" w:lineRule="auto"/>
        <w:ind w:firstLine="422" w:firstLineChars="200"/>
        <w:rPr>
          <w:rFonts w:hint="eastAsia" w:hAnsi="宋体" w:cs="宋体"/>
          <w:b/>
          <w:bCs/>
          <w:color w:val="auto"/>
          <w:sz w:val="21"/>
          <w:highlight w:val="none"/>
        </w:rPr>
      </w:pPr>
      <w:r>
        <w:rPr>
          <w:rFonts w:hint="eastAsia" w:hAnsi="宋体" w:cs="宋体"/>
          <w:b/>
          <w:bCs/>
          <w:color w:val="auto"/>
          <w:sz w:val="21"/>
          <w:highlight w:val="none"/>
        </w:rPr>
        <w:t>（6）投标文件中的资格证明文件出现任一项不符合“投标人须知前附表”资格证明文件规定“必须提供”的文件资料要求或者无效的。</w:t>
      </w:r>
    </w:p>
    <w:p w14:paraId="3AB0806C">
      <w:pPr>
        <w:pStyle w:val="25"/>
        <w:snapToGrid w:val="0"/>
        <w:spacing w:line="360" w:lineRule="auto"/>
        <w:ind w:firstLine="422" w:firstLineChars="200"/>
        <w:rPr>
          <w:rFonts w:hint="eastAsia" w:hAnsi="宋体" w:cs="宋体"/>
          <w:b/>
          <w:bCs/>
          <w:color w:val="auto"/>
          <w:sz w:val="21"/>
          <w:highlight w:val="none"/>
        </w:rPr>
      </w:pPr>
      <w:r>
        <w:rPr>
          <w:rFonts w:hint="eastAsia" w:hAnsi="宋体" w:cs="宋体"/>
          <w:b/>
          <w:bCs/>
          <w:color w:val="auto"/>
          <w:sz w:val="21"/>
          <w:highlight w:val="none"/>
        </w:rPr>
        <w:t>25.4合格投标人不足3家的，不得评标。</w:t>
      </w:r>
    </w:p>
    <w:p w14:paraId="04835505">
      <w:pPr>
        <w:pStyle w:val="6"/>
        <w:keepNext w:val="0"/>
        <w:keepLines w:val="0"/>
        <w:jc w:val="center"/>
        <w:rPr>
          <w:rFonts w:hint="eastAsia" w:ascii="宋体" w:hAnsi="宋体" w:cs="宋体"/>
          <w:color w:val="auto"/>
          <w:highlight w:val="none"/>
        </w:rPr>
      </w:pPr>
      <w:r>
        <w:rPr>
          <w:rFonts w:hint="eastAsia" w:ascii="宋体" w:hAnsi="宋体" w:cs="宋体"/>
          <w:color w:val="auto"/>
          <w:highlight w:val="none"/>
        </w:rPr>
        <w:t>六、评标</w:t>
      </w:r>
    </w:p>
    <w:p w14:paraId="154DC619">
      <w:pPr>
        <w:pStyle w:val="8"/>
        <w:keepNext w:val="0"/>
        <w:keepLines w:val="0"/>
        <w:spacing w:before="0" w:after="0" w:line="360" w:lineRule="auto"/>
        <w:ind w:left="420" w:leftChars="200"/>
        <w:rPr>
          <w:rFonts w:hint="eastAsia" w:ascii="宋体" w:hAnsi="宋体" w:cs="宋体"/>
          <w:color w:val="auto"/>
          <w:sz w:val="24"/>
          <w:highlight w:val="none"/>
        </w:rPr>
      </w:pPr>
      <w:bookmarkStart w:id="121" w:name="_26.组建评标委员会"/>
      <w:bookmarkEnd w:id="121"/>
      <w:r>
        <w:rPr>
          <w:rFonts w:hint="eastAsia" w:ascii="宋体" w:hAnsi="宋体" w:cs="宋体"/>
          <w:color w:val="auto"/>
          <w:sz w:val="24"/>
          <w:highlight w:val="none"/>
        </w:rPr>
        <w:t>26.组建评标委员会</w:t>
      </w:r>
    </w:p>
    <w:p w14:paraId="765C67B3">
      <w:pPr>
        <w:snapToGrid w:val="0"/>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评标委员会由采购人代表和评审专家组成，具体人数详见“投标人须知前附表”（成员人数应当为5人以上单数；采购项目符合下列情形之一的，评标委员会成员人数应当为7人以上单数：1.采购预算金额在1000万元以上；2.技术复杂；3.社会影响较大。），其中评审专家不得少于成员总数的三分之二。</w:t>
      </w:r>
    </w:p>
    <w:p w14:paraId="557D2C0F">
      <w:pPr>
        <w:snapToGrid w:val="0"/>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参加过采购项目前期咨询论证的专家，不得参加该采购项目的评审活动。</w:t>
      </w:r>
    </w:p>
    <w:p w14:paraId="5DE7BCAC">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27.评标的依据</w:t>
      </w:r>
    </w:p>
    <w:p w14:paraId="68641563">
      <w:pPr>
        <w:snapToGrid w:val="0"/>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评标委员会以招标文件为依据对投标文件进行评审，“第四章评标方法和评标标准”没有规定的方法、评审因素和标准，不作为评标依据。</w:t>
      </w:r>
    </w:p>
    <w:p w14:paraId="4194DCA0">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28.评标原则</w:t>
      </w:r>
    </w:p>
    <w:p w14:paraId="34E754D8">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356B6AC7">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28.2</w:t>
      </w:r>
      <w:bookmarkStart w:id="122" w:name="_28.3评标方法。本项目将按须知前附表规定的评标办法进行评标，具体评标"/>
      <w:bookmarkEnd w:id="122"/>
      <w:r>
        <w:rPr>
          <w:rFonts w:hint="eastAsia" w:hAnsi="宋体" w:cs="宋体"/>
          <w:color w:val="auto"/>
          <w:sz w:val="21"/>
          <w:highlight w:val="none"/>
        </w:rPr>
        <w:t>评委表决。评标委员会成员对需要共同认定的事项存在争议的，应当按照少数服从多数的原则作出结论。</w:t>
      </w:r>
    </w:p>
    <w:p w14:paraId="38BD4222">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28.3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3F0C9D72">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28.4评标过程的监控。本项目评标过程实行全程录音、录像监控，</w:t>
      </w:r>
      <w:r>
        <w:rPr>
          <w:rFonts w:hint="eastAsia" w:hAnsi="宋体" w:cs="宋体"/>
          <w:b/>
          <w:bCs/>
          <w:color w:val="auto"/>
          <w:sz w:val="21"/>
          <w:highlight w:val="none"/>
        </w:rPr>
        <w:t>投标人在评标过程中所进行的试图影响评标结果的不公正活动，可能导致其投标无效</w:t>
      </w:r>
      <w:r>
        <w:rPr>
          <w:rFonts w:hint="eastAsia" w:hAnsi="宋体" w:cs="宋体"/>
          <w:color w:val="auto"/>
          <w:sz w:val="21"/>
          <w:highlight w:val="none"/>
        </w:rPr>
        <w:t>。</w:t>
      </w:r>
    </w:p>
    <w:p w14:paraId="04109DB7">
      <w:pPr>
        <w:pStyle w:val="7"/>
        <w:spacing w:beforeAutospacing="0" w:afterAutospacing="0" w:line="360" w:lineRule="auto"/>
        <w:ind w:firstLine="420" w:firstLineChars="200"/>
        <w:jc w:val="both"/>
        <w:rPr>
          <w:rFonts w:cs="宋体"/>
          <w:b w:val="0"/>
          <w:bCs w:val="0"/>
          <w:color w:val="auto"/>
          <w:sz w:val="21"/>
          <w:szCs w:val="21"/>
          <w:highlight w:val="none"/>
        </w:rPr>
      </w:pPr>
      <w:r>
        <w:rPr>
          <w:rFonts w:cs="宋体"/>
          <w:b w:val="0"/>
          <w:bCs w:val="0"/>
          <w:color w:val="auto"/>
          <w:sz w:val="21"/>
          <w:szCs w:val="21"/>
          <w:highlight w:val="none"/>
        </w:rPr>
        <w:t>28.5政府采购异常低价审查</w:t>
      </w:r>
    </w:p>
    <w:p w14:paraId="101BF0BA">
      <w:pPr>
        <w:pStyle w:val="7"/>
        <w:spacing w:beforeAutospacing="0" w:afterAutospacing="0" w:line="360" w:lineRule="auto"/>
        <w:ind w:firstLine="420" w:firstLineChars="200"/>
        <w:jc w:val="both"/>
        <w:rPr>
          <w:rFonts w:cs="宋体"/>
          <w:b w:val="0"/>
          <w:bCs w:val="0"/>
          <w:color w:val="auto"/>
          <w:sz w:val="21"/>
          <w:szCs w:val="21"/>
          <w:highlight w:val="none"/>
        </w:rPr>
      </w:pPr>
      <w:r>
        <w:rPr>
          <w:rFonts w:cs="宋体"/>
          <w:b w:val="0"/>
          <w:bCs w:val="0"/>
          <w:color w:val="auto"/>
          <w:sz w:val="21"/>
          <w:szCs w:val="21"/>
          <w:highlight w:val="none"/>
        </w:rPr>
        <w:t>根据《关于推动解决政府采购异常低价问题的通知》（财库〔2026〕2号）的规定，本项目明确内容如下：</w:t>
      </w:r>
    </w:p>
    <w:p w14:paraId="7C4C06F7">
      <w:pPr>
        <w:pStyle w:val="7"/>
        <w:spacing w:beforeAutospacing="0" w:afterAutospacing="0" w:line="360" w:lineRule="auto"/>
        <w:ind w:firstLine="420" w:firstLineChars="200"/>
        <w:jc w:val="both"/>
        <w:rPr>
          <w:rFonts w:cs="宋体"/>
          <w:b w:val="0"/>
          <w:bCs w:val="0"/>
          <w:color w:val="auto"/>
          <w:sz w:val="21"/>
          <w:szCs w:val="21"/>
          <w:highlight w:val="none"/>
        </w:rPr>
      </w:pPr>
      <w:r>
        <w:rPr>
          <w:rFonts w:cs="宋体"/>
          <w:b w:val="0"/>
          <w:bCs w:val="0"/>
          <w:color w:val="auto"/>
          <w:sz w:val="21"/>
          <w:szCs w:val="21"/>
          <w:highlight w:val="none"/>
        </w:rPr>
        <w:t>（一）政府采购评审中出现下列情形之一的，评审委员会应当启动异常低价投标（响应）审查程序：</w:t>
      </w:r>
    </w:p>
    <w:p w14:paraId="51F67D35">
      <w:pPr>
        <w:pStyle w:val="7"/>
        <w:spacing w:beforeAutospacing="0" w:afterAutospacing="0" w:line="360" w:lineRule="auto"/>
        <w:ind w:firstLine="420" w:firstLineChars="200"/>
        <w:jc w:val="both"/>
        <w:rPr>
          <w:rFonts w:cs="宋体"/>
          <w:b w:val="0"/>
          <w:bCs w:val="0"/>
          <w:color w:val="auto"/>
          <w:sz w:val="21"/>
          <w:szCs w:val="21"/>
          <w:highlight w:val="none"/>
        </w:rPr>
      </w:pPr>
      <w:r>
        <w:rPr>
          <w:rFonts w:cs="宋体"/>
          <w:b w:val="0"/>
          <w:bCs w:val="0"/>
          <w:color w:val="auto"/>
          <w:sz w:val="21"/>
          <w:szCs w:val="21"/>
          <w:highlight w:val="none"/>
        </w:rPr>
        <w:t>1.投标（响应）报价低于全部通过符合性审查供应商投标（响应）报价平均值50%的，即投标（响应）报价＜全部通过符合性审查供应商投标（响应）报价平均值×50%；</w:t>
      </w:r>
    </w:p>
    <w:p w14:paraId="7196393A">
      <w:pPr>
        <w:pStyle w:val="7"/>
        <w:spacing w:beforeAutospacing="0" w:afterAutospacing="0" w:line="360" w:lineRule="auto"/>
        <w:ind w:firstLine="420" w:firstLineChars="200"/>
        <w:jc w:val="both"/>
        <w:rPr>
          <w:rFonts w:cs="宋体"/>
          <w:b w:val="0"/>
          <w:bCs w:val="0"/>
          <w:color w:val="auto"/>
          <w:sz w:val="21"/>
          <w:szCs w:val="21"/>
          <w:highlight w:val="none"/>
        </w:rPr>
      </w:pPr>
      <w:r>
        <w:rPr>
          <w:rFonts w:cs="宋体"/>
          <w:b w:val="0"/>
          <w:bCs w:val="0"/>
          <w:color w:val="auto"/>
          <w:sz w:val="21"/>
          <w:szCs w:val="21"/>
          <w:highlight w:val="none"/>
        </w:rPr>
        <w:t>2.投标（响应）报价低于通过符合性审查的次低报价供应商投标（响应）报价50%的，即投标（响应）报价＜通过符合性审查的次低报价供应商投标（响应）报价×50%；</w:t>
      </w:r>
    </w:p>
    <w:p w14:paraId="617CA6F5">
      <w:pPr>
        <w:pStyle w:val="7"/>
        <w:spacing w:beforeAutospacing="0" w:afterAutospacing="0" w:line="360" w:lineRule="auto"/>
        <w:ind w:firstLine="420" w:firstLineChars="200"/>
        <w:jc w:val="both"/>
        <w:rPr>
          <w:rFonts w:cs="宋体"/>
          <w:b w:val="0"/>
          <w:bCs w:val="0"/>
          <w:color w:val="auto"/>
          <w:sz w:val="21"/>
          <w:szCs w:val="21"/>
          <w:highlight w:val="none"/>
        </w:rPr>
      </w:pPr>
      <w:r>
        <w:rPr>
          <w:rFonts w:cs="宋体"/>
          <w:b w:val="0"/>
          <w:bCs w:val="0"/>
          <w:color w:val="auto"/>
          <w:sz w:val="21"/>
          <w:szCs w:val="21"/>
          <w:highlight w:val="none"/>
        </w:rPr>
        <w:t>3.投标（响应）报价低于采购项目最高限价45%的，即投标（响应）报价＜采购项目最高限价×45%；</w:t>
      </w:r>
    </w:p>
    <w:p w14:paraId="0BEF8AEE">
      <w:pPr>
        <w:pStyle w:val="7"/>
        <w:spacing w:beforeAutospacing="0" w:afterAutospacing="0" w:line="360" w:lineRule="auto"/>
        <w:ind w:firstLine="420" w:firstLineChars="200"/>
        <w:jc w:val="both"/>
        <w:rPr>
          <w:rFonts w:cs="宋体"/>
          <w:b w:val="0"/>
          <w:bCs w:val="0"/>
          <w:color w:val="auto"/>
          <w:sz w:val="21"/>
          <w:szCs w:val="21"/>
          <w:highlight w:val="none"/>
        </w:rPr>
      </w:pPr>
      <w:r>
        <w:rPr>
          <w:rFonts w:cs="宋体"/>
          <w:b w:val="0"/>
          <w:bCs w:val="0"/>
          <w:color w:val="auto"/>
          <w:sz w:val="21"/>
          <w:szCs w:val="21"/>
          <w:highlight w:val="none"/>
        </w:rPr>
        <w:t>4.评审委员会基于专业判断，认为供应商报价过低，有可能影响产品质量或者不能诚信履约的其他情形。</w:t>
      </w:r>
    </w:p>
    <w:p w14:paraId="51302DF1">
      <w:pPr>
        <w:pStyle w:val="7"/>
        <w:spacing w:beforeAutospacing="0" w:afterAutospacing="0" w:line="360" w:lineRule="auto"/>
        <w:ind w:firstLine="420" w:firstLineChars="200"/>
        <w:jc w:val="both"/>
        <w:rPr>
          <w:rFonts w:cs="宋体"/>
          <w:b w:val="0"/>
          <w:bCs w:val="0"/>
          <w:color w:val="auto"/>
          <w:sz w:val="21"/>
          <w:szCs w:val="21"/>
          <w:highlight w:val="none"/>
        </w:rPr>
      </w:pPr>
      <w:r>
        <w:rPr>
          <w:rFonts w:cs="宋体"/>
          <w:b w:val="0"/>
          <w:bCs w:val="0"/>
          <w:color w:val="auto"/>
          <w:sz w:val="21"/>
          <w:szCs w:val="21"/>
          <w:highlight w:val="none"/>
        </w:rPr>
        <w:t>相关法律法规对供应商报价有规定的，从其规定。</w:t>
      </w:r>
    </w:p>
    <w:p w14:paraId="25320C06">
      <w:pPr>
        <w:pStyle w:val="7"/>
        <w:spacing w:beforeAutospacing="0" w:afterAutospacing="0" w:line="360" w:lineRule="auto"/>
        <w:ind w:firstLine="420" w:firstLineChars="200"/>
        <w:jc w:val="both"/>
        <w:rPr>
          <w:rFonts w:cs="宋体"/>
          <w:b w:val="0"/>
          <w:bCs w:val="0"/>
          <w:color w:val="auto"/>
          <w:sz w:val="21"/>
          <w:szCs w:val="21"/>
          <w:highlight w:val="none"/>
        </w:rPr>
      </w:pPr>
      <w:r>
        <w:rPr>
          <w:rFonts w:cs="宋体"/>
          <w:b w:val="0"/>
          <w:bCs w:val="0"/>
          <w:color w:val="auto"/>
          <w:sz w:val="21"/>
          <w:szCs w:val="21"/>
          <w:highlight w:val="none"/>
        </w:rPr>
        <w:t>（二）评审委员会启动异常低价投标（响应）审查后，属于前述第1项至第4项情形的，应当要求相关供应商在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时可不再重复提交。</w:t>
      </w:r>
    </w:p>
    <w:p w14:paraId="69D7FE41">
      <w:pPr>
        <w:pStyle w:val="7"/>
        <w:spacing w:beforeAutospacing="0" w:afterAutospacing="0" w:line="360" w:lineRule="auto"/>
        <w:ind w:firstLine="420" w:firstLineChars="200"/>
        <w:jc w:val="both"/>
        <w:rPr>
          <w:rFonts w:cs="宋体"/>
          <w:b w:val="0"/>
          <w:bCs w:val="0"/>
          <w:color w:val="auto"/>
          <w:sz w:val="21"/>
          <w:szCs w:val="21"/>
          <w:highlight w:val="none"/>
        </w:rPr>
      </w:pPr>
      <w:r>
        <w:rPr>
          <w:rFonts w:cs="宋体"/>
          <w:b w:val="0"/>
          <w:bCs w:val="0"/>
          <w:color w:val="auto"/>
          <w:sz w:val="21"/>
          <w:szCs w:val="21"/>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32DB881">
      <w:pPr>
        <w:pStyle w:val="7"/>
        <w:spacing w:beforeAutospacing="0" w:afterAutospacing="0" w:line="360" w:lineRule="auto"/>
        <w:ind w:firstLine="420" w:firstLineChars="200"/>
        <w:jc w:val="both"/>
        <w:rPr>
          <w:rFonts w:cs="宋体"/>
          <w:b w:val="0"/>
          <w:bCs w:val="0"/>
          <w:color w:val="auto"/>
          <w:sz w:val="21"/>
          <w:szCs w:val="21"/>
          <w:highlight w:val="none"/>
        </w:rPr>
      </w:pPr>
      <w:r>
        <w:rPr>
          <w:rFonts w:cs="宋体"/>
          <w:b w:val="0"/>
          <w:bCs w:val="0"/>
          <w:color w:val="auto"/>
          <w:sz w:val="21"/>
          <w:szCs w:val="21"/>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284CCB2A">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异常低价投标（响应）审查的启动原因、审查意见和审查结果应当在评审报告中记录，并随供应商提供的相关书面说明及证明材料，以及评审委员会有关互联网浏览、查询历史一并归档。</w:t>
      </w:r>
    </w:p>
    <w:p w14:paraId="7A4B2D88">
      <w:pPr>
        <w:pStyle w:val="7"/>
        <w:spacing w:beforeAutospacing="0" w:afterAutospacing="0" w:line="360" w:lineRule="auto"/>
        <w:ind w:firstLine="420" w:firstLineChars="200"/>
        <w:jc w:val="both"/>
        <w:rPr>
          <w:rFonts w:cs="宋体"/>
          <w:b w:val="0"/>
          <w:bCs w:val="0"/>
          <w:color w:val="auto"/>
          <w:sz w:val="21"/>
          <w:szCs w:val="21"/>
          <w:highlight w:val="none"/>
        </w:rPr>
      </w:pPr>
      <w:r>
        <w:rPr>
          <w:rFonts w:cs="宋体"/>
          <w:b w:val="0"/>
          <w:bCs w:val="0"/>
          <w:color w:val="auto"/>
          <w:sz w:val="21"/>
          <w:szCs w:val="21"/>
          <w:highlight w:val="none"/>
        </w:rPr>
        <w:t>书面证明应当按照 “第四章  评标方法及评标标准  二、评标程序3.澄清补正”的规定提交。</w:t>
      </w:r>
    </w:p>
    <w:p w14:paraId="15C4144E">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29.评标方法及中标候选人推荐</w:t>
      </w:r>
    </w:p>
    <w:p w14:paraId="6A98CAF1">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29.1本项目的评标方法详见“投标人须知前附表”。</w:t>
      </w:r>
    </w:p>
    <w:p w14:paraId="205AE727">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29.2中标候选人推荐数量详见“投标人须知前附表”。</w:t>
      </w:r>
    </w:p>
    <w:p w14:paraId="6152E27D">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29.3商务/技术要求允许负偏离的条款数详见“投标人须知前附表”。</w:t>
      </w:r>
    </w:p>
    <w:p w14:paraId="265E6EC8">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29.4评标委员会将按照“第四章 评标方法和评标标准”规定的方法、评审因素、标准和程序对投标文件进行评审。</w:t>
      </w:r>
    </w:p>
    <w:p w14:paraId="554B7C4E">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29.5电子交易活动的中止。采购过程中出现以下情形，导致电子交易平台无法正常运行，或者无法保证电子交易的公平、公正和安全时，采购代理机构可中止电子交易活动：</w:t>
      </w:r>
    </w:p>
    <w:p w14:paraId="6DACB151">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 xml:space="preserve">（1）电子交易平台发生故障而无法登录访问的； </w:t>
      </w:r>
    </w:p>
    <w:p w14:paraId="3E6B4B08">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（2）电子交易平台应用或数据库出现错误，不能进行正常操作的；</w:t>
      </w:r>
    </w:p>
    <w:p w14:paraId="3000C651">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（3）电子交易平台发现严重安全漏洞，有潜在泄密危险的；</w:t>
      </w:r>
    </w:p>
    <w:p w14:paraId="24CBC792">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 xml:space="preserve">（4）病毒发作导致不能进行正常操作的； </w:t>
      </w:r>
    </w:p>
    <w:p w14:paraId="39CA30F0">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（5）其他无法保证电子交易的公平、公正和安全的情况。</w:t>
      </w:r>
    </w:p>
    <w:p w14:paraId="7EFC31F8">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29.6出现以上情形，不影响采购公平、公正性的，采购代理机构可以待上述情形消除后继续组织电子交易活动；影响或可能影响采购公平、公正性的，经采购代理机构确认后，应当重新采购。</w:t>
      </w:r>
    </w:p>
    <w:p w14:paraId="2D764FA6">
      <w:pPr>
        <w:pStyle w:val="6"/>
        <w:keepNext w:val="0"/>
        <w:keepLines w:val="0"/>
        <w:jc w:val="center"/>
        <w:rPr>
          <w:rFonts w:hint="eastAsia" w:ascii="宋体" w:hAnsi="宋体" w:cs="宋体"/>
          <w:color w:val="auto"/>
          <w:highlight w:val="none"/>
        </w:rPr>
      </w:pPr>
      <w:bookmarkStart w:id="123" w:name="_Toc254970687"/>
      <w:bookmarkStart w:id="124" w:name="_Toc254970546"/>
      <w:r>
        <w:rPr>
          <w:rFonts w:hint="eastAsia" w:ascii="宋体" w:hAnsi="宋体" w:cs="宋体"/>
          <w:color w:val="auto"/>
          <w:highlight w:val="none"/>
        </w:rPr>
        <w:t>七、</w:t>
      </w:r>
      <w:bookmarkEnd w:id="123"/>
      <w:bookmarkEnd w:id="124"/>
      <w:r>
        <w:rPr>
          <w:rFonts w:hint="eastAsia" w:ascii="宋体" w:hAnsi="宋体" w:cs="宋体"/>
          <w:color w:val="auto"/>
          <w:highlight w:val="none"/>
        </w:rPr>
        <w:t>中标和合同</w:t>
      </w:r>
    </w:p>
    <w:p w14:paraId="170929E6">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30确定中标人（即“中标供应商”）</w:t>
      </w:r>
    </w:p>
    <w:p w14:paraId="29B80101">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30.1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14:paraId="36750486">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30.2采购人在收到评标报告5个工作日内未按评标报告推荐的中标候选人顺序确定中标人，又不能说明合法理由的，视同按评标报告推荐的顺序确定排名第一的中标候选人为中标人。</w:t>
      </w:r>
    </w:p>
    <w:p w14:paraId="68CA2743">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30.3出现下列情形之一的，应予废标：</w:t>
      </w:r>
    </w:p>
    <w:p w14:paraId="5646E510">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（1）符合专业条件的供应商或者对招标文件作实质响应的供应商不足三家的；</w:t>
      </w:r>
    </w:p>
    <w:p w14:paraId="4A0C2913">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（2）出现影响采购公正的违法、违规行为的；</w:t>
      </w:r>
    </w:p>
    <w:p w14:paraId="38CDDA35">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（3）投标人的报价均超过了采购预算，采购人不能支付的；</w:t>
      </w:r>
    </w:p>
    <w:p w14:paraId="3EE5737C">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（4）因重大变故，采购任务取消的。</w:t>
      </w:r>
    </w:p>
    <w:p w14:paraId="02CDE956">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废标后，采购人应当将废标理由通知所有投标人。</w:t>
      </w:r>
    </w:p>
    <w:p w14:paraId="22CF6ACF">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30.4中标人拒绝签订政府采购合同（包括但不限于放弃中标、因不可抗力不能履行合同而放弃签订合同），采购人可以按照评审报告推荐的中标候选人名单排序，确定下一候选人为中标供应商，也可以重新开展政府采购活动。拒绝签订政府采购合同的中标人不得参加对该项目重新开展的采购活动。</w:t>
      </w:r>
    </w:p>
    <w:p w14:paraId="239B081B">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31.结果公告</w:t>
      </w:r>
    </w:p>
    <w:p w14:paraId="0D8C7DEE">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31.1采购人或者采购代理机构应当自中标人确定之日起2个工作日内，在省级以上财政部门指定的媒体上公告中标结果，招标文件应当随中标结果同时公告。</w:t>
      </w:r>
      <w:r>
        <w:rPr>
          <w:rFonts w:hint="eastAsia" w:ascii="宋体" w:hAnsi="宋体" w:cs="宋体"/>
          <w:color w:val="auto"/>
          <w:sz w:val="21"/>
          <w:szCs w:val="21"/>
          <w:highlight w:val="none"/>
        </w:rPr>
        <w:t>采购人或者采购代理发出中标通知书前，应当对中标人信用进行查询，对列入失信被执行人、重大税收违法失信主体名单、政府采购严重违法失信行为记录名单及其他不符合《中华人民共和国政府采购法》第二十二条规定条件的投标人，取消其中标资格，并确定排名第二的中标候选人为中标人。</w:t>
      </w:r>
      <w:r>
        <w:rPr>
          <w:rFonts w:hint="eastAsia" w:ascii="宋体" w:hAnsi="宋体" w:cs="宋体"/>
          <w:b w:val="0"/>
          <w:color w:val="auto"/>
          <w:sz w:val="21"/>
          <w:szCs w:val="21"/>
          <w:highlight w:val="none"/>
        </w:rPr>
        <w:t>排名第二的中标候选人因前款规定的同样原因被取消中标资格的，采购人可以确定排名第三的中标候选人为中标人，以此类推。以上信息查询记录及相关证据与采购文件一并保存。</w:t>
      </w:r>
    </w:p>
    <w:p w14:paraId="5828E96D">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31.2中标供应商享受《政府采购促进中小企业发展管理办法》（财库〔2020〕46号）规定的中小企业扶持政策的，采购人、采购代理机构应当随中标结果公开中标供应商的《中小企业声明函》。</w:t>
      </w:r>
    </w:p>
    <w:p w14:paraId="4B0000BB">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32.发出中标通知书</w:t>
      </w:r>
    </w:p>
    <w:p w14:paraId="62B91BF7">
      <w:pPr>
        <w:pStyle w:val="8"/>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在公告中标结果的同时，采购代理机构向中标人发出中标通知书。对未通过资格审查的投标人，应当告知其未通过的原因；采用综合评分办法评审的，还应当告知未中标人本人的评审得分与排序。</w:t>
      </w:r>
    </w:p>
    <w:p w14:paraId="3BEB3985">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33.无义务解释未中标原因</w:t>
      </w:r>
    </w:p>
    <w:p w14:paraId="0468AA1B">
      <w:pPr>
        <w:pStyle w:val="8"/>
        <w:keepNext w:val="0"/>
        <w:keepLines w:val="0"/>
        <w:spacing w:before="0" w:after="0" w:line="360" w:lineRule="auto"/>
        <w:ind w:left="420" w:left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采购代理机构无义务向未中标的投标人解释未中标原因和退还投标文件。</w:t>
      </w:r>
    </w:p>
    <w:p w14:paraId="78E0B54C">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34.合同授予标准</w:t>
      </w:r>
    </w:p>
    <w:p w14:paraId="49FD58B7">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合同将授予被确定实质上响应招标文件要求，具备履行合同能力的中标人（招标文件另有约定多名中标人的除外）。</w:t>
      </w:r>
    </w:p>
    <w:p w14:paraId="09E3711F">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35.履约保证金</w:t>
      </w:r>
    </w:p>
    <w:p w14:paraId="43924564">
      <w:pPr>
        <w:pStyle w:val="25"/>
        <w:snapToGrid w:val="0"/>
        <w:spacing w:line="360" w:lineRule="auto"/>
        <w:ind w:firstLine="420" w:firstLineChars="200"/>
        <w:rPr>
          <w:rFonts w:hint="eastAsia" w:hAnsi="宋体" w:cs="宋体"/>
          <w:color w:val="auto"/>
          <w:sz w:val="21"/>
          <w:highlight w:val="none"/>
        </w:rPr>
      </w:pPr>
      <w:bookmarkStart w:id="125" w:name="_39.1中标人须于签订合同前按本须知前附表规定的金额转账或电汇到指定账"/>
      <w:bookmarkEnd w:id="125"/>
      <w:r>
        <w:rPr>
          <w:rFonts w:hint="eastAsia" w:hAnsi="宋体" w:cs="宋体"/>
          <w:color w:val="auto"/>
          <w:sz w:val="21"/>
          <w:highlight w:val="none"/>
        </w:rPr>
        <w:t>35.1履约保证金的金额、提交方式、退付的时间和条件详见 “投标人须知前附表”。中标人未按规定提交履约保证金的，视为拒绝与采购人签订合同。</w:t>
      </w:r>
    </w:p>
    <w:p w14:paraId="7AF1707B">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35.2在履约保证金退还日期前，若中标人的开户名称、开户银行、帐号有变动的，请以书面形式通知履约保证金收取单位，否则由此产生的后果由中标人自行承担。</w:t>
      </w:r>
    </w:p>
    <w:p w14:paraId="65B2339E">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36.签订合同</w:t>
      </w:r>
    </w:p>
    <w:p w14:paraId="472CA86D">
      <w:pPr>
        <w:pStyle w:val="25"/>
        <w:snapToGrid w:val="0"/>
        <w:spacing w:line="360" w:lineRule="auto"/>
        <w:ind w:firstLine="420" w:firstLineChars="200"/>
        <w:rPr>
          <w:rFonts w:hint="eastAsia" w:hAnsi="宋体" w:cs="宋体"/>
          <w:color w:val="auto"/>
          <w:sz w:val="21"/>
          <w:highlight w:val="none"/>
        </w:rPr>
      </w:pPr>
      <w:bookmarkStart w:id="126" w:name="_40.1投标人接到中标通知书后，按须知前附表规定向采购人出示相关资格证"/>
      <w:bookmarkEnd w:id="126"/>
      <w:r>
        <w:rPr>
          <w:rFonts w:hint="eastAsia" w:hAnsi="宋体" w:cs="宋体"/>
          <w:color w:val="auto"/>
          <w:sz w:val="21"/>
          <w:highlight w:val="none"/>
        </w:rPr>
        <w:t>36.1投标人领取中标通知书（书面或电子）后，按“投标人须知前附表”规定向采购人出示相关证明材料，经采购人核验合格后方可签订采购合同（书面或电子）。如中标人为联合体的，联合体各方应当共同与采购人签订采购合同，就采购合同约定的事项对采购人承担连带责任。</w:t>
      </w:r>
    </w:p>
    <w:p w14:paraId="539108A7">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36.2签订合同时间：按中标通知书规定的时间与采购人签订合同（最长不能超过25日）。</w:t>
      </w:r>
    </w:p>
    <w:p w14:paraId="28FBE089">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36.3中标人拒绝与采购人签订合同的，按照本须知正文第30.4条的规定执行。</w:t>
      </w:r>
    </w:p>
    <w:p w14:paraId="4A162A35">
      <w:pPr>
        <w:pStyle w:val="8"/>
        <w:keepNext w:val="0"/>
        <w:keepLines w:val="0"/>
        <w:spacing w:before="0" w:after="0" w:line="360" w:lineRule="auto"/>
        <w:ind w:left="420" w:leftChars="200"/>
        <w:rPr>
          <w:rFonts w:hint="eastAsia" w:ascii="宋体" w:hAnsi="宋体" w:cs="宋体"/>
          <w:color w:val="auto"/>
          <w:sz w:val="24"/>
          <w:highlight w:val="none"/>
        </w:rPr>
      </w:pPr>
      <w:bookmarkStart w:id="127" w:name="_41.政府采购合同公告"/>
      <w:bookmarkEnd w:id="127"/>
      <w:r>
        <w:rPr>
          <w:rFonts w:hint="eastAsia" w:ascii="宋体" w:hAnsi="宋体" w:cs="宋体"/>
          <w:color w:val="auto"/>
          <w:sz w:val="24"/>
          <w:highlight w:val="none"/>
        </w:rPr>
        <w:t>37.政府采购合同公告</w:t>
      </w:r>
    </w:p>
    <w:p w14:paraId="1866E316">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采购人或者受托采购代理机构应当自政府采购合同签订之日起2个工作日内，将政府采购合同在省级以上人民政府财政部门指定的媒体上公告，但政府采购合同中涉及国家秘密、商业秘密的内容除外。</w:t>
      </w:r>
    </w:p>
    <w:p w14:paraId="2E38D4E4">
      <w:pPr>
        <w:pStyle w:val="8"/>
        <w:keepNext w:val="0"/>
        <w:keepLines w:val="0"/>
        <w:spacing w:before="0" w:after="0" w:line="360" w:lineRule="auto"/>
        <w:ind w:left="420" w:leftChars="200"/>
        <w:rPr>
          <w:rFonts w:hint="eastAsia" w:ascii="宋体" w:hAnsi="宋体" w:cs="宋体"/>
          <w:color w:val="auto"/>
          <w:sz w:val="24"/>
          <w:highlight w:val="none"/>
        </w:rPr>
      </w:pPr>
      <w:r>
        <w:rPr>
          <w:rFonts w:hint="eastAsia" w:ascii="宋体" w:hAnsi="宋体" w:cs="宋体"/>
          <w:color w:val="auto"/>
          <w:sz w:val="24"/>
          <w:highlight w:val="none"/>
        </w:rPr>
        <w:t>38.询问、质疑和投诉</w:t>
      </w:r>
    </w:p>
    <w:p w14:paraId="05FDCF39">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38.1供应商对政府采购活动事项有疑问的，可以向采购人提出询问，采购人或者采购代理机构应当在3个工作日内对供应商依法提出的询问作出答复，但答复的内容不得涉及商业秘密。</w:t>
      </w:r>
    </w:p>
    <w:p w14:paraId="17D6762A">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38.2供应商认为招标文件、采购过程或者中标结果使自己的合法权益受到损害的，必须在知道或者应知其权益受到损害之日起7个工作日内，以纸质书面形式向采购人、采购代理机构提出质疑。采购人、采购代理机构接收质疑函的方式、联系部门、联系电话和通讯地址等信息详见“投标人须知前附表”。具体质疑起算时间如下：</w:t>
      </w:r>
    </w:p>
    <w:p w14:paraId="1560860F">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（1）对可以质疑的招标文件提出质疑的，为收到招标文件之日或者招标文件公告期限届满之日；</w:t>
      </w:r>
    </w:p>
    <w:p w14:paraId="7332F6D9">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（2）对采购过程提出质疑的，为各采购程序环节结束之日；</w:t>
      </w:r>
    </w:p>
    <w:p w14:paraId="79DAFF9C">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（3）对中标结果提出质疑的，为中标结果公告期限届满之日。</w:t>
      </w:r>
    </w:p>
    <w:p w14:paraId="1DA8040E">
      <w:pPr>
        <w:pStyle w:val="25"/>
        <w:snapToGrid w:val="0"/>
        <w:spacing w:line="360" w:lineRule="auto"/>
        <w:ind w:firstLine="420" w:firstLineChars="200"/>
        <w:rPr>
          <w:rFonts w:hint="eastAsia" w:hAnsi="宋体" w:cs="宋体"/>
          <w:b/>
          <w:bCs/>
          <w:color w:val="auto"/>
          <w:sz w:val="21"/>
          <w:highlight w:val="none"/>
        </w:rPr>
      </w:pPr>
      <w:r>
        <w:rPr>
          <w:rFonts w:hint="eastAsia" w:hAnsi="宋体" w:cs="宋体"/>
          <w:color w:val="auto"/>
          <w:sz w:val="21"/>
          <w:highlight w:val="none"/>
        </w:rPr>
        <w:t>38.3</w:t>
      </w:r>
      <w:r>
        <w:rPr>
          <w:rFonts w:hint="eastAsia" w:hAnsi="宋体" w:cs="宋体"/>
          <w:b/>
          <w:bCs/>
          <w:color w:val="auto"/>
          <w:sz w:val="21"/>
          <w:highlight w:val="none"/>
        </w:rPr>
        <w:t>供应商提出质疑应当提交质疑函和必要的证明材料，针对同一采购程序环节的质疑必须在法定质疑期内一次性提出。质疑函应当包括下列内容（质疑函格式后附）：</w:t>
      </w:r>
    </w:p>
    <w:p w14:paraId="05426E7F">
      <w:pPr>
        <w:pStyle w:val="25"/>
        <w:snapToGrid w:val="0"/>
        <w:spacing w:line="360" w:lineRule="auto"/>
        <w:ind w:firstLine="420" w:firstLineChars="200"/>
        <w:rPr>
          <w:rFonts w:hint="eastAsia" w:hAnsi="宋体" w:cs="宋体"/>
          <w:bCs/>
          <w:color w:val="auto"/>
          <w:sz w:val="21"/>
          <w:highlight w:val="none"/>
        </w:rPr>
      </w:pPr>
      <w:r>
        <w:rPr>
          <w:rFonts w:hint="eastAsia" w:hAnsi="宋体" w:cs="宋体"/>
          <w:bCs/>
          <w:color w:val="auto"/>
          <w:sz w:val="21"/>
          <w:highlight w:val="none"/>
        </w:rPr>
        <w:t>（1）供应商的姓名或者名称、地址、邮编、联系人及联系电话；</w:t>
      </w:r>
    </w:p>
    <w:p w14:paraId="34615DE0">
      <w:pPr>
        <w:pStyle w:val="25"/>
        <w:snapToGrid w:val="0"/>
        <w:spacing w:line="360" w:lineRule="auto"/>
        <w:ind w:firstLine="420" w:firstLineChars="200"/>
        <w:rPr>
          <w:rFonts w:hint="eastAsia" w:hAnsi="宋体" w:cs="宋体"/>
          <w:bCs/>
          <w:color w:val="auto"/>
          <w:sz w:val="21"/>
          <w:highlight w:val="none"/>
        </w:rPr>
      </w:pPr>
      <w:r>
        <w:rPr>
          <w:rFonts w:hint="eastAsia" w:hAnsi="宋体" w:cs="宋体"/>
          <w:bCs/>
          <w:color w:val="auto"/>
          <w:sz w:val="21"/>
          <w:highlight w:val="none"/>
        </w:rPr>
        <w:t>（2）质疑项目的名称、编号；</w:t>
      </w:r>
    </w:p>
    <w:p w14:paraId="6BE5F20B">
      <w:pPr>
        <w:pStyle w:val="25"/>
        <w:snapToGrid w:val="0"/>
        <w:spacing w:line="360" w:lineRule="auto"/>
        <w:ind w:firstLine="420" w:firstLineChars="200"/>
        <w:rPr>
          <w:rFonts w:hint="eastAsia" w:hAnsi="宋体" w:cs="宋体"/>
          <w:bCs/>
          <w:color w:val="auto"/>
          <w:sz w:val="21"/>
          <w:highlight w:val="none"/>
        </w:rPr>
      </w:pPr>
      <w:r>
        <w:rPr>
          <w:rFonts w:hint="eastAsia" w:hAnsi="宋体" w:cs="宋体"/>
          <w:bCs/>
          <w:color w:val="auto"/>
          <w:sz w:val="21"/>
          <w:highlight w:val="none"/>
        </w:rPr>
        <w:t>（3）具体、明确的质疑事项和与质疑事项相关的请求；</w:t>
      </w:r>
    </w:p>
    <w:p w14:paraId="0D4B1BAC">
      <w:pPr>
        <w:pStyle w:val="25"/>
        <w:snapToGrid w:val="0"/>
        <w:spacing w:line="360" w:lineRule="auto"/>
        <w:ind w:firstLine="420" w:firstLineChars="200"/>
        <w:rPr>
          <w:rFonts w:hint="eastAsia" w:hAnsi="宋体" w:cs="宋体"/>
          <w:bCs/>
          <w:color w:val="auto"/>
          <w:sz w:val="21"/>
          <w:highlight w:val="none"/>
        </w:rPr>
      </w:pPr>
      <w:r>
        <w:rPr>
          <w:rFonts w:hint="eastAsia" w:hAnsi="宋体" w:cs="宋体"/>
          <w:bCs/>
          <w:color w:val="auto"/>
          <w:sz w:val="21"/>
          <w:highlight w:val="none"/>
        </w:rPr>
        <w:t>（4）事实依据；</w:t>
      </w:r>
    </w:p>
    <w:p w14:paraId="334455FB">
      <w:pPr>
        <w:pStyle w:val="25"/>
        <w:snapToGrid w:val="0"/>
        <w:spacing w:line="360" w:lineRule="auto"/>
        <w:ind w:firstLine="420" w:firstLineChars="200"/>
        <w:rPr>
          <w:rFonts w:hint="eastAsia" w:hAnsi="宋体" w:cs="宋体"/>
          <w:bCs/>
          <w:color w:val="auto"/>
          <w:sz w:val="21"/>
          <w:highlight w:val="none"/>
        </w:rPr>
      </w:pPr>
      <w:r>
        <w:rPr>
          <w:rFonts w:hint="eastAsia" w:hAnsi="宋体" w:cs="宋体"/>
          <w:bCs/>
          <w:color w:val="auto"/>
          <w:sz w:val="21"/>
          <w:highlight w:val="none"/>
        </w:rPr>
        <w:t>（5）必要的法律依据；</w:t>
      </w:r>
    </w:p>
    <w:p w14:paraId="24356E35">
      <w:pPr>
        <w:pStyle w:val="25"/>
        <w:snapToGrid w:val="0"/>
        <w:spacing w:line="360" w:lineRule="auto"/>
        <w:ind w:firstLine="420" w:firstLineChars="200"/>
        <w:rPr>
          <w:rFonts w:hint="eastAsia" w:hAnsi="宋体" w:cs="宋体"/>
          <w:bCs/>
          <w:color w:val="auto"/>
          <w:sz w:val="21"/>
          <w:highlight w:val="none"/>
        </w:rPr>
      </w:pPr>
      <w:r>
        <w:rPr>
          <w:rFonts w:hint="eastAsia" w:hAnsi="宋体" w:cs="宋体"/>
          <w:bCs/>
          <w:color w:val="auto"/>
          <w:sz w:val="21"/>
          <w:highlight w:val="none"/>
        </w:rPr>
        <w:t>（6）提出质疑的日期。</w:t>
      </w:r>
    </w:p>
    <w:p w14:paraId="5C2010CB">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供应商为自然人的，应当由本人签字；供应商为法人或者其他组织的，应当由法定代表人、主要负责人，或者其委托代理人签字或者盖章，并加盖公章。</w:t>
      </w:r>
    </w:p>
    <w:p w14:paraId="6562AA52">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38.4采购人、采购代理机构认为供应商质疑不成立，或者成立但未对中标结果构成影响的，继续开展采购活动；认为供应商质疑成立且影响或者可能影响中标结果的，按照下列情况处理：</w:t>
      </w:r>
    </w:p>
    <w:p w14:paraId="6CDEF0D8">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（1）对招标文件提出的质疑，依法通过澄清或者修改可以继续开展采购活动的，澄清或者修改招标文件后继续开展采购活动；否则应当修改招标文件后重新开展采购活动。</w:t>
      </w:r>
    </w:p>
    <w:p w14:paraId="264A4895">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（2）对采购过程、中标结果提出的质疑，合格供应商符合法定数量时，可以从合格的中标候选人中另行确定中标供应商的，应当依法另行确定中标供应商；否则应当重新开展采购活动。</w:t>
      </w:r>
    </w:p>
    <w:p w14:paraId="456FF576">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质疑答复导致中标结果改变的，采购人或者采购代理机构应当将有关情况书面报告本级财政部门。</w:t>
      </w:r>
    </w:p>
    <w:p w14:paraId="6F7228E8">
      <w:pPr>
        <w:pStyle w:val="25"/>
        <w:snapToGrid w:val="0"/>
        <w:spacing w:line="360" w:lineRule="auto"/>
        <w:ind w:firstLine="420" w:firstLineChars="200"/>
        <w:rPr>
          <w:rFonts w:hint="eastAsia" w:hAnsi="宋体" w:cs="宋体"/>
          <w:color w:val="auto"/>
          <w:highlight w:val="none"/>
        </w:rPr>
      </w:pPr>
      <w:r>
        <w:rPr>
          <w:rFonts w:hint="eastAsia" w:hAnsi="宋体" w:cs="宋体"/>
          <w:color w:val="auto"/>
          <w:sz w:val="21"/>
          <w:highlight w:val="none"/>
        </w:rPr>
        <w:t>38.5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bookmarkStart w:id="128" w:name="_八、其他事项"/>
      <w:bookmarkEnd w:id="128"/>
    </w:p>
    <w:p w14:paraId="37620E52">
      <w:pPr>
        <w:pStyle w:val="6"/>
        <w:keepNext w:val="0"/>
        <w:keepLines w:val="0"/>
        <w:jc w:val="center"/>
        <w:rPr>
          <w:rFonts w:hint="eastAsia" w:ascii="宋体" w:hAnsi="宋体" w:cs="宋体"/>
          <w:color w:val="auto"/>
          <w:highlight w:val="none"/>
        </w:rPr>
      </w:pPr>
      <w:r>
        <w:rPr>
          <w:rFonts w:hint="eastAsia" w:ascii="宋体" w:hAnsi="宋体" w:cs="宋体"/>
          <w:color w:val="auto"/>
          <w:highlight w:val="none"/>
        </w:rPr>
        <w:t>八、其他事项</w:t>
      </w:r>
    </w:p>
    <w:p w14:paraId="103EAD28">
      <w:pPr>
        <w:pStyle w:val="8"/>
        <w:keepNext w:val="0"/>
        <w:keepLines w:val="0"/>
        <w:spacing w:before="0" w:after="0" w:line="360" w:lineRule="auto"/>
        <w:ind w:left="420" w:leftChars="200"/>
        <w:rPr>
          <w:rFonts w:hint="eastAsia" w:ascii="宋体" w:hAnsi="宋体" w:cs="宋体"/>
          <w:color w:val="auto"/>
          <w:sz w:val="24"/>
          <w:highlight w:val="none"/>
        </w:rPr>
      </w:pPr>
      <w:bookmarkStart w:id="129" w:name="_42.代理服务费"/>
      <w:bookmarkEnd w:id="129"/>
      <w:r>
        <w:rPr>
          <w:rFonts w:hint="eastAsia" w:ascii="宋体" w:hAnsi="宋体" w:cs="宋体"/>
          <w:color w:val="auto"/>
          <w:sz w:val="24"/>
          <w:highlight w:val="none"/>
        </w:rPr>
        <w:t>39.代理服务费</w:t>
      </w:r>
    </w:p>
    <w:p w14:paraId="735B33D4">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39.1代理服务收取标准及缴费账户详见“投标人须知前附表”，投标人为联合体的，可以由联合体中的一方或者多方共同交纳代理服务费。</w:t>
      </w:r>
    </w:p>
    <w:p w14:paraId="5114CDC8">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39.2代理服务收费标准：</w:t>
      </w:r>
    </w:p>
    <w:p w14:paraId="78F1CB61">
      <w:pPr>
        <w:pStyle w:val="25"/>
        <w:snapToGrid w:val="0"/>
        <w:spacing w:line="360" w:lineRule="auto"/>
        <w:ind w:firstLine="420" w:firstLineChars="200"/>
        <w:rPr>
          <w:rFonts w:hint="eastAsia" w:hAnsi="宋体" w:cs="宋体"/>
          <w:color w:val="auto"/>
          <w:sz w:val="21"/>
          <w:highlight w:val="none"/>
        </w:rPr>
      </w:pP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687"/>
        <w:gridCol w:w="1659"/>
      </w:tblGrid>
      <w:tr w14:paraId="7638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Borders>
              <w:tl2br w:val="single" w:color="auto" w:sz="4" w:space="0"/>
            </w:tcBorders>
          </w:tcPr>
          <w:p w14:paraId="15584F92">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费率</w:t>
            </w:r>
          </w:p>
          <w:p w14:paraId="27668B5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中标金额</w:t>
            </w:r>
          </w:p>
        </w:tc>
        <w:tc>
          <w:tcPr>
            <w:tcW w:w="1659" w:type="dxa"/>
            <w:vAlign w:val="center"/>
          </w:tcPr>
          <w:p w14:paraId="4E973A7A">
            <w:pPr>
              <w:spacing w:line="360" w:lineRule="auto"/>
              <w:ind w:firstLine="105" w:firstLineChars="50"/>
              <w:jc w:val="center"/>
              <w:rPr>
                <w:rFonts w:hint="eastAsia" w:ascii="宋体" w:hAnsi="宋体" w:cs="宋体"/>
                <w:color w:val="auto"/>
                <w:szCs w:val="21"/>
                <w:highlight w:val="none"/>
              </w:rPr>
            </w:pPr>
            <w:r>
              <w:rPr>
                <w:rFonts w:hint="eastAsia" w:ascii="宋体" w:hAnsi="宋体" w:cs="宋体"/>
                <w:color w:val="auto"/>
                <w:szCs w:val="21"/>
                <w:highlight w:val="none"/>
              </w:rPr>
              <w:t>货物招标</w:t>
            </w:r>
          </w:p>
        </w:tc>
        <w:tc>
          <w:tcPr>
            <w:tcW w:w="1687" w:type="dxa"/>
            <w:vAlign w:val="center"/>
          </w:tcPr>
          <w:p w14:paraId="3845C5F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服务招标</w:t>
            </w:r>
          </w:p>
        </w:tc>
        <w:tc>
          <w:tcPr>
            <w:tcW w:w="1659" w:type="dxa"/>
            <w:vAlign w:val="center"/>
          </w:tcPr>
          <w:p w14:paraId="725C446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工程招标</w:t>
            </w:r>
          </w:p>
        </w:tc>
      </w:tr>
      <w:tr w14:paraId="1571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646CC9F2">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100万元以下</w:t>
            </w:r>
          </w:p>
        </w:tc>
        <w:tc>
          <w:tcPr>
            <w:tcW w:w="1659" w:type="dxa"/>
          </w:tcPr>
          <w:p w14:paraId="5326114A">
            <w:pPr>
              <w:spacing w:line="360" w:lineRule="auto"/>
              <w:rPr>
                <w:rFonts w:hint="eastAsia" w:ascii="宋体" w:hAnsi="宋体" w:cs="宋体"/>
                <w:color w:val="auto"/>
                <w:szCs w:val="21"/>
                <w:highlight w:val="none"/>
              </w:rPr>
            </w:pPr>
            <w:r>
              <w:rPr>
                <w:rFonts w:hint="eastAsia" w:ascii="宋体" w:hAnsi="宋体" w:cs="宋体"/>
                <w:color w:val="auto"/>
                <w:kern w:val="0"/>
                <w:szCs w:val="21"/>
                <w:highlight w:val="none"/>
              </w:rPr>
              <w:t xml:space="preserve">1.5% </w:t>
            </w:r>
          </w:p>
        </w:tc>
        <w:tc>
          <w:tcPr>
            <w:tcW w:w="1687" w:type="dxa"/>
          </w:tcPr>
          <w:p w14:paraId="1361983E">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1.5%</w:t>
            </w:r>
          </w:p>
        </w:tc>
        <w:tc>
          <w:tcPr>
            <w:tcW w:w="1659" w:type="dxa"/>
          </w:tcPr>
          <w:p w14:paraId="393A973D">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1.0% </w:t>
            </w:r>
          </w:p>
        </w:tc>
      </w:tr>
      <w:tr w14:paraId="6931C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2B05E54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100～500万元</w:t>
            </w:r>
          </w:p>
        </w:tc>
        <w:tc>
          <w:tcPr>
            <w:tcW w:w="1659" w:type="dxa"/>
          </w:tcPr>
          <w:p w14:paraId="53E9DE93">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1.1% </w:t>
            </w:r>
          </w:p>
        </w:tc>
        <w:tc>
          <w:tcPr>
            <w:tcW w:w="1687" w:type="dxa"/>
          </w:tcPr>
          <w:p w14:paraId="14C35493">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0.8%</w:t>
            </w:r>
          </w:p>
        </w:tc>
        <w:tc>
          <w:tcPr>
            <w:tcW w:w="1659" w:type="dxa"/>
          </w:tcPr>
          <w:p w14:paraId="22690780">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0.7% </w:t>
            </w:r>
          </w:p>
        </w:tc>
      </w:tr>
      <w:tr w14:paraId="3CC75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766A62B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500～1000万元</w:t>
            </w:r>
          </w:p>
        </w:tc>
        <w:tc>
          <w:tcPr>
            <w:tcW w:w="1659" w:type="dxa"/>
          </w:tcPr>
          <w:p w14:paraId="039369F8">
            <w:pPr>
              <w:spacing w:line="360" w:lineRule="auto"/>
              <w:rPr>
                <w:rFonts w:hint="eastAsia" w:ascii="宋体" w:hAnsi="宋体" w:cs="宋体"/>
                <w:color w:val="auto"/>
                <w:szCs w:val="21"/>
                <w:highlight w:val="none"/>
              </w:rPr>
            </w:pPr>
            <w:r>
              <w:rPr>
                <w:rFonts w:hint="eastAsia" w:ascii="宋体" w:hAnsi="宋体" w:cs="宋体"/>
                <w:color w:val="auto"/>
                <w:kern w:val="0"/>
                <w:szCs w:val="21"/>
                <w:highlight w:val="none"/>
              </w:rPr>
              <w:t xml:space="preserve">0.8% </w:t>
            </w:r>
          </w:p>
        </w:tc>
        <w:tc>
          <w:tcPr>
            <w:tcW w:w="1687" w:type="dxa"/>
          </w:tcPr>
          <w:p w14:paraId="6C3958CD">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0.45%</w:t>
            </w:r>
          </w:p>
        </w:tc>
        <w:tc>
          <w:tcPr>
            <w:tcW w:w="1659" w:type="dxa"/>
          </w:tcPr>
          <w:p w14:paraId="348F3E4A">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0.55%</w:t>
            </w:r>
          </w:p>
        </w:tc>
      </w:tr>
      <w:tr w14:paraId="221D3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4EEBEA6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1000～5000万元</w:t>
            </w:r>
          </w:p>
        </w:tc>
        <w:tc>
          <w:tcPr>
            <w:tcW w:w="1659" w:type="dxa"/>
          </w:tcPr>
          <w:p w14:paraId="0DF3B5FD">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0.5% </w:t>
            </w:r>
          </w:p>
        </w:tc>
        <w:tc>
          <w:tcPr>
            <w:tcW w:w="1687" w:type="dxa"/>
          </w:tcPr>
          <w:p w14:paraId="1712071C">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0.25%</w:t>
            </w:r>
          </w:p>
        </w:tc>
        <w:tc>
          <w:tcPr>
            <w:tcW w:w="1659" w:type="dxa"/>
          </w:tcPr>
          <w:p w14:paraId="3092E8EC">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0.35% </w:t>
            </w:r>
          </w:p>
        </w:tc>
      </w:tr>
      <w:tr w14:paraId="5F975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192E7D1A">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5000万元～1亿元</w:t>
            </w:r>
          </w:p>
        </w:tc>
        <w:tc>
          <w:tcPr>
            <w:tcW w:w="1659" w:type="dxa"/>
          </w:tcPr>
          <w:p w14:paraId="46FFAF60">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0.25% </w:t>
            </w:r>
          </w:p>
        </w:tc>
        <w:tc>
          <w:tcPr>
            <w:tcW w:w="1687" w:type="dxa"/>
          </w:tcPr>
          <w:p w14:paraId="11732CF5">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0.1%</w:t>
            </w:r>
          </w:p>
        </w:tc>
        <w:tc>
          <w:tcPr>
            <w:tcW w:w="1659" w:type="dxa"/>
          </w:tcPr>
          <w:p w14:paraId="7D4C8FEA">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0.2%</w:t>
            </w:r>
          </w:p>
        </w:tc>
      </w:tr>
    </w:tbl>
    <w:p w14:paraId="025EC81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w:t>
      </w:r>
    </w:p>
    <w:p w14:paraId="527EEFBB">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（1）按本表费率计算的收费为采购代理的收费基准价格；</w:t>
      </w:r>
    </w:p>
    <w:p w14:paraId="516A02BD">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（2）采购代理收费按差额定率累进法计算。</w:t>
      </w:r>
    </w:p>
    <w:p w14:paraId="4F41F458">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例如：某货物采购代理业务采购预算金额或者暂定价为200万元，计算采购代理收费额如下：</w:t>
      </w:r>
    </w:p>
    <w:p w14:paraId="7E3FEA50">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100万元×l.5％＝1.5万元</w:t>
      </w:r>
    </w:p>
    <w:p w14:paraId="3FD95D5C">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（200－100）万元×1.1％＝1.1万元</w:t>
      </w:r>
    </w:p>
    <w:p w14:paraId="1272EADC">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合计收费＝1.5+1.1＝2.6万元</w:t>
      </w:r>
    </w:p>
    <w:p w14:paraId="25AD9D7F">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32.9代理服务费交纳银行帐号信息</w:t>
      </w:r>
    </w:p>
    <w:p w14:paraId="7931DAD9">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账户名称：广西科文招标有限公司宾阳分公司</w:t>
      </w:r>
    </w:p>
    <w:p w14:paraId="192767EA">
      <w:pPr>
        <w:spacing w:line="360" w:lineRule="auto"/>
        <w:ind w:firstLine="420" w:firstLineChars="200"/>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开户银行：</w:t>
      </w:r>
      <w:r>
        <w:rPr>
          <w:rFonts w:hint="eastAsia" w:ascii="宋体" w:hAnsi="宋体" w:cs="宋体"/>
          <w:color w:val="auto"/>
          <w:kern w:val="0"/>
          <w:szCs w:val="21"/>
          <w:highlight w:val="none"/>
          <w:lang w:eastAsia="zh-CN"/>
        </w:rPr>
        <w:t>中国银行宾阳支行营业部</w:t>
      </w:r>
    </w:p>
    <w:p w14:paraId="5217D07D">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银行账号：618471419553</w:t>
      </w:r>
    </w:p>
    <w:p w14:paraId="5DAC54FA">
      <w:pPr>
        <w:spacing w:line="360" w:lineRule="auto"/>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40.需要补充的其他内容</w:t>
      </w:r>
    </w:p>
    <w:p w14:paraId="5FE91908">
      <w:pPr>
        <w:pStyle w:val="25"/>
        <w:spacing w:line="360" w:lineRule="auto"/>
        <w:ind w:firstLine="420" w:firstLineChars="200"/>
        <w:contextualSpacing/>
        <w:rPr>
          <w:rFonts w:hint="eastAsia" w:hAnsi="宋体" w:cs="宋体"/>
          <w:color w:val="auto"/>
          <w:sz w:val="21"/>
          <w:highlight w:val="none"/>
        </w:rPr>
      </w:pPr>
      <w:r>
        <w:rPr>
          <w:rFonts w:hint="eastAsia" w:hAnsi="宋体" w:cs="宋体"/>
          <w:color w:val="auto"/>
          <w:sz w:val="21"/>
          <w:highlight w:val="none"/>
        </w:rPr>
        <w:t>40.1本招标文件解释规则详见“投标人须知前附表”。</w:t>
      </w:r>
    </w:p>
    <w:p w14:paraId="75BBA3AC">
      <w:pPr>
        <w:pStyle w:val="25"/>
        <w:spacing w:line="360" w:lineRule="auto"/>
        <w:ind w:firstLine="420" w:firstLineChars="200"/>
        <w:contextualSpacing/>
        <w:rPr>
          <w:rFonts w:hint="eastAsia" w:hAnsi="宋体" w:cs="宋体"/>
          <w:color w:val="auto"/>
          <w:sz w:val="21"/>
          <w:highlight w:val="none"/>
        </w:rPr>
      </w:pPr>
      <w:r>
        <w:rPr>
          <w:rFonts w:hint="eastAsia" w:hAnsi="宋体" w:cs="宋体"/>
          <w:color w:val="auto"/>
          <w:sz w:val="21"/>
          <w:highlight w:val="none"/>
        </w:rPr>
        <w:t>40.2其他事项详见“投标人须知前附表”。</w:t>
      </w:r>
    </w:p>
    <w:p w14:paraId="0E74A125">
      <w:pPr>
        <w:pStyle w:val="25"/>
        <w:spacing w:line="360" w:lineRule="auto"/>
        <w:ind w:firstLine="420" w:firstLineChars="200"/>
        <w:contextualSpacing/>
        <w:rPr>
          <w:rFonts w:hint="eastAsia" w:hAnsi="宋体" w:cs="宋体"/>
          <w:color w:val="auto"/>
          <w:sz w:val="21"/>
          <w:highlight w:val="none"/>
        </w:rPr>
      </w:pPr>
      <w:r>
        <w:rPr>
          <w:rFonts w:hint="eastAsia" w:hAnsi="宋体" w:cs="宋体"/>
          <w:color w:val="auto"/>
          <w:sz w:val="21"/>
          <w:highlight w:val="none"/>
        </w:rPr>
        <w:t>40.3</w:t>
      </w:r>
      <w:bookmarkStart w:id="130" w:name="_Hlk65857140"/>
      <w:r>
        <w:rPr>
          <w:rFonts w:hint="eastAsia" w:hAnsi="宋体" w:cs="宋体"/>
          <w:color w:val="auto"/>
          <w:sz w:val="21"/>
          <w:highlight w:val="none"/>
        </w:rPr>
        <w:t>本招标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招标文件规定的中小企业扶持政策：</w:t>
      </w:r>
    </w:p>
    <w:p w14:paraId="52FE9774">
      <w:pPr>
        <w:pStyle w:val="25"/>
        <w:spacing w:line="360" w:lineRule="auto"/>
        <w:ind w:firstLine="420" w:firstLineChars="200"/>
        <w:contextualSpacing/>
        <w:rPr>
          <w:rFonts w:hint="eastAsia" w:hAnsi="宋体" w:cs="宋体"/>
          <w:color w:val="auto"/>
          <w:sz w:val="21"/>
          <w:highlight w:val="none"/>
        </w:rPr>
      </w:pPr>
      <w:r>
        <w:rPr>
          <w:rFonts w:hint="eastAsia" w:hAnsi="宋体" w:cs="宋体"/>
          <w:color w:val="auto"/>
          <w:sz w:val="21"/>
          <w:highlight w:val="none"/>
        </w:rPr>
        <w:t>（1）在货物采购项目中，货物由中小企业制造，即货物由中小企业生产且使用该中小企业商号或者注册商标，不对其中涉及的工程承建商和服务的承接商作出要求；</w:t>
      </w:r>
    </w:p>
    <w:p w14:paraId="08F155F7">
      <w:pPr>
        <w:pStyle w:val="25"/>
        <w:spacing w:line="360" w:lineRule="auto"/>
        <w:ind w:firstLine="420" w:firstLineChars="200"/>
        <w:contextualSpacing/>
        <w:rPr>
          <w:rFonts w:hint="eastAsia" w:hAnsi="宋体" w:cs="宋体"/>
          <w:color w:val="auto"/>
          <w:sz w:val="21"/>
          <w:highlight w:val="none"/>
        </w:rPr>
      </w:pPr>
      <w:r>
        <w:rPr>
          <w:rFonts w:hint="eastAsia" w:hAnsi="宋体" w:cs="宋体"/>
          <w:color w:val="auto"/>
          <w:sz w:val="21"/>
          <w:highlight w:val="none"/>
        </w:rPr>
        <w:t>（2）在工程采购项目中，工程由中小企业承建，即工程施工单位为中小企业，不对其中涉及的货物的制造商和服务的承接商作出要求；</w:t>
      </w:r>
    </w:p>
    <w:p w14:paraId="0B949FA3">
      <w:pPr>
        <w:pStyle w:val="25"/>
        <w:spacing w:line="360" w:lineRule="auto"/>
        <w:ind w:firstLine="420" w:firstLineChars="200"/>
        <w:contextualSpacing/>
        <w:rPr>
          <w:rFonts w:hint="eastAsia" w:hAnsi="宋体" w:cs="宋体"/>
          <w:color w:val="auto"/>
          <w:sz w:val="21"/>
          <w:highlight w:val="none"/>
        </w:rPr>
      </w:pPr>
      <w:r>
        <w:rPr>
          <w:rFonts w:hint="eastAsia" w:hAnsi="宋体" w:cs="宋体"/>
          <w:color w:val="auto"/>
          <w:sz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19CB50FF">
      <w:pPr>
        <w:pStyle w:val="25"/>
        <w:spacing w:line="360" w:lineRule="auto"/>
        <w:ind w:firstLine="420" w:firstLineChars="200"/>
        <w:contextualSpacing/>
        <w:rPr>
          <w:rFonts w:hint="eastAsia" w:hAnsi="宋体" w:cs="宋体"/>
          <w:color w:val="auto"/>
          <w:sz w:val="21"/>
          <w:highlight w:val="none"/>
        </w:rPr>
      </w:pPr>
      <w:r>
        <w:rPr>
          <w:rFonts w:hint="eastAsia" w:hAnsi="宋体" w:cs="宋体"/>
          <w:color w:val="auto"/>
          <w:sz w:val="21"/>
          <w:highlight w:val="none"/>
        </w:rPr>
        <w:t>在货物采购项目中，供应商提供的货物既有中小企业制造货物，也有大型企业制造货物的，不享受本招标文件规定的中小企业扶持政策。以联合体形式参加政府采购活动，联合体各方均为中小企业的，联合体视同中小企业。其中，联合体各方均为小微企业的，联合体视同小微企业。</w:t>
      </w:r>
    </w:p>
    <w:p w14:paraId="70C0EEF1">
      <w:pPr>
        <w:pStyle w:val="25"/>
        <w:spacing w:line="360" w:lineRule="auto"/>
        <w:ind w:firstLine="420" w:firstLineChars="200"/>
        <w:contextualSpacing/>
        <w:rPr>
          <w:rFonts w:hint="eastAsia" w:hAnsi="宋体" w:cs="宋体"/>
          <w:color w:val="auto"/>
          <w:sz w:val="21"/>
          <w:highlight w:val="none"/>
        </w:rPr>
      </w:pPr>
      <w:r>
        <w:rPr>
          <w:rFonts w:hint="eastAsia" w:hAnsi="宋体" w:cs="宋体"/>
          <w:color w:val="auto"/>
          <w:sz w:val="21"/>
          <w:highlight w:val="none"/>
        </w:rPr>
        <w:t>依据本招标文件规定享受扶持政策获得政府采购合同的，小微企业不得将合同分包给大中型企业，中型企业不得将合同分包给大型企业。</w:t>
      </w:r>
      <w:bookmarkEnd w:id="130"/>
    </w:p>
    <w:p w14:paraId="293C7E97">
      <w:pPr>
        <w:pStyle w:val="3"/>
        <w:ind w:left="479" w:leftChars="114" w:hanging="240" w:hangingChars="100"/>
        <w:rPr>
          <w:rFonts w:hint="eastAsia" w:ascii="宋体" w:hAnsi="宋体" w:cs="宋体"/>
          <w:color w:val="auto"/>
          <w:highlight w:val="none"/>
        </w:rPr>
      </w:pPr>
      <w:r>
        <w:rPr>
          <w:rFonts w:hint="eastAsia" w:ascii="宋体" w:hAnsi="宋体" w:cs="宋体"/>
          <w:color w:val="auto"/>
          <w:highlight w:val="none"/>
        </w:rPr>
        <w:br w:type="page"/>
      </w:r>
    </w:p>
    <w:p w14:paraId="31E7BA55">
      <w:pPr>
        <w:pStyle w:val="3"/>
        <w:ind w:left="479" w:leftChars="114" w:hanging="240" w:hangingChars="100"/>
        <w:rPr>
          <w:rFonts w:hint="eastAsia" w:ascii="宋体" w:hAnsi="宋体" w:cs="宋体"/>
          <w:color w:val="auto"/>
          <w:highlight w:val="none"/>
        </w:rPr>
      </w:pPr>
    </w:p>
    <w:p w14:paraId="2D0018B5">
      <w:pPr>
        <w:pStyle w:val="3"/>
        <w:ind w:left="479" w:leftChars="114" w:hanging="240" w:hangingChars="100"/>
        <w:rPr>
          <w:rFonts w:hint="eastAsia" w:ascii="宋体" w:hAnsi="宋体" w:cs="宋体"/>
          <w:color w:val="auto"/>
          <w:highlight w:val="none"/>
        </w:rPr>
      </w:pPr>
    </w:p>
    <w:p w14:paraId="717E8BD5">
      <w:pPr>
        <w:pStyle w:val="3"/>
        <w:ind w:left="479" w:leftChars="114" w:hanging="240" w:hangingChars="100"/>
        <w:rPr>
          <w:rFonts w:hint="eastAsia" w:ascii="宋体" w:hAnsi="宋体" w:cs="宋体"/>
          <w:color w:val="auto"/>
          <w:highlight w:val="none"/>
        </w:rPr>
      </w:pPr>
    </w:p>
    <w:p w14:paraId="02EC1B21">
      <w:pPr>
        <w:pStyle w:val="25"/>
        <w:snapToGrid w:val="0"/>
        <w:spacing w:before="120" w:after="120"/>
        <w:rPr>
          <w:rFonts w:hint="eastAsia" w:hAnsi="宋体" w:cs="宋体"/>
          <w:color w:val="auto"/>
          <w:highlight w:val="none"/>
        </w:rPr>
      </w:pPr>
    </w:p>
    <w:p w14:paraId="67CD2EC1">
      <w:pPr>
        <w:pStyle w:val="25"/>
        <w:snapToGrid w:val="0"/>
        <w:spacing w:before="120" w:after="120"/>
        <w:rPr>
          <w:rFonts w:hint="eastAsia" w:hAnsi="宋体" w:cs="宋体"/>
          <w:color w:val="auto"/>
          <w:highlight w:val="none"/>
        </w:rPr>
      </w:pPr>
    </w:p>
    <w:p w14:paraId="56C36F92">
      <w:pPr>
        <w:pStyle w:val="25"/>
        <w:snapToGrid w:val="0"/>
        <w:spacing w:before="120" w:after="120"/>
        <w:rPr>
          <w:rFonts w:hint="eastAsia" w:hAnsi="宋体" w:cs="宋体"/>
          <w:color w:val="auto"/>
          <w:highlight w:val="none"/>
        </w:rPr>
      </w:pPr>
    </w:p>
    <w:p w14:paraId="780C080D">
      <w:pPr>
        <w:pStyle w:val="25"/>
        <w:snapToGrid w:val="0"/>
        <w:spacing w:before="120" w:after="120"/>
        <w:rPr>
          <w:rFonts w:hint="eastAsia" w:hAnsi="宋体" w:cs="宋体"/>
          <w:color w:val="auto"/>
          <w:highlight w:val="none"/>
        </w:rPr>
      </w:pPr>
    </w:p>
    <w:p w14:paraId="2A04E936">
      <w:pPr>
        <w:pStyle w:val="25"/>
        <w:snapToGrid w:val="0"/>
        <w:spacing w:before="120" w:after="120"/>
        <w:rPr>
          <w:rFonts w:hint="eastAsia" w:hAnsi="宋体" w:cs="宋体"/>
          <w:color w:val="auto"/>
          <w:highlight w:val="none"/>
        </w:rPr>
      </w:pPr>
    </w:p>
    <w:p w14:paraId="0CA01981">
      <w:pPr>
        <w:pStyle w:val="25"/>
        <w:snapToGrid w:val="0"/>
        <w:spacing w:before="120" w:after="120"/>
        <w:rPr>
          <w:rFonts w:hint="eastAsia" w:hAnsi="宋体" w:cs="宋体"/>
          <w:color w:val="auto"/>
          <w:highlight w:val="none"/>
        </w:rPr>
      </w:pPr>
    </w:p>
    <w:p w14:paraId="0D7FBA47">
      <w:pPr>
        <w:pStyle w:val="25"/>
        <w:snapToGrid w:val="0"/>
        <w:spacing w:before="120" w:after="120"/>
        <w:rPr>
          <w:rFonts w:hint="eastAsia" w:hAnsi="宋体" w:cs="宋体"/>
          <w:color w:val="auto"/>
          <w:highlight w:val="none"/>
        </w:rPr>
      </w:pPr>
    </w:p>
    <w:p w14:paraId="23B069E5">
      <w:pPr>
        <w:pStyle w:val="25"/>
        <w:snapToGrid w:val="0"/>
        <w:spacing w:before="120" w:after="120"/>
        <w:rPr>
          <w:rFonts w:hint="eastAsia" w:hAnsi="宋体" w:cs="宋体"/>
          <w:color w:val="auto"/>
          <w:highlight w:val="none"/>
        </w:rPr>
      </w:pPr>
    </w:p>
    <w:p w14:paraId="5172EECC">
      <w:pPr>
        <w:pStyle w:val="25"/>
        <w:snapToGrid w:val="0"/>
        <w:spacing w:before="120" w:after="120"/>
        <w:rPr>
          <w:rFonts w:hint="eastAsia" w:hAnsi="宋体" w:cs="宋体"/>
          <w:color w:val="auto"/>
          <w:highlight w:val="none"/>
        </w:rPr>
      </w:pPr>
    </w:p>
    <w:p w14:paraId="22522352">
      <w:pPr>
        <w:pStyle w:val="4"/>
        <w:jc w:val="center"/>
        <w:rPr>
          <w:rFonts w:hint="eastAsia" w:ascii="宋体" w:hAnsi="宋体" w:cs="宋体"/>
          <w:color w:val="auto"/>
          <w:highlight w:val="none"/>
        </w:rPr>
      </w:pPr>
      <w:bookmarkStart w:id="131" w:name="_Toc25073"/>
      <w:bookmarkStart w:id="132" w:name="_Toc254970548"/>
      <w:bookmarkStart w:id="133" w:name="_Toc330456896"/>
      <w:bookmarkStart w:id="134" w:name="_Toc254970689"/>
      <w:r>
        <w:rPr>
          <w:rFonts w:hint="eastAsia" w:ascii="宋体" w:hAnsi="宋体" w:cs="宋体"/>
          <w:color w:val="auto"/>
          <w:highlight w:val="none"/>
        </w:rPr>
        <w:t>第四章  评标方法及评标标准</w:t>
      </w:r>
      <w:bookmarkEnd w:id="131"/>
      <w:bookmarkEnd w:id="132"/>
      <w:bookmarkEnd w:id="133"/>
      <w:bookmarkEnd w:id="134"/>
    </w:p>
    <w:p w14:paraId="601C4A2E">
      <w:pPr>
        <w:pStyle w:val="25"/>
        <w:spacing w:before="120" w:after="120"/>
        <w:outlineLvl w:val="0"/>
        <w:rPr>
          <w:rFonts w:hint="eastAsia" w:hAnsi="宋体" w:cs="宋体"/>
          <w:b/>
          <w:color w:val="auto"/>
          <w:highlight w:val="none"/>
        </w:rPr>
      </w:pPr>
      <w:bookmarkStart w:id="135" w:name="_Toc254970690"/>
      <w:bookmarkStart w:id="136" w:name="_Toc254970549"/>
    </w:p>
    <w:bookmarkEnd w:id="135"/>
    <w:bookmarkEnd w:id="136"/>
    <w:p w14:paraId="60A42057">
      <w:pPr>
        <w:pStyle w:val="25"/>
        <w:spacing w:before="120" w:after="120"/>
        <w:outlineLvl w:val="0"/>
        <w:rPr>
          <w:rFonts w:hint="eastAsia" w:hAnsi="宋体" w:cs="宋体"/>
          <w:bCs/>
          <w:color w:val="auto"/>
          <w:sz w:val="32"/>
          <w:szCs w:val="32"/>
          <w:highlight w:val="none"/>
        </w:rPr>
      </w:pPr>
    </w:p>
    <w:p w14:paraId="74459D31">
      <w:pPr>
        <w:pStyle w:val="25"/>
        <w:spacing w:before="120" w:after="120"/>
        <w:outlineLvl w:val="0"/>
        <w:rPr>
          <w:rFonts w:hint="eastAsia" w:hAnsi="宋体" w:cs="宋体"/>
          <w:bCs/>
          <w:color w:val="auto"/>
          <w:sz w:val="32"/>
          <w:szCs w:val="32"/>
          <w:highlight w:val="none"/>
        </w:rPr>
      </w:pPr>
    </w:p>
    <w:p w14:paraId="5F8C405B">
      <w:pPr>
        <w:pStyle w:val="25"/>
        <w:spacing w:before="120" w:after="120"/>
        <w:outlineLvl w:val="0"/>
        <w:rPr>
          <w:rFonts w:hint="eastAsia" w:hAnsi="宋体" w:cs="宋体"/>
          <w:bCs/>
          <w:color w:val="auto"/>
          <w:sz w:val="32"/>
          <w:szCs w:val="32"/>
          <w:highlight w:val="none"/>
        </w:rPr>
      </w:pPr>
    </w:p>
    <w:p w14:paraId="295F29BB">
      <w:pPr>
        <w:spacing w:before="120" w:beforeLines="50" w:after="120" w:afterLines="50" w:line="400" w:lineRule="exact"/>
        <w:rPr>
          <w:rFonts w:hint="eastAsia" w:ascii="宋体" w:hAnsi="宋体" w:cs="宋体"/>
          <w:b/>
          <w:color w:val="auto"/>
          <w:sz w:val="24"/>
          <w:highlight w:val="none"/>
        </w:rPr>
      </w:pPr>
    </w:p>
    <w:p w14:paraId="50765DD0">
      <w:pPr>
        <w:spacing w:before="120" w:beforeLines="50" w:after="120" w:afterLines="50" w:line="400" w:lineRule="exact"/>
        <w:rPr>
          <w:rFonts w:hint="eastAsia" w:ascii="宋体" w:hAnsi="宋体" w:cs="宋体"/>
          <w:b/>
          <w:color w:val="auto"/>
          <w:sz w:val="24"/>
          <w:highlight w:val="none"/>
        </w:rPr>
      </w:pPr>
    </w:p>
    <w:p w14:paraId="44B80F86">
      <w:pPr>
        <w:spacing w:before="120" w:beforeLines="50" w:after="120" w:afterLines="50" w:line="400" w:lineRule="exact"/>
        <w:rPr>
          <w:rFonts w:hint="eastAsia" w:ascii="宋体" w:hAnsi="宋体" w:cs="宋体"/>
          <w:b/>
          <w:color w:val="auto"/>
          <w:sz w:val="24"/>
          <w:highlight w:val="none"/>
        </w:rPr>
      </w:pPr>
    </w:p>
    <w:p w14:paraId="7E66DE5B">
      <w:pPr>
        <w:spacing w:before="120" w:beforeLines="50" w:after="120" w:afterLines="50" w:line="400" w:lineRule="exact"/>
        <w:rPr>
          <w:rFonts w:hint="eastAsia" w:ascii="宋体" w:hAnsi="宋体" w:cs="宋体"/>
          <w:b/>
          <w:color w:val="auto"/>
          <w:sz w:val="24"/>
          <w:highlight w:val="none"/>
        </w:rPr>
      </w:pPr>
    </w:p>
    <w:p w14:paraId="3E78A982">
      <w:pPr>
        <w:spacing w:before="120" w:beforeLines="50" w:after="120" w:afterLines="50" w:line="400" w:lineRule="exact"/>
        <w:rPr>
          <w:rFonts w:hint="eastAsia" w:ascii="宋体" w:hAnsi="宋体" w:cs="宋体"/>
          <w:b/>
          <w:color w:val="auto"/>
          <w:sz w:val="24"/>
          <w:highlight w:val="none"/>
        </w:rPr>
      </w:pPr>
    </w:p>
    <w:p w14:paraId="4BA9BAB3">
      <w:pPr>
        <w:spacing w:before="120" w:beforeLines="50" w:after="120" w:afterLines="50" w:line="400" w:lineRule="exact"/>
        <w:rPr>
          <w:rFonts w:hint="eastAsia" w:ascii="宋体" w:hAnsi="宋体" w:cs="宋体"/>
          <w:b/>
          <w:color w:val="auto"/>
          <w:sz w:val="24"/>
          <w:highlight w:val="none"/>
        </w:rPr>
      </w:pPr>
    </w:p>
    <w:p w14:paraId="47891517">
      <w:pPr>
        <w:spacing w:before="120" w:beforeLines="50" w:after="120" w:afterLines="50" w:line="400" w:lineRule="exact"/>
        <w:rPr>
          <w:rFonts w:hint="eastAsia" w:ascii="宋体" w:hAnsi="宋体" w:cs="宋体"/>
          <w:b/>
          <w:color w:val="auto"/>
          <w:sz w:val="24"/>
          <w:highlight w:val="none"/>
        </w:rPr>
      </w:pPr>
    </w:p>
    <w:p w14:paraId="3A08DDE3">
      <w:pPr>
        <w:pStyle w:val="25"/>
        <w:spacing w:line="360" w:lineRule="exact"/>
        <w:rPr>
          <w:rFonts w:hint="eastAsia" w:hAnsi="宋体" w:cs="宋体"/>
          <w:b/>
          <w:color w:val="auto"/>
          <w:sz w:val="24"/>
          <w:highlight w:val="none"/>
        </w:rPr>
      </w:pPr>
    </w:p>
    <w:p w14:paraId="59F42BE9">
      <w:pPr>
        <w:pStyle w:val="6"/>
        <w:keepNext w:val="0"/>
        <w:keepLines w:val="0"/>
        <w:jc w:val="center"/>
        <w:rPr>
          <w:rFonts w:hint="eastAsia" w:ascii="宋体" w:hAnsi="宋体" w:cs="宋体"/>
          <w:color w:val="auto"/>
          <w:sz w:val="30"/>
          <w:szCs w:val="30"/>
          <w:highlight w:val="none"/>
        </w:rPr>
      </w:pPr>
      <w:r>
        <w:rPr>
          <w:rFonts w:hint="eastAsia" w:ascii="宋体" w:hAnsi="宋体" w:cs="宋体"/>
          <w:color w:val="auto"/>
          <w:sz w:val="30"/>
          <w:szCs w:val="30"/>
          <w:highlight w:val="none"/>
        </w:rPr>
        <w:br w:type="page"/>
      </w:r>
      <w:r>
        <w:rPr>
          <w:rFonts w:hint="eastAsia" w:ascii="宋体" w:hAnsi="宋体" w:cs="宋体"/>
          <w:color w:val="auto"/>
          <w:sz w:val="30"/>
          <w:szCs w:val="30"/>
          <w:highlight w:val="none"/>
        </w:rPr>
        <w:t>一、评标方法</w:t>
      </w:r>
    </w:p>
    <w:p w14:paraId="7744B0B1">
      <w:pPr>
        <w:pStyle w:val="25"/>
        <w:spacing w:line="360" w:lineRule="auto"/>
        <w:ind w:firstLine="420"/>
        <w:rPr>
          <w:rFonts w:hint="eastAsia" w:hAnsi="宋体" w:cs="宋体"/>
          <w:color w:val="auto"/>
          <w:sz w:val="21"/>
          <w:highlight w:val="none"/>
        </w:rPr>
      </w:pPr>
      <w:r>
        <w:rPr>
          <w:rFonts w:hint="eastAsia" w:hAnsi="宋体" w:cs="宋体"/>
          <w:color w:val="auto"/>
          <w:highlight w:val="none"/>
        </w:rPr>
        <w:t>☑</w:t>
      </w:r>
      <w:r>
        <w:rPr>
          <w:rFonts w:hint="eastAsia" w:hAnsi="宋体" w:cs="宋体"/>
          <w:color w:val="auto"/>
          <w:sz w:val="21"/>
          <w:highlight w:val="none"/>
        </w:rPr>
        <w:t>综合评分法，是指投标文件满足招标文件全部实质性要求，且按照评审因素的量化指标评审得分最高的投标人为中标候选人的评标方法。</w:t>
      </w:r>
    </w:p>
    <w:p w14:paraId="2A19DD34">
      <w:pPr>
        <w:pStyle w:val="25"/>
        <w:spacing w:line="360" w:lineRule="auto"/>
        <w:ind w:firstLine="420"/>
        <w:rPr>
          <w:rFonts w:hint="eastAsia" w:hAnsi="宋体" w:cs="宋体"/>
          <w:color w:val="auto"/>
          <w:sz w:val="21"/>
          <w:highlight w:val="none"/>
        </w:rPr>
      </w:pPr>
      <w:r>
        <w:rPr>
          <w:rFonts w:hint="eastAsia" w:hAnsi="宋体" w:cs="宋体"/>
          <w:color w:val="auto"/>
          <w:highlight w:val="none"/>
        </w:rPr>
        <w:t>□</w:t>
      </w:r>
      <w:r>
        <w:rPr>
          <w:rFonts w:hint="eastAsia" w:hAnsi="宋体" w:cs="宋体"/>
          <w:color w:val="auto"/>
          <w:sz w:val="21"/>
          <w:highlight w:val="none"/>
        </w:rPr>
        <w:t>最低评标价法，是指投标文件满足招标文件全部实质性要求，且投标报价最低的投标人为中标候选人的评标方法。</w:t>
      </w:r>
    </w:p>
    <w:p w14:paraId="7F87CF2D">
      <w:pPr>
        <w:pStyle w:val="6"/>
        <w:keepNext w:val="0"/>
        <w:keepLines w:val="0"/>
        <w:jc w:val="center"/>
        <w:rPr>
          <w:rFonts w:hint="eastAsia" w:ascii="宋体" w:hAnsi="宋体" w:cs="宋体"/>
          <w:color w:val="auto"/>
          <w:sz w:val="30"/>
          <w:szCs w:val="30"/>
          <w:highlight w:val="none"/>
        </w:rPr>
      </w:pPr>
      <w:r>
        <w:rPr>
          <w:rFonts w:hint="eastAsia" w:ascii="宋体" w:hAnsi="宋体" w:cs="宋体"/>
          <w:color w:val="auto"/>
          <w:sz w:val="30"/>
          <w:szCs w:val="30"/>
          <w:highlight w:val="none"/>
        </w:rPr>
        <w:t>二、评标程序</w:t>
      </w:r>
    </w:p>
    <w:p w14:paraId="7358B732">
      <w:pPr>
        <w:pStyle w:val="8"/>
        <w:keepNext w:val="0"/>
        <w:keepLines w:val="0"/>
        <w:spacing w:before="0" w:after="0" w:line="360" w:lineRule="auto"/>
        <w:ind w:left="420" w:leftChars="200"/>
        <w:rPr>
          <w:rFonts w:hint="eastAsia" w:ascii="宋体" w:hAnsi="宋体" w:cs="宋体"/>
          <w:color w:val="auto"/>
          <w:sz w:val="21"/>
          <w:szCs w:val="21"/>
          <w:highlight w:val="none"/>
        </w:rPr>
      </w:pPr>
      <w:r>
        <w:rPr>
          <w:rFonts w:hint="eastAsia" w:ascii="宋体" w:hAnsi="宋体" w:cs="宋体"/>
          <w:color w:val="auto"/>
          <w:sz w:val="21"/>
          <w:szCs w:val="21"/>
          <w:highlight w:val="none"/>
        </w:rPr>
        <w:t>1.符合性审查</w:t>
      </w:r>
    </w:p>
    <w:p w14:paraId="5DEC9CCD">
      <w:pPr>
        <w:pStyle w:val="25"/>
        <w:snapToGrid w:val="0"/>
        <w:spacing w:line="360" w:lineRule="auto"/>
        <w:ind w:left="1" w:firstLine="420"/>
        <w:rPr>
          <w:rFonts w:hint="eastAsia" w:hAnsi="宋体" w:cs="宋体"/>
          <w:b/>
          <w:color w:val="auto"/>
          <w:kern w:val="2"/>
          <w:sz w:val="21"/>
          <w:highlight w:val="none"/>
        </w:rPr>
      </w:pPr>
      <w:r>
        <w:rPr>
          <w:rFonts w:hint="eastAsia" w:hAnsi="宋体" w:cs="宋体"/>
          <w:b/>
          <w:color w:val="auto"/>
          <w:kern w:val="2"/>
          <w:sz w:val="21"/>
          <w:highlight w:val="none"/>
        </w:rPr>
        <w:t>评标委员会应当对符合资格的投标人的投标文件进行投标报价、商务、技术等实质性内容符合性审查，以确定其是否满足招标文件的实质性要求。</w:t>
      </w:r>
    </w:p>
    <w:p w14:paraId="4FAADC4A">
      <w:pPr>
        <w:pStyle w:val="8"/>
        <w:keepNext w:val="0"/>
        <w:keepLines w:val="0"/>
        <w:spacing w:before="0" w:after="0" w:line="360" w:lineRule="auto"/>
        <w:ind w:left="420" w:leftChars="200"/>
        <w:rPr>
          <w:rFonts w:hint="eastAsia" w:ascii="宋体" w:hAnsi="宋体" w:cs="宋体"/>
          <w:color w:val="auto"/>
          <w:sz w:val="21"/>
          <w:szCs w:val="21"/>
          <w:highlight w:val="none"/>
        </w:rPr>
      </w:pPr>
      <w:r>
        <w:rPr>
          <w:rFonts w:hint="eastAsia" w:ascii="宋体" w:hAnsi="宋体" w:cs="宋体"/>
          <w:color w:val="auto"/>
          <w:sz w:val="21"/>
          <w:szCs w:val="21"/>
          <w:highlight w:val="none"/>
        </w:rPr>
        <w:t>2.符合性审查不通过而导致投标无效的情形</w:t>
      </w:r>
    </w:p>
    <w:p w14:paraId="0B3C6E7A">
      <w:pPr>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投标人的投标文件中存在对招标文件的任何实质性要求和条件的负偏离，将被视为投标无效。</w:t>
      </w:r>
    </w:p>
    <w:p w14:paraId="163CF4BB">
      <w:pPr>
        <w:pStyle w:val="8"/>
        <w:keepNext w:val="0"/>
        <w:keepLines w:val="0"/>
        <w:spacing w:before="0" w:after="0" w:line="360" w:lineRule="auto"/>
        <w:ind w:left="420" w:leftChars="200"/>
        <w:rPr>
          <w:rFonts w:hint="eastAsia" w:ascii="宋体" w:hAnsi="宋体" w:cs="宋体"/>
          <w:color w:val="auto"/>
          <w:sz w:val="21"/>
          <w:szCs w:val="21"/>
          <w:highlight w:val="none"/>
        </w:rPr>
      </w:pPr>
      <w:r>
        <w:rPr>
          <w:rFonts w:hint="eastAsia" w:ascii="宋体" w:hAnsi="宋体" w:cs="宋体"/>
          <w:color w:val="auto"/>
          <w:sz w:val="21"/>
          <w:szCs w:val="21"/>
          <w:highlight w:val="none"/>
        </w:rPr>
        <w:t>2.1在报价评审时，如发现下列情形之一的，将被视为投标无效：</w:t>
      </w:r>
    </w:p>
    <w:p w14:paraId="566691AC">
      <w:pPr>
        <w:pStyle w:val="11"/>
        <w:numPr>
          <w:ilvl w:val="0"/>
          <w:numId w:val="2"/>
        </w:numPr>
        <w:spacing w:line="360" w:lineRule="auto"/>
        <w:ind w:firstLine="422"/>
        <w:rPr>
          <w:rFonts w:hint="eastAsia" w:ascii="宋体" w:hAnsi="宋体" w:cs="宋体"/>
          <w:b/>
          <w:color w:val="auto"/>
          <w:szCs w:val="21"/>
          <w:highlight w:val="none"/>
        </w:rPr>
      </w:pPr>
      <w:r>
        <w:rPr>
          <w:rFonts w:hint="eastAsia" w:ascii="宋体" w:hAnsi="宋体" w:cs="宋体"/>
          <w:b/>
          <w:color w:val="auto"/>
          <w:spacing w:val="-6"/>
          <w:szCs w:val="21"/>
          <w:highlight w:val="none"/>
        </w:rPr>
        <w:t>报价文件</w:t>
      </w:r>
      <w:r>
        <w:rPr>
          <w:rFonts w:hint="eastAsia" w:ascii="宋体" w:hAnsi="宋体" w:cs="宋体"/>
          <w:b/>
          <w:color w:val="auto"/>
          <w:szCs w:val="21"/>
          <w:highlight w:val="none"/>
        </w:rPr>
        <w:t>未提供“投标人须知前附表”第13.1条规定中“必须提供”的文件资料的；</w:t>
      </w:r>
    </w:p>
    <w:p w14:paraId="031E5C88">
      <w:pPr>
        <w:pStyle w:val="11"/>
        <w:numPr>
          <w:ilvl w:val="0"/>
          <w:numId w:val="2"/>
        </w:num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未采用人民币报价或者未按照招标文件标明的币种报价的；</w:t>
      </w:r>
    </w:p>
    <w:p w14:paraId="29C13A10">
      <w:pPr>
        <w:pStyle w:val="11"/>
        <w:numPr>
          <w:ilvl w:val="0"/>
          <w:numId w:val="2"/>
        </w:num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各分标报价超出招标文件相应分标规定最高限价，或者超出相应分标采购预算金额的；</w:t>
      </w:r>
    </w:p>
    <w:p w14:paraId="448CA342">
      <w:pPr>
        <w:pStyle w:val="11"/>
        <w:numPr>
          <w:ilvl w:val="0"/>
          <w:numId w:val="2"/>
        </w:num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投标人未就所投分标进行报价或者存在漏项报价；投标人未就所投分标的单项内容作唯一报价；投标人未就所投分标的全部内容作完整唯一总价报价；存在有选择、有条件报价的（招标文件允许有备选方案或者其他约定的除外）；</w:t>
      </w:r>
    </w:p>
    <w:p w14:paraId="1E79FF83">
      <w:pPr>
        <w:pStyle w:val="11"/>
        <w:numPr>
          <w:ilvl w:val="0"/>
          <w:numId w:val="2"/>
        </w:num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修正后的报价，投标人不确认的；</w:t>
      </w:r>
    </w:p>
    <w:p w14:paraId="7724E656">
      <w:pPr>
        <w:pStyle w:val="11"/>
        <w:numPr>
          <w:ilvl w:val="0"/>
          <w:numId w:val="2"/>
        </w:numPr>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投标人属于本章第5.1条（2）或者第5.2条（2）项情形的；</w:t>
      </w:r>
    </w:p>
    <w:p w14:paraId="05E77ECE">
      <w:pPr>
        <w:pStyle w:val="11"/>
        <w:numPr>
          <w:ilvl w:val="0"/>
          <w:numId w:val="2"/>
        </w:numPr>
        <w:spacing w:line="360" w:lineRule="auto"/>
        <w:ind w:firstLine="422"/>
        <w:rPr>
          <w:rFonts w:hint="eastAsia" w:ascii="宋体" w:hAnsi="宋体" w:cs="宋体"/>
          <w:b/>
          <w:color w:val="auto"/>
          <w:szCs w:val="21"/>
          <w:highlight w:val="none"/>
        </w:rPr>
      </w:pPr>
      <w:r>
        <w:rPr>
          <w:rFonts w:hint="eastAsia" w:ascii="宋体" w:hAnsi="宋体" w:cs="宋体"/>
          <w:b/>
          <w:color w:val="auto"/>
          <w:spacing w:val="-6"/>
          <w:szCs w:val="21"/>
          <w:highlight w:val="none"/>
        </w:rPr>
        <w:t>报价文件</w:t>
      </w:r>
      <w:r>
        <w:rPr>
          <w:rFonts w:hint="eastAsia" w:ascii="宋体" w:hAnsi="宋体" w:cs="宋体"/>
          <w:b/>
          <w:color w:val="auto"/>
          <w:szCs w:val="21"/>
          <w:highlight w:val="none"/>
        </w:rPr>
        <w:t>响应的标的数量及单位与招标文件要求实质性不一致的。</w:t>
      </w:r>
    </w:p>
    <w:p w14:paraId="31CF58E4">
      <w:pPr>
        <w:pStyle w:val="8"/>
        <w:keepNext w:val="0"/>
        <w:keepLines w:val="0"/>
        <w:spacing w:before="0" w:after="0" w:line="360" w:lineRule="auto"/>
        <w:ind w:left="420" w:leftChars="200"/>
        <w:rPr>
          <w:rFonts w:hint="eastAsia" w:ascii="宋体" w:hAnsi="宋体" w:cs="宋体"/>
          <w:color w:val="auto"/>
          <w:sz w:val="21"/>
          <w:szCs w:val="21"/>
          <w:highlight w:val="none"/>
        </w:rPr>
      </w:pPr>
      <w:r>
        <w:rPr>
          <w:rFonts w:hint="eastAsia" w:ascii="宋体" w:hAnsi="宋体" w:cs="宋体"/>
          <w:color w:val="auto"/>
          <w:sz w:val="21"/>
          <w:szCs w:val="21"/>
          <w:highlight w:val="none"/>
        </w:rPr>
        <w:t>2.2在商务评审时，如发现下列情形之一的，将被视为投标无效：</w:t>
      </w:r>
    </w:p>
    <w:p w14:paraId="720BD803">
      <w:pPr>
        <w:numPr>
          <w:ilvl w:val="0"/>
          <w:numId w:val="3"/>
        </w:numPr>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投标文件未按招标文件要求签署、盖章的；</w:t>
      </w:r>
    </w:p>
    <w:p w14:paraId="5C19B8EC">
      <w:pPr>
        <w:numPr>
          <w:ilvl w:val="0"/>
          <w:numId w:val="3"/>
        </w:numPr>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委托代理人未能出具有效身份证或者出具的身份证与授权委托书中的信息不符的；</w:t>
      </w:r>
    </w:p>
    <w:p w14:paraId="6AB6C79C">
      <w:pPr>
        <w:numPr>
          <w:ilvl w:val="0"/>
          <w:numId w:val="3"/>
        </w:numPr>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为无效投标保证金的或者未按照招标文件的规定提交投标保证金的；</w:t>
      </w:r>
    </w:p>
    <w:p w14:paraId="4F905C74">
      <w:pPr>
        <w:numPr>
          <w:ilvl w:val="0"/>
          <w:numId w:val="3"/>
        </w:numPr>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投标文件未提供“投标人须知前附表”第13.1条规定中“必须提供”或者“委托时必须提供”的文件资料的；</w:t>
      </w:r>
    </w:p>
    <w:p w14:paraId="1A0F0FB8">
      <w:pPr>
        <w:numPr>
          <w:ilvl w:val="0"/>
          <w:numId w:val="3"/>
        </w:numPr>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商务要求评审允许负偏离的条款数超过“投标人须知前附表”规定项数的；</w:t>
      </w:r>
    </w:p>
    <w:p w14:paraId="096F91B5">
      <w:pPr>
        <w:numPr>
          <w:ilvl w:val="0"/>
          <w:numId w:val="3"/>
        </w:numPr>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投标文件的实质性内容未使用中文表述、使用计量单位不符合招标文件要求的；</w:t>
      </w:r>
    </w:p>
    <w:p w14:paraId="1EE11649">
      <w:pPr>
        <w:numPr>
          <w:ilvl w:val="0"/>
          <w:numId w:val="3"/>
        </w:numPr>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投标文件中的文件资料因填写不齐全或者内容虚假或者出现其他情形而导致被评标委员会认定无效的；</w:t>
      </w:r>
    </w:p>
    <w:p w14:paraId="7FAD78E4">
      <w:pPr>
        <w:numPr>
          <w:ilvl w:val="0"/>
          <w:numId w:val="3"/>
        </w:numPr>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投标文件含有采购人不能接受的附加条件的；</w:t>
      </w:r>
    </w:p>
    <w:p w14:paraId="3BF70020">
      <w:pPr>
        <w:numPr>
          <w:ilvl w:val="0"/>
          <w:numId w:val="3"/>
        </w:numPr>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属于投标人须知正文第9.2条情形的；</w:t>
      </w:r>
    </w:p>
    <w:p w14:paraId="681F0F04">
      <w:pPr>
        <w:numPr>
          <w:ilvl w:val="0"/>
          <w:numId w:val="3"/>
        </w:numPr>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投标文件标注的项目名称或者项目编号与招标文件标注的项目名称或者项目编号不一致的；</w:t>
      </w:r>
    </w:p>
    <w:p w14:paraId="550E0112">
      <w:pPr>
        <w:numPr>
          <w:ilvl w:val="0"/>
          <w:numId w:val="3"/>
        </w:numPr>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招标文件明确不允许分包，投标文件拟分包的；</w:t>
      </w:r>
    </w:p>
    <w:p w14:paraId="41328394">
      <w:pPr>
        <w:numPr>
          <w:ilvl w:val="0"/>
          <w:numId w:val="3"/>
        </w:numPr>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未响应招标文件实质性要求的；</w:t>
      </w:r>
    </w:p>
    <w:p w14:paraId="1700EF58">
      <w:pPr>
        <w:numPr>
          <w:ilvl w:val="0"/>
          <w:numId w:val="3"/>
        </w:numPr>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法律、法规和招标文件规定的其他无效情形。</w:t>
      </w:r>
    </w:p>
    <w:p w14:paraId="5F7A5395">
      <w:pPr>
        <w:pStyle w:val="8"/>
        <w:keepNext w:val="0"/>
        <w:keepLines w:val="0"/>
        <w:spacing w:before="0" w:after="0" w:line="360" w:lineRule="auto"/>
        <w:ind w:left="420" w:leftChars="200"/>
        <w:rPr>
          <w:rFonts w:hint="eastAsia" w:ascii="宋体" w:hAnsi="宋体" w:cs="宋体"/>
          <w:color w:val="auto"/>
          <w:sz w:val="21"/>
          <w:szCs w:val="21"/>
          <w:highlight w:val="none"/>
        </w:rPr>
      </w:pPr>
      <w:r>
        <w:rPr>
          <w:rFonts w:hint="eastAsia" w:ascii="宋体" w:hAnsi="宋体" w:cs="宋体"/>
          <w:color w:val="auto"/>
          <w:sz w:val="21"/>
          <w:szCs w:val="21"/>
          <w:highlight w:val="none"/>
        </w:rPr>
        <w:t>2.3在技术评审时，如发现下列情形之一的，将被视为投标无效：</w:t>
      </w:r>
    </w:p>
    <w:p w14:paraId="5AC09641">
      <w:pPr>
        <w:pStyle w:val="20"/>
        <w:snapToGrid w:val="0"/>
        <w:spacing w:line="360" w:lineRule="auto"/>
        <w:ind w:firstLine="413" w:firstLineChars="196"/>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（1）技术要求评审允许负偏离的条款数超过“投标人须知前附表”规定项数的；</w:t>
      </w:r>
    </w:p>
    <w:p w14:paraId="3F0BE4A8">
      <w:pPr>
        <w:pStyle w:val="20"/>
        <w:snapToGrid w:val="0"/>
        <w:spacing w:line="360" w:lineRule="auto"/>
        <w:ind w:firstLine="413" w:firstLineChars="196"/>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（2）投标文件未提供“投标人须知前附表”第13.1条规定中“必须提供”的文件资料的；</w:t>
      </w:r>
    </w:p>
    <w:p w14:paraId="7CBFCE80">
      <w:pPr>
        <w:pStyle w:val="20"/>
        <w:snapToGrid w:val="0"/>
        <w:spacing w:line="360" w:lineRule="auto"/>
        <w:ind w:firstLine="413" w:firstLineChars="196"/>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（3）虚假投标或投标人的响应与事实不符，或者出现其他情形而导致被评标委员会认定无效的；</w:t>
      </w:r>
    </w:p>
    <w:p w14:paraId="33C65CAD">
      <w:pPr>
        <w:pStyle w:val="20"/>
        <w:snapToGrid w:val="0"/>
        <w:spacing w:line="360" w:lineRule="auto"/>
        <w:ind w:firstLine="413" w:firstLineChars="196"/>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（4）</w:t>
      </w:r>
      <w:bookmarkStart w:id="137" w:name="_Hlk71706244"/>
      <w:r>
        <w:rPr>
          <w:rFonts w:hint="eastAsia" w:ascii="宋体" w:hAnsi="宋体" w:eastAsia="宋体" w:cs="宋体"/>
          <w:b/>
          <w:color w:val="auto"/>
          <w:kern w:val="2"/>
          <w:sz w:val="21"/>
          <w:szCs w:val="21"/>
          <w:highlight w:val="none"/>
        </w:rPr>
        <w:t>招标文件未载明允许提供备选（替代）投标方案或明确不允许提供备选（替代）投标方案时，投标人提供了备选（替代）投标方案的；</w:t>
      </w:r>
      <w:bookmarkEnd w:id="137"/>
    </w:p>
    <w:p w14:paraId="15CA502F">
      <w:pPr>
        <w:pStyle w:val="20"/>
        <w:snapToGrid w:val="0"/>
        <w:spacing w:line="360" w:lineRule="auto"/>
        <w:ind w:firstLine="413" w:firstLineChars="196"/>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（5）未响应招标文件实质性要求的。</w:t>
      </w:r>
    </w:p>
    <w:p w14:paraId="7C556452">
      <w:pPr>
        <w:pStyle w:val="20"/>
        <w:snapToGrid w:val="0"/>
        <w:spacing w:line="360" w:lineRule="auto"/>
        <w:ind w:firstLine="413" w:firstLineChars="196"/>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2.4通过符合性审查的投标人不足3家，评标委员会不得继续评标，并出具评标报告。</w:t>
      </w:r>
    </w:p>
    <w:p w14:paraId="54F225C4">
      <w:pPr>
        <w:pStyle w:val="8"/>
        <w:keepNext w:val="0"/>
        <w:keepLines w:val="0"/>
        <w:spacing w:before="0" w:after="0" w:line="360" w:lineRule="auto"/>
        <w:ind w:left="420" w:leftChars="200"/>
        <w:rPr>
          <w:rFonts w:hint="eastAsia" w:ascii="宋体" w:hAnsi="宋体" w:cs="宋体"/>
          <w:color w:val="auto"/>
          <w:sz w:val="21"/>
          <w:szCs w:val="21"/>
          <w:highlight w:val="none"/>
        </w:rPr>
      </w:pPr>
      <w:r>
        <w:rPr>
          <w:rFonts w:hint="eastAsia" w:ascii="宋体" w:hAnsi="宋体" w:cs="宋体"/>
          <w:color w:val="auto"/>
          <w:sz w:val="21"/>
          <w:szCs w:val="21"/>
          <w:highlight w:val="none"/>
        </w:rPr>
        <w:t>3.澄清补正</w:t>
      </w:r>
    </w:p>
    <w:p w14:paraId="30A151A9">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对投标文件中含义不明确、同类问题表述不一致或者有明显文字和计算错误的内容，评标委员会以电子澄清函形式要求投标人在规定时间内作出必要的澄清、说明或者纠正。投标人的澄清、说明或者补正必须采用电子回函形式，并加盖投标人公章，或者由法定代表人或者其授权的代表签字。投标人的澄清、说明或者补正不得超出投标文件的范围或者改变投标文件的实质性内容。</w:t>
      </w:r>
    </w:p>
    <w:p w14:paraId="1A17C2B4">
      <w:pPr>
        <w:pStyle w:val="8"/>
        <w:keepNext w:val="0"/>
        <w:keepLines w:val="0"/>
        <w:spacing w:before="0" w:after="0" w:line="360" w:lineRule="auto"/>
        <w:ind w:left="420" w:leftChars="200"/>
        <w:rPr>
          <w:rFonts w:hint="eastAsia" w:ascii="宋体" w:hAnsi="宋体" w:cs="宋体"/>
          <w:color w:val="auto"/>
          <w:sz w:val="21"/>
          <w:szCs w:val="21"/>
          <w:highlight w:val="none"/>
        </w:rPr>
      </w:pPr>
      <w:r>
        <w:rPr>
          <w:rFonts w:hint="eastAsia" w:ascii="宋体" w:hAnsi="宋体" w:cs="宋体"/>
          <w:color w:val="auto"/>
          <w:sz w:val="21"/>
          <w:szCs w:val="21"/>
          <w:highlight w:val="none"/>
        </w:rPr>
        <w:t>4.投标文件修正</w:t>
      </w:r>
    </w:p>
    <w:p w14:paraId="68A79DD6">
      <w:pPr>
        <w:pStyle w:val="8"/>
        <w:keepNext w:val="0"/>
        <w:keepLines w:val="0"/>
        <w:spacing w:before="0" w:after="0" w:line="360" w:lineRule="auto"/>
        <w:ind w:left="420" w:left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4.1投标文件报价出现前后不一致的，按照下列规定修正： </w:t>
      </w:r>
    </w:p>
    <w:p w14:paraId="54575E26">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（1）投标文件中开标一览表（报价表）内容与投标文件中相应内容不一致的，以开标一览表（报价表）为准；</w:t>
      </w:r>
    </w:p>
    <w:p w14:paraId="3E0A8CDD">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（2）大写金额和小写金额不一致的，以大写金额为准；</w:t>
      </w:r>
    </w:p>
    <w:p w14:paraId="5A3BFA70">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（3）单价金额小数点或者百分比有明显错位的，以开标一览表的总价为准，并修改单价；</w:t>
      </w:r>
    </w:p>
    <w:p w14:paraId="6FC3DFFD">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（4）总价金额与按单价汇总金额不一致的，以单价金额计算结果为准。</w:t>
      </w:r>
    </w:p>
    <w:p w14:paraId="24C3DD9F">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同时出现两种以上不一致的，按照以上（1）-（4）规定的顺序修正。修正后的报价经投标人确认后产生约束力，投标人不确认的，</w:t>
      </w:r>
      <w:r>
        <w:rPr>
          <w:rFonts w:hint="eastAsia" w:hAnsi="宋体" w:cs="宋体"/>
          <w:b/>
          <w:color w:val="auto"/>
          <w:kern w:val="2"/>
          <w:sz w:val="21"/>
          <w:highlight w:val="none"/>
        </w:rPr>
        <w:t>其投标无效</w:t>
      </w:r>
      <w:r>
        <w:rPr>
          <w:rFonts w:hint="eastAsia" w:hAnsi="宋体" w:cs="宋体"/>
          <w:color w:val="auto"/>
          <w:sz w:val="21"/>
          <w:highlight w:val="none"/>
        </w:rPr>
        <w:t>。</w:t>
      </w:r>
    </w:p>
    <w:p w14:paraId="02671307">
      <w:pPr>
        <w:pStyle w:val="25"/>
        <w:snapToGrid w:val="0"/>
        <w:spacing w:line="360" w:lineRule="auto"/>
        <w:ind w:firstLine="420" w:firstLineChars="200"/>
        <w:rPr>
          <w:rFonts w:hint="eastAsia" w:hAnsi="宋体" w:cs="宋体"/>
          <w:color w:val="auto"/>
          <w:kern w:val="2"/>
          <w:sz w:val="21"/>
          <w:highlight w:val="none"/>
        </w:rPr>
      </w:pPr>
      <w:r>
        <w:rPr>
          <w:rFonts w:hint="eastAsia" w:hAnsi="宋体" w:cs="宋体"/>
          <w:color w:val="auto"/>
          <w:kern w:val="2"/>
          <w:sz w:val="21"/>
          <w:highlight w:val="none"/>
        </w:rPr>
        <w:t>4.2经投标人确认修正后的报价若超过采购预算金额或者最高限价，</w:t>
      </w:r>
      <w:r>
        <w:rPr>
          <w:rFonts w:hint="eastAsia" w:hAnsi="宋体" w:cs="宋体"/>
          <w:b/>
          <w:bCs/>
          <w:color w:val="auto"/>
          <w:kern w:val="2"/>
          <w:sz w:val="21"/>
          <w:highlight w:val="none"/>
        </w:rPr>
        <w:t>投标人的投标文件作无效投标处理</w:t>
      </w:r>
      <w:r>
        <w:rPr>
          <w:rFonts w:hint="eastAsia" w:hAnsi="宋体" w:cs="宋体"/>
          <w:color w:val="auto"/>
          <w:kern w:val="2"/>
          <w:sz w:val="21"/>
          <w:highlight w:val="none"/>
        </w:rPr>
        <w:t>。</w:t>
      </w:r>
    </w:p>
    <w:p w14:paraId="5128207D">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4.3经投标人确认修正后的报价作为签订合同的依据，并以此报价计算价格分。</w:t>
      </w:r>
    </w:p>
    <w:p w14:paraId="1BE995EA">
      <w:pPr>
        <w:pStyle w:val="8"/>
        <w:keepNext w:val="0"/>
        <w:keepLines w:val="0"/>
        <w:spacing w:before="0" w:after="0" w:line="360" w:lineRule="auto"/>
        <w:ind w:left="420" w:leftChars="200"/>
        <w:rPr>
          <w:rFonts w:hint="eastAsia" w:ascii="宋体" w:hAnsi="宋体" w:cs="宋体"/>
          <w:color w:val="auto"/>
          <w:sz w:val="21"/>
          <w:szCs w:val="21"/>
          <w:highlight w:val="none"/>
        </w:rPr>
      </w:pPr>
      <w:r>
        <w:rPr>
          <w:rFonts w:hint="eastAsia" w:ascii="宋体" w:hAnsi="宋体" w:cs="宋体"/>
          <w:color w:val="auto"/>
          <w:sz w:val="21"/>
          <w:szCs w:val="21"/>
          <w:highlight w:val="none"/>
        </w:rPr>
        <w:t>5.比较与评价</w:t>
      </w:r>
    </w:p>
    <w:p w14:paraId="33776D88">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5.1采用综合评分法的</w:t>
      </w:r>
    </w:p>
    <w:p w14:paraId="3D62C009">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（1）评标委员会按照招标文件中规定的评标方法及评标标准，对符合性审查合格的投标文件进行商务和技术评估，综合比较与评价。</w:t>
      </w:r>
    </w:p>
    <w:p w14:paraId="07CD2675">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（2）评标委员会独立对每个投标人的投标文件进行评价，并汇总每个投标人的得分。</w:t>
      </w:r>
    </w:p>
    <w:p w14:paraId="67EB7AA3">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w:t>
      </w:r>
      <w:r>
        <w:rPr>
          <w:rFonts w:hint="eastAsia" w:ascii="宋体" w:hAnsi="宋体" w:cs="宋体"/>
          <w:bCs/>
          <w:color w:val="auto"/>
          <w:szCs w:val="21"/>
          <w:highlight w:val="none"/>
        </w:rPr>
        <w:t>投标人不能证明其报价合理性的，评标委员会将其作为无效投标处理</w:t>
      </w:r>
      <w:r>
        <w:rPr>
          <w:rFonts w:hint="eastAsia" w:ascii="宋体" w:hAnsi="宋体" w:cs="宋体"/>
          <w:color w:val="auto"/>
          <w:szCs w:val="21"/>
          <w:highlight w:val="none"/>
        </w:rPr>
        <w:t>。</w:t>
      </w:r>
      <w:r>
        <w:rPr>
          <w:rFonts w:hint="eastAsia" w:ascii="宋体" w:hAnsi="宋体" w:cs="宋体"/>
          <w:b/>
          <w:bCs/>
          <w:color w:val="auto"/>
          <w:szCs w:val="21"/>
          <w:highlight w:val="none"/>
        </w:rPr>
        <w:t>（具体执行参照第二章</w:t>
      </w:r>
      <w:r>
        <w:rPr>
          <w:rFonts w:hint="eastAsia" w:ascii="宋体" w:hAnsi="宋体" w:cs="宋体"/>
          <w:b/>
          <w:bCs/>
          <w:color w:val="auto"/>
          <w:highlight w:val="none"/>
        </w:rPr>
        <w:t>投标人须知正文的第28.5条款</w:t>
      </w:r>
      <w:r>
        <w:rPr>
          <w:rFonts w:hint="eastAsia" w:ascii="宋体" w:hAnsi="宋体" w:cs="宋体"/>
          <w:b/>
          <w:bCs/>
          <w:color w:val="auto"/>
          <w:szCs w:val="21"/>
          <w:highlight w:val="none"/>
        </w:rPr>
        <w:t>）</w:t>
      </w:r>
    </w:p>
    <w:p w14:paraId="473E4A20">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（3）评标委员会按照招标文件中规定的评标方法和标准计算各投标人的报价得分。在计算过程中，不得去掉最高报价或者最低报价。</w:t>
      </w:r>
    </w:p>
    <w:p w14:paraId="7B5AB5D8">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（4）各投标人的得分为所有评标委员会的有效评分的算术平均数。</w:t>
      </w:r>
    </w:p>
    <w:p w14:paraId="1BE8A798">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（5）评标委员会按照招标文件中的规定推荐中标候选人。</w:t>
      </w:r>
    </w:p>
    <w:p w14:paraId="35B0CA26">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364713B4">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5.2采用</w:t>
      </w:r>
      <w:r>
        <w:rPr>
          <w:rFonts w:hint="eastAsia" w:ascii="宋体" w:hAnsi="宋体" w:cs="宋体"/>
          <w:color w:val="auto"/>
          <w:highlight w:val="none"/>
        </w:rPr>
        <w:t>最低评标价法</w:t>
      </w:r>
      <w:r>
        <w:rPr>
          <w:rFonts w:hint="eastAsia" w:ascii="宋体" w:hAnsi="宋体" w:cs="宋体"/>
          <w:color w:val="auto"/>
          <w:szCs w:val="21"/>
          <w:highlight w:val="none"/>
        </w:rPr>
        <w:t>的</w:t>
      </w:r>
    </w:p>
    <w:p w14:paraId="6349A4E7">
      <w:pPr>
        <w:snapToGrid w:val="0"/>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（1）评标委员会按照招标文件中规定的评标方法及评标标准，对符合性审查合格的投标文件报价进行比较。</w:t>
      </w:r>
    </w:p>
    <w:p w14:paraId="206F1ED4">
      <w:pPr>
        <w:snapToGrid w:val="0"/>
        <w:spacing w:line="360" w:lineRule="auto"/>
        <w:ind w:firstLine="399" w:firstLineChars="202"/>
        <w:jc w:val="left"/>
        <w:rPr>
          <w:rFonts w:hint="eastAsia" w:ascii="宋体" w:hAnsi="宋体" w:cs="宋体"/>
          <w:color w:val="auto"/>
          <w:spacing w:val="-6"/>
          <w:szCs w:val="21"/>
          <w:highlight w:val="none"/>
        </w:rPr>
      </w:pPr>
      <w:r>
        <w:rPr>
          <w:rFonts w:hint="eastAsia" w:ascii="宋体" w:hAnsi="宋体" w:cs="宋体"/>
          <w:color w:val="auto"/>
          <w:spacing w:val="-6"/>
          <w:szCs w:val="21"/>
          <w:highlight w:val="none"/>
        </w:rPr>
        <w:t>（2）评标委员会认为投标人的报价明显低于其他通过符合性审查投标人的报价，有可能影响产品质量或者不能诚信履约的，应当要求其在评标现场合理的时间内提供书面说明，必要时提交相关证明材料；</w:t>
      </w:r>
      <w:r>
        <w:rPr>
          <w:rFonts w:hint="eastAsia" w:ascii="宋体" w:hAnsi="宋体" w:cs="宋体"/>
          <w:b/>
          <w:color w:val="auto"/>
          <w:spacing w:val="-6"/>
          <w:szCs w:val="21"/>
          <w:highlight w:val="none"/>
        </w:rPr>
        <w:t>投标人不能证明其报价合理性的，评标委员会将其作为无效投标处理</w:t>
      </w:r>
      <w:r>
        <w:rPr>
          <w:rFonts w:hint="eastAsia" w:ascii="宋体" w:hAnsi="宋体" w:cs="宋体"/>
          <w:color w:val="auto"/>
          <w:spacing w:val="-6"/>
          <w:szCs w:val="21"/>
          <w:highlight w:val="none"/>
        </w:rPr>
        <w:t>。</w:t>
      </w:r>
    </w:p>
    <w:p w14:paraId="7B133D85">
      <w:pPr>
        <w:snapToGrid w:val="0"/>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（3）评标委员会按照招标文件中的规定推荐中标候选人。</w:t>
      </w:r>
    </w:p>
    <w:p w14:paraId="1C07DAAA">
      <w:pPr>
        <w:snapToGrid w:val="0"/>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4）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12194A44">
      <w:pPr>
        <w:snapToGrid w:val="0"/>
        <w:spacing w:line="360" w:lineRule="auto"/>
        <w:jc w:val="center"/>
        <w:rPr>
          <w:rFonts w:hint="eastAsia" w:ascii="宋体" w:hAnsi="宋体" w:cs="宋体"/>
          <w:color w:val="auto"/>
          <w:highlight w:val="none"/>
        </w:rPr>
      </w:pPr>
      <w:r>
        <w:rPr>
          <w:rFonts w:hint="eastAsia" w:ascii="宋体" w:hAnsi="宋体" w:cs="宋体"/>
          <w:color w:val="auto"/>
          <w:highlight w:val="none"/>
        </w:rPr>
        <w:br w:type="page"/>
      </w:r>
      <w:r>
        <w:rPr>
          <w:rFonts w:hint="eastAsia" w:ascii="宋体" w:hAnsi="宋体" w:cs="宋体"/>
          <w:b/>
          <w:bCs/>
          <w:color w:val="auto"/>
          <w:sz w:val="32"/>
          <w:szCs w:val="32"/>
          <w:highlight w:val="none"/>
        </w:rPr>
        <w:t>三、评标标准</w:t>
      </w:r>
    </w:p>
    <w:p w14:paraId="3A33A2E2">
      <w:pPr>
        <w:pStyle w:val="6"/>
        <w:keepNext w:val="0"/>
        <w:keepLines w:val="0"/>
        <w:spacing w:before="0" w:after="0"/>
        <w:jc w:val="center"/>
        <w:rPr>
          <w:rFonts w:hint="eastAsia" w:ascii="宋体" w:hAnsi="宋体" w:cs="宋体"/>
          <w:color w:val="auto"/>
          <w:highlight w:val="none"/>
        </w:rPr>
      </w:pPr>
      <w:r>
        <w:rPr>
          <w:rFonts w:hint="eastAsia" w:ascii="宋体" w:hAnsi="宋体" w:cs="宋体"/>
          <w:color w:val="auto"/>
          <w:highlight w:val="none"/>
        </w:rPr>
        <w:t>综合评分法</w:t>
      </w:r>
    </w:p>
    <w:p w14:paraId="724C34C4">
      <w:pPr>
        <w:jc w:val="center"/>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评标标准</w:t>
      </w:r>
    </w:p>
    <w:p w14:paraId="03ACE6C2">
      <w:pPr>
        <w:jc w:val="center"/>
        <w:rPr>
          <w:rFonts w:hint="eastAsia" w:ascii="宋体" w:hAnsi="宋体" w:cs="宋体"/>
          <w:b/>
          <w:bCs/>
          <w:color w:val="auto"/>
          <w:kern w:val="0"/>
          <w:sz w:val="28"/>
          <w:szCs w:val="28"/>
          <w:highlight w:val="none"/>
        </w:rPr>
      </w:pPr>
    </w:p>
    <w:p w14:paraId="0B1C493F">
      <w:pPr>
        <w:pStyle w:val="59"/>
        <w:rPr>
          <w:rFonts w:hint="eastAsia" w:hAnsi="宋体"/>
          <w:b/>
          <w:bCs/>
          <w:color w:val="auto"/>
          <w:sz w:val="28"/>
          <w:szCs w:val="28"/>
          <w:highlight w:val="none"/>
        </w:rPr>
      </w:pPr>
      <w:r>
        <w:rPr>
          <w:rFonts w:hint="eastAsia" w:hAnsi="宋体"/>
          <w:b/>
          <w:bCs/>
          <w:color w:val="auto"/>
          <w:highlight w:val="none"/>
        </w:rPr>
        <w:t>分标1、2、3、4、5：</w:t>
      </w:r>
    </w:p>
    <w:tbl>
      <w:tblPr>
        <w:tblStyle w:val="4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3"/>
        <w:gridCol w:w="964"/>
        <w:gridCol w:w="1105"/>
        <w:gridCol w:w="7274"/>
      </w:tblGrid>
      <w:tr w14:paraId="3618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 w:type="pct"/>
            <w:vAlign w:val="center"/>
          </w:tcPr>
          <w:p w14:paraId="5318B046">
            <w:pPr>
              <w:spacing w:line="360" w:lineRule="auto"/>
              <w:jc w:val="center"/>
              <w:rPr>
                <w:rFonts w:hint="eastAsia" w:ascii="宋体" w:hAnsi="宋体" w:cs="宋体"/>
                <w:b/>
                <w:color w:val="auto"/>
                <w:szCs w:val="21"/>
                <w:highlight w:val="none"/>
              </w:rPr>
            </w:pPr>
            <w:r>
              <w:rPr>
                <w:rFonts w:hint="eastAsia" w:ascii="宋体" w:hAnsi="宋体" w:cs="宋体"/>
                <w:b/>
                <w:bCs/>
                <w:color w:val="auto"/>
                <w:szCs w:val="21"/>
                <w:highlight w:val="none"/>
              </w:rPr>
              <w:t>序号</w:t>
            </w:r>
          </w:p>
        </w:tc>
        <w:tc>
          <w:tcPr>
            <w:tcW w:w="1039" w:type="pct"/>
            <w:gridSpan w:val="2"/>
            <w:vAlign w:val="center"/>
          </w:tcPr>
          <w:p w14:paraId="68C97646">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评审因素</w:t>
            </w:r>
          </w:p>
        </w:tc>
        <w:tc>
          <w:tcPr>
            <w:tcW w:w="3651" w:type="pct"/>
            <w:vAlign w:val="center"/>
          </w:tcPr>
          <w:p w14:paraId="7EAA61E0">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评标标准</w:t>
            </w:r>
          </w:p>
        </w:tc>
      </w:tr>
      <w:tr w14:paraId="565BE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 w:type="pct"/>
            <w:vAlign w:val="center"/>
          </w:tcPr>
          <w:p w14:paraId="139850E0">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1</w:t>
            </w:r>
          </w:p>
        </w:tc>
        <w:tc>
          <w:tcPr>
            <w:tcW w:w="484" w:type="pct"/>
            <w:vAlign w:val="center"/>
          </w:tcPr>
          <w:p w14:paraId="102EBC43">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报价分（满分30分）</w:t>
            </w:r>
          </w:p>
        </w:tc>
        <w:tc>
          <w:tcPr>
            <w:tcW w:w="555" w:type="pct"/>
            <w:vAlign w:val="center"/>
          </w:tcPr>
          <w:p w14:paraId="0A40E5A1">
            <w:pPr>
              <w:spacing w:line="360" w:lineRule="auto"/>
              <w:jc w:val="center"/>
              <w:rPr>
                <w:rFonts w:hint="eastAsia" w:ascii="宋体" w:hAnsi="宋体" w:cs="宋体"/>
                <w:b/>
                <w:bCs/>
                <w:color w:val="auto"/>
                <w:szCs w:val="21"/>
                <w:highlight w:val="none"/>
              </w:rPr>
            </w:pPr>
            <w:bookmarkStart w:id="138" w:name="_Hlk38359517"/>
            <w:r>
              <w:rPr>
                <w:rFonts w:hint="eastAsia" w:ascii="宋体" w:hAnsi="宋体" w:cs="宋体"/>
                <w:b/>
                <w:bCs/>
                <w:color w:val="auto"/>
                <w:szCs w:val="21"/>
                <w:highlight w:val="none"/>
              </w:rPr>
              <w:t>投标报价</w:t>
            </w:r>
          </w:p>
          <w:bookmarkEnd w:id="138"/>
        </w:tc>
        <w:tc>
          <w:tcPr>
            <w:tcW w:w="3651" w:type="pct"/>
            <w:vAlign w:val="center"/>
          </w:tcPr>
          <w:p w14:paraId="7838F388">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一、政府采购政策扣除</w:t>
            </w:r>
          </w:p>
          <w:p w14:paraId="268D88FF">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本项目分标3专门面向中小微企业采购，分标4、分标5专门面向小微企业采购，不执行价格扣除优惠政策；除此之外，分标1、2的评标报价为投标人的投标报价进行政策性扣除后的价格，评标报价只是作为评标时使用。最终中标人的中标金额等于投标报价。</w:t>
            </w:r>
          </w:p>
          <w:p w14:paraId="2D745E59">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（2）政策性扣除计算方法。</w:t>
            </w:r>
          </w:p>
          <w:p w14:paraId="27330707">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根据《政府采购促进中小企业发展管理办法》（财库〔2020〕46号）及《广西壮族自治区财政厅关于持续优化政府采购营商环境推动高质量发展的通知》（桂财采〔2024〕55号）的规定，投标人在其投标文件中提供《中小企业声明函》，且其投标全部货物由小微企业制造的，对其投标报价给予10%（货物、服务项目为10%-20%，工程项目为3%—5%）的扣除，扣除后的价格为评标报价，即评标报价=投标报价×（1-10%）。除上述情况外，评标报价=投标报价。</w:t>
            </w:r>
          </w:p>
          <w:p w14:paraId="346D82CE">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523A8059">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10EA3C18">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二、投标报价分（满分30分）</w:t>
            </w:r>
          </w:p>
          <w:p w14:paraId="275BB139">
            <w:pPr>
              <w:snapToGrid w:val="0"/>
              <w:spacing w:line="360" w:lineRule="auto"/>
              <w:ind w:firstLine="233" w:firstLineChars="111"/>
              <w:rPr>
                <w:rFonts w:hint="eastAsia" w:ascii="宋体" w:hAnsi="宋体" w:cs="宋体"/>
                <w:bCs/>
                <w:color w:val="auto"/>
                <w:szCs w:val="21"/>
                <w:highlight w:val="none"/>
              </w:rPr>
            </w:pPr>
            <w:r>
              <w:rPr>
                <w:rFonts w:hint="eastAsia" w:ascii="宋体" w:hAnsi="宋体" w:cs="宋体"/>
                <w:bCs/>
                <w:color w:val="auto"/>
                <w:szCs w:val="21"/>
                <w:highlight w:val="none"/>
              </w:rPr>
              <w:t>（1）满足招标文件要求且评标报价最低</w:t>
            </w:r>
            <w:r>
              <w:rPr>
                <w:rFonts w:hint="eastAsia" w:ascii="宋体" w:hAnsi="宋体" w:cs="宋体"/>
                <w:color w:val="auto"/>
                <w:szCs w:val="21"/>
                <w:highlight w:val="none"/>
              </w:rPr>
              <w:t>（</w:t>
            </w:r>
            <w:r>
              <w:rPr>
                <w:rFonts w:hint="eastAsia" w:ascii="宋体" w:hAnsi="宋体" w:cs="宋体"/>
                <w:b/>
                <w:color w:val="auto"/>
                <w:szCs w:val="21"/>
                <w:highlight w:val="none"/>
              </w:rPr>
              <w:t>折扣系数</w:t>
            </w:r>
            <w:r>
              <w:rPr>
                <w:rFonts w:hint="eastAsia" w:ascii="宋体" w:hAnsi="宋体" w:cs="宋体"/>
                <w:color w:val="auto"/>
                <w:szCs w:val="21"/>
                <w:highlight w:val="none"/>
              </w:rPr>
              <w:t>）</w:t>
            </w:r>
            <w:r>
              <w:rPr>
                <w:rFonts w:hint="eastAsia" w:ascii="宋体" w:hAnsi="宋体" w:cs="宋体"/>
                <w:bCs/>
                <w:color w:val="auto"/>
                <w:szCs w:val="21"/>
                <w:highlight w:val="none"/>
              </w:rPr>
              <w:t>的评标报价为评标基准价，其价格分为满分。</w:t>
            </w:r>
          </w:p>
          <w:p w14:paraId="6D594296">
            <w:pPr>
              <w:spacing w:line="360" w:lineRule="auto"/>
              <w:ind w:firstLine="233" w:firstLineChars="111"/>
              <w:rPr>
                <w:rFonts w:hint="eastAsia" w:ascii="宋体" w:hAnsi="宋体" w:cs="宋体"/>
                <w:bCs/>
                <w:color w:val="auto"/>
                <w:szCs w:val="21"/>
                <w:highlight w:val="none"/>
              </w:rPr>
            </w:pPr>
            <w:r>
              <w:rPr>
                <w:rFonts w:hint="eastAsia" w:ascii="宋体" w:hAnsi="宋体" w:cs="宋体"/>
                <w:bCs/>
                <w:color w:val="auto"/>
                <w:szCs w:val="21"/>
                <w:highlight w:val="none"/>
              </w:rPr>
              <w:t>（2）价格分计算公式：</w:t>
            </w:r>
          </w:p>
          <w:p w14:paraId="0E9B58EF">
            <w:pPr>
              <w:snapToGrid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价格分=评标基准价/评标报价×30分</w:t>
            </w:r>
          </w:p>
          <w:p w14:paraId="7CD5BBB9">
            <w:pPr>
              <w:snapToGrid w:val="0"/>
              <w:spacing w:line="360" w:lineRule="auto"/>
              <w:ind w:firstLine="422" w:firstLineChars="200"/>
              <w:rPr>
                <w:rFonts w:hint="eastAsia" w:ascii="宋体" w:hAnsi="宋体" w:cs="宋体"/>
                <w:bCs/>
                <w:color w:val="auto"/>
                <w:szCs w:val="21"/>
                <w:highlight w:val="none"/>
              </w:rPr>
            </w:pPr>
            <w:r>
              <w:rPr>
                <w:rFonts w:hint="eastAsia" w:ascii="宋体" w:hAnsi="宋体" w:cs="宋体"/>
                <w:b/>
                <w:color w:val="auto"/>
                <w:szCs w:val="21"/>
                <w:highlight w:val="none"/>
              </w:rPr>
              <w:t>如：三家投标人报价折扣系数分别为90%、85%、80%，则最低报价折扣系数为80%，最低报价折扣系数为评标基准价。（适用中小企业的，以扣除后的价格为评标报价）</w:t>
            </w:r>
          </w:p>
        </w:tc>
      </w:tr>
      <w:tr w14:paraId="0AD35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 w:type="pct"/>
            <w:vAlign w:val="center"/>
          </w:tcPr>
          <w:p w14:paraId="05D76C6C">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2</w:t>
            </w:r>
          </w:p>
        </w:tc>
        <w:tc>
          <w:tcPr>
            <w:tcW w:w="484" w:type="pct"/>
            <w:vAlign w:val="center"/>
          </w:tcPr>
          <w:p w14:paraId="4813F4C8">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技术分（满分45分）</w:t>
            </w:r>
          </w:p>
        </w:tc>
        <w:tc>
          <w:tcPr>
            <w:tcW w:w="555" w:type="pct"/>
            <w:vAlign w:val="center"/>
          </w:tcPr>
          <w:p w14:paraId="72FDC35D">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项目实施方案（满分45分）</w:t>
            </w:r>
          </w:p>
        </w:tc>
        <w:tc>
          <w:tcPr>
            <w:tcW w:w="3651" w:type="pct"/>
            <w:vAlign w:val="center"/>
          </w:tcPr>
          <w:p w14:paraId="1746ACD6">
            <w:pPr>
              <w:spacing w:line="360" w:lineRule="auto"/>
              <w:ind w:firstLine="422" w:firstLineChars="200"/>
              <w:rPr>
                <w:rFonts w:hint="eastAsia" w:ascii="宋体" w:hAnsi="宋体" w:cs="宋体"/>
                <w:b/>
                <w:color w:val="auto"/>
                <w:kern w:val="0"/>
                <w:szCs w:val="21"/>
                <w:highlight w:val="none"/>
              </w:rPr>
            </w:pPr>
            <w:r>
              <w:rPr>
                <w:rFonts w:hint="eastAsia" w:ascii="宋体" w:hAnsi="宋体" w:cs="宋体"/>
                <w:b/>
                <w:color w:val="auto"/>
                <w:kern w:val="0"/>
                <w:szCs w:val="21"/>
                <w:highlight w:val="none"/>
              </w:rPr>
              <w:t>（1）配送服务及应急方案（满分15分）</w:t>
            </w:r>
          </w:p>
          <w:p w14:paraId="463A0058">
            <w:pPr>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投标人提供的配送服务及应急方案由评标委员会成员根据评审程序、评审方法和评审标准进行独立评审评定其档次。未提供配送服务及应急方案或达不到一档要求的不得分。</w:t>
            </w:r>
          </w:p>
          <w:p w14:paraId="065430CD">
            <w:pPr>
              <w:pStyle w:val="25"/>
              <w:spacing w:line="360" w:lineRule="auto"/>
              <w:ind w:firstLine="411" w:firstLineChars="196"/>
              <w:rPr>
                <w:rFonts w:hint="eastAsia" w:hAnsi="宋体" w:cs="宋体"/>
                <w:color w:val="auto"/>
                <w:kern w:val="2"/>
                <w:sz w:val="21"/>
                <w:highlight w:val="none"/>
              </w:rPr>
            </w:pPr>
            <w:r>
              <w:rPr>
                <w:rFonts w:hint="eastAsia" w:hAnsi="宋体" w:cs="宋体"/>
                <w:color w:val="auto"/>
                <w:kern w:val="2"/>
                <w:sz w:val="21"/>
                <w:highlight w:val="none"/>
              </w:rPr>
              <w:t>一档（3分）：</w:t>
            </w:r>
            <w:r>
              <w:rPr>
                <w:rFonts w:hint="eastAsia" w:hAnsi="宋体" w:cs="宋体"/>
                <w:color w:val="auto"/>
                <w:spacing w:val="10"/>
                <w:sz w:val="21"/>
                <w:highlight w:val="none"/>
                <w:lang w:bidi="ar"/>
              </w:rPr>
              <w:t>配送方案包括配送的流程、运输方式、包装等措施简略描述</w:t>
            </w:r>
            <w:r>
              <w:rPr>
                <w:rFonts w:hint="eastAsia" w:hAnsi="宋体" w:cs="宋体"/>
                <w:color w:val="auto"/>
                <w:kern w:val="2"/>
                <w:sz w:val="21"/>
                <w:highlight w:val="none"/>
              </w:rPr>
              <w:t>，管理制度、配送服务方案基本满足要求、描述简</w:t>
            </w:r>
            <w:r>
              <w:rPr>
                <w:rFonts w:hint="eastAsia" w:hAnsi="宋体" w:cs="宋体"/>
                <w:color w:val="auto"/>
                <w:spacing w:val="10"/>
                <w:sz w:val="21"/>
                <w:highlight w:val="none"/>
                <w:lang w:bidi="ar"/>
              </w:rPr>
              <w:t>略</w:t>
            </w:r>
            <w:r>
              <w:rPr>
                <w:rFonts w:hint="eastAsia" w:hAnsi="宋体" w:cs="宋体"/>
                <w:color w:val="auto"/>
                <w:kern w:val="2"/>
                <w:sz w:val="21"/>
                <w:highlight w:val="none"/>
              </w:rPr>
              <w:t>，基本保证配送服务的，对问题食材发生紧急事件处理预案内容较差、</w:t>
            </w:r>
            <w:r>
              <w:rPr>
                <w:rFonts w:hint="eastAsia" w:hAnsi="宋体" w:cs="宋体"/>
                <w:color w:val="auto"/>
                <w:sz w:val="21"/>
                <w:highlight w:val="none"/>
              </w:rPr>
              <w:t>整体方案基本可行</w:t>
            </w:r>
            <w:r>
              <w:rPr>
                <w:rFonts w:hint="eastAsia" w:hAnsi="宋体" w:cs="宋体"/>
                <w:color w:val="auto"/>
                <w:kern w:val="2"/>
                <w:sz w:val="21"/>
                <w:highlight w:val="none"/>
              </w:rPr>
              <w:t>。</w:t>
            </w:r>
          </w:p>
          <w:p w14:paraId="4013CD4A">
            <w:pPr>
              <w:pStyle w:val="25"/>
              <w:spacing w:line="360" w:lineRule="auto"/>
              <w:ind w:firstLine="411" w:firstLineChars="196"/>
              <w:rPr>
                <w:rFonts w:hint="eastAsia" w:hAnsi="宋体" w:cs="宋体"/>
                <w:color w:val="auto"/>
                <w:kern w:val="2"/>
                <w:sz w:val="21"/>
                <w:highlight w:val="none"/>
              </w:rPr>
            </w:pPr>
            <w:r>
              <w:rPr>
                <w:rFonts w:hint="eastAsia" w:hAnsi="宋体" w:cs="宋体"/>
                <w:color w:val="auto"/>
                <w:kern w:val="2"/>
                <w:sz w:val="21"/>
                <w:highlight w:val="none"/>
              </w:rPr>
              <w:t>二档（6分）：</w:t>
            </w:r>
            <w:r>
              <w:rPr>
                <w:rFonts w:hint="eastAsia" w:hAnsi="宋体" w:cs="宋体"/>
                <w:color w:val="auto"/>
                <w:spacing w:val="10"/>
                <w:sz w:val="21"/>
                <w:highlight w:val="none"/>
                <w:lang w:bidi="ar"/>
              </w:rPr>
              <w:t>配送方案包括配送的流程、运输方式、包装等措施描述较简略</w:t>
            </w:r>
            <w:r>
              <w:rPr>
                <w:rFonts w:hint="eastAsia" w:hAnsi="宋体" w:cs="宋体"/>
                <w:color w:val="auto"/>
                <w:kern w:val="2"/>
                <w:sz w:val="21"/>
                <w:highlight w:val="none"/>
              </w:rPr>
              <w:t>，项目配送供货时间安排合理，管理制度、配送服务方案基本满足要求、描述较简</w:t>
            </w:r>
            <w:r>
              <w:rPr>
                <w:rFonts w:hint="eastAsia" w:hAnsi="宋体" w:cs="宋体"/>
                <w:color w:val="auto"/>
                <w:spacing w:val="10"/>
                <w:sz w:val="21"/>
                <w:highlight w:val="none"/>
                <w:lang w:bidi="ar"/>
              </w:rPr>
              <w:t>略</w:t>
            </w:r>
            <w:r>
              <w:rPr>
                <w:rFonts w:hint="eastAsia" w:hAnsi="宋体" w:cs="宋体"/>
                <w:color w:val="auto"/>
                <w:kern w:val="2"/>
                <w:sz w:val="21"/>
                <w:highlight w:val="none"/>
              </w:rPr>
              <w:t>，具体实施步骤和要求描述较简</w:t>
            </w:r>
            <w:r>
              <w:rPr>
                <w:rFonts w:hint="eastAsia" w:hAnsi="宋体" w:cs="宋体"/>
                <w:color w:val="auto"/>
                <w:spacing w:val="10"/>
                <w:sz w:val="21"/>
                <w:highlight w:val="none"/>
                <w:lang w:bidi="ar"/>
              </w:rPr>
              <w:t>略</w:t>
            </w:r>
            <w:r>
              <w:rPr>
                <w:rFonts w:hint="eastAsia" w:hAnsi="宋体" w:cs="宋体"/>
                <w:color w:val="auto"/>
                <w:kern w:val="2"/>
                <w:sz w:val="21"/>
                <w:highlight w:val="none"/>
              </w:rPr>
              <w:t>，能保证配送服务，对问题食材发生紧急事件处理预案内容简</w:t>
            </w:r>
            <w:r>
              <w:rPr>
                <w:rFonts w:hint="eastAsia" w:hAnsi="宋体" w:cs="宋体"/>
                <w:color w:val="auto"/>
                <w:spacing w:val="10"/>
                <w:sz w:val="21"/>
                <w:highlight w:val="none"/>
                <w:lang w:bidi="ar"/>
              </w:rPr>
              <w:t>略</w:t>
            </w:r>
            <w:r>
              <w:rPr>
                <w:rFonts w:hint="eastAsia" w:hAnsi="宋体" w:cs="宋体"/>
                <w:color w:val="auto"/>
                <w:kern w:val="2"/>
                <w:sz w:val="21"/>
                <w:highlight w:val="none"/>
              </w:rPr>
              <w:t>。</w:t>
            </w:r>
          </w:p>
          <w:p w14:paraId="2E5034CA">
            <w:pPr>
              <w:pStyle w:val="25"/>
              <w:spacing w:line="360" w:lineRule="auto"/>
              <w:ind w:firstLine="411" w:firstLineChars="196"/>
              <w:rPr>
                <w:rFonts w:hint="eastAsia" w:hAnsi="宋体" w:cs="宋体"/>
                <w:color w:val="auto"/>
                <w:kern w:val="2"/>
                <w:sz w:val="21"/>
                <w:highlight w:val="none"/>
              </w:rPr>
            </w:pPr>
            <w:r>
              <w:rPr>
                <w:rFonts w:hint="eastAsia" w:hAnsi="宋体" w:cs="宋体"/>
                <w:color w:val="auto"/>
                <w:kern w:val="2"/>
                <w:sz w:val="21"/>
                <w:highlight w:val="none"/>
              </w:rPr>
              <w:t>三档（9分）：</w:t>
            </w:r>
            <w:r>
              <w:rPr>
                <w:rFonts w:hint="eastAsia" w:hAnsi="宋体" w:cs="宋体"/>
                <w:color w:val="auto"/>
                <w:spacing w:val="10"/>
                <w:sz w:val="21"/>
                <w:highlight w:val="none"/>
                <w:lang w:bidi="ar"/>
              </w:rPr>
              <w:t>配送方案包括配送的流程、运输方式、仓储管理、包装等措施描述</w:t>
            </w:r>
            <w:r>
              <w:rPr>
                <w:rFonts w:hint="eastAsia" w:hAnsi="宋体" w:cs="宋体"/>
                <w:color w:val="auto"/>
                <w:kern w:val="2"/>
                <w:sz w:val="21"/>
                <w:highlight w:val="none"/>
              </w:rPr>
              <w:t>基本符合需求，项目配送体系、供货时间安排较合理，有较完善的管理制度、配送服务方案，描述适当，具体实施步骤和要求描述适当，在保证配送服务业务外有机动人员用于对紧急事件处理，对配送及应急处理响应较快，对问题食材发生紧急事件处理预案内容合理（结合监狱需求实际，针对项目实施中各种可能发生的突发情况，有1套简略的应急预案）。</w:t>
            </w:r>
          </w:p>
          <w:p w14:paraId="03F898D4">
            <w:pPr>
              <w:pStyle w:val="25"/>
              <w:spacing w:line="360" w:lineRule="auto"/>
              <w:ind w:firstLine="411" w:firstLineChars="196"/>
              <w:rPr>
                <w:rFonts w:hint="eastAsia" w:hAnsi="宋体" w:cs="宋体"/>
                <w:color w:val="auto"/>
                <w:kern w:val="2"/>
                <w:sz w:val="21"/>
                <w:highlight w:val="none"/>
              </w:rPr>
            </w:pPr>
            <w:r>
              <w:rPr>
                <w:rFonts w:hint="eastAsia" w:hAnsi="宋体" w:cs="宋体"/>
                <w:color w:val="auto"/>
                <w:kern w:val="2"/>
                <w:sz w:val="21"/>
                <w:highlight w:val="none"/>
              </w:rPr>
              <w:t>四档（12分）：</w:t>
            </w:r>
            <w:r>
              <w:rPr>
                <w:rFonts w:hint="eastAsia" w:hAnsi="宋体" w:cs="宋体"/>
                <w:color w:val="auto"/>
                <w:spacing w:val="10"/>
                <w:sz w:val="21"/>
                <w:highlight w:val="none"/>
                <w:lang w:bidi="ar"/>
              </w:rPr>
              <w:t>配送方案包括配送的流程、运输方式、仓储管理、包装等措施描述</w:t>
            </w:r>
            <w:r>
              <w:rPr>
                <w:rFonts w:hint="eastAsia" w:hAnsi="宋体" w:cs="宋体"/>
                <w:color w:val="auto"/>
                <w:kern w:val="2"/>
                <w:sz w:val="21"/>
                <w:highlight w:val="none"/>
              </w:rPr>
              <w:t>详尽，配送工作体系健全完善，配送供货时间安排合理，有较完善的管理制度、配送服务方案，描述详尽，具体实施步骤和要求描述详尽，在保证配送服务业务外有机动人员用于对紧急事件处理，有简略的</w:t>
            </w:r>
            <w:r>
              <w:rPr>
                <w:rFonts w:hint="eastAsia" w:hAnsi="宋体" w:cs="宋体"/>
                <w:color w:val="auto"/>
                <w:sz w:val="21"/>
                <w:highlight w:val="none"/>
              </w:rPr>
              <w:t>车辆故障应急预案及退换货应急预案、</w:t>
            </w:r>
            <w:r>
              <w:rPr>
                <w:rFonts w:hint="eastAsia" w:hAnsi="宋体" w:cs="宋体"/>
                <w:color w:val="auto"/>
                <w:kern w:val="2"/>
                <w:sz w:val="21"/>
                <w:highlight w:val="none"/>
              </w:rPr>
              <w:t>对配送及应急处理响应快，对问题食材发生紧急事件处理预案内容的具体（结合监狱需求实际，针对项目实施中各种可能发生的突发情况，有1套详尽的应急预案），有相应的实施人员安排方案。</w:t>
            </w:r>
          </w:p>
          <w:p w14:paraId="6179CE64">
            <w:pPr>
              <w:pStyle w:val="25"/>
              <w:spacing w:line="360" w:lineRule="auto"/>
              <w:ind w:firstLine="411" w:firstLineChars="196"/>
              <w:rPr>
                <w:rFonts w:hint="eastAsia" w:hAnsi="宋体" w:cs="宋体"/>
                <w:b/>
                <w:color w:val="auto"/>
                <w:sz w:val="21"/>
                <w:highlight w:val="none"/>
              </w:rPr>
            </w:pPr>
            <w:r>
              <w:rPr>
                <w:rFonts w:hint="eastAsia" w:hAnsi="宋体" w:cs="宋体"/>
                <w:color w:val="auto"/>
                <w:kern w:val="2"/>
                <w:sz w:val="21"/>
                <w:highlight w:val="none"/>
              </w:rPr>
              <w:t>五档（15分）</w:t>
            </w:r>
            <w:r>
              <w:rPr>
                <w:rFonts w:hint="eastAsia" w:hAnsi="宋体" w:cs="宋体"/>
                <w:color w:val="auto"/>
                <w:kern w:val="2"/>
                <w:sz w:val="21"/>
                <w:highlight w:val="none"/>
                <w:lang w:eastAsia="zh-CN"/>
              </w:rPr>
              <w:t>：</w:t>
            </w:r>
            <w:r>
              <w:rPr>
                <w:rFonts w:hint="eastAsia" w:hAnsi="宋体" w:cs="宋体"/>
                <w:color w:val="auto"/>
                <w:spacing w:val="10"/>
                <w:sz w:val="21"/>
                <w:highlight w:val="none"/>
                <w:lang w:bidi="ar"/>
              </w:rPr>
              <w:t>配送方案包括配送的流程、运输方式、仓储管理、包装等措施描述细致</w:t>
            </w:r>
            <w:r>
              <w:rPr>
                <w:rFonts w:hint="eastAsia" w:hAnsi="宋体" w:cs="宋体"/>
                <w:color w:val="auto"/>
                <w:kern w:val="2"/>
                <w:sz w:val="21"/>
                <w:highlight w:val="none"/>
              </w:rPr>
              <w:t>，配送工作体系健全完善，配送供货时间安排合理，针对项目实际情况，能提供全面细致、可靠的管理制度、配送服务方案，描述周全，具体实施步骤和要求描述详尽，可行性强，充分优于本项目需求，对问题食材发生紧急事件处理预案内容的具体、周到（结合监狱需求实际，针对项目实施中各种可能发生的突发情况，有2套详尽的应急预案），在保证配送服务业务外有机动人员用于对紧急事件处理，人员配备满足项目配送的需求，有详尽的</w:t>
            </w:r>
            <w:r>
              <w:rPr>
                <w:rFonts w:hint="eastAsia" w:hAnsi="宋体" w:cs="宋体"/>
                <w:color w:val="auto"/>
                <w:sz w:val="21"/>
                <w:highlight w:val="none"/>
              </w:rPr>
              <w:t>车辆故障应急预案、退换货应急预案、突发安全事故应急预案（如中毒）、客户投诉处理预案，</w:t>
            </w:r>
            <w:r>
              <w:rPr>
                <w:rFonts w:hint="eastAsia" w:hAnsi="宋体" w:cs="宋体"/>
                <w:color w:val="auto"/>
                <w:kern w:val="2"/>
                <w:sz w:val="21"/>
                <w:highlight w:val="none"/>
              </w:rPr>
              <w:t>对配送及应急处理响应迅速（质量问题在接到采购单位通知后1小时内到达现场处理，接收到采购人发出紧急供货通知后，投标人最迟2小时内完成当次现场供货），可行性高，方案针对性强，有重点，预案清晰且能根据具体情况做出细致方案等重要因素的。</w:t>
            </w:r>
          </w:p>
          <w:p w14:paraId="435B6B3C">
            <w:pPr>
              <w:spacing w:line="360" w:lineRule="auto"/>
              <w:ind w:firstLine="422" w:firstLineChars="200"/>
              <w:rPr>
                <w:rFonts w:hint="eastAsia" w:ascii="宋体" w:hAnsi="宋体" w:cs="宋体"/>
                <w:b/>
                <w:color w:val="auto"/>
                <w:kern w:val="0"/>
                <w:szCs w:val="21"/>
                <w:highlight w:val="none"/>
              </w:rPr>
            </w:pPr>
            <w:r>
              <w:rPr>
                <w:rFonts w:hint="eastAsia" w:ascii="宋体" w:hAnsi="宋体" w:cs="宋体"/>
                <w:b/>
                <w:color w:val="auto"/>
                <w:kern w:val="0"/>
                <w:szCs w:val="21"/>
                <w:highlight w:val="none"/>
              </w:rPr>
              <w:t>（2）</w:t>
            </w:r>
            <w:r>
              <w:rPr>
                <w:rFonts w:hint="eastAsia" w:ascii="宋体" w:hAnsi="宋体" w:cs="宋体"/>
                <w:b/>
                <w:bCs/>
                <w:color w:val="auto"/>
                <w:szCs w:val="21"/>
                <w:highlight w:val="none"/>
              </w:rPr>
              <w:t>食材安全措施</w:t>
            </w:r>
            <w:r>
              <w:rPr>
                <w:rFonts w:hint="eastAsia" w:ascii="宋体" w:hAnsi="宋体" w:cs="宋体"/>
                <w:b/>
                <w:color w:val="auto"/>
                <w:kern w:val="0"/>
                <w:szCs w:val="21"/>
                <w:highlight w:val="none"/>
              </w:rPr>
              <w:t>分（满分15分）</w:t>
            </w:r>
          </w:p>
          <w:p w14:paraId="730F9CCC">
            <w:pPr>
              <w:tabs>
                <w:tab w:val="left" w:pos="1160"/>
              </w:tabs>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由评委根据投标人提供的食材安全措施（包括但不限于进货采购渠道、食材控制管理措施、检验检疫措施、食材质量标准、追溯方式）进行独立打分。未提供食材安全措施方案或</w:t>
            </w:r>
            <w:r>
              <w:rPr>
                <w:rFonts w:hint="eastAsia" w:ascii="宋体" w:hAnsi="宋体" w:cs="宋体"/>
                <w:color w:val="auto"/>
                <w:szCs w:val="21"/>
                <w:highlight w:val="none"/>
              </w:rPr>
              <w:t>达不到一档要求</w:t>
            </w:r>
            <w:r>
              <w:rPr>
                <w:rFonts w:hint="eastAsia" w:ascii="宋体" w:hAnsi="宋体" w:cs="宋体"/>
                <w:bCs/>
                <w:color w:val="auto"/>
                <w:szCs w:val="21"/>
                <w:highlight w:val="none"/>
              </w:rPr>
              <w:t>的不得分。</w:t>
            </w:r>
          </w:p>
          <w:p w14:paraId="2D9B0103">
            <w:pPr>
              <w:pStyle w:val="25"/>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一档（3分）：对进货采购渠道、食材控制管理措施、检验检疫措施、食材质量标准、追溯方式这几个方面描述简略，且有3项以上的漏项，所描述内容不能满足采购需求。</w:t>
            </w:r>
          </w:p>
          <w:p w14:paraId="78BA4142">
            <w:pPr>
              <w:pStyle w:val="25"/>
              <w:spacing w:line="360" w:lineRule="auto"/>
              <w:ind w:firstLine="411" w:firstLineChars="196"/>
              <w:rPr>
                <w:rFonts w:hint="eastAsia" w:hAnsi="宋体" w:cs="宋体"/>
                <w:color w:val="auto"/>
                <w:sz w:val="21"/>
                <w:highlight w:val="none"/>
              </w:rPr>
            </w:pPr>
            <w:r>
              <w:rPr>
                <w:rFonts w:hint="eastAsia" w:hAnsi="宋体" w:cs="宋体"/>
                <w:color w:val="auto"/>
                <w:sz w:val="21"/>
                <w:highlight w:val="none"/>
              </w:rPr>
              <w:t>二档（6分）：对进货采购渠道、食材控制管理措施、检验检疫措施、食材质量标准、追溯方式这几个方面描述较清晰，检验检疫措施简单；从选择食品原料货源到运输，有一定的质量安全保证措施但不明显，无服务特点，且有2至3项的漏项，所描述内容描述基本符合采购需。</w:t>
            </w:r>
          </w:p>
          <w:p w14:paraId="4CB29A4A">
            <w:pPr>
              <w:pStyle w:val="25"/>
              <w:spacing w:line="360" w:lineRule="auto"/>
              <w:ind w:firstLine="411" w:firstLineChars="196"/>
              <w:rPr>
                <w:rFonts w:hint="eastAsia" w:hAnsi="宋体" w:cs="宋体"/>
                <w:color w:val="auto"/>
                <w:sz w:val="21"/>
                <w:highlight w:val="none"/>
              </w:rPr>
            </w:pPr>
            <w:r>
              <w:rPr>
                <w:rFonts w:hint="eastAsia" w:hAnsi="宋体" w:cs="宋体"/>
                <w:color w:val="auto"/>
                <w:sz w:val="21"/>
                <w:highlight w:val="none"/>
              </w:rPr>
              <w:t>三档（9分）：对进货采购渠道、食材控制管理措施、食材质量标准、追溯方式这几个方面描述较清晰、适当，食材控制管理措施比较完善，从选择食品原料货源到运输，质量安全保证措施有针对性，服务特点较明确，方案较具体可行，检验检疫措施较全面，主动开展检验工作，承诺每半年提供国家认可的有资质的第三方检测机构检测报告，但有1至2项的漏项，所描述内容满足采购需求。</w:t>
            </w:r>
          </w:p>
          <w:p w14:paraId="1FAB7D47">
            <w:pPr>
              <w:pStyle w:val="25"/>
              <w:spacing w:line="360" w:lineRule="auto"/>
              <w:ind w:firstLine="411" w:firstLineChars="196"/>
              <w:rPr>
                <w:rFonts w:hint="eastAsia" w:hAnsi="宋体" w:cs="宋体"/>
                <w:color w:val="auto"/>
                <w:sz w:val="21"/>
                <w:highlight w:val="none"/>
              </w:rPr>
            </w:pPr>
            <w:r>
              <w:rPr>
                <w:rFonts w:hint="eastAsia" w:hAnsi="宋体" w:cs="宋体"/>
                <w:color w:val="auto"/>
                <w:sz w:val="21"/>
                <w:highlight w:val="none"/>
              </w:rPr>
              <w:t>四档（12分）：对进货采购渠道、食材控制管理措施、食材质量标准、追溯方式这几个方面描述清晰，详尽，食材控制管理措施比较完善，从选择食品原料货源到运输，质量安全保证措施比较有针对性和服务特点，方案较完整、较具体、可行，检验检疫措施详细、全面，能严格进行食材质量把关，主动开展检验工作，承诺每季度提供国家认可的有资质的第三方检测机构检测报告，且除了本条评分依据提到的5个方面外，还有1至2项的新增食材安全措施。</w:t>
            </w:r>
          </w:p>
          <w:p w14:paraId="6A5C0BCA">
            <w:pPr>
              <w:pStyle w:val="25"/>
              <w:spacing w:line="360" w:lineRule="auto"/>
              <w:ind w:firstLine="411" w:firstLineChars="196"/>
              <w:rPr>
                <w:rFonts w:hint="eastAsia" w:hAnsi="宋体" w:cs="宋体"/>
                <w:color w:val="auto"/>
                <w:sz w:val="21"/>
                <w:highlight w:val="none"/>
              </w:rPr>
            </w:pPr>
            <w:r>
              <w:rPr>
                <w:rFonts w:hint="eastAsia" w:hAnsi="宋体" w:cs="宋体"/>
                <w:color w:val="auto"/>
                <w:sz w:val="21"/>
                <w:highlight w:val="none"/>
              </w:rPr>
              <w:t>五档（15分）：对进货采购渠道、食材控制管理措施、食材质量标准、追溯方式这几个方面全部描述清晰，细致，食品安全追溯能力强，可从原材料来源可追溯，形成一套可记录、可查询溯源的能力。从选择食品原料货源到运输，质量安全保证措施有针对性和服务特点，方案完整、清晰、具体、科学、合理、可行，检验检疫措施详细、全面，各项措施安排合理,可操作性强，能严格进行食材质量把关，主动开展检验工作，承诺每个月提供国家认可的有资质的第三方检测机构检测报告，且除了本条评分依据提到的5个方面外，还有3项以上的新增食材安全措施。</w:t>
            </w:r>
          </w:p>
          <w:p w14:paraId="6F401905">
            <w:pPr>
              <w:spacing w:before="120" w:beforeLines="50"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（3）售后服务方案分（满分15分）</w:t>
            </w:r>
          </w:p>
          <w:p w14:paraId="202663F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对售后服务要求的响应程度及提供的服务承诺方案、售后服务措施（包括：承诺如何确保按期、按质、按量供货；出现问题时如何采取相应的措施；如何保障后期服务）等情况。评标委员会综合评定所属档次及分值，</w:t>
            </w:r>
            <w:r>
              <w:rPr>
                <w:rFonts w:hint="eastAsia" w:ascii="宋体" w:hAnsi="宋体" w:cs="宋体"/>
                <w:bCs/>
                <w:color w:val="auto"/>
                <w:szCs w:val="21"/>
                <w:highlight w:val="none"/>
              </w:rPr>
              <w:t>未提供售后服务方案或</w:t>
            </w:r>
            <w:r>
              <w:rPr>
                <w:rFonts w:hint="eastAsia" w:ascii="宋体" w:hAnsi="宋体" w:cs="宋体"/>
                <w:color w:val="auto"/>
                <w:szCs w:val="21"/>
                <w:highlight w:val="none"/>
              </w:rPr>
              <w:t>达不到一档要求的不得分。</w:t>
            </w:r>
          </w:p>
          <w:p w14:paraId="5B89513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一档（</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分）：承诺退换时间在2小时内（不含2小时），服务承诺、措施、后期服务承诺较简略。</w:t>
            </w:r>
          </w:p>
          <w:p w14:paraId="443E8C2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二</w:t>
            </w:r>
            <w:r>
              <w:rPr>
                <w:rFonts w:hint="eastAsia" w:ascii="宋体" w:hAnsi="宋体" w:cs="宋体"/>
                <w:color w:val="auto"/>
                <w:szCs w:val="21"/>
                <w:highlight w:val="none"/>
              </w:rPr>
              <w:t>档（1</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分）：承诺退换时间在1.</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小时内（含1.</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小时），有健全、详细的服务承诺、后期售后服务方式多样有效，措施得力，能满足项目需求，包括售后服务监督和回访管理、台账管理、售后服务管理及售后服务措施（含对问题物料的处理及特殊情况的应急预案），明确如何确保退换的货物符合采购人需求，并配备专门人员为业主提供服务，确保接到业主通知后30分钟内响应。</w:t>
            </w:r>
          </w:p>
          <w:p w14:paraId="4A264E1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档（15分）：承诺退换时间在1小时内（含1小时），有健全、详细、高效的服务承诺、后期售后服务方式多样有效，措施得力，充分满足项目需求，包括售后服务监督和回访管理、台账管理、售后服务管理及售后服务措施（含对问题物料的处理及特殊情况的应急预案）、其他优惠措施及其它服务计划，明确如何确保退换的货物符合采购人需求，并配备专门人员为业主提供服务，确保接到业主通知后10分钟内响应。</w:t>
            </w:r>
          </w:p>
        </w:tc>
      </w:tr>
      <w:tr w14:paraId="6F418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 w:type="pct"/>
            <w:vMerge w:val="restart"/>
            <w:vAlign w:val="center"/>
          </w:tcPr>
          <w:p w14:paraId="449BB71D">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3</w:t>
            </w:r>
          </w:p>
        </w:tc>
        <w:tc>
          <w:tcPr>
            <w:tcW w:w="484" w:type="pct"/>
            <w:vMerge w:val="restart"/>
            <w:vAlign w:val="center"/>
          </w:tcPr>
          <w:p w14:paraId="52AF18E5">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商务分</w:t>
            </w:r>
          </w:p>
          <w:p w14:paraId="64491DC0">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（满分25分）</w:t>
            </w:r>
          </w:p>
        </w:tc>
        <w:tc>
          <w:tcPr>
            <w:tcW w:w="555" w:type="pct"/>
            <w:vAlign w:val="center"/>
          </w:tcPr>
          <w:p w14:paraId="68D0C4CC">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（1）业绩（满分8分）</w:t>
            </w:r>
          </w:p>
        </w:tc>
        <w:tc>
          <w:tcPr>
            <w:tcW w:w="3651" w:type="pct"/>
            <w:vAlign w:val="center"/>
          </w:tcPr>
          <w:p w14:paraId="1218E10F">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2023年1月1日至今，投标人</w:t>
            </w:r>
            <w:r>
              <w:rPr>
                <w:rFonts w:hint="eastAsia" w:ascii="宋体" w:hAnsi="宋体" w:cs="宋体"/>
                <w:bCs/>
                <w:color w:val="auto"/>
                <w:szCs w:val="21"/>
                <w:highlight w:val="none"/>
              </w:rPr>
              <w:t>承接过与本次采购内容类似的商品配送项目，</w:t>
            </w:r>
            <w:r>
              <w:rPr>
                <w:rFonts w:hint="eastAsia" w:ascii="宋体" w:hAnsi="宋体" w:cs="宋体"/>
                <w:color w:val="auto"/>
                <w:kern w:val="0"/>
                <w:szCs w:val="21"/>
                <w:highlight w:val="none"/>
              </w:rPr>
              <w:t>每个项目业绩得2分，满分8分。</w:t>
            </w:r>
          </w:p>
          <w:p w14:paraId="51AAE35C">
            <w:pPr>
              <w:pStyle w:val="25"/>
              <w:spacing w:line="360" w:lineRule="auto"/>
              <w:ind w:firstLine="413" w:firstLineChars="196"/>
              <w:rPr>
                <w:rFonts w:hint="eastAsia" w:hAnsi="宋体" w:cs="宋体"/>
                <w:b/>
                <w:bCs/>
                <w:color w:val="auto"/>
                <w:sz w:val="21"/>
                <w:highlight w:val="none"/>
              </w:rPr>
            </w:pPr>
            <w:r>
              <w:rPr>
                <w:rFonts w:hint="eastAsia" w:hAnsi="宋体" w:cs="宋体"/>
                <w:b/>
                <w:color w:val="auto"/>
                <w:sz w:val="21"/>
                <w:highlight w:val="none"/>
              </w:rPr>
              <w:t>注：须在投标文件提供中标（成交）通知书或合同复印件等证明材料，否则不得分。</w:t>
            </w:r>
          </w:p>
        </w:tc>
      </w:tr>
      <w:tr w14:paraId="12DA9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 w:type="pct"/>
            <w:vMerge w:val="continue"/>
            <w:vAlign w:val="center"/>
          </w:tcPr>
          <w:p w14:paraId="592A8FC7">
            <w:pPr>
              <w:spacing w:line="360" w:lineRule="auto"/>
              <w:jc w:val="center"/>
              <w:rPr>
                <w:rFonts w:hint="eastAsia" w:ascii="宋体" w:hAnsi="宋体" w:cs="宋体"/>
                <w:b/>
                <w:bCs/>
                <w:color w:val="auto"/>
                <w:szCs w:val="21"/>
                <w:highlight w:val="none"/>
              </w:rPr>
            </w:pPr>
          </w:p>
        </w:tc>
        <w:tc>
          <w:tcPr>
            <w:tcW w:w="484" w:type="pct"/>
            <w:vMerge w:val="continue"/>
            <w:vAlign w:val="center"/>
          </w:tcPr>
          <w:p w14:paraId="265FA69D">
            <w:pPr>
              <w:spacing w:line="360" w:lineRule="auto"/>
              <w:jc w:val="center"/>
              <w:rPr>
                <w:rFonts w:hint="eastAsia" w:ascii="宋体" w:hAnsi="宋体" w:cs="宋体"/>
                <w:b/>
                <w:bCs/>
                <w:color w:val="auto"/>
                <w:szCs w:val="21"/>
                <w:highlight w:val="none"/>
              </w:rPr>
            </w:pPr>
          </w:p>
        </w:tc>
        <w:tc>
          <w:tcPr>
            <w:tcW w:w="555" w:type="pct"/>
            <w:vAlign w:val="center"/>
          </w:tcPr>
          <w:p w14:paraId="383AD587">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（2）配送能力分（满分8分）</w:t>
            </w:r>
          </w:p>
        </w:tc>
        <w:tc>
          <w:tcPr>
            <w:tcW w:w="3651" w:type="pct"/>
            <w:vAlign w:val="center"/>
          </w:tcPr>
          <w:p w14:paraId="78A95CC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投标人在达到招标文件配备1辆冷藏车或冷链车要求的基础上</w:t>
            </w:r>
            <w:r>
              <w:rPr>
                <w:rFonts w:hint="eastAsia" w:ascii="宋体" w:hAnsi="宋体" w:cs="宋体"/>
                <w:color w:val="auto"/>
                <w:szCs w:val="21"/>
                <w:highlight w:val="none"/>
                <w:lang w:eastAsia="zh-CN"/>
              </w:rPr>
              <w:t>，</w:t>
            </w:r>
            <w:r>
              <w:rPr>
                <w:rFonts w:hint="eastAsia" w:ascii="宋体" w:hAnsi="宋体" w:cs="宋体"/>
                <w:color w:val="auto"/>
                <w:szCs w:val="21"/>
                <w:highlight w:val="none"/>
              </w:rPr>
              <w:t>每承诺增加投入1辆冷藏车或冷链车的得</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分，本项累计最多得</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分；要求是投标人或其法定代表人名下登记的车辆或租赁车辆（租车时必须提供租赁合同）。</w:t>
            </w:r>
          </w:p>
          <w:p w14:paraId="5AF0BA11">
            <w:pPr>
              <w:spacing w:line="360" w:lineRule="auto"/>
              <w:ind w:firstLine="422" w:firstLineChars="200"/>
              <w:rPr>
                <w:rFonts w:hint="eastAsia" w:ascii="宋体" w:hAnsi="宋体" w:cs="宋体"/>
                <w:color w:val="auto"/>
                <w:szCs w:val="21"/>
                <w:highlight w:val="none"/>
              </w:rPr>
            </w:pPr>
            <w:r>
              <w:rPr>
                <w:rFonts w:hint="eastAsia" w:ascii="宋体" w:hAnsi="宋体" w:cs="宋体"/>
                <w:b/>
                <w:color w:val="auto"/>
                <w:kern w:val="0"/>
                <w:szCs w:val="21"/>
                <w:highlight w:val="none"/>
              </w:rPr>
              <w:t>注：</w:t>
            </w:r>
            <w:r>
              <w:rPr>
                <w:rFonts w:hint="eastAsia" w:ascii="宋体" w:hAnsi="宋体" w:cs="宋体"/>
                <w:b/>
                <w:bCs/>
                <w:color w:val="auto"/>
                <w:szCs w:val="21"/>
                <w:highlight w:val="none"/>
              </w:rPr>
              <w:t>投标人</w:t>
            </w:r>
            <w:r>
              <w:rPr>
                <w:rFonts w:hint="eastAsia" w:ascii="宋体" w:hAnsi="宋体" w:cs="宋体"/>
                <w:b/>
                <w:bCs/>
                <w:color w:val="auto"/>
                <w:szCs w:val="21"/>
                <w:highlight w:val="none"/>
                <w:lang w:val="en-US" w:eastAsia="zh-CN"/>
              </w:rPr>
              <w:t>承诺</w:t>
            </w:r>
            <w:r>
              <w:rPr>
                <w:rFonts w:hint="eastAsia" w:ascii="宋体" w:hAnsi="宋体" w:cs="宋体"/>
                <w:b/>
                <w:bCs/>
                <w:color w:val="auto"/>
                <w:szCs w:val="21"/>
                <w:highlight w:val="none"/>
              </w:rPr>
              <w:t>拟投入本项目的配送车辆符合以下任一种情形的，按规定提供相关证明材料复印件并加盖投标人电子签章，否则不予计分：①拟投入的配送车辆属投标人自身所有的（车辆为投标人或其法定代表人名下登记的自有车辆），</w:t>
            </w:r>
            <w:r>
              <w:rPr>
                <w:rFonts w:hint="eastAsia" w:ascii="宋体" w:hAnsi="宋体" w:cs="宋体"/>
                <w:b/>
                <w:bCs/>
                <w:color w:val="auto"/>
                <w:szCs w:val="21"/>
                <w:highlight w:val="none"/>
                <w:lang w:val="en-US" w:eastAsia="zh-CN"/>
              </w:rPr>
              <w:t>须在</w:t>
            </w:r>
            <w:r>
              <w:rPr>
                <w:rFonts w:hint="eastAsia" w:ascii="宋体" w:hAnsi="宋体" w:cs="宋体"/>
                <w:b/>
                <w:bCs/>
                <w:color w:val="auto"/>
                <w:szCs w:val="21"/>
                <w:highlight w:val="none"/>
              </w:rPr>
              <w:t>投标文件中提供有效年检期内的机动车行驶证复印件或机动车登记证书复印件；②拟投入的配送车辆为投标人租赁的，</w:t>
            </w:r>
            <w:r>
              <w:rPr>
                <w:rFonts w:hint="eastAsia" w:ascii="宋体" w:hAnsi="宋体" w:cs="宋体"/>
                <w:b/>
                <w:bCs/>
                <w:color w:val="auto"/>
                <w:szCs w:val="21"/>
                <w:highlight w:val="none"/>
                <w:lang w:val="en-US" w:eastAsia="zh-CN"/>
              </w:rPr>
              <w:t>须在</w:t>
            </w:r>
            <w:r>
              <w:rPr>
                <w:rFonts w:hint="eastAsia" w:ascii="宋体" w:hAnsi="宋体" w:cs="宋体"/>
                <w:b/>
                <w:bCs/>
                <w:color w:val="auto"/>
                <w:szCs w:val="21"/>
                <w:highlight w:val="none"/>
              </w:rPr>
              <w:t>投标文件中提供有效年检期内的车辆租赁协议复印件、机动车行驶证复印件【如车辆租赁期不能覆盖本项目履约期限的，投标人还应提交相应承诺函（格式自拟），承诺函中应承诺租赁到期后将继续租赁（或购买）满足本项目需求的运输车辆，确保履约期限提供及时、稳定的物资配送服务】。</w:t>
            </w:r>
          </w:p>
        </w:tc>
      </w:tr>
      <w:tr w14:paraId="6AF82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 w:type="pct"/>
            <w:vMerge w:val="continue"/>
            <w:vAlign w:val="center"/>
          </w:tcPr>
          <w:p w14:paraId="54001393">
            <w:pPr>
              <w:spacing w:line="360" w:lineRule="auto"/>
              <w:jc w:val="center"/>
              <w:rPr>
                <w:rFonts w:hint="eastAsia" w:ascii="宋体" w:hAnsi="宋体" w:cs="宋体"/>
                <w:b/>
                <w:bCs/>
                <w:color w:val="auto"/>
                <w:szCs w:val="21"/>
                <w:highlight w:val="none"/>
              </w:rPr>
            </w:pPr>
          </w:p>
        </w:tc>
        <w:tc>
          <w:tcPr>
            <w:tcW w:w="484" w:type="pct"/>
            <w:vMerge w:val="continue"/>
            <w:vAlign w:val="center"/>
          </w:tcPr>
          <w:p w14:paraId="0EFC14C4">
            <w:pPr>
              <w:spacing w:line="360" w:lineRule="auto"/>
              <w:jc w:val="center"/>
              <w:rPr>
                <w:rFonts w:hint="eastAsia" w:ascii="宋体" w:hAnsi="宋体" w:cs="宋体"/>
                <w:b/>
                <w:bCs/>
                <w:color w:val="auto"/>
                <w:szCs w:val="21"/>
                <w:highlight w:val="none"/>
              </w:rPr>
            </w:pPr>
          </w:p>
        </w:tc>
        <w:tc>
          <w:tcPr>
            <w:tcW w:w="555" w:type="pct"/>
            <w:vAlign w:val="center"/>
          </w:tcPr>
          <w:p w14:paraId="7D524520">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（3）信誉分（满分4分）</w:t>
            </w:r>
          </w:p>
        </w:tc>
        <w:tc>
          <w:tcPr>
            <w:tcW w:w="3651" w:type="pct"/>
            <w:vAlign w:val="center"/>
          </w:tcPr>
          <w:p w14:paraId="5FDE608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具有有效期内的ISO22000食品安全管理体系、ISO9001质量管理体系、ISO14001环境管理体系、ISO45001职业健康安全管理体系认证证书的，每项得1分，满分4分（须在投标文件提供证书扫描件，同时加盖投标人公章，否则不予计分）。</w:t>
            </w:r>
          </w:p>
        </w:tc>
      </w:tr>
      <w:tr w14:paraId="3919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8" w:type="pct"/>
            <w:vMerge w:val="continue"/>
            <w:vAlign w:val="center"/>
          </w:tcPr>
          <w:p w14:paraId="3120603A">
            <w:pPr>
              <w:spacing w:line="360" w:lineRule="auto"/>
              <w:jc w:val="center"/>
              <w:rPr>
                <w:rFonts w:hint="eastAsia" w:ascii="宋体" w:hAnsi="宋体" w:cs="宋体"/>
                <w:b/>
                <w:bCs/>
                <w:color w:val="auto"/>
                <w:szCs w:val="21"/>
                <w:highlight w:val="none"/>
              </w:rPr>
            </w:pPr>
          </w:p>
        </w:tc>
        <w:tc>
          <w:tcPr>
            <w:tcW w:w="484" w:type="pct"/>
            <w:vMerge w:val="continue"/>
            <w:vAlign w:val="center"/>
          </w:tcPr>
          <w:p w14:paraId="11345711">
            <w:pPr>
              <w:spacing w:line="360" w:lineRule="auto"/>
              <w:jc w:val="center"/>
              <w:rPr>
                <w:rFonts w:hint="eastAsia" w:ascii="宋体" w:hAnsi="宋体" w:cs="宋体"/>
                <w:b/>
                <w:bCs/>
                <w:color w:val="auto"/>
                <w:szCs w:val="21"/>
                <w:highlight w:val="none"/>
              </w:rPr>
            </w:pPr>
          </w:p>
        </w:tc>
        <w:tc>
          <w:tcPr>
            <w:tcW w:w="555" w:type="pct"/>
            <w:vAlign w:val="center"/>
          </w:tcPr>
          <w:p w14:paraId="4894AAD4">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（4）食品安全责任类保险（满分5分）</w:t>
            </w:r>
          </w:p>
        </w:tc>
        <w:tc>
          <w:tcPr>
            <w:tcW w:w="3651" w:type="pct"/>
            <w:vAlign w:val="center"/>
          </w:tcPr>
          <w:p w14:paraId="49D858D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购买食品安全责任类保险（有效期内），保额300万元以下的得1分，保额300万元（含）至500万元（不含）的得2分，保额500万元（含）至800万元（不含）的得3分，保额800万元（含）至1000万元（不含）的得4分，1000万元（含）及以上的得5分，满分5分。</w:t>
            </w:r>
          </w:p>
          <w:p w14:paraId="5F17E813">
            <w:pPr>
              <w:spacing w:line="360" w:lineRule="auto"/>
              <w:ind w:firstLine="422" w:firstLineChars="200"/>
              <w:rPr>
                <w:rFonts w:hint="eastAsia" w:ascii="宋体" w:hAnsi="宋体" w:cs="宋体"/>
                <w:color w:val="auto"/>
                <w:szCs w:val="21"/>
                <w:highlight w:val="none"/>
              </w:rPr>
            </w:pPr>
            <w:r>
              <w:rPr>
                <w:rFonts w:hint="eastAsia" w:ascii="宋体" w:hAnsi="宋体" w:cs="宋体"/>
                <w:b/>
                <w:color w:val="auto"/>
                <w:kern w:val="0"/>
                <w:szCs w:val="21"/>
                <w:highlight w:val="none"/>
              </w:rPr>
              <w:t>注：</w:t>
            </w:r>
            <w:r>
              <w:rPr>
                <w:rFonts w:hint="eastAsia" w:ascii="宋体" w:hAnsi="宋体" w:cs="宋体"/>
                <w:b/>
                <w:bCs/>
                <w:color w:val="auto"/>
                <w:szCs w:val="21"/>
                <w:highlight w:val="none"/>
              </w:rPr>
              <w:t>须在投标文件提供相关保单、发票证明复印件</w:t>
            </w:r>
            <w:r>
              <w:rPr>
                <w:rFonts w:hint="eastAsia" w:ascii="宋体" w:hAnsi="宋体" w:cs="宋体"/>
                <w:b/>
                <w:color w:val="auto"/>
                <w:kern w:val="0"/>
                <w:szCs w:val="21"/>
                <w:highlight w:val="none"/>
              </w:rPr>
              <w:t>，</w:t>
            </w:r>
            <w:r>
              <w:rPr>
                <w:rFonts w:hint="eastAsia" w:hAnsi="宋体" w:cs="宋体"/>
                <w:b/>
                <w:color w:val="auto"/>
                <w:kern w:val="0"/>
                <w:szCs w:val="21"/>
                <w:highlight w:val="none"/>
              </w:rPr>
              <w:t>否则</w:t>
            </w:r>
            <w:r>
              <w:rPr>
                <w:rFonts w:hint="eastAsia" w:ascii="宋体" w:hAnsi="宋体" w:cs="宋体"/>
                <w:b/>
                <w:color w:val="auto"/>
                <w:kern w:val="0"/>
                <w:szCs w:val="21"/>
                <w:highlight w:val="none"/>
              </w:rPr>
              <w:t>不得分</w:t>
            </w:r>
            <w:r>
              <w:rPr>
                <w:rFonts w:hint="eastAsia" w:ascii="宋体" w:hAnsi="宋体" w:cs="宋体"/>
                <w:b/>
                <w:bCs/>
                <w:color w:val="auto"/>
                <w:szCs w:val="21"/>
                <w:highlight w:val="none"/>
              </w:rPr>
              <w:t>。</w:t>
            </w:r>
          </w:p>
        </w:tc>
      </w:tr>
      <w:tr w14:paraId="7B037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4"/>
            <w:vAlign w:val="center"/>
          </w:tcPr>
          <w:p w14:paraId="4FC60454">
            <w:pPr>
              <w:spacing w:line="360" w:lineRule="auto"/>
              <w:rPr>
                <w:rFonts w:hint="eastAsia" w:ascii="宋体" w:hAnsi="宋体" w:cs="宋体"/>
                <w:bCs/>
                <w:color w:val="auto"/>
                <w:szCs w:val="21"/>
                <w:highlight w:val="none"/>
              </w:rPr>
            </w:pPr>
            <w:r>
              <w:rPr>
                <w:rFonts w:hint="eastAsia" w:ascii="宋体" w:hAnsi="宋体" w:cs="宋体"/>
                <w:color w:val="auto"/>
                <w:szCs w:val="21"/>
                <w:highlight w:val="none"/>
              </w:rPr>
              <w:t>总得分：1+2+3。</w:t>
            </w:r>
          </w:p>
        </w:tc>
      </w:tr>
    </w:tbl>
    <w:p w14:paraId="5BBEB949">
      <w:pPr>
        <w:pStyle w:val="25"/>
        <w:spacing w:line="420" w:lineRule="exact"/>
        <w:ind w:firstLine="420"/>
        <w:rPr>
          <w:rFonts w:hint="eastAsia" w:hAnsi="宋体" w:cs="宋体"/>
          <w:bCs/>
          <w:color w:val="auto"/>
          <w:sz w:val="21"/>
          <w:highlight w:val="none"/>
        </w:rPr>
      </w:pPr>
      <w:r>
        <w:rPr>
          <w:rFonts w:hint="eastAsia" w:hAnsi="宋体" w:cs="宋体"/>
          <w:bCs/>
          <w:color w:val="auto"/>
          <w:sz w:val="21"/>
          <w:highlight w:val="none"/>
        </w:rPr>
        <w:t>注：1.计分方法按四舍五入取至百分位；</w:t>
      </w:r>
    </w:p>
    <w:p w14:paraId="289D7002">
      <w:pPr>
        <w:pStyle w:val="6"/>
        <w:keepNext w:val="0"/>
        <w:keepLines w:val="0"/>
        <w:spacing w:before="0" w:after="0" w:line="420" w:lineRule="exact"/>
        <w:ind w:firstLine="840" w:firstLineChars="4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2.因落实政府采购政策进行价格调整的，以调整后的价格计算报价分。</w:t>
      </w:r>
    </w:p>
    <w:p w14:paraId="35F05273">
      <w:pPr>
        <w:rPr>
          <w:rFonts w:hint="eastAsia" w:ascii="宋体" w:hAnsi="宋体" w:cs="宋体"/>
          <w:bCs/>
          <w:color w:val="auto"/>
          <w:kern w:val="0"/>
          <w:szCs w:val="21"/>
          <w:highlight w:val="none"/>
        </w:rPr>
      </w:pPr>
    </w:p>
    <w:p w14:paraId="62C5FB83">
      <w:pPr>
        <w:rPr>
          <w:rFonts w:hint="eastAsia" w:ascii="宋体" w:hAnsi="宋体" w:cs="宋体"/>
          <w:bCs/>
          <w:color w:val="auto"/>
          <w:kern w:val="0"/>
          <w:szCs w:val="21"/>
          <w:highlight w:val="none"/>
        </w:rPr>
      </w:pPr>
    </w:p>
    <w:p w14:paraId="56E067D8">
      <w:pPr>
        <w:rPr>
          <w:rFonts w:hint="eastAsia" w:ascii="宋体" w:hAnsi="宋体" w:cs="宋体"/>
          <w:bCs/>
          <w:color w:val="auto"/>
          <w:kern w:val="0"/>
          <w:szCs w:val="21"/>
          <w:highlight w:val="none"/>
        </w:rPr>
      </w:pPr>
    </w:p>
    <w:p w14:paraId="24202070">
      <w:pPr>
        <w:rPr>
          <w:rFonts w:hint="eastAsia" w:ascii="宋体" w:hAnsi="宋体" w:cs="宋体"/>
          <w:color w:val="auto"/>
          <w:highlight w:val="none"/>
        </w:rPr>
      </w:pPr>
    </w:p>
    <w:p w14:paraId="3037C019">
      <w:pPr>
        <w:rPr>
          <w:rFonts w:hint="eastAsia" w:ascii="宋体" w:hAnsi="宋体" w:cs="宋体"/>
          <w:color w:val="auto"/>
          <w:highlight w:val="none"/>
        </w:rPr>
      </w:pPr>
    </w:p>
    <w:p w14:paraId="048FD8EC">
      <w:pPr>
        <w:spacing w:line="360" w:lineRule="auto"/>
        <w:ind w:firstLine="420" w:firstLineChars="200"/>
        <w:jc w:val="center"/>
        <w:rPr>
          <w:rFonts w:hint="eastAsia" w:ascii="宋体" w:hAnsi="宋体" w:cs="宋体"/>
          <w:color w:val="auto"/>
          <w:szCs w:val="21"/>
          <w:highlight w:val="none"/>
        </w:rPr>
      </w:pPr>
    </w:p>
    <w:p w14:paraId="191642D8">
      <w:pPr>
        <w:pStyle w:val="6"/>
        <w:keepNext w:val="0"/>
        <w:keepLines w:val="0"/>
        <w:jc w:val="center"/>
        <w:rPr>
          <w:rFonts w:hint="eastAsia" w:ascii="宋体" w:hAnsi="宋体" w:cs="宋体"/>
          <w:color w:val="auto"/>
          <w:sz w:val="30"/>
          <w:szCs w:val="30"/>
          <w:highlight w:val="none"/>
        </w:rPr>
      </w:pPr>
      <w:r>
        <w:rPr>
          <w:rFonts w:hint="eastAsia" w:ascii="宋体" w:hAnsi="宋体" w:cs="宋体"/>
          <w:color w:val="auto"/>
          <w:sz w:val="30"/>
          <w:szCs w:val="30"/>
          <w:highlight w:val="none"/>
        </w:rPr>
        <w:t>四、中标候选人推荐原则</w:t>
      </w:r>
    </w:p>
    <w:p w14:paraId="7EBBDA3A">
      <w:pPr>
        <w:pStyle w:val="25"/>
        <w:spacing w:line="360" w:lineRule="auto"/>
        <w:contextualSpacing/>
        <w:rPr>
          <w:rFonts w:hint="eastAsia" w:hAnsi="宋体" w:cs="宋体"/>
          <w:b/>
          <w:bCs/>
          <w:color w:val="auto"/>
          <w:sz w:val="24"/>
          <w:szCs w:val="24"/>
          <w:highlight w:val="none"/>
        </w:rPr>
      </w:pPr>
      <w:r>
        <w:rPr>
          <w:rFonts w:hint="eastAsia" w:hAnsi="宋体" w:cs="宋体"/>
          <w:b/>
          <w:bCs/>
          <w:color w:val="auto"/>
          <w:sz w:val="24"/>
          <w:szCs w:val="24"/>
          <w:highlight w:val="none"/>
        </w:rPr>
        <w:t>（一）综合评分法</w:t>
      </w:r>
    </w:p>
    <w:p w14:paraId="1685428C">
      <w:pPr>
        <w:pStyle w:val="25"/>
        <w:spacing w:line="360" w:lineRule="auto"/>
        <w:ind w:firstLine="420" w:firstLineChars="200"/>
        <w:outlineLvl w:val="0"/>
        <w:rPr>
          <w:rFonts w:hint="eastAsia" w:hAnsi="宋体" w:cs="宋体"/>
          <w:color w:val="auto"/>
          <w:kern w:val="2"/>
          <w:sz w:val="21"/>
          <w:szCs w:val="24"/>
          <w:highlight w:val="none"/>
        </w:rPr>
      </w:pPr>
      <w:bookmarkStart w:id="139" w:name="_Toc3237"/>
      <w:r>
        <w:rPr>
          <w:rFonts w:hint="eastAsia" w:hAnsi="宋体" w:cs="宋体"/>
          <w:color w:val="auto"/>
          <w:kern w:val="2"/>
          <w:sz w:val="21"/>
          <w:szCs w:val="24"/>
          <w:highlight w:val="none"/>
        </w:rPr>
        <w:t>1、评标委员会将根据得分由高到低排列次序（得分相同时，以投标报价由低到高顺序排列；得分相同且投标报价相同的，按技术分的优劣顺序排列）并推荐中标候选供应商。采购人应当确定评审委员会推荐排名第一的中标候选人为中标人。</w:t>
      </w:r>
      <w:bookmarkEnd w:id="139"/>
    </w:p>
    <w:p w14:paraId="4702C730">
      <w:pPr>
        <w:pStyle w:val="25"/>
        <w:spacing w:line="360" w:lineRule="auto"/>
        <w:ind w:firstLine="420" w:firstLineChars="200"/>
        <w:outlineLvl w:val="0"/>
        <w:rPr>
          <w:rFonts w:hint="eastAsia" w:hAnsi="宋体" w:cs="宋体"/>
          <w:color w:val="auto"/>
          <w:kern w:val="2"/>
          <w:sz w:val="21"/>
          <w:szCs w:val="24"/>
          <w:highlight w:val="none"/>
        </w:rPr>
      </w:pPr>
      <w:bookmarkStart w:id="140" w:name="_Toc4701"/>
      <w:r>
        <w:rPr>
          <w:rFonts w:hint="eastAsia" w:hAnsi="宋体" w:cs="宋体"/>
          <w:color w:val="auto"/>
          <w:kern w:val="2"/>
          <w:sz w:val="21"/>
          <w:szCs w:val="24"/>
          <w:highlight w:val="none"/>
        </w:rPr>
        <w:t>2、本项目接受投标人对多个或全部分标进行投标，但每个投标人最多只允许中其中两个分标，推荐各分标的第一中标候选人顺序为：分标1→分标2→分标3→分标4→分标5，如某投标人已经在两个分标被推荐为第一中标候选人，则不可再作为后续分标的排名中标候选人，以此类推。</w:t>
      </w:r>
      <w:bookmarkEnd w:id="140"/>
    </w:p>
    <w:p w14:paraId="742E709D">
      <w:pPr>
        <w:pStyle w:val="25"/>
        <w:spacing w:line="360" w:lineRule="auto"/>
        <w:ind w:firstLine="420" w:firstLineChars="200"/>
        <w:outlineLvl w:val="0"/>
        <w:rPr>
          <w:rFonts w:hint="eastAsia" w:hAnsi="宋体" w:cs="宋体"/>
          <w:color w:val="auto"/>
          <w:sz w:val="21"/>
          <w:highlight w:val="none"/>
        </w:rPr>
      </w:pPr>
      <w:bookmarkStart w:id="141" w:name="_Toc22316"/>
      <w:r>
        <w:rPr>
          <w:rFonts w:hint="eastAsia" w:hAnsi="宋体" w:cs="宋体"/>
          <w:color w:val="auto"/>
          <w:kern w:val="2"/>
          <w:sz w:val="21"/>
          <w:szCs w:val="24"/>
          <w:highlight w:val="none"/>
        </w:rPr>
        <w:t>3、排名第一的中标候选人放弃中标、因不可抗力提出不能履行合同，或者招标文件规定应当提交履约保证金而在规定的期限内未能提交的，采购人可以确定排名第二的中标候选人为中标人。排名第二的中标候选人因前款规定的同样原因不能签订合同的，采购人可以确定排名第三的中标候选人为中标人，其余以此类推。</w:t>
      </w:r>
      <w:bookmarkEnd w:id="141"/>
    </w:p>
    <w:p w14:paraId="25F413BE">
      <w:pPr>
        <w:pStyle w:val="25"/>
        <w:spacing w:line="360" w:lineRule="auto"/>
        <w:contextualSpacing/>
        <w:rPr>
          <w:rFonts w:hint="eastAsia" w:hAnsi="宋体" w:cs="宋体"/>
          <w:b/>
          <w:bCs/>
          <w:color w:val="auto"/>
          <w:sz w:val="24"/>
          <w:szCs w:val="24"/>
          <w:highlight w:val="none"/>
        </w:rPr>
      </w:pPr>
      <w:r>
        <w:rPr>
          <w:rFonts w:hint="eastAsia" w:hAnsi="宋体" w:cs="宋体"/>
          <w:b/>
          <w:bCs/>
          <w:color w:val="auto"/>
          <w:sz w:val="24"/>
          <w:szCs w:val="24"/>
          <w:highlight w:val="none"/>
        </w:rPr>
        <w:t>（二）最低评标价法（本项目不采用）</w:t>
      </w:r>
    </w:p>
    <w:p w14:paraId="3824AEAF">
      <w:pPr>
        <w:spacing w:line="360" w:lineRule="auto"/>
        <w:ind w:firstLine="420" w:firstLineChars="200"/>
        <w:contextualSpacing/>
        <w:rPr>
          <w:rFonts w:hint="eastAsia" w:ascii="宋体" w:hAnsi="宋体" w:cs="宋体"/>
          <w:b/>
          <w:color w:val="auto"/>
          <w:sz w:val="24"/>
          <w:highlight w:val="none"/>
        </w:rPr>
      </w:pPr>
      <w:r>
        <w:rPr>
          <w:rFonts w:hint="eastAsia" w:ascii="宋体" w:hAnsi="宋体" w:cs="宋体"/>
          <w:color w:val="auto"/>
          <w:highlight w:val="none"/>
        </w:rPr>
        <w:t>评标委员会按照评标价从低到高排序并推荐中标候选人，评标价相同的并列。投标文件满足招标文件全部实质性要求且评标价最低的投标人为排名第一的中标候选人。</w:t>
      </w:r>
    </w:p>
    <w:p w14:paraId="5D7EF900">
      <w:pPr>
        <w:pStyle w:val="25"/>
        <w:spacing w:line="360" w:lineRule="auto"/>
        <w:ind w:firstLine="420" w:firstLineChars="200"/>
        <w:contextualSpacing/>
        <w:rPr>
          <w:rFonts w:hint="eastAsia" w:hAnsi="宋体" w:cs="宋体"/>
          <w:color w:val="auto"/>
          <w:sz w:val="21"/>
          <w:highlight w:val="none"/>
        </w:rPr>
      </w:pPr>
    </w:p>
    <w:p w14:paraId="1F4D6ACD">
      <w:pPr>
        <w:spacing w:before="120" w:beforeLines="50" w:after="120" w:afterLines="50" w:line="400" w:lineRule="exact"/>
        <w:rPr>
          <w:rFonts w:hint="eastAsia" w:ascii="宋体" w:hAnsi="宋体" w:cs="宋体"/>
          <w:b/>
          <w:color w:val="auto"/>
          <w:sz w:val="24"/>
          <w:highlight w:val="none"/>
        </w:rPr>
      </w:pPr>
    </w:p>
    <w:p w14:paraId="5E05C501">
      <w:pPr>
        <w:spacing w:before="120" w:beforeLines="50" w:after="120" w:afterLines="50" w:line="400" w:lineRule="exact"/>
        <w:rPr>
          <w:rFonts w:hint="eastAsia" w:ascii="宋体" w:hAnsi="宋体" w:cs="宋体"/>
          <w:b/>
          <w:color w:val="auto"/>
          <w:sz w:val="24"/>
          <w:highlight w:val="none"/>
        </w:rPr>
      </w:pPr>
    </w:p>
    <w:p w14:paraId="7055F104">
      <w:pPr>
        <w:spacing w:before="120" w:beforeLines="50" w:after="120" w:afterLines="50" w:line="400" w:lineRule="exact"/>
        <w:rPr>
          <w:rFonts w:hint="eastAsia" w:ascii="宋体" w:hAnsi="宋体" w:cs="宋体"/>
          <w:b/>
          <w:color w:val="auto"/>
          <w:sz w:val="24"/>
          <w:highlight w:val="none"/>
        </w:rPr>
      </w:pPr>
    </w:p>
    <w:p w14:paraId="62B74D42">
      <w:pPr>
        <w:spacing w:before="120" w:beforeLines="50" w:after="120" w:afterLines="50" w:line="400" w:lineRule="exact"/>
        <w:rPr>
          <w:rFonts w:hint="eastAsia" w:ascii="宋体" w:hAnsi="宋体" w:cs="宋体"/>
          <w:b/>
          <w:color w:val="auto"/>
          <w:sz w:val="24"/>
          <w:highlight w:val="none"/>
        </w:rPr>
      </w:pPr>
    </w:p>
    <w:p w14:paraId="6C064E79">
      <w:pPr>
        <w:spacing w:before="120" w:beforeLines="50" w:after="120" w:afterLines="50" w:line="400" w:lineRule="exact"/>
        <w:rPr>
          <w:rFonts w:hint="eastAsia" w:ascii="宋体" w:hAnsi="宋体" w:cs="宋体"/>
          <w:b/>
          <w:color w:val="auto"/>
          <w:sz w:val="24"/>
          <w:highlight w:val="none"/>
        </w:rPr>
      </w:pPr>
    </w:p>
    <w:p w14:paraId="254D8DDF">
      <w:pPr>
        <w:spacing w:before="120" w:beforeLines="50" w:after="120" w:afterLines="50" w:line="400" w:lineRule="exact"/>
        <w:rPr>
          <w:rFonts w:hint="eastAsia" w:ascii="宋体" w:hAnsi="宋体" w:cs="宋体"/>
          <w:b/>
          <w:color w:val="auto"/>
          <w:sz w:val="24"/>
          <w:highlight w:val="none"/>
        </w:rPr>
      </w:pPr>
    </w:p>
    <w:p w14:paraId="4EE779B5">
      <w:pPr>
        <w:pStyle w:val="5"/>
        <w:keepNext w:val="0"/>
        <w:keepLines w:val="0"/>
        <w:jc w:val="cente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0B04BF95">
      <w:pPr>
        <w:pStyle w:val="5"/>
        <w:keepNext w:val="0"/>
        <w:keepLines w:val="0"/>
        <w:jc w:val="center"/>
        <w:rPr>
          <w:rFonts w:hint="eastAsia" w:ascii="宋体" w:hAnsi="宋体" w:eastAsia="宋体" w:cs="宋体"/>
          <w:color w:val="auto"/>
          <w:highlight w:val="none"/>
        </w:rPr>
      </w:pPr>
    </w:p>
    <w:p w14:paraId="0EF808EB">
      <w:pPr>
        <w:pStyle w:val="5"/>
        <w:keepNext w:val="0"/>
        <w:keepLines w:val="0"/>
        <w:jc w:val="center"/>
        <w:rPr>
          <w:rFonts w:hint="eastAsia" w:ascii="宋体" w:hAnsi="宋体" w:eastAsia="宋体" w:cs="宋体"/>
          <w:color w:val="auto"/>
          <w:highlight w:val="none"/>
        </w:rPr>
      </w:pPr>
    </w:p>
    <w:p w14:paraId="1AA7653B">
      <w:pPr>
        <w:pStyle w:val="5"/>
        <w:keepNext w:val="0"/>
        <w:keepLines w:val="0"/>
        <w:jc w:val="center"/>
        <w:rPr>
          <w:rFonts w:hint="eastAsia" w:ascii="宋体" w:hAnsi="宋体" w:eastAsia="宋体" w:cs="宋体"/>
          <w:color w:val="auto"/>
          <w:highlight w:val="none"/>
        </w:rPr>
      </w:pPr>
    </w:p>
    <w:p w14:paraId="63848350">
      <w:pPr>
        <w:pStyle w:val="5"/>
        <w:keepNext w:val="0"/>
        <w:keepLines w:val="0"/>
        <w:jc w:val="center"/>
        <w:rPr>
          <w:rFonts w:hint="eastAsia" w:ascii="宋体" w:hAnsi="宋体" w:eastAsia="宋体" w:cs="宋体"/>
          <w:color w:val="auto"/>
          <w:highlight w:val="none"/>
        </w:rPr>
      </w:pPr>
    </w:p>
    <w:p w14:paraId="30AB3ACA">
      <w:pPr>
        <w:pStyle w:val="4"/>
        <w:jc w:val="center"/>
        <w:rPr>
          <w:rFonts w:hint="eastAsia" w:ascii="宋体" w:hAnsi="宋体" w:cs="宋体"/>
          <w:color w:val="auto"/>
          <w:highlight w:val="none"/>
        </w:rPr>
      </w:pPr>
      <w:bookmarkStart w:id="142" w:name="_Toc4235"/>
      <w:r>
        <w:rPr>
          <w:rFonts w:hint="eastAsia" w:ascii="宋体" w:hAnsi="宋体" w:cs="宋体"/>
          <w:color w:val="auto"/>
          <w:highlight w:val="none"/>
        </w:rPr>
        <w:t>第五章  拟签订的合同文本</w:t>
      </w:r>
      <w:bookmarkEnd w:id="142"/>
    </w:p>
    <w:p w14:paraId="5F3BC09F">
      <w:pPr>
        <w:snapToGrid w:val="0"/>
        <w:jc w:val="center"/>
        <w:rPr>
          <w:rFonts w:hint="eastAsia" w:ascii="宋体" w:hAnsi="宋体" w:cs="宋体"/>
          <w:bCs/>
          <w:color w:val="auto"/>
          <w:sz w:val="32"/>
          <w:szCs w:val="32"/>
          <w:highlight w:val="none"/>
        </w:rPr>
      </w:pPr>
    </w:p>
    <w:p w14:paraId="2B68EB20">
      <w:pPr>
        <w:snapToGrid w:val="0"/>
        <w:jc w:val="center"/>
        <w:rPr>
          <w:rFonts w:hint="eastAsia" w:ascii="宋体" w:hAnsi="宋体" w:cs="宋体"/>
          <w:bCs/>
          <w:color w:val="auto"/>
          <w:sz w:val="32"/>
          <w:szCs w:val="32"/>
          <w:highlight w:val="none"/>
        </w:rPr>
      </w:pPr>
    </w:p>
    <w:p w14:paraId="5CEB5501">
      <w:pPr>
        <w:snapToGrid w:val="0"/>
        <w:jc w:val="center"/>
        <w:rPr>
          <w:rFonts w:hint="eastAsia" w:ascii="宋体" w:hAnsi="宋体" w:cs="宋体"/>
          <w:bCs/>
          <w:color w:val="auto"/>
          <w:sz w:val="32"/>
          <w:szCs w:val="32"/>
          <w:highlight w:val="none"/>
        </w:rPr>
      </w:pPr>
    </w:p>
    <w:p w14:paraId="138B0977">
      <w:pPr>
        <w:snapToGrid w:val="0"/>
        <w:jc w:val="center"/>
        <w:rPr>
          <w:rFonts w:hint="eastAsia" w:ascii="宋体" w:hAnsi="宋体" w:cs="宋体"/>
          <w:bCs/>
          <w:color w:val="auto"/>
          <w:sz w:val="32"/>
          <w:szCs w:val="32"/>
          <w:highlight w:val="none"/>
        </w:rPr>
      </w:pPr>
    </w:p>
    <w:p w14:paraId="733E5F87">
      <w:pPr>
        <w:snapToGrid w:val="0"/>
        <w:jc w:val="center"/>
        <w:rPr>
          <w:rFonts w:hint="eastAsia" w:ascii="宋体" w:hAnsi="宋体" w:cs="宋体"/>
          <w:bCs/>
          <w:color w:val="auto"/>
          <w:sz w:val="32"/>
          <w:szCs w:val="32"/>
          <w:highlight w:val="none"/>
        </w:rPr>
      </w:pPr>
    </w:p>
    <w:p w14:paraId="37B5424A">
      <w:pPr>
        <w:snapToGrid w:val="0"/>
        <w:jc w:val="center"/>
        <w:rPr>
          <w:rFonts w:hint="eastAsia" w:ascii="宋体" w:hAnsi="宋体" w:cs="宋体"/>
          <w:bCs/>
          <w:color w:val="auto"/>
          <w:sz w:val="32"/>
          <w:szCs w:val="32"/>
          <w:highlight w:val="none"/>
        </w:rPr>
      </w:pPr>
    </w:p>
    <w:p w14:paraId="5E13630C">
      <w:pPr>
        <w:snapToGrid w:val="0"/>
        <w:jc w:val="center"/>
        <w:rPr>
          <w:rFonts w:hint="eastAsia" w:ascii="宋体" w:hAnsi="宋体" w:cs="宋体"/>
          <w:bCs/>
          <w:color w:val="auto"/>
          <w:sz w:val="32"/>
          <w:szCs w:val="32"/>
          <w:highlight w:val="none"/>
        </w:rPr>
      </w:pPr>
    </w:p>
    <w:p w14:paraId="261F0512">
      <w:pPr>
        <w:snapToGrid w:val="0"/>
        <w:jc w:val="center"/>
        <w:rPr>
          <w:rFonts w:hint="eastAsia" w:ascii="宋体" w:hAnsi="宋体" w:cs="宋体"/>
          <w:bCs/>
          <w:color w:val="auto"/>
          <w:sz w:val="32"/>
          <w:szCs w:val="32"/>
          <w:highlight w:val="none"/>
        </w:rPr>
      </w:pPr>
    </w:p>
    <w:p w14:paraId="5FAA9D27">
      <w:pPr>
        <w:snapToGrid w:val="0"/>
        <w:jc w:val="center"/>
        <w:rPr>
          <w:rFonts w:hint="eastAsia" w:ascii="宋体" w:hAnsi="宋体" w:cs="宋体"/>
          <w:bCs/>
          <w:color w:val="auto"/>
          <w:sz w:val="32"/>
          <w:szCs w:val="32"/>
          <w:highlight w:val="none"/>
        </w:rPr>
      </w:pPr>
    </w:p>
    <w:p w14:paraId="4B7F989D">
      <w:pPr>
        <w:snapToGrid w:val="0"/>
        <w:jc w:val="center"/>
        <w:rPr>
          <w:rFonts w:hint="eastAsia" w:ascii="宋体" w:hAnsi="宋体" w:cs="宋体"/>
          <w:bCs/>
          <w:color w:val="auto"/>
          <w:sz w:val="32"/>
          <w:szCs w:val="32"/>
          <w:highlight w:val="none"/>
        </w:rPr>
      </w:pPr>
    </w:p>
    <w:p w14:paraId="183DE716">
      <w:pPr>
        <w:snapToGrid w:val="0"/>
        <w:jc w:val="center"/>
        <w:rPr>
          <w:rFonts w:hint="eastAsia" w:ascii="宋体" w:hAnsi="宋体" w:cs="宋体"/>
          <w:bCs/>
          <w:color w:val="auto"/>
          <w:sz w:val="32"/>
          <w:szCs w:val="32"/>
          <w:highlight w:val="none"/>
        </w:rPr>
      </w:pPr>
    </w:p>
    <w:p w14:paraId="67616040">
      <w:pPr>
        <w:snapToGrid w:val="0"/>
        <w:jc w:val="center"/>
        <w:rPr>
          <w:rFonts w:hint="eastAsia" w:ascii="宋体" w:hAnsi="宋体" w:cs="宋体"/>
          <w:bCs/>
          <w:color w:val="auto"/>
          <w:sz w:val="32"/>
          <w:szCs w:val="32"/>
          <w:highlight w:val="none"/>
        </w:rPr>
      </w:pPr>
    </w:p>
    <w:p w14:paraId="04859E78">
      <w:pPr>
        <w:snapToGrid w:val="0"/>
        <w:jc w:val="center"/>
        <w:rPr>
          <w:rFonts w:hint="eastAsia" w:ascii="宋体" w:hAnsi="宋体" w:cs="宋体"/>
          <w:bCs/>
          <w:color w:val="auto"/>
          <w:sz w:val="32"/>
          <w:szCs w:val="32"/>
          <w:highlight w:val="none"/>
        </w:rPr>
      </w:pPr>
      <w:r>
        <w:rPr>
          <w:rFonts w:hint="eastAsia" w:ascii="宋体" w:hAnsi="宋体" w:cs="宋体"/>
          <w:bCs/>
          <w:color w:val="auto"/>
          <w:sz w:val="32"/>
          <w:szCs w:val="32"/>
          <w:highlight w:val="none"/>
        </w:rPr>
        <w:br w:type="page"/>
      </w:r>
      <w:bookmarkStart w:id="143" w:name="_Hlk55381736"/>
    </w:p>
    <w:bookmarkEnd w:id="143"/>
    <w:p w14:paraId="515579CF">
      <w:pPr>
        <w:widowControl/>
        <w:jc w:val="center"/>
        <w:rPr>
          <w:rFonts w:hint="eastAsia" w:ascii="宋体" w:hAnsi="宋体" w:cs="宋体"/>
          <w:b/>
          <w:bCs/>
          <w:color w:val="auto"/>
          <w:kern w:val="0"/>
          <w:sz w:val="32"/>
          <w:szCs w:val="32"/>
          <w:highlight w:val="none"/>
          <w:lang w:bidi="ar"/>
        </w:rPr>
      </w:pPr>
      <w:r>
        <w:rPr>
          <w:rFonts w:hint="eastAsia" w:ascii="宋体" w:hAnsi="宋体" w:cs="宋体"/>
          <w:b/>
          <w:bCs/>
          <w:color w:val="auto"/>
          <w:kern w:val="0"/>
          <w:sz w:val="32"/>
          <w:szCs w:val="32"/>
          <w:highlight w:val="none"/>
          <w:lang w:bidi="ar"/>
        </w:rPr>
        <w:t>广西壮族自治区政府采购合同</w:t>
      </w:r>
    </w:p>
    <w:p w14:paraId="05AF21D8">
      <w:pPr>
        <w:widowControl/>
        <w:jc w:val="center"/>
        <w:rPr>
          <w:color w:val="auto"/>
          <w:sz w:val="32"/>
          <w:szCs w:val="32"/>
          <w:highlight w:val="none"/>
        </w:rPr>
      </w:pPr>
      <w:r>
        <w:rPr>
          <w:rFonts w:hint="eastAsia" w:ascii="宋体" w:hAnsi="宋体" w:cs="宋体"/>
          <w:b/>
          <w:bCs/>
          <w:color w:val="auto"/>
          <w:kern w:val="0"/>
          <w:sz w:val="32"/>
          <w:szCs w:val="32"/>
          <w:highlight w:val="none"/>
          <w:lang w:bidi="ar"/>
        </w:rPr>
        <w:t>(</w:t>
      </w:r>
      <w:r>
        <w:rPr>
          <w:rFonts w:hint="eastAsia" w:ascii="宋体" w:hAnsi="宋体" w:cs="宋体"/>
          <w:b/>
          <w:color w:val="auto"/>
          <w:sz w:val="28"/>
          <w:szCs w:val="28"/>
          <w:highlight w:val="none"/>
        </w:rPr>
        <w:t>适用于 1分标、2分标、3分标、4分标、5分标)</w:t>
      </w:r>
    </w:p>
    <w:p w14:paraId="716722D6">
      <w:pPr>
        <w:widowControl/>
        <w:jc w:val="left"/>
        <w:rPr>
          <w:rFonts w:hint="eastAsia" w:ascii="宋体" w:hAnsi="宋体" w:cs="宋体"/>
          <w:color w:val="auto"/>
          <w:kern w:val="0"/>
          <w:szCs w:val="21"/>
          <w:highlight w:val="none"/>
          <w:lang w:bidi="ar"/>
        </w:rPr>
      </w:pPr>
    </w:p>
    <w:p w14:paraId="08A366F5">
      <w:pPr>
        <w:widowControl/>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合同编号： </w:t>
      </w:r>
    </w:p>
    <w:p w14:paraId="2E44BA09">
      <w:pPr>
        <w:widowControl/>
        <w:spacing w:line="360" w:lineRule="auto"/>
        <w:jc w:val="left"/>
        <w:rPr>
          <w:rFonts w:hint="eastAsia" w:ascii="宋体" w:hAnsi="宋体" w:cs="宋体"/>
          <w:color w:val="auto"/>
          <w:kern w:val="0"/>
          <w:szCs w:val="21"/>
          <w:highlight w:val="none"/>
          <w:lang w:bidi="ar"/>
        </w:rPr>
      </w:pPr>
    </w:p>
    <w:p w14:paraId="6209B820">
      <w:pPr>
        <w:widowControl/>
        <w:spacing w:line="360" w:lineRule="auto"/>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采购单位（甲方）</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 xml:space="preserve"> 采购计划号 </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w:t>
      </w:r>
    </w:p>
    <w:p w14:paraId="6F31DBB4">
      <w:pPr>
        <w:widowControl/>
        <w:spacing w:line="360" w:lineRule="auto"/>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供应商（乙方） </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 xml:space="preserve">项目名称编号 </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w:t>
      </w:r>
    </w:p>
    <w:p w14:paraId="4298DF8C">
      <w:pPr>
        <w:widowControl/>
        <w:spacing w:line="360" w:lineRule="auto"/>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签订地点  </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 xml:space="preserve">  签订时间 </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w:t>
      </w:r>
    </w:p>
    <w:p w14:paraId="462E1DC0">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本合同为中小企业预留合同：</w:t>
      </w:r>
      <w:r>
        <w:rPr>
          <w:rFonts w:hint="eastAsia" w:ascii="宋体" w:hAnsi="宋体" w:cs="宋体"/>
          <w:color w:val="auto"/>
          <w:szCs w:val="21"/>
          <w:highlight w:val="none"/>
          <w:u w:val="single"/>
        </w:rPr>
        <w:t>（是/否）</w:t>
      </w:r>
      <w:r>
        <w:rPr>
          <w:rFonts w:hint="eastAsia" w:ascii="宋体" w:hAnsi="宋体" w:cs="宋体"/>
          <w:color w:val="auto"/>
          <w:szCs w:val="21"/>
          <w:highlight w:val="none"/>
        </w:rPr>
        <w:t>。</w:t>
      </w:r>
    </w:p>
    <w:p w14:paraId="0268C05D">
      <w:pPr>
        <w:widowControl/>
        <w:spacing w:line="360" w:lineRule="auto"/>
        <w:jc w:val="left"/>
        <w:rPr>
          <w:rFonts w:hint="eastAsia" w:ascii="宋体" w:hAnsi="宋体" w:cs="宋体"/>
          <w:color w:val="auto"/>
          <w:kern w:val="0"/>
          <w:szCs w:val="21"/>
          <w:highlight w:val="none"/>
          <w:lang w:bidi="ar"/>
        </w:rPr>
      </w:pPr>
    </w:p>
    <w:p w14:paraId="5A5298E1">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根据《中华人民共和国政府采购法》、《政府采购货物和服务招标投标管理办法》、《中华人民共和国民法典》等法律、法规规定，按照招标文件规定条款和乙方投标文件及其承诺，甲乙双方签订本合同。 </w:t>
      </w:r>
    </w:p>
    <w:p w14:paraId="4AE1B3C6">
      <w:pPr>
        <w:widowControl/>
        <w:spacing w:line="360" w:lineRule="auto"/>
        <w:jc w:val="left"/>
        <w:rPr>
          <w:rFonts w:hint="eastAsia" w:ascii="宋体" w:hAnsi="宋体" w:cs="宋体"/>
          <w:color w:val="auto"/>
          <w:szCs w:val="21"/>
          <w:highlight w:val="none"/>
        </w:rPr>
      </w:pPr>
      <w:r>
        <w:rPr>
          <w:rFonts w:hint="eastAsia" w:ascii="宋体" w:hAnsi="宋体" w:cs="宋体"/>
          <w:b/>
          <w:bCs/>
          <w:color w:val="auto"/>
          <w:kern w:val="0"/>
          <w:szCs w:val="21"/>
          <w:highlight w:val="none"/>
          <w:lang w:bidi="ar"/>
        </w:rPr>
        <w:t>第一条　合同标的</w:t>
      </w:r>
    </w:p>
    <w:p w14:paraId="2F95F507">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1.供货一览表：</w:t>
      </w:r>
    </w:p>
    <w:p w14:paraId="180D6D6E">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分标：</w:t>
      </w:r>
      <w:r>
        <w:rPr>
          <w:rFonts w:hint="eastAsia" w:ascii="宋体" w:hAnsi="宋体" w:cs="宋体"/>
          <w:color w:val="auto"/>
          <w:kern w:val="0"/>
          <w:szCs w:val="21"/>
          <w:highlight w:val="none"/>
          <w:u w:val="single"/>
          <w:lang w:bidi="ar"/>
        </w:rPr>
        <w:t xml:space="preserve">     </w:t>
      </w:r>
    </w:p>
    <w:tbl>
      <w:tblPr>
        <w:tblStyle w:val="48"/>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1912"/>
        <w:gridCol w:w="1175"/>
        <w:gridCol w:w="1966"/>
        <w:gridCol w:w="1734"/>
        <w:gridCol w:w="1810"/>
      </w:tblGrid>
      <w:tr w14:paraId="16A1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747" w:type="dxa"/>
            <w:tcBorders>
              <w:top w:val="single" w:color="auto" w:sz="4" w:space="0"/>
              <w:left w:val="single" w:color="auto" w:sz="4" w:space="0"/>
              <w:bottom w:val="single" w:color="auto" w:sz="4" w:space="0"/>
              <w:right w:val="single" w:color="auto" w:sz="4" w:space="0"/>
            </w:tcBorders>
            <w:vAlign w:val="center"/>
          </w:tcPr>
          <w:p w14:paraId="670CDE28">
            <w:pPr>
              <w:snapToGrid w:val="0"/>
              <w:spacing w:line="400" w:lineRule="exact"/>
              <w:jc w:val="center"/>
              <w:rPr>
                <w:color w:val="auto"/>
                <w:szCs w:val="21"/>
                <w:highlight w:val="none"/>
              </w:rPr>
            </w:pPr>
            <w:r>
              <w:rPr>
                <w:rFonts w:hint="eastAsia"/>
                <w:color w:val="auto"/>
                <w:szCs w:val="21"/>
                <w:highlight w:val="none"/>
              </w:rPr>
              <w:t>项号</w:t>
            </w:r>
          </w:p>
        </w:tc>
        <w:tc>
          <w:tcPr>
            <w:tcW w:w="1912" w:type="dxa"/>
            <w:tcBorders>
              <w:top w:val="single" w:color="auto" w:sz="4" w:space="0"/>
              <w:left w:val="single" w:color="auto" w:sz="4" w:space="0"/>
              <w:bottom w:val="single" w:color="auto" w:sz="4" w:space="0"/>
              <w:right w:val="single" w:color="auto" w:sz="4" w:space="0"/>
            </w:tcBorders>
            <w:vAlign w:val="center"/>
          </w:tcPr>
          <w:p w14:paraId="59F4270A">
            <w:pPr>
              <w:snapToGrid w:val="0"/>
              <w:spacing w:line="400" w:lineRule="exact"/>
              <w:jc w:val="center"/>
              <w:rPr>
                <w:color w:val="auto"/>
                <w:szCs w:val="21"/>
                <w:highlight w:val="none"/>
              </w:rPr>
            </w:pPr>
            <w:r>
              <w:rPr>
                <w:rFonts w:hint="eastAsia" w:hAnsi="宋体"/>
                <w:color w:val="auto"/>
                <w:szCs w:val="21"/>
                <w:highlight w:val="none"/>
              </w:rPr>
              <w:t>货物名称</w:t>
            </w:r>
          </w:p>
        </w:tc>
        <w:tc>
          <w:tcPr>
            <w:tcW w:w="1175" w:type="dxa"/>
            <w:tcBorders>
              <w:top w:val="single" w:color="auto" w:sz="4" w:space="0"/>
              <w:left w:val="single" w:color="auto" w:sz="4" w:space="0"/>
              <w:bottom w:val="single" w:color="auto" w:sz="4" w:space="0"/>
              <w:right w:val="single" w:color="auto" w:sz="4" w:space="0"/>
            </w:tcBorders>
            <w:vAlign w:val="center"/>
          </w:tcPr>
          <w:p w14:paraId="29A99684">
            <w:pPr>
              <w:snapToGrid w:val="0"/>
              <w:spacing w:line="400" w:lineRule="exact"/>
              <w:jc w:val="center"/>
              <w:rPr>
                <w:color w:val="auto"/>
                <w:szCs w:val="21"/>
                <w:highlight w:val="none"/>
              </w:rPr>
            </w:pPr>
            <w:r>
              <w:rPr>
                <w:rFonts w:hint="eastAsia" w:hAnsi="宋体"/>
                <w:color w:val="auto"/>
                <w:szCs w:val="21"/>
                <w:highlight w:val="none"/>
              </w:rPr>
              <w:t>单位</w:t>
            </w:r>
          </w:p>
        </w:tc>
        <w:tc>
          <w:tcPr>
            <w:tcW w:w="1966" w:type="dxa"/>
            <w:tcBorders>
              <w:top w:val="single" w:color="auto" w:sz="4" w:space="0"/>
              <w:left w:val="single" w:color="auto" w:sz="4" w:space="0"/>
              <w:bottom w:val="single" w:color="auto" w:sz="4" w:space="0"/>
              <w:right w:val="single" w:color="auto" w:sz="4" w:space="0"/>
            </w:tcBorders>
            <w:vAlign w:val="center"/>
          </w:tcPr>
          <w:p w14:paraId="643BDEA2">
            <w:pPr>
              <w:snapToGrid w:val="0"/>
              <w:spacing w:line="400" w:lineRule="exact"/>
              <w:jc w:val="center"/>
              <w:rPr>
                <w:color w:val="auto"/>
                <w:szCs w:val="21"/>
                <w:highlight w:val="none"/>
              </w:rPr>
            </w:pPr>
            <w:r>
              <w:rPr>
                <w:rFonts w:hint="eastAsia"/>
                <w:color w:val="auto"/>
                <w:szCs w:val="21"/>
                <w:highlight w:val="none"/>
              </w:rPr>
              <w:t>单价最高限价（元）</w:t>
            </w:r>
          </w:p>
        </w:tc>
        <w:tc>
          <w:tcPr>
            <w:tcW w:w="1734" w:type="dxa"/>
            <w:tcBorders>
              <w:top w:val="single" w:color="auto" w:sz="4" w:space="0"/>
              <w:left w:val="single" w:color="auto" w:sz="4" w:space="0"/>
              <w:bottom w:val="single" w:color="auto" w:sz="4" w:space="0"/>
              <w:right w:val="single" w:color="auto" w:sz="4" w:space="0"/>
            </w:tcBorders>
            <w:vAlign w:val="center"/>
          </w:tcPr>
          <w:p w14:paraId="3C062807">
            <w:pPr>
              <w:snapToGrid w:val="0"/>
              <w:spacing w:line="400" w:lineRule="exact"/>
              <w:jc w:val="center"/>
              <w:rPr>
                <w:color w:val="auto"/>
                <w:szCs w:val="21"/>
                <w:highlight w:val="none"/>
              </w:rPr>
            </w:pPr>
            <w:r>
              <w:rPr>
                <w:rFonts w:hint="eastAsia" w:ascii="宋体" w:hAnsi="宋体" w:cs="宋体"/>
                <w:color w:val="auto"/>
                <w:szCs w:val="21"/>
                <w:highlight w:val="none"/>
              </w:rPr>
              <w:t>折扣系数（%）</w:t>
            </w:r>
          </w:p>
        </w:tc>
        <w:tc>
          <w:tcPr>
            <w:tcW w:w="1810" w:type="dxa"/>
            <w:tcBorders>
              <w:top w:val="single" w:color="auto" w:sz="4" w:space="0"/>
              <w:left w:val="single" w:color="auto" w:sz="4" w:space="0"/>
              <w:bottom w:val="single" w:color="auto" w:sz="4" w:space="0"/>
              <w:right w:val="single" w:color="auto" w:sz="4" w:space="0"/>
            </w:tcBorders>
            <w:vAlign w:val="center"/>
          </w:tcPr>
          <w:p w14:paraId="63F01455">
            <w:pPr>
              <w:snapToGrid w:val="0"/>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折扣后单价</w:t>
            </w:r>
            <w:r>
              <w:rPr>
                <w:rFonts w:hint="eastAsia"/>
                <w:color w:val="auto"/>
                <w:szCs w:val="21"/>
                <w:highlight w:val="none"/>
              </w:rPr>
              <w:t>（元）</w:t>
            </w:r>
          </w:p>
        </w:tc>
      </w:tr>
      <w:tr w14:paraId="68448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747" w:type="dxa"/>
            <w:tcBorders>
              <w:top w:val="single" w:color="auto" w:sz="4" w:space="0"/>
              <w:left w:val="single" w:color="auto" w:sz="4" w:space="0"/>
              <w:bottom w:val="single" w:color="auto" w:sz="4" w:space="0"/>
              <w:right w:val="single" w:color="auto" w:sz="4" w:space="0"/>
            </w:tcBorders>
            <w:vAlign w:val="center"/>
          </w:tcPr>
          <w:p w14:paraId="4C6C2353">
            <w:pPr>
              <w:snapToGrid w:val="0"/>
              <w:spacing w:line="360" w:lineRule="auto"/>
              <w:jc w:val="center"/>
              <w:rPr>
                <w:color w:val="auto"/>
                <w:szCs w:val="21"/>
                <w:highlight w:val="none"/>
              </w:rPr>
            </w:pPr>
            <w:r>
              <w:rPr>
                <w:color w:val="auto"/>
                <w:szCs w:val="21"/>
                <w:highlight w:val="none"/>
              </w:rPr>
              <w:t>1</w:t>
            </w:r>
          </w:p>
        </w:tc>
        <w:tc>
          <w:tcPr>
            <w:tcW w:w="1912" w:type="dxa"/>
            <w:tcBorders>
              <w:top w:val="single" w:color="auto" w:sz="4" w:space="0"/>
              <w:left w:val="single" w:color="auto" w:sz="4" w:space="0"/>
              <w:bottom w:val="single" w:color="auto" w:sz="4" w:space="0"/>
              <w:right w:val="single" w:color="auto" w:sz="4" w:space="0"/>
            </w:tcBorders>
            <w:vAlign w:val="center"/>
          </w:tcPr>
          <w:p w14:paraId="213A72A8">
            <w:pPr>
              <w:snapToGrid w:val="0"/>
              <w:spacing w:line="360" w:lineRule="auto"/>
              <w:jc w:val="center"/>
              <w:rPr>
                <w:color w:val="auto"/>
                <w:szCs w:val="21"/>
                <w:highlight w:val="none"/>
              </w:rPr>
            </w:pPr>
          </w:p>
        </w:tc>
        <w:tc>
          <w:tcPr>
            <w:tcW w:w="1175" w:type="dxa"/>
            <w:tcBorders>
              <w:top w:val="single" w:color="auto" w:sz="4" w:space="0"/>
              <w:left w:val="single" w:color="auto" w:sz="4" w:space="0"/>
              <w:bottom w:val="single" w:color="auto" w:sz="4" w:space="0"/>
              <w:right w:val="single" w:color="auto" w:sz="4" w:space="0"/>
            </w:tcBorders>
          </w:tcPr>
          <w:p w14:paraId="2F7312FE">
            <w:pPr>
              <w:snapToGrid w:val="0"/>
              <w:spacing w:line="360" w:lineRule="auto"/>
              <w:jc w:val="center"/>
              <w:rPr>
                <w:color w:val="auto"/>
                <w:szCs w:val="21"/>
                <w:highlight w:val="none"/>
              </w:rPr>
            </w:pPr>
          </w:p>
        </w:tc>
        <w:tc>
          <w:tcPr>
            <w:tcW w:w="1966" w:type="dxa"/>
            <w:tcBorders>
              <w:top w:val="single" w:color="auto" w:sz="4" w:space="0"/>
              <w:left w:val="single" w:color="auto" w:sz="4" w:space="0"/>
              <w:bottom w:val="single" w:color="auto" w:sz="4" w:space="0"/>
              <w:right w:val="single" w:color="auto" w:sz="4" w:space="0"/>
            </w:tcBorders>
          </w:tcPr>
          <w:p w14:paraId="3DDE6D23">
            <w:pPr>
              <w:snapToGrid w:val="0"/>
              <w:spacing w:line="360" w:lineRule="auto"/>
              <w:jc w:val="center"/>
              <w:rPr>
                <w:strike/>
                <w:color w:val="auto"/>
                <w:szCs w:val="21"/>
                <w:highlight w:val="none"/>
              </w:rPr>
            </w:pPr>
          </w:p>
        </w:tc>
        <w:tc>
          <w:tcPr>
            <w:tcW w:w="1734" w:type="dxa"/>
            <w:vMerge w:val="restart"/>
            <w:tcBorders>
              <w:top w:val="single" w:color="auto" w:sz="4" w:space="0"/>
              <w:left w:val="single" w:color="auto" w:sz="4" w:space="0"/>
              <w:right w:val="single" w:color="auto" w:sz="4" w:space="0"/>
            </w:tcBorders>
            <w:vAlign w:val="center"/>
          </w:tcPr>
          <w:p w14:paraId="319BA3DC">
            <w:pPr>
              <w:snapToGrid w:val="0"/>
              <w:spacing w:line="360" w:lineRule="auto"/>
              <w:jc w:val="center"/>
              <w:rPr>
                <w:color w:val="auto"/>
                <w:szCs w:val="21"/>
                <w:highlight w:val="none"/>
              </w:rPr>
            </w:pPr>
          </w:p>
        </w:tc>
        <w:tc>
          <w:tcPr>
            <w:tcW w:w="1810" w:type="dxa"/>
            <w:tcBorders>
              <w:top w:val="single" w:color="auto" w:sz="4" w:space="0"/>
              <w:left w:val="single" w:color="auto" w:sz="4" w:space="0"/>
              <w:right w:val="single" w:color="auto" w:sz="4" w:space="0"/>
            </w:tcBorders>
            <w:vAlign w:val="center"/>
          </w:tcPr>
          <w:p w14:paraId="0CF37F66">
            <w:pPr>
              <w:snapToGrid w:val="0"/>
              <w:spacing w:line="360" w:lineRule="auto"/>
              <w:jc w:val="center"/>
              <w:rPr>
                <w:color w:val="auto"/>
                <w:szCs w:val="21"/>
                <w:highlight w:val="none"/>
              </w:rPr>
            </w:pPr>
          </w:p>
        </w:tc>
      </w:tr>
      <w:tr w14:paraId="479B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747" w:type="dxa"/>
            <w:tcBorders>
              <w:top w:val="single" w:color="auto" w:sz="4" w:space="0"/>
              <w:left w:val="single" w:color="auto" w:sz="4" w:space="0"/>
              <w:bottom w:val="single" w:color="auto" w:sz="4" w:space="0"/>
              <w:right w:val="single" w:color="auto" w:sz="4" w:space="0"/>
            </w:tcBorders>
            <w:vAlign w:val="center"/>
          </w:tcPr>
          <w:p w14:paraId="1D0C1577">
            <w:pPr>
              <w:snapToGrid w:val="0"/>
              <w:spacing w:line="360" w:lineRule="auto"/>
              <w:jc w:val="center"/>
              <w:rPr>
                <w:color w:val="auto"/>
                <w:szCs w:val="21"/>
                <w:highlight w:val="none"/>
              </w:rPr>
            </w:pPr>
            <w:r>
              <w:rPr>
                <w:color w:val="auto"/>
                <w:szCs w:val="21"/>
                <w:highlight w:val="none"/>
              </w:rPr>
              <w:t>2</w:t>
            </w:r>
          </w:p>
        </w:tc>
        <w:tc>
          <w:tcPr>
            <w:tcW w:w="1912" w:type="dxa"/>
            <w:tcBorders>
              <w:top w:val="single" w:color="auto" w:sz="4" w:space="0"/>
              <w:left w:val="single" w:color="auto" w:sz="4" w:space="0"/>
              <w:bottom w:val="single" w:color="auto" w:sz="4" w:space="0"/>
              <w:right w:val="single" w:color="auto" w:sz="4" w:space="0"/>
            </w:tcBorders>
            <w:vAlign w:val="center"/>
          </w:tcPr>
          <w:p w14:paraId="5B3BED9C">
            <w:pPr>
              <w:snapToGrid w:val="0"/>
              <w:spacing w:line="360" w:lineRule="auto"/>
              <w:jc w:val="center"/>
              <w:rPr>
                <w:color w:val="auto"/>
                <w:szCs w:val="21"/>
                <w:highlight w:val="none"/>
              </w:rPr>
            </w:pPr>
          </w:p>
        </w:tc>
        <w:tc>
          <w:tcPr>
            <w:tcW w:w="1175" w:type="dxa"/>
            <w:tcBorders>
              <w:top w:val="single" w:color="auto" w:sz="4" w:space="0"/>
              <w:left w:val="single" w:color="auto" w:sz="4" w:space="0"/>
              <w:bottom w:val="single" w:color="auto" w:sz="4" w:space="0"/>
              <w:right w:val="single" w:color="auto" w:sz="4" w:space="0"/>
            </w:tcBorders>
          </w:tcPr>
          <w:p w14:paraId="2658CDAD">
            <w:pPr>
              <w:snapToGrid w:val="0"/>
              <w:spacing w:line="360" w:lineRule="auto"/>
              <w:jc w:val="center"/>
              <w:rPr>
                <w:color w:val="auto"/>
                <w:szCs w:val="21"/>
                <w:highlight w:val="none"/>
              </w:rPr>
            </w:pPr>
          </w:p>
        </w:tc>
        <w:tc>
          <w:tcPr>
            <w:tcW w:w="1966" w:type="dxa"/>
            <w:tcBorders>
              <w:top w:val="single" w:color="auto" w:sz="4" w:space="0"/>
              <w:left w:val="single" w:color="auto" w:sz="4" w:space="0"/>
              <w:bottom w:val="single" w:color="auto" w:sz="4" w:space="0"/>
              <w:right w:val="single" w:color="auto" w:sz="4" w:space="0"/>
            </w:tcBorders>
          </w:tcPr>
          <w:p w14:paraId="11672EA4">
            <w:pPr>
              <w:snapToGrid w:val="0"/>
              <w:spacing w:line="360" w:lineRule="auto"/>
              <w:jc w:val="center"/>
              <w:rPr>
                <w:strike/>
                <w:color w:val="auto"/>
                <w:szCs w:val="21"/>
                <w:highlight w:val="none"/>
              </w:rPr>
            </w:pPr>
          </w:p>
        </w:tc>
        <w:tc>
          <w:tcPr>
            <w:tcW w:w="1734" w:type="dxa"/>
            <w:vMerge w:val="continue"/>
            <w:tcBorders>
              <w:left w:val="single" w:color="auto" w:sz="4" w:space="0"/>
              <w:right w:val="single" w:color="auto" w:sz="4" w:space="0"/>
            </w:tcBorders>
            <w:vAlign w:val="center"/>
          </w:tcPr>
          <w:p w14:paraId="4CF839D7">
            <w:pPr>
              <w:snapToGrid w:val="0"/>
              <w:spacing w:line="360" w:lineRule="auto"/>
              <w:jc w:val="center"/>
              <w:rPr>
                <w:color w:val="auto"/>
                <w:szCs w:val="21"/>
                <w:highlight w:val="none"/>
              </w:rPr>
            </w:pPr>
          </w:p>
        </w:tc>
        <w:tc>
          <w:tcPr>
            <w:tcW w:w="1810" w:type="dxa"/>
            <w:tcBorders>
              <w:left w:val="single" w:color="auto" w:sz="4" w:space="0"/>
              <w:right w:val="single" w:color="auto" w:sz="4" w:space="0"/>
            </w:tcBorders>
            <w:vAlign w:val="center"/>
          </w:tcPr>
          <w:p w14:paraId="6ED99EC0">
            <w:pPr>
              <w:snapToGrid w:val="0"/>
              <w:spacing w:line="360" w:lineRule="auto"/>
              <w:jc w:val="center"/>
              <w:rPr>
                <w:color w:val="auto"/>
                <w:szCs w:val="21"/>
                <w:highlight w:val="none"/>
              </w:rPr>
            </w:pPr>
          </w:p>
        </w:tc>
      </w:tr>
      <w:tr w14:paraId="47923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747" w:type="dxa"/>
            <w:tcBorders>
              <w:top w:val="single" w:color="auto" w:sz="4" w:space="0"/>
              <w:left w:val="single" w:color="auto" w:sz="4" w:space="0"/>
              <w:bottom w:val="single" w:color="auto" w:sz="4" w:space="0"/>
              <w:right w:val="single" w:color="auto" w:sz="4" w:space="0"/>
            </w:tcBorders>
            <w:vAlign w:val="center"/>
          </w:tcPr>
          <w:p w14:paraId="6BE3CE7C">
            <w:pPr>
              <w:snapToGrid w:val="0"/>
              <w:spacing w:line="360" w:lineRule="auto"/>
              <w:jc w:val="center"/>
              <w:rPr>
                <w:color w:val="auto"/>
                <w:szCs w:val="21"/>
                <w:highlight w:val="none"/>
              </w:rPr>
            </w:pPr>
            <w:r>
              <w:rPr>
                <w:color w:val="auto"/>
                <w:szCs w:val="21"/>
                <w:highlight w:val="none"/>
              </w:rPr>
              <w:t>......</w:t>
            </w:r>
          </w:p>
        </w:tc>
        <w:tc>
          <w:tcPr>
            <w:tcW w:w="1912" w:type="dxa"/>
            <w:tcBorders>
              <w:top w:val="single" w:color="auto" w:sz="4" w:space="0"/>
              <w:left w:val="single" w:color="auto" w:sz="4" w:space="0"/>
              <w:bottom w:val="single" w:color="auto" w:sz="4" w:space="0"/>
              <w:right w:val="single" w:color="auto" w:sz="4" w:space="0"/>
            </w:tcBorders>
            <w:vAlign w:val="center"/>
          </w:tcPr>
          <w:p w14:paraId="0A56AB29">
            <w:pPr>
              <w:snapToGrid w:val="0"/>
              <w:spacing w:line="360" w:lineRule="auto"/>
              <w:jc w:val="center"/>
              <w:rPr>
                <w:color w:val="auto"/>
                <w:szCs w:val="21"/>
                <w:highlight w:val="none"/>
              </w:rPr>
            </w:pPr>
            <w:r>
              <w:rPr>
                <w:color w:val="auto"/>
                <w:szCs w:val="21"/>
                <w:highlight w:val="none"/>
              </w:rPr>
              <w:t>......</w:t>
            </w:r>
          </w:p>
        </w:tc>
        <w:tc>
          <w:tcPr>
            <w:tcW w:w="1175" w:type="dxa"/>
            <w:tcBorders>
              <w:top w:val="single" w:color="auto" w:sz="4" w:space="0"/>
              <w:left w:val="single" w:color="auto" w:sz="4" w:space="0"/>
              <w:bottom w:val="single" w:color="auto" w:sz="4" w:space="0"/>
              <w:right w:val="single" w:color="auto" w:sz="4" w:space="0"/>
            </w:tcBorders>
          </w:tcPr>
          <w:p w14:paraId="0E2FBC4B">
            <w:pPr>
              <w:snapToGrid w:val="0"/>
              <w:spacing w:line="360" w:lineRule="auto"/>
              <w:jc w:val="center"/>
              <w:rPr>
                <w:color w:val="auto"/>
                <w:szCs w:val="21"/>
                <w:highlight w:val="none"/>
              </w:rPr>
            </w:pPr>
            <w:r>
              <w:rPr>
                <w:color w:val="auto"/>
                <w:szCs w:val="21"/>
                <w:highlight w:val="none"/>
              </w:rPr>
              <w:t>......</w:t>
            </w:r>
          </w:p>
        </w:tc>
        <w:tc>
          <w:tcPr>
            <w:tcW w:w="1966" w:type="dxa"/>
            <w:tcBorders>
              <w:top w:val="single" w:color="auto" w:sz="4" w:space="0"/>
              <w:left w:val="single" w:color="auto" w:sz="4" w:space="0"/>
              <w:bottom w:val="single" w:color="auto" w:sz="4" w:space="0"/>
              <w:right w:val="single" w:color="auto" w:sz="4" w:space="0"/>
            </w:tcBorders>
          </w:tcPr>
          <w:p w14:paraId="58DA98F2">
            <w:pPr>
              <w:snapToGrid w:val="0"/>
              <w:spacing w:line="360" w:lineRule="auto"/>
              <w:jc w:val="center"/>
              <w:rPr>
                <w:strike/>
                <w:color w:val="auto"/>
                <w:szCs w:val="21"/>
                <w:highlight w:val="none"/>
              </w:rPr>
            </w:pPr>
            <w:r>
              <w:rPr>
                <w:color w:val="auto"/>
                <w:szCs w:val="21"/>
                <w:highlight w:val="none"/>
              </w:rPr>
              <w:t>......</w:t>
            </w:r>
          </w:p>
        </w:tc>
        <w:tc>
          <w:tcPr>
            <w:tcW w:w="1734" w:type="dxa"/>
            <w:vMerge w:val="continue"/>
            <w:tcBorders>
              <w:left w:val="single" w:color="auto" w:sz="4" w:space="0"/>
              <w:bottom w:val="single" w:color="auto" w:sz="4" w:space="0"/>
              <w:right w:val="single" w:color="auto" w:sz="4" w:space="0"/>
            </w:tcBorders>
            <w:vAlign w:val="center"/>
          </w:tcPr>
          <w:p w14:paraId="4A99A526">
            <w:pPr>
              <w:snapToGrid w:val="0"/>
              <w:spacing w:line="360" w:lineRule="auto"/>
              <w:jc w:val="center"/>
              <w:rPr>
                <w:color w:val="auto"/>
                <w:szCs w:val="21"/>
                <w:highlight w:val="none"/>
              </w:rPr>
            </w:pPr>
          </w:p>
        </w:tc>
        <w:tc>
          <w:tcPr>
            <w:tcW w:w="1810" w:type="dxa"/>
            <w:tcBorders>
              <w:left w:val="single" w:color="auto" w:sz="4" w:space="0"/>
              <w:bottom w:val="single" w:color="auto" w:sz="4" w:space="0"/>
              <w:right w:val="single" w:color="auto" w:sz="4" w:space="0"/>
            </w:tcBorders>
            <w:vAlign w:val="center"/>
          </w:tcPr>
          <w:p w14:paraId="3FDE4ADB">
            <w:pPr>
              <w:snapToGrid w:val="0"/>
              <w:spacing w:line="360" w:lineRule="auto"/>
              <w:jc w:val="center"/>
              <w:rPr>
                <w:color w:val="auto"/>
                <w:szCs w:val="21"/>
                <w:highlight w:val="none"/>
              </w:rPr>
            </w:pPr>
            <w:r>
              <w:rPr>
                <w:color w:val="auto"/>
                <w:szCs w:val="21"/>
                <w:highlight w:val="none"/>
              </w:rPr>
              <w:t>......</w:t>
            </w:r>
          </w:p>
        </w:tc>
      </w:tr>
    </w:tbl>
    <w:p w14:paraId="43FA2525">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投标报价包括但不仅限于货物的采买、打包、包装、搬运、运输、装卸等所需人工、第三方检验、劳动保险以及用工纠纷、人身损害、法律事务和相关事项处理等一切税金和费用。（第二章“采购需求”另有规定的，从其规定）</w:t>
      </w:r>
    </w:p>
    <w:p w14:paraId="1833D4D1">
      <w:pPr>
        <w:widowControl/>
        <w:spacing w:before="120" w:beforeLines="50" w:line="360" w:lineRule="auto"/>
        <w:jc w:val="left"/>
        <w:rPr>
          <w:rFonts w:hint="eastAsia" w:ascii="宋体" w:hAnsi="宋体" w:cs="宋体"/>
          <w:color w:val="auto"/>
          <w:szCs w:val="21"/>
          <w:highlight w:val="none"/>
        </w:rPr>
      </w:pPr>
      <w:r>
        <w:rPr>
          <w:rFonts w:hint="eastAsia" w:ascii="宋体" w:hAnsi="宋体" w:cs="宋体"/>
          <w:b/>
          <w:bCs/>
          <w:color w:val="auto"/>
          <w:kern w:val="0"/>
          <w:szCs w:val="21"/>
          <w:highlight w:val="none"/>
          <w:lang w:bidi="ar"/>
        </w:rPr>
        <w:t xml:space="preserve">第二条　质量保证 </w:t>
      </w:r>
    </w:p>
    <w:p w14:paraId="35EBEAD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1.乙方提供的货物必须是具有合法销售途径的、完整、新鲜合格产品。货物的技术质量必须符合《中华人民共和国农产品质量安全法》等有关规定。 </w:t>
      </w:r>
    </w:p>
    <w:p w14:paraId="11D6B49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2.乙方供货时，每批货物必须提供相关的质量安全检验合格证明。</w:t>
      </w:r>
    </w:p>
    <w:p w14:paraId="0ADA3A0C">
      <w:pPr>
        <w:pStyle w:val="3"/>
        <w:spacing w:line="360" w:lineRule="auto"/>
        <w:ind w:firstLine="420" w:firstLineChars="200"/>
        <w:rPr>
          <w:color w:val="auto"/>
          <w:sz w:val="21"/>
          <w:szCs w:val="21"/>
          <w:highlight w:val="none"/>
        </w:rPr>
      </w:pPr>
      <w:r>
        <w:rPr>
          <w:rFonts w:hint="eastAsia"/>
          <w:color w:val="auto"/>
          <w:sz w:val="21"/>
          <w:szCs w:val="21"/>
          <w:highlight w:val="none"/>
        </w:rPr>
        <w:t>3.交货验收必须由甲方和乙方共同进行，甲方如认为有需要的，可委托相关检验部门对产品进行抽检，自检或检验部门抽检不合格的不给予验收，影响甲方实施进度的将追究相关责任，抽检所产生的费用全部由乙方负责。·</w:t>
      </w:r>
    </w:p>
    <w:p w14:paraId="7D6456F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4.安全责任方面要求</w:t>
      </w:r>
    </w:p>
    <w:p w14:paraId="51FBA4FF">
      <w:pPr>
        <w:snapToGrid w:val="0"/>
        <w:spacing w:line="360" w:lineRule="auto"/>
        <w:ind w:left="-61" w:firstLine="514"/>
        <w:rPr>
          <w:rFonts w:hint="eastAsia" w:ascii="宋体" w:hAnsi="宋体" w:cs="宋体"/>
          <w:bCs/>
          <w:color w:val="auto"/>
          <w:szCs w:val="21"/>
          <w:highlight w:val="none"/>
        </w:rPr>
      </w:pPr>
      <w:r>
        <w:rPr>
          <w:rFonts w:hint="eastAsia" w:ascii="宋体" w:hAnsi="宋体" w:cs="宋体"/>
          <w:bCs/>
          <w:color w:val="auto"/>
          <w:szCs w:val="21"/>
          <w:highlight w:val="none"/>
        </w:rPr>
        <w:t>4.1乙方所供食品需符合国家食品卫生标准，不得提供腐烂变质、霉变、异形等食品。如发生食物中毒，查明原因后，确实是乙方提供的货源，一切后果由乙方承担。</w:t>
      </w:r>
    </w:p>
    <w:p w14:paraId="5EB833BA">
      <w:pPr>
        <w:snapToGrid w:val="0"/>
        <w:spacing w:line="360" w:lineRule="auto"/>
        <w:ind w:left="-61" w:firstLine="514"/>
        <w:rPr>
          <w:rFonts w:hint="eastAsia" w:ascii="宋体" w:hAnsi="宋体" w:cs="宋体"/>
          <w:bCs/>
          <w:color w:val="auto"/>
          <w:szCs w:val="21"/>
          <w:highlight w:val="none"/>
        </w:rPr>
      </w:pPr>
      <w:r>
        <w:rPr>
          <w:rFonts w:hint="eastAsia" w:ascii="宋体" w:hAnsi="宋体" w:cs="宋体"/>
          <w:bCs/>
          <w:color w:val="auto"/>
          <w:szCs w:val="21"/>
          <w:highlight w:val="none"/>
        </w:rPr>
        <w:t>4.2乙方应严格遵守《中华人民共和国食品安全法》等相关规定，所提供的产品是合格安全的产品，一经发现供应以下食品，甲方除全部退货，乙方并承担由此造成的经济责任和法律责任。</w:t>
      </w:r>
    </w:p>
    <w:p w14:paraId="1C11A5CC">
      <w:pPr>
        <w:snapToGrid w:val="0"/>
        <w:spacing w:line="360" w:lineRule="auto"/>
        <w:ind w:left="-61" w:firstLine="514"/>
        <w:rPr>
          <w:rFonts w:hint="eastAsia" w:ascii="宋体" w:hAnsi="宋体" w:cs="宋体"/>
          <w:bCs/>
          <w:color w:val="auto"/>
          <w:szCs w:val="21"/>
          <w:highlight w:val="none"/>
        </w:rPr>
      </w:pPr>
      <w:r>
        <w:rPr>
          <w:rFonts w:hint="eastAsia" w:ascii="宋体" w:hAnsi="宋体" w:cs="宋体"/>
          <w:bCs/>
          <w:color w:val="auto"/>
          <w:szCs w:val="21"/>
          <w:highlight w:val="none"/>
        </w:rPr>
        <w:t>①食材没有合法供货来源的；</w:t>
      </w:r>
    </w:p>
    <w:p w14:paraId="54855D98">
      <w:pPr>
        <w:snapToGrid w:val="0"/>
        <w:spacing w:line="360" w:lineRule="auto"/>
        <w:ind w:left="-61" w:firstLine="514"/>
        <w:rPr>
          <w:rFonts w:hint="eastAsia" w:ascii="宋体" w:hAnsi="宋体" w:cs="宋体"/>
          <w:bCs/>
          <w:color w:val="auto"/>
          <w:szCs w:val="21"/>
          <w:highlight w:val="none"/>
        </w:rPr>
      </w:pPr>
      <w:r>
        <w:rPr>
          <w:rFonts w:hint="eastAsia" w:ascii="宋体" w:hAnsi="宋体" w:cs="宋体"/>
          <w:bCs/>
          <w:color w:val="auto"/>
          <w:szCs w:val="21"/>
          <w:highlight w:val="none"/>
        </w:rPr>
        <w:t>②腐败变质、霉变、生虫、污秽不洁、混有异物或者其他感官性状异常，对人体健康有害的；</w:t>
      </w:r>
    </w:p>
    <w:p w14:paraId="6D07C0FC">
      <w:pPr>
        <w:snapToGrid w:val="0"/>
        <w:spacing w:line="360" w:lineRule="auto"/>
        <w:ind w:left="-61" w:firstLine="514"/>
        <w:rPr>
          <w:rFonts w:hint="eastAsia" w:ascii="宋体" w:hAnsi="宋体" w:cs="宋体"/>
          <w:bCs/>
          <w:color w:val="auto"/>
          <w:szCs w:val="21"/>
          <w:highlight w:val="none"/>
        </w:rPr>
      </w:pPr>
      <w:r>
        <w:rPr>
          <w:rFonts w:hint="eastAsia" w:ascii="宋体" w:hAnsi="宋体" w:cs="宋体"/>
          <w:bCs/>
          <w:color w:val="auto"/>
          <w:szCs w:val="21"/>
          <w:highlight w:val="none"/>
        </w:rPr>
        <w:t>③含有毒、有害物质或者被有害物质污染，对人体健康有害的；</w:t>
      </w:r>
    </w:p>
    <w:p w14:paraId="13B4684D">
      <w:pPr>
        <w:snapToGrid w:val="0"/>
        <w:spacing w:line="360" w:lineRule="auto"/>
        <w:ind w:left="-61" w:firstLine="514"/>
        <w:rPr>
          <w:rFonts w:hint="eastAsia" w:ascii="宋体" w:hAnsi="宋体" w:cs="宋体"/>
          <w:bCs/>
          <w:color w:val="auto"/>
          <w:szCs w:val="21"/>
          <w:highlight w:val="none"/>
        </w:rPr>
      </w:pPr>
      <w:r>
        <w:rPr>
          <w:rFonts w:hint="eastAsia" w:ascii="宋体" w:hAnsi="宋体" w:cs="宋体"/>
          <w:bCs/>
          <w:color w:val="auto"/>
          <w:szCs w:val="21"/>
          <w:highlight w:val="none"/>
        </w:rPr>
        <w:t>④含有致病性寄生虫、微生物或者微生物含量超过国家限定标准的；</w:t>
      </w:r>
    </w:p>
    <w:p w14:paraId="1948F124">
      <w:pPr>
        <w:snapToGrid w:val="0"/>
        <w:spacing w:line="360" w:lineRule="auto"/>
        <w:ind w:left="-61" w:firstLine="514"/>
        <w:rPr>
          <w:rFonts w:hint="eastAsia" w:ascii="宋体" w:hAnsi="宋体" w:cs="宋体"/>
          <w:bCs/>
          <w:color w:val="auto"/>
          <w:szCs w:val="21"/>
          <w:highlight w:val="none"/>
        </w:rPr>
      </w:pPr>
      <w:r>
        <w:rPr>
          <w:rFonts w:hint="eastAsia" w:ascii="宋体" w:hAnsi="宋体" w:cs="宋体"/>
          <w:bCs/>
          <w:color w:val="auto"/>
          <w:szCs w:val="21"/>
          <w:highlight w:val="none"/>
        </w:rPr>
        <w:t>⑤掺假、掺杂、伪造，影响营养、卫生的；</w:t>
      </w:r>
    </w:p>
    <w:p w14:paraId="7D64B1D2">
      <w:pPr>
        <w:snapToGrid w:val="0"/>
        <w:spacing w:line="360" w:lineRule="auto"/>
        <w:ind w:left="-61" w:firstLine="514"/>
        <w:rPr>
          <w:rFonts w:hint="eastAsia" w:ascii="宋体" w:hAnsi="宋体" w:cs="宋体"/>
          <w:bCs/>
          <w:color w:val="auto"/>
          <w:szCs w:val="21"/>
          <w:highlight w:val="none"/>
        </w:rPr>
      </w:pPr>
      <w:r>
        <w:rPr>
          <w:rFonts w:hint="eastAsia" w:ascii="宋体" w:hAnsi="宋体" w:cs="宋体"/>
          <w:bCs/>
          <w:color w:val="auto"/>
          <w:szCs w:val="21"/>
          <w:highlight w:val="none"/>
        </w:rPr>
        <w:t>⑥未经检疫部门检疫、检验或者检疫、检验不合格的肉类；</w:t>
      </w:r>
    </w:p>
    <w:p w14:paraId="74E37D89">
      <w:pPr>
        <w:snapToGrid w:val="0"/>
        <w:spacing w:line="360" w:lineRule="auto"/>
        <w:ind w:left="-61" w:firstLine="514"/>
        <w:rPr>
          <w:rFonts w:hint="eastAsia" w:ascii="宋体" w:hAnsi="宋体" w:cs="宋体"/>
          <w:bCs/>
          <w:color w:val="auto"/>
          <w:szCs w:val="21"/>
          <w:highlight w:val="none"/>
        </w:rPr>
      </w:pPr>
      <w:r>
        <w:rPr>
          <w:rFonts w:hint="eastAsia" w:ascii="宋体" w:hAnsi="宋体" w:cs="宋体"/>
          <w:bCs/>
          <w:color w:val="auto"/>
          <w:szCs w:val="21"/>
          <w:highlight w:val="none"/>
        </w:rPr>
        <w:t>⑦病死、毒死或者死因不明的肉类。</w:t>
      </w:r>
    </w:p>
    <w:p w14:paraId="68A6C4F6">
      <w:pPr>
        <w:snapToGrid w:val="0"/>
        <w:spacing w:line="360" w:lineRule="auto"/>
        <w:ind w:left="-61" w:firstLine="514"/>
        <w:rPr>
          <w:rFonts w:hint="eastAsia" w:ascii="宋体" w:hAnsi="宋体" w:cs="宋体"/>
          <w:bCs/>
          <w:color w:val="auto"/>
          <w:szCs w:val="21"/>
          <w:highlight w:val="none"/>
        </w:rPr>
      </w:pPr>
      <w:r>
        <w:rPr>
          <w:rFonts w:hint="eastAsia" w:ascii="宋体" w:hAnsi="宋体" w:cs="宋体"/>
          <w:bCs/>
          <w:color w:val="auto"/>
          <w:szCs w:val="21"/>
          <w:highlight w:val="none"/>
        </w:rPr>
        <w:t>4.3出现质量问题的，乙方必须在接到甲方通知后</w:t>
      </w:r>
      <w:r>
        <w:rPr>
          <w:rFonts w:hint="eastAsia" w:ascii="宋体" w:hAnsi="宋体" w:cs="宋体"/>
          <w:bCs/>
          <w:color w:val="auto"/>
          <w:szCs w:val="21"/>
          <w:highlight w:val="none"/>
          <w:u w:val="single"/>
        </w:rPr>
        <w:t>1</w:t>
      </w:r>
      <w:r>
        <w:rPr>
          <w:rFonts w:hint="eastAsia" w:ascii="宋体" w:hAnsi="宋体" w:cs="宋体"/>
          <w:bCs/>
          <w:color w:val="auto"/>
          <w:szCs w:val="21"/>
          <w:highlight w:val="none"/>
        </w:rPr>
        <w:t>小时内到达现场处理，如属质量问题的应在</w:t>
      </w:r>
      <w:r>
        <w:rPr>
          <w:rFonts w:hint="eastAsia" w:ascii="宋体" w:hAnsi="宋体" w:cs="宋体"/>
          <w:bCs/>
          <w:color w:val="auto"/>
          <w:szCs w:val="21"/>
          <w:highlight w:val="none"/>
          <w:u w:val="single"/>
        </w:rPr>
        <w:t>2</w:t>
      </w:r>
      <w:r>
        <w:rPr>
          <w:rFonts w:hint="eastAsia" w:ascii="宋体" w:hAnsi="宋体" w:cs="宋体"/>
          <w:bCs/>
          <w:color w:val="auto"/>
          <w:szCs w:val="21"/>
          <w:highlight w:val="none"/>
        </w:rPr>
        <w:t>小时内给予更换。</w:t>
      </w:r>
      <w:r>
        <w:rPr>
          <w:rFonts w:hint="eastAsia" w:ascii="宋体" w:hAnsi="宋体" w:cs="宋体"/>
          <w:color w:val="auto"/>
          <w:kern w:val="0"/>
          <w:szCs w:val="21"/>
          <w:highlight w:val="none"/>
          <w:lang w:bidi="ar"/>
        </w:rPr>
        <w:t>（最终以中标人在投标文件中响应的时间为准）</w:t>
      </w:r>
    </w:p>
    <w:p w14:paraId="413A7269">
      <w:pPr>
        <w:snapToGrid w:val="0"/>
        <w:spacing w:line="360" w:lineRule="auto"/>
        <w:ind w:left="-61" w:firstLine="514"/>
        <w:rPr>
          <w:color w:val="auto"/>
          <w:highlight w:val="none"/>
        </w:rPr>
      </w:pPr>
      <w:r>
        <w:rPr>
          <w:rFonts w:hint="eastAsia" w:ascii="宋体" w:hAnsi="宋体" w:cs="宋体"/>
          <w:bCs/>
          <w:color w:val="auto"/>
          <w:szCs w:val="21"/>
          <w:highlight w:val="none"/>
        </w:rPr>
        <w:t>4.4每批次乙方无法按规定时间交货，甲方从其他地方进行临时应急补货的，产生的相关成本及费用由乙方负责。</w:t>
      </w:r>
    </w:p>
    <w:p w14:paraId="35D52211">
      <w:pPr>
        <w:widowControl/>
        <w:spacing w:before="120" w:beforeLines="50" w:line="360" w:lineRule="auto"/>
        <w:jc w:val="left"/>
        <w:rPr>
          <w:rFonts w:hint="eastAsia" w:ascii="宋体" w:hAnsi="宋体" w:cs="宋体"/>
          <w:color w:val="auto"/>
          <w:szCs w:val="21"/>
          <w:highlight w:val="none"/>
        </w:rPr>
      </w:pPr>
      <w:r>
        <w:rPr>
          <w:rFonts w:hint="eastAsia" w:ascii="宋体" w:hAnsi="宋体" w:cs="宋体"/>
          <w:b/>
          <w:bCs/>
          <w:color w:val="auto"/>
          <w:kern w:val="0"/>
          <w:szCs w:val="21"/>
          <w:highlight w:val="none"/>
          <w:lang w:bidi="ar"/>
        </w:rPr>
        <w:t xml:space="preserve">第三条　包装和运输 </w:t>
      </w:r>
    </w:p>
    <w:p w14:paraId="3689477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1.甲方根据实际需求列出采购的食品请购清单，乙方在收到甲方发出供货通知后，乙方最迟在次日上午08：00前提供当次物资。如有紧急供货要求：在收到甲方发出紧急供货通知后，乙方最迟</w:t>
      </w:r>
      <w:r>
        <w:rPr>
          <w:rFonts w:hint="eastAsia" w:ascii="宋体" w:hAnsi="宋体" w:cs="宋体"/>
          <w:color w:val="auto"/>
          <w:szCs w:val="21"/>
          <w:highlight w:val="none"/>
          <w:u w:val="single"/>
        </w:rPr>
        <w:t>2</w:t>
      </w:r>
      <w:r>
        <w:rPr>
          <w:rFonts w:hint="eastAsia" w:ascii="宋体" w:hAnsi="宋体" w:cs="宋体"/>
          <w:color w:val="auto"/>
          <w:szCs w:val="21"/>
          <w:highlight w:val="none"/>
        </w:rPr>
        <w:t>小时内完成当次现场供货</w:t>
      </w:r>
      <w:r>
        <w:rPr>
          <w:rFonts w:hint="eastAsia" w:ascii="宋体" w:hAnsi="宋体" w:cs="宋体"/>
          <w:color w:val="auto"/>
          <w:kern w:val="0"/>
          <w:szCs w:val="21"/>
          <w:highlight w:val="none"/>
          <w:lang w:bidi="ar"/>
        </w:rPr>
        <w:t>（最终以中标人在投标文件中响应的时间为准）</w:t>
      </w:r>
      <w:r>
        <w:rPr>
          <w:rFonts w:hint="eastAsia" w:ascii="宋体" w:hAnsi="宋体" w:cs="宋体"/>
          <w:color w:val="auto"/>
          <w:szCs w:val="21"/>
          <w:highlight w:val="none"/>
        </w:rPr>
        <w:t>；日常按批次批量供货，乙方按甲方下达的供货清单，向甲方供应物资，特殊情况双方协商确定。</w:t>
      </w:r>
    </w:p>
    <w:p w14:paraId="5FBF9D29">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2.乙方提供的货物均应按招标文件规定或者投标文件承诺的要求的包装材料、包装标准、包装方式进行包装，每一包装单元内应附质量安全检验合格证明。</w:t>
      </w:r>
    </w:p>
    <w:p w14:paraId="4F50AAFC">
      <w:pPr>
        <w:pStyle w:val="18"/>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3.货物的运输方式：</w:t>
      </w:r>
      <w:r>
        <w:rPr>
          <w:rFonts w:hint="eastAsia" w:ascii="宋体" w:hAnsi="宋体" w:cs="宋体"/>
          <w:color w:val="auto"/>
          <w:szCs w:val="21"/>
          <w:highlight w:val="none"/>
          <w:u w:val="single"/>
        </w:rPr>
        <w:t xml:space="preserve"> 冷藏车或冷链车</w:t>
      </w:r>
      <w:r>
        <w:rPr>
          <w:rFonts w:hint="eastAsia" w:ascii="宋体" w:hAnsi="宋体" w:cs="宋体"/>
          <w:color w:val="auto"/>
          <w:szCs w:val="21"/>
          <w:highlight w:val="none"/>
        </w:rPr>
        <w:t xml:space="preserve"> 。乙方自行选择，生鲜肉食材必须</w:t>
      </w:r>
      <w:r>
        <w:rPr>
          <w:rFonts w:hint="eastAsia" w:ascii="宋体" w:hAnsi="宋体" w:cs="宋体"/>
          <w:color w:val="auto"/>
          <w:szCs w:val="21"/>
          <w:highlight w:val="none"/>
          <w:u w:val="single"/>
        </w:rPr>
        <w:t>冷链车</w:t>
      </w:r>
      <w:r>
        <w:rPr>
          <w:rFonts w:hint="eastAsia" w:ascii="宋体" w:hAnsi="宋体" w:cs="宋体"/>
          <w:color w:val="auto"/>
          <w:szCs w:val="21"/>
          <w:highlight w:val="none"/>
        </w:rPr>
        <w:t>配送，满足货物保鲜</w:t>
      </w:r>
      <w:r>
        <w:rPr>
          <w:rFonts w:hint="eastAsia"/>
          <w:color w:val="auto"/>
          <w:highlight w:val="none"/>
        </w:rPr>
        <w:t>无污染，新鲜食材生产环境安全卫生、</w:t>
      </w:r>
      <w:r>
        <w:rPr>
          <w:rFonts w:hint="eastAsia" w:ascii="宋体" w:hAnsi="宋体" w:cs="宋体"/>
          <w:color w:val="auto"/>
          <w:szCs w:val="21"/>
          <w:highlight w:val="none"/>
        </w:rPr>
        <w:t>运输距离、防潮、防震、防锈和防破损装卸要求，以保证货物安全运输到达甲方指定地点。</w:t>
      </w:r>
    </w:p>
    <w:p w14:paraId="01118403">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为确保运输过程的食品安全，必须固定人员固定车辆送货，并提供送货人员健康证明材料无犯罪记录证明材料。如临时更换人员或车辆送货必须提前通知采购人，得到允许方可更换。乙方必须按照监狱食堂物资采购员通知的时间、数量、品种、品质要求准时送货，经验收合格后签字确认，不能以任何理由推托，一旦影响到甲方的正常运转，乙方应承担相应的经济赔偿，并视为违约处理。</w:t>
      </w:r>
    </w:p>
    <w:p w14:paraId="7CD5133E">
      <w:pPr>
        <w:snapToGrid w:val="0"/>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5.乙方负责货物运输，货物运输合理损耗及计算方法：</w:t>
      </w:r>
      <w:r>
        <w:rPr>
          <w:rFonts w:hint="eastAsia" w:ascii="宋体" w:hAnsi="宋体" w:cs="宋体"/>
          <w:color w:val="auto"/>
          <w:szCs w:val="21"/>
          <w:highlight w:val="none"/>
          <w:u w:val="single"/>
        </w:rPr>
        <w:t xml:space="preserve"> 所有损耗由乙方负责 </w:t>
      </w:r>
      <w:r>
        <w:rPr>
          <w:rFonts w:hint="eastAsia" w:ascii="宋体" w:hAnsi="宋体" w:cs="宋体"/>
          <w:color w:val="auto"/>
          <w:szCs w:val="21"/>
          <w:highlight w:val="none"/>
        </w:rPr>
        <w:t>；运输及装车费用由乙方承担。乙方负责将货物安全运送到甲方指定地点，不另收任何费用。</w:t>
      </w:r>
    </w:p>
    <w:p w14:paraId="4365E478">
      <w:pPr>
        <w:pStyle w:val="3"/>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6.货物在交付甲方前发生的风险均由乙方负责。</w:t>
      </w:r>
    </w:p>
    <w:p w14:paraId="08CDECE3">
      <w:pPr>
        <w:pStyle w:val="3"/>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7.货物在规定的交付期限内由乙方送达甲方指定的地点视为交付，乙方同时需通知甲方货物已送达并进行验收；交接货物以甲方验收，双方签字方式进行。如若验收不合格，乙方必须在接到不合格通知后</w:t>
      </w:r>
      <w:r>
        <w:rPr>
          <w:rFonts w:hint="eastAsia" w:ascii="宋体" w:hAnsi="宋体" w:cs="宋体"/>
          <w:color w:val="auto"/>
          <w:sz w:val="21"/>
          <w:szCs w:val="21"/>
          <w:highlight w:val="none"/>
          <w:u w:val="single"/>
        </w:rPr>
        <w:t>2</w:t>
      </w:r>
      <w:r>
        <w:rPr>
          <w:rFonts w:hint="eastAsia" w:ascii="宋体" w:hAnsi="宋体" w:cs="宋体"/>
          <w:color w:val="auto"/>
          <w:sz w:val="21"/>
          <w:szCs w:val="21"/>
          <w:highlight w:val="none"/>
        </w:rPr>
        <w:t>小时内调换货物，如再次验收不合格的，则视为乙方未按规定时间交货，乙方应承担相应的赔偿责任及违约责任。</w:t>
      </w:r>
      <w:r>
        <w:rPr>
          <w:rFonts w:hint="eastAsia" w:ascii="宋体" w:hAnsi="宋体" w:cs="宋体"/>
          <w:color w:val="auto"/>
          <w:sz w:val="21"/>
          <w:szCs w:val="21"/>
          <w:highlight w:val="none"/>
          <w:lang w:bidi="ar"/>
        </w:rPr>
        <w:t>（最终以中标人在投标文件中响应的时间为准）</w:t>
      </w:r>
    </w:p>
    <w:p w14:paraId="1264D24A">
      <w:pPr>
        <w:pStyle w:val="3"/>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8.乙方提供的货物均应按招标文件要求的包装材料、包装标准、包装方式进行包装，每一包单元内附详细的装箱单和质量合格证。</w:t>
      </w:r>
    </w:p>
    <w:p w14:paraId="1DCD3B4B">
      <w:pPr>
        <w:widowControl/>
        <w:spacing w:before="120" w:beforeLines="50" w:line="360" w:lineRule="auto"/>
        <w:jc w:val="left"/>
        <w:rPr>
          <w:rFonts w:hint="eastAsia" w:ascii="宋体" w:hAnsi="宋体" w:cs="宋体"/>
          <w:color w:val="auto"/>
          <w:szCs w:val="21"/>
          <w:highlight w:val="none"/>
        </w:rPr>
      </w:pPr>
      <w:r>
        <w:rPr>
          <w:rFonts w:hint="eastAsia" w:ascii="宋体" w:hAnsi="宋体" w:cs="宋体"/>
          <w:b/>
          <w:bCs/>
          <w:color w:val="auto"/>
          <w:kern w:val="0"/>
          <w:szCs w:val="21"/>
          <w:highlight w:val="none"/>
          <w:lang w:bidi="ar"/>
        </w:rPr>
        <w:t xml:space="preserve">第四条　交付和验收 </w:t>
      </w:r>
    </w:p>
    <w:p w14:paraId="56006517">
      <w:pPr>
        <w:widowControl/>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lang w:bidi="ar"/>
        </w:rPr>
        <w:t>1.</w:t>
      </w:r>
      <w:r>
        <w:rPr>
          <w:rFonts w:hint="eastAsia"/>
          <w:color w:val="auto"/>
          <w:highlight w:val="none"/>
        </w:rPr>
        <w:t>交付时间及供货要求：在合同有效期范围内，按甲方招标文件的规定及甲方实际分批次供货的要求，按甲方采购计划规定的时间全年无休供货</w:t>
      </w:r>
      <w:r>
        <w:rPr>
          <w:rFonts w:hint="eastAsia" w:ascii="宋体" w:hAnsi="宋体" w:cs="宋体"/>
          <w:color w:val="auto"/>
          <w:szCs w:val="21"/>
          <w:highlight w:val="none"/>
        </w:rPr>
        <w:t>。产品运输由乙方负责，运输及装车费用由乙方承担。</w:t>
      </w:r>
      <w:r>
        <w:rPr>
          <w:rFonts w:hint="eastAsia" w:ascii="宋体" w:hAnsi="宋体" w:cs="宋体"/>
          <w:color w:val="auto"/>
          <w:kern w:val="0"/>
          <w:szCs w:val="21"/>
          <w:highlight w:val="none"/>
          <w:lang w:bidi="ar"/>
        </w:rPr>
        <w:t>地点：</w:t>
      </w:r>
      <w:r>
        <w:rPr>
          <w:rFonts w:hint="eastAsia" w:ascii="宋体" w:hAnsi="宋体" w:cs="宋体"/>
          <w:color w:val="auto"/>
          <w:kern w:val="0"/>
          <w:szCs w:val="21"/>
          <w:highlight w:val="none"/>
          <w:u w:val="single"/>
          <w:lang w:bidi="ar"/>
        </w:rPr>
        <w:t>广西壮族自治区梧州市龙圩区</w:t>
      </w:r>
      <w:r>
        <w:rPr>
          <w:rFonts w:hint="eastAsia" w:ascii="宋体" w:hAnsi="宋体" w:cs="宋体"/>
          <w:color w:val="auto"/>
          <w:szCs w:val="21"/>
          <w:highlight w:val="none"/>
          <w:u w:val="single"/>
        </w:rPr>
        <w:t>；</w:t>
      </w:r>
    </w:p>
    <w:p w14:paraId="43D19184">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2.乙方提供不符合招标文件、投标文件和本合同规定的货物，甲方有权拒绝接受。 </w:t>
      </w:r>
    </w:p>
    <w:p w14:paraId="351A79CB">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3</w:t>
      </w:r>
      <w:r>
        <w:rPr>
          <w:rFonts w:hint="eastAsia" w:ascii="宋体" w:hAnsi="宋体" w:cs="宋体"/>
          <w:color w:val="auto"/>
          <w:szCs w:val="21"/>
          <w:highlight w:val="none"/>
        </w:rPr>
        <w:t>.验收工作的一般程序为：根据货物采购清单的具体要求，对所购货物进行清点，同时对外观进行检查实测，并逐项记录。检测结束后，验收人员在验收单上签字。对未能通过验收的，一律退货、更换直至验收合格。</w:t>
      </w:r>
    </w:p>
    <w:p w14:paraId="0F1DC37F">
      <w:pPr>
        <w:widowControl/>
        <w:spacing w:before="120" w:beforeLines="50" w:line="360" w:lineRule="auto"/>
        <w:jc w:val="left"/>
        <w:rPr>
          <w:rFonts w:hint="eastAsia" w:ascii="宋体" w:hAnsi="宋体" w:cs="宋体"/>
          <w:color w:val="auto"/>
          <w:szCs w:val="21"/>
          <w:highlight w:val="none"/>
        </w:rPr>
      </w:pPr>
      <w:r>
        <w:rPr>
          <w:rFonts w:hint="eastAsia" w:ascii="宋体" w:hAnsi="宋体" w:cs="宋体"/>
          <w:b/>
          <w:bCs/>
          <w:color w:val="auto"/>
          <w:kern w:val="0"/>
          <w:szCs w:val="21"/>
          <w:highlight w:val="none"/>
          <w:lang w:bidi="ar"/>
        </w:rPr>
        <w:t xml:space="preserve">第五条　售后服务、质保期 </w:t>
      </w:r>
    </w:p>
    <w:p w14:paraId="42837B77">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1.乙方应按照国家有关法律法规和“三包”规定以及招标文件、投标文件和本合同附件，为甲方提供售后服务。 </w:t>
      </w:r>
    </w:p>
    <w:p w14:paraId="5834F5EF">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2.货物质保期：按乙方承诺，但是不得低于国家相关标准。 </w:t>
      </w:r>
    </w:p>
    <w:p w14:paraId="23141187">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3.乙方提供的服务承诺和售后服务及质保期责任等其它具体约定事项。（见合同附件） </w:t>
      </w:r>
    </w:p>
    <w:p w14:paraId="0C8C265E">
      <w:pPr>
        <w:widowControl/>
        <w:spacing w:before="120" w:beforeLines="50" w:line="360" w:lineRule="auto"/>
        <w:jc w:val="left"/>
        <w:rPr>
          <w:rFonts w:hint="eastAsia" w:ascii="宋体" w:hAnsi="宋体" w:cs="宋体"/>
          <w:color w:val="auto"/>
          <w:szCs w:val="21"/>
          <w:highlight w:val="none"/>
        </w:rPr>
      </w:pPr>
      <w:r>
        <w:rPr>
          <w:rFonts w:hint="eastAsia" w:ascii="宋体" w:hAnsi="宋体" w:cs="宋体"/>
          <w:b/>
          <w:bCs/>
          <w:color w:val="auto"/>
          <w:kern w:val="0"/>
          <w:szCs w:val="21"/>
          <w:highlight w:val="none"/>
          <w:lang w:bidi="ar"/>
        </w:rPr>
        <w:t xml:space="preserve">第六条　付款方式 </w:t>
      </w:r>
    </w:p>
    <w:p w14:paraId="7E41AB94">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按月结算，甲方按月进行公对公账户银行转账，以甲方实际购买的种类及数量据实核算。乙方必须提供详细的物品销售清单与甲方的收货单核对，无误后，由乙方按照甲方财务规定出具正式发票，甲方在收到乙方开具的发票后10个工作日内支付货款。</w:t>
      </w:r>
    </w:p>
    <w:p w14:paraId="0DB0DBC6">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甲方经市场多方面调查发现乙方在合同服务期内存在提供假冒伪劣、有质量缺陷或非正品商品的情况，针对此情况，甲方将向乙方发出问责通知，问责通知发出两次后，乙方仍未能进行有效整改的，甲方有权终止合同，产生的损失由乙方自行负责。</w:t>
      </w:r>
    </w:p>
    <w:p w14:paraId="04AC5080">
      <w:pPr>
        <w:pStyle w:val="25"/>
        <w:snapToGrid w:val="0"/>
        <w:spacing w:line="360" w:lineRule="auto"/>
        <w:ind w:firstLine="420" w:firstLineChars="200"/>
        <w:rPr>
          <w:color w:val="auto"/>
          <w:highlight w:val="none"/>
        </w:rPr>
      </w:pPr>
      <w:r>
        <w:rPr>
          <w:rFonts w:hint="eastAsia" w:hAnsi="宋体" w:cs="宋体"/>
          <w:color w:val="auto"/>
          <w:sz w:val="21"/>
          <w:highlight w:val="none"/>
        </w:rPr>
        <w:t>3.资金性质：</w:t>
      </w:r>
      <w:r>
        <w:rPr>
          <w:rFonts w:hint="eastAsia" w:hAnsi="宋体" w:cs="宋体"/>
          <w:color w:val="auto"/>
          <w:sz w:val="21"/>
          <w:highlight w:val="none"/>
          <w:u w:val="single"/>
        </w:rPr>
        <w:t xml:space="preserve"> 财政资金。</w:t>
      </w:r>
    </w:p>
    <w:p w14:paraId="7025281C">
      <w:pPr>
        <w:widowControl/>
        <w:spacing w:before="120" w:beforeLines="50" w:line="360" w:lineRule="auto"/>
        <w:jc w:val="left"/>
        <w:rPr>
          <w:rFonts w:hint="eastAsia" w:ascii="宋体" w:hAnsi="宋体" w:cs="宋体"/>
          <w:color w:val="auto"/>
          <w:szCs w:val="21"/>
          <w:highlight w:val="none"/>
        </w:rPr>
      </w:pPr>
      <w:r>
        <w:rPr>
          <w:rFonts w:hint="eastAsia" w:ascii="宋体" w:hAnsi="宋体" w:cs="宋体"/>
          <w:b/>
          <w:bCs/>
          <w:color w:val="auto"/>
          <w:kern w:val="0"/>
          <w:szCs w:val="21"/>
          <w:highlight w:val="none"/>
          <w:lang w:bidi="ar"/>
        </w:rPr>
        <w:t>第七条　履约保证金</w:t>
      </w:r>
    </w:p>
    <w:p w14:paraId="5949313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
        </w:rPr>
        <w:t>.</w:t>
      </w:r>
      <w:r>
        <w:rPr>
          <w:rFonts w:hint="eastAsia" w:ascii="宋体" w:hAnsi="宋体" w:cs="宋体"/>
          <w:color w:val="auto"/>
          <w:szCs w:val="21"/>
          <w:highlight w:val="none"/>
        </w:rPr>
        <w:t>乙方提供的履约保证金金额为：政府采购合同金额的</w:t>
      </w:r>
      <w:r>
        <w:rPr>
          <w:rFonts w:hint="eastAsia" w:ascii="宋体" w:hAnsi="宋体" w:cs="宋体"/>
          <w:color w:val="auto"/>
          <w:szCs w:val="21"/>
          <w:highlight w:val="none"/>
          <w:u w:val="single"/>
        </w:rPr>
        <w:t xml:space="preserve"> 2 %</w:t>
      </w:r>
      <w:r>
        <w:rPr>
          <w:rFonts w:hint="eastAsia" w:ascii="宋体" w:hAnsi="宋体" w:cs="宋体"/>
          <w:color w:val="auto"/>
          <w:szCs w:val="21"/>
          <w:highlight w:val="none"/>
        </w:rPr>
        <w:t>。</w:t>
      </w:r>
    </w:p>
    <w:p w14:paraId="0426C06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
        </w:rPr>
        <w:t>.</w:t>
      </w:r>
      <w:r>
        <w:rPr>
          <w:rFonts w:hint="eastAsia" w:ascii="宋体" w:hAnsi="宋体" w:cs="宋体"/>
          <w:color w:val="auto"/>
          <w:szCs w:val="21"/>
          <w:highlight w:val="none"/>
        </w:rPr>
        <w:t>履约保证金递交方式：由乙方在签订合同前以银行转账、支票、汇票、本票或者金融、担保机构出具的保函等非现金方式足额缴纳履约保证金。</w:t>
      </w:r>
    </w:p>
    <w:p w14:paraId="08D9D94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
        </w:rPr>
        <w:t>.</w:t>
      </w:r>
      <w:r>
        <w:rPr>
          <w:rFonts w:hint="eastAsia" w:ascii="宋体" w:hAnsi="宋体" w:cs="宋体"/>
          <w:color w:val="auto"/>
          <w:szCs w:val="21"/>
          <w:highlight w:val="none"/>
        </w:rPr>
        <w:t>履约保证金退付方式、时间及条件：乙方若不能完全履行合同，履约保证金不返还；乙方若完全履行合同，按合同履行相关售后服务和配套服务，并对项目出现的质量及安全问题负责处理解决并承当一切费用，项目（分标）验收合格质保期满后，乙方提交《广西壮族自治区政府采购项目合同验收书》及《政府采购项目履约保证金退付意见书》到甲方财务部门在收到合格材料后办理无息退还手续（不计利息）。</w:t>
      </w:r>
    </w:p>
    <w:p w14:paraId="117DFF9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履约保证金指定账户：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1005FE5">
      <w:pPr>
        <w:widowControl/>
        <w:spacing w:before="120" w:beforeLines="50" w:line="360" w:lineRule="auto"/>
        <w:jc w:val="left"/>
        <w:rPr>
          <w:rFonts w:hint="eastAsia" w:ascii="宋体" w:hAnsi="宋体" w:cs="宋体"/>
          <w:color w:val="auto"/>
          <w:szCs w:val="21"/>
          <w:highlight w:val="none"/>
        </w:rPr>
      </w:pPr>
      <w:r>
        <w:rPr>
          <w:rFonts w:hint="eastAsia" w:ascii="宋体" w:hAnsi="宋体" w:cs="宋体"/>
          <w:b/>
          <w:bCs/>
          <w:color w:val="auto"/>
          <w:kern w:val="0"/>
          <w:szCs w:val="21"/>
          <w:highlight w:val="none"/>
          <w:lang w:bidi="ar"/>
        </w:rPr>
        <w:t xml:space="preserve">第八条　税费 </w:t>
      </w:r>
    </w:p>
    <w:p w14:paraId="5E11475A">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本合同执行中相关的一切税费均由乙方负担。 </w:t>
      </w:r>
    </w:p>
    <w:p w14:paraId="08A5D128">
      <w:pPr>
        <w:widowControl/>
        <w:spacing w:before="120" w:beforeLines="50" w:line="360" w:lineRule="auto"/>
        <w:jc w:val="left"/>
        <w:rPr>
          <w:rFonts w:hint="eastAsia" w:ascii="宋体" w:hAnsi="宋体" w:cs="宋体"/>
          <w:color w:val="auto"/>
          <w:szCs w:val="21"/>
          <w:highlight w:val="none"/>
        </w:rPr>
      </w:pPr>
      <w:r>
        <w:rPr>
          <w:rFonts w:hint="eastAsia" w:ascii="宋体" w:hAnsi="宋体" w:cs="宋体"/>
          <w:b/>
          <w:bCs/>
          <w:color w:val="auto"/>
          <w:kern w:val="0"/>
          <w:szCs w:val="21"/>
          <w:highlight w:val="none"/>
          <w:lang w:bidi="ar"/>
        </w:rPr>
        <w:t xml:space="preserve">第九条　违约责任 </w:t>
      </w:r>
    </w:p>
    <w:p w14:paraId="1FDF871E">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1.乙方未按本合同和投标文件中规定的服务承诺提供售后服务的，乙方应按本货款金额5%向甲方支付违约金，违约金从乙方缴纳的履约保证金中扣除,乙方在收到甲方通知后5个工作日内补足扣除的履约保证金。</w:t>
      </w:r>
    </w:p>
    <w:p w14:paraId="2FCADE84">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乙方违反本合同规定造成甲方人员伤害的，按相关法律追究责任。</w:t>
      </w:r>
    </w:p>
    <w:p w14:paraId="5A2AC46A">
      <w:pPr>
        <w:pStyle w:val="25"/>
        <w:snapToGrid w:val="0"/>
        <w:spacing w:line="360" w:lineRule="auto"/>
        <w:ind w:firstLine="420" w:firstLineChars="200"/>
        <w:rPr>
          <w:color w:val="auto"/>
          <w:highlight w:val="none"/>
        </w:rPr>
      </w:pPr>
      <w:r>
        <w:rPr>
          <w:rFonts w:hint="eastAsia" w:hAnsi="宋体" w:cs="宋体"/>
          <w:color w:val="auto"/>
          <w:sz w:val="21"/>
          <w:highlight w:val="none"/>
        </w:rPr>
        <w:t>2.甲方未按规定时间转结算货款的或延期付货款的，每超一天，按逾期货款每日万分之三支付违约金，但违约金累计不得超过延期货款额5%。</w:t>
      </w:r>
    </w:p>
    <w:p w14:paraId="357BD28D">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3.解除合同及约定违约损失计算方法：</w:t>
      </w:r>
    </w:p>
    <w:p w14:paraId="5C89E9AA">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3.1约定界定乙方严重违约甲方有权解除合同条款如：乙方有如下情形，甲方可单方解除合同：</w:t>
      </w:r>
    </w:p>
    <w:p w14:paraId="097ED11C">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fldChar w:fldCharType="begin"/>
      </w:r>
      <w:r>
        <w:rPr>
          <w:rFonts w:hint="eastAsia" w:hAnsi="宋体" w:cs="宋体"/>
          <w:color w:val="auto"/>
          <w:sz w:val="21"/>
          <w:highlight w:val="none"/>
        </w:rPr>
        <w:instrText xml:space="preserve"> = 1 \* GB3 </w:instrText>
      </w:r>
      <w:r>
        <w:rPr>
          <w:rFonts w:hint="eastAsia" w:hAnsi="宋体" w:cs="宋体"/>
          <w:color w:val="auto"/>
          <w:sz w:val="21"/>
          <w:highlight w:val="none"/>
        </w:rPr>
        <w:fldChar w:fldCharType="separate"/>
      </w:r>
      <w:r>
        <w:rPr>
          <w:rFonts w:hint="eastAsia" w:hAnsi="宋体" w:cs="宋体"/>
          <w:color w:val="auto"/>
          <w:sz w:val="21"/>
          <w:highlight w:val="none"/>
        </w:rPr>
        <w:t>①</w:t>
      </w:r>
      <w:r>
        <w:rPr>
          <w:rFonts w:hint="eastAsia" w:hAnsi="宋体" w:cs="宋体"/>
          <w:color w:val="auto"/>
          <w:sz w:val="21"/>
          <w:highlight w:val="none"/>
        </w:rPr>
        <w:fldChar w:fldCharType="end"/>
      </w:r>
      <w:r>
        <w:rPr>
          <w:rFonts w:hint="eastAsia" w:hAnsi="宋体" w:cs="宋体"/>
          <w:color w:val="auto"/>
          <w:sz w:val="21"/>
          <w:highlight w:val="none"/>
        </w:rPr>
        <w:t>除招标文件中已有约定的相关情形以外，乙方没有按合同约定的时间提供服务或商品，逾期超过2小时或乙方累计二次没有按合同约定时间提供服务或商品的；</w:t>
      </w:r>
    </w:p>
    <w:p w14:paraId="08446F05">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fldChar w:fldCharType="begin"/>
      </w:r>
      <w:r>
        <w:rPr>
          <w:rFonts w:hint="eastAsia" w:hAnsi="宋体" w:cs="宋体"/>
          <w:color w:val="auto"/>
          <w:sz w:val="21"/>
          <w:highlight w:val="none"/>
        </w:rPr>
        <w:instrText xml:space="preserve"> = 2 \* GB3 </w:instrText>
      </w:r>
      <w:r>
        <w:rPr>
          <w:rFonts w:hint="eastAsia" w:hAnsi="宋体" w:cs="宋体"/>
          <w:color w:val="auto"/>
          <w:sz w:val="21"/>
          <w:highlight w:val="none"/>
        </w:rPr>
        <w:fldChar w:fldCharType="separate"/>
      </w:r>
      <w:r>
        <w:rPr>
          <w:rFonts w:hint="eastAsia" w:hAnsi="宋体" w:cs="宋体"/>
          <w:color w:val="auto"/>
          <w:sz w:val="21"/>
          <w:highlight w:val="none"/>
        </w:rPr>
        <w:t>②</w:t>
      </w:r>
      <w:r>
        <w:rPr>
          <w:rFonts w:hint="eastAsia" w:hAnsi="宋体" w:cs="宋体"/>
          <w:color w:val="auto"/>
          <w:sz w:val="21"/>
          <w:highlight w:val="none"/>
        </w:rPr>
        <w:fldChar w:fldCharType="end"/>
      </w:r>
      <w:r>
        <w:rPr>
          <w:rFonts w:hint="eastAsia" w:hAnsi="宋体" w:cs="宋体"/>
          <w:color w:val="auto"/>
          <w:sz w:val="21"/>
          <w:highlight w:val="none"/>
        </w:rPr>
        <w:t>乙方提供的商品或服务侵犯了第三方合法权益而引发的任何纠纷或者诉讼；</w:t>
      </w:r>
    </w:p>
    <w:p w14:paraId="5ACB344B">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fldChar w:fldCharType="begin"/>
      </w:r>
      <w:r>
        <w:rPr>
          <w:rFonts w:hint="eastAsia" w:hAnsi="宋体" w:cs="宋体"/>
          <w:color w:val="auto"/>
          <w:sz w:val="21"/>
          <w:highlight w:val="none"/>
        </w:rPr>
        <w:instrText xml:space="preserve"> = 3 \* GB3 </w:instrText>
      </w:r>
      <w:r>
        <w:rPr>
          <w:rFonts w:hint="eastAsia" w:hAnsi="宋体" w:cs="宋体"/>
          <w:color w:val="auto"/>
          <w:sz w:val="21"/>
          <w:highlight w:val="none"/>
        </w:rPr>
        <w:fldChar w:fldCharType="separate"/>
      </w:r>
      <w:r>
        <w:rPr>
          <w:rFonts w:hint="eastAsia" w:hAnsi="宋体" w:cs="宋体"/>
          <w:color w:val="auto"/>
          <w:sz w:val="21"/>
          <w:highlight w:val="none"/>
        </w:rPr>
        <w:t>③</w:t>
      </w:r>
      <w:r>
        <w:rPr>
          <w:rFonts w:hint="eastAsia" w:hAnsi="宋体" w:cs="宋体"/>
          <w:color w:val="auto"/>
          <w:sz w:val="21"/>
          <w:highlight w:val="none"/>
        </w:rPr>
        <w:fldChar w:fldCharType="end"/>
      </w:r>
      <w:r>
        <w:rPr>
          <w:rFonts w:hint="eastAsia" w:hAnsi="宋体" w:cs="宋体"/>
          <w:color w:val="auto"/>
          <w:sz w:val="21"/>
          <w:highlight w:val="none"/>
        </w:rPr>
        <w:t>乙方提供的商品或服务发生食物中毒或乙方提供的服务和商品累计二次检验不合格的。</w:t>
      </w:r>
    </w:p>
    <w:p w14:paraId="3CF08368">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3.2约定一定数额的违约金及违约损失计算方法，如：乙方违反投标文件及服务承诺或本合同约定义务，应按合同涉及标的的5%支付违约金，违约金不能弥补甲方损失，乙方应继续承担赔偿责任。该赔偿责任包括但不限于甲方因乙方违约向第三方采购服务或商品造成的成本（差价）增加、甲方为处理乙方违约产生的费用包括支付行政处罚款、为维权聘请律师或专业机构等产生的律师费、服务费等。</w:t>
      </w:r>
    </w:p>
    <w:p w14:paraId="1CBD0FFE">
      <w:pPr>
        <w:pStyle w:val="25"/>
        <w:snapToGrid w:val="0"/>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4.因天灾或不可抗力力无法履行合同的，甲方乙方均无责任。</w:t>
      </w:r>
    </w:p>
    <w:p w14:paraId="3BCD3CF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5.其它违约行为由违约方按货款总额5%支付守约方违约金并赔偿经济损失。</w:t>
      </w:r>
    </w:p>
    <w:p w14:paraId="55F82EB9">
      <w:pPr>
        <w:widowControl/>
        <w:spacing w:before="120" w:beforeLines="50" w:line="360" w:lineRule="auto"/>
        <w:jc w:val="left"/>
        <w:rPr>
          <w:rFonts w:hint="eastAsia" w:ascii="宋体" w:hAnsi="宋体" w:cs="宋体"/>
          <w:color w:val="auto"/>
          <w:szCs w:val="21"/>
          <w:highlight w:val="none"/>
        </w:rPr>
      </w:pPr>
      <w:r>
        <w:rPr>
          <w:rFonts w:hint="eastAsia" w:ascii="宋体" w:hAnsi="宋体" w:cs="宋体"/>
          <w:b/>
          <w:bCs/>
          <w:color w:val="auto"/>
          <w:kern w:val="0"/>
          <w:szCs w:val="21"/>
          <w:highlight w:val="none"/>
          <w:lang w:bidi="ar"/>
        </w:rPr>
        <w:t xml:space="preserve">第十条　不可抗力事件处理 </w:t>
      </w:r>
    </w:p>
    <w:p w14:paraId="79E06E1B">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1.在合同有效期内，任何一方因不可抗力事件导致不能履行合同，则合同履行期可延长，其延长期与不可抗力影响期相同。 </w:t>
      </w:r>
    </w:p>
    <w:p w14:paraId="561E754F">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2.不可抗力事件发生后，应立即通知对方，并寄送有关权威机构出具的证明。 </w:t>
      </w:r>
    </w:p>
    <w:p w14:paraId="57E6BC62">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3.不可抗力事件延续一百二十天以上，双方应通过友好协商，确定是否继续履行合同。 </w:t>
      </w:r>
    </w:p>
    <w:p w14:paraId="7B9CF99F">
      <w:pPr>
        <w:widowControl/>
        <w:spacing w:before="120" w:beforeLines="50" w:line="360" w:lineRule="auto"/>
        <w:jc w:val="left"/>
        <w:rPr>
          <w:rFonts w:hint="eastAsia" w:ascii="宋体" w:hAnsi="宋体" w:cs="宋体"/>
          <w:color w:val="auto"/>
          <w:szCs w:val="21"/>
          <w:highlight w:val="none"/>
        </w:rPr>
      </w:pPr>
      <w:r>
        <w:rPr>
          <w:rFonts w:hint="eastAsia" w:ascii="宋体" w:hAnsi="宋体" w:cs="宋体"/>
          <w:b/>
          <w:bCs/>
          <w:color w:val="auto"/>
          <w:kern w:val="0"/>
          <w:szCs w:val="21"/>
          <w:highlight w:val="none"/>
          <w:lang w:bidi="ar"/>
        </w:rPr>
        <w:t xml:space="preserve">第十一条　合同争议解决 </w:t>
      </w:r>
    </w:p>
    <w:p w14:paraId="2D0ED99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1.因货物质量问题发生争议的，应邀请国家认定的质量检测机构按照国家标准对货物质量进行验收，鉴定费由乙方承担。 </w:t>
      </w:r>
    </w:p>
    <w:p w14:paraId="2D43657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2.因履行本合同引起的或与本合同有关的争议，甲乙双方应首先通过友好协商解决，如果协商不能解决，可向甲方所在地人民法院提起诉讼。 </w:t>
      </w:r>
    </w:p>
    <w:p w14:paraId="1D23DC6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3.诉讼期间，本合同继续履行。 </w:t>
      </w:r>
    </w:p>
    <w:p w14:paraId="6556D2F9">
      <w:pPr>
        <w:widowControl/>
        <w:spacing w:before="120" w:beforeLines="50" w:line="360" w:lineRule="auto"/>
        <w:jc w:val="left"/>
        <w:rPr>
          <w:rFonts w:hint="eastAsia" w:ascii="宋体" w:hAnsi="宋体" w:cs="宋体"/>
          <w:color w:val="auto"/>
          <w:szCs w:val="21"/>
          <w:highlight w:val="none"/>
        </w:rPr>
      </w:pPr>
      <w:r>
        <w:rPr>
          <w:rFonts w:hint="eastAsia" w:ascii="宋体" w:hAnsi="宋体" w:cs="宋体"/>
          <w:b/>
          <w:bCs/>
          <w:color w:val="auto"/>
          <w:kern w:val="0"/>
          <w:szCs w:val="21"/>
          <w:highlight w:val="none"/>
          <w:lang w:bidi="ar"/>
        </w:rPr>
        <w:t xml:space="preserve">第十二条　合同生效及其它 </w:t>
      </w:r>
    </w:p>
    <w:p w14:paraId="2E3E4691">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1．本合同履行期限为：</w:t>
      </w:r>
      <w:r>
        <w:rPr>
          <w:rFonts w:hint="eastAsia" w:ascii="宋体" w:hAnsi="宋体" w:cs="宋体"/>
          <w:color w:val="auto"/>
          <w:kern w:val="0"/>
          <w:szCs w:val="21"/>
          <w:highlight w:val="none"/>
          <w:u w:val="single"/>
          <w:lang w:bidi="ar"/>
        </w:rPr>
        <w:t>自合同签订之日起 1年，</w:t>
      </w:r>
      <w:r>
        <w:rPr>
          <w:rFonts w:hint="eastAsia" w:hAnsi="宋体"/>
          <w:color w:val="auto"/>
          <w:szCs w:val="21"/>
          <w:highlight w:val="none"/>
          <w:u w:val="single"/>
        </w:rPr>
        <w:t xml:space="preserve">     </w:t>
      </w:r>
      <w:r>
        <w:rPr>
          <w:rFonts w:hint="eastAsia"/>
          <w:color w:val="auto"/>
          <w:szCs w:val="21"/>
          <w:highlight w:val="none"/>
          <w:u w:val="single"/>
        </w:rPr>
        <w:t>年     月     日至     年     月   日</w:t>
      </w:r>
      <w:r>
        <w:rPr>
          <w:rFonts w:hint="eastAsia" w:ascii="宋体" w:hAnsi="宋体" w:cs="宋体"/>
          <w:color w:val="auto"/>
          <w:kern w:val="0"/>
          <w:szCs w:val="21"/>
          <w:highlight w:val="none"/>
          <w:lang w:bidi="ar"/>
        </w:rPr>
        <w:t>；</w:t>
      </w:r>
    </w:p>
    <w:p w14:paraId="55C543B6">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合同履行地点为：</w:t>
      </w:r>
      <w:r>
        <w:rPr>
          <w:rFonts w:hint="eastAsia" w:ascii="宋体" w:hAnsi="宋体" w:cs="宋体"/>
          <w:color w:val="auto"/>
          <w:kern w:val="0"/>
          <w:szCs w:val="21"/>
          <w:highlight w:val="none"/>
          <w:u w:val="single"/>
          <w:lang w:bidi="ar"/>
        </w:rPr>
        <w:t xml:space="preserve"> 广西壮族自治区梧州市龙圩区</w:t>
      </w:r>
      <w:r>
        <w:rPr>
          <w:rFonts w:hint="eastAsia" w:ascii="宋体" w:hAnsi="宋体" w:cs="宋体"/>
          <w:color w:val="auto"/>
          <w:szCs w:val="21"/>
          <w:highlight w:val="none"/>
          <w:u w:val="single"/>
        </w:rPr>
        <w:t>；</w:t>
      </w:r>
    </w:p>
    <w:p w14:paraId="312DBAA9">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2．合同经双方法定代表人或授权代表签字并加盖单位公章后生效。</w:t>
      </w:r>
    </w:p>
    <w:p w14:paraId="4ADBAA94">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3．合同执行中涉及采购资金和采购内容修改或补充的，须经财政部门审批，并签书面补充协议报</w:t>
      </w:r>
    </w:p>
    <w:p w14:paraId="583126D8">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财政部门备案，方可作为主合同不可分割的一部分。</w:t>
      </w:r>
    </w:p>
    <w:p w14:paraId="63A7CB3D">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4．本合同未尽事宜，遵照《民法典》有关条文执行。 </w:t>
      </w:r>
    </w:p>
    <w:p w14:paraId="407CC87A">
      <w:pPr>
        <w:widowControl/>
        <w:spacing w:before="120" w:beforeLines="50" w:line="360" w:lineRule="auto"/>
        <w:jc w:val="left"/>
        <w:rPr>
          <w:rFonts w:hint="eastAsia" w:ascii="宋体" w:hAnsi="宋体" w:cs="宋体"/>
          <w:color w:val="auto"/>
          <w:szCs w:val="21"/>
          <w:highlight w:val="none"/>
        </w:rPr>
      </w:pPr>
      <w:r>
        <w:rPr>
          <w:rFonts w:hint="eastAsia" w:ascii="宋体" w:hAnsi="宋体" w:cs="宋体"/>
          <w:b/>
          <w:bCs/>
          <w:color w:val="auto"/>
          <w:kern w:val="0"/>
          <w:szCs w:val="21"/>
          <w:highlight w:val="none"/>
          <w:lang w:bidi="ar"/>
        </w:rPr>
        <w:t xml:space="preserve">第十三条　合同的变更、终止与转让 </w:t>
      </w:r>
    </w:p>
    <w:p w14:paraId="55D94D15">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1.除《中华人民共和国政府采购法》第五十条规定及本条第3款约定的情形外，本合同一经签订，甲乙双方不得擅自变更、中止或终止。 </w:t>
      </w:r>
    </w:p>
    <w:p w14:paraId="2CCA5CD3">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2.未经甲方书面同意，乙方不得擅自转让（无进口资格的乙方委托进口货物除外）其应履行的合同义务。 </w:t>
      </w:r>
    </w:p>
    <w:p w14:paraId="7EA9D115">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为避免法律、政策变化的风险，如出现国家法律法规调整、相关管理部门政策变化、措施调整时（包括甲方上级单位下发的相关红头文件要求或上级主管部门重大采购政策调整），甲方有权终止合同，不承担违约责任。</w:t>
      </w:r>
    </w:p>
    <w:p w14:paraId="44C3275F">
      <w:pPr>
        <w:widowControl/>
        <w:spacing w:before="120" w:beforeLines="50" w:line="360" w:lineRule="auto"/>
        <w:jc w:val="left"/>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第十四条　本合同与下列文件一起构成合同文件</w:t>
      </w:r>
    </w:p>
    <w:p w14:paraId="14BD2127">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1.本合同及其补充合同、变更协议、相关考核文件；</w:t>
      </w:r>
    </w:p>
    <w:p w14:paraId="3152449D">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w:t>
      </w:r>
      <w:r>
        <w:rPr>
          <w:rFonts w:hint="eastAsia" w:ascii="宋体" w:hAnsi="宋体" w:cs="宋体"/>
          <w:color w:val="auto"/>
          <w:kern w:val="0"/>
          <w:szCs w:val="21"/>
          <w:highlight w:val="none"/>
          <w:lang w:val="en" w:bidi="ar"/>
        </w:rPr>
        <w:t>.</w:t>
      </w:r>
      <w:r>
        <w:rPr>
          <w:rFonts w:hint="eastAsia" w:ascii="宋体" w:hAnsi="宋体" w:cs="宋体"/>
          <w:color w:val="auto"/>
          <w:kern w:val="0"/>
          <w:szCs w:val="21"/>
          <w:highlight w:val="none"/>
          <w:lang w:bidi="ar"/>
        </w:rPr>
        <w:t>中标通知书；</w:t>
      </w:r>
    </w:p>
    <w:p w14:paraId="17186AFC">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w:t>
      </w:r>
      <w:r>
        <w:rPr>
          <w:rFonts w:hint="eastAsia" w:ascii="宋体" w:hAnsi="宋体" w:cs="宋体"/>
          <w:color w:val="auto"/>
          <w:kern w:val="0"/>
          <w:szCs w:val="21"/>
          <w:highlight w:val="none"/>
          <w:lang w:val="en" w:bidi="ar"/>
        </w:rPr>
        <w:t>.招标文件</w:t>
      </w:r>
      <w:r>
        <w:rPr>
          <w:rFonts w:hint="eastAsia" w:ascii="宋体" w:hAnsi="宋体" w:cs="宋体"/>
          <w:color w:val="auto"/>
          <w:kern w:val="0"/>
          <w:szCs w:val="21"/>
          <w:highlight w:val="none"/>
          <w:lang w:bidi="ar"/>
        </w:rPr>
        <w:t>（含澄清或者说明文件）；</w:t>
      </w:r>
    </w:p>
    <w:p w14:paraId="1EE95FD7">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w:t>
      </w:r>
      <w:r>
        <w:rPr>
          <w:rFonts w:hint="eastAsia" w:ascii="宋体" w:hAnsi="宋体" w:cs="宋体"/>
          <w:color w:val="auto"/>
          <w:kern w:val="0"/>
          <w:szCs w:val="21"/>
          <w:highlight w:val="none"/>
          <w:lang w:val="en" w:bidi="ar"/>
        </w:rPr>
        <w:t>.投标文件</w:t>
      </w:r>
      <w:r>
        <w:rPr>
          <w:rFonts w:hint="eastAsia" w:ascii="宋体" w:hAnsi="宋体" w:cs="宋体"/>
          <w:color w:val="auto"/>
          <w:kern w:val="0"/>
          <w:szCs w:val="21"/>
          <w:highlight w:val="none"/>
          <w:lang w:bidi="ar"/>
        </w:rPr>
        <w:t>；</w:t>
      </w:r>
    </w:p>
    <w:p w14:paraId="19BE8847">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5</w:t>
      </w:r>
      <w:r>
        <w:rPr>
          <w:rFonts w:hint="eastAsia" w:ascii="宋体" w:hAnsi="宋体" w:cs="宋体"/>
          <w:color w:val="auto"/>
          <w:kern w:val="0"/>
          <w:szCs w:val="21"/>
          <w:highlight w:val="none"/>
          <w:lang w:val="en" w:bidi="ar"/>
        </w:rPr>
        <w:t>.</w:t>
      </w:r>
      <w:r>
        <w:rPr>
          <w:rFonts w:hint="eastAsia" w:ascii="宋体" w:hAnsi="宋体" w:cs="宋体"/>
          <w:color w:val="auto"/>
          <w:kern w:val="0"/>
          <w:szCs w:val="21"/>
          <w:highlight w:val="none"/>
          <w:lang w:bidi="ar"/>
        </w:rPr>
        <w:t>投标文件中的其他相关文件。</w:t>
      </w:r>
    </w:p>
    <w:p w14:paraId="7974AB75">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上述合同文件互相补充和解释。如果合同文件之间存在矛盾或者不一致之处，以本合同、上述文件的排列顺序在先者为准。</w:t>
      </w:r>
    </w:p>
    <w:p w14:paraId="0698C2EA">
      <w:pPr>
        <w:widowControl/>
        <w:spacing w:before="120" w:beforeLines="50" w:line="360" w:lineRule="auto"/>
        <w:jc w:val="left"/>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第十五条　其他约定事项</w:t>
      </w:r>
    </w:p>
    <w:p w14:paraId="43CF572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
        </w:rPr>
        <w:t>.</w:t>
      </w:r>
      <w:r>
        <w:rPr>
          <w:rFonts w:hint="eastAsia" w:ascii="宋体" w:hAnsi="宋体" w:cs="宋体"/>
          <w:color w:val="auto"/>
          <w:szCs w:val="21"/>
          <w:highlight w:val="none"/>
        </w:rPr>
        <w:t>本合同所有附件及相关文件均为本合同的有效组成部分，与本合同具有同等法律效力。若合同附件与本合同存在不一致的，则以本合同为准。</w:t>
      </w:r>
    </w:p>
    <w:p w14:paraId="124F934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
        </w:rPr>
        <w:t>.</w:t>
      </w:r>
      <w:r>
        <w:rPr>
          <w:rFonts w:hint="eastAsia" w:ascii="宋体" w:hAnsi="宋体" w:cs="宋体"/>
          <w:color w:val="auto"/>
          <w:szCs w:val="21"/>
          <w:highlight w:val="none"/>
        </w:rPr>
        <w:t>在履行本合同过程中，所有经甲乙双方签署确认的文件（包括会议纪要、补充协议、往来信函、电子邮件等）即成为本合同的有效组成部分。一方地址变更的，应及时书面通知对方，否则上述地址仍为真实有效通讯地址。</w:t>
      </w:r>
    </w:p>
    <w:p w14:paraId="706AAF2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Style w:val="131"/>
          <w:rFonts w:hint="eastAsia" w:ascii="宋体" w:hAnsi="宋体" w:cs="宋体"/>
          <w:bCs/>
          <w:color w:val="auto"/>
          <w:szCs w:val="21"/>
          <w:highlight w:val="none"/>
        </w:rPr>
        <w:t>乙方</w:t>
      </w:r>
      <w:r>
        <w:rPr>
          <w:rFonts w:hint="eastAsia" w:ascii="宋体" w:hAnsi="宋体" w:cs="宋体"/>
          <w:color w:val="auto"/>
          <w:szCs w:val="21"/>
          <w:highlight w:val="none"/>
        </w:rPr>
        <w:t>同意遵守《广西监狱罪犯生活物资供货商考核管理办法》，招标文件未尽事项按照《广西监狱罪犯生活物资供货商考核管理办法》执行。</w:t>
      </w:r>
    </w:p>
    <w:p w14:paraId="32B94E9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color w:val="auto"/>
          <w:szCs w:val="21"/>
          <w:highlight w:val="none"/>
          <w:lang w:val="en"/>
        </w:rPr>
        <w:t>.</w:t>
      </w:r>
      <w:r>
        <w:rPr>
          <w:rFonts w:hint="eastAsia" w:ascii="宋体" w:hAnsi="宋体" w:cs="宋体"/>
          <w:color w:val="auto"/>
          <w:szCs w:val="21"/>
          <w:highlight w:val="none"/>
        </w:rPr>
        <w:t>本合同一式　陆　份，具有同等法律效力，政府采购监管部门、采购代理机构各一份，甲乙双方各</w:t>
      </w:r>
      <w:r>
        <w:rPr>
          <w:rFonts w:hint="eastAsia" w:ascii="宋体" w:hAnsi="宋体" w:cs="宋体"/>
          <w:color w:val="auto"/>
          <w:szCs w:val="21"/>
          <w:highlight w:val="none"/>
          <w:u w:val="single"/>
        </w:rPr>
        <w:t>　贰　</w:t>
      </w:r>
      <w:r>
        <w:rPr>
          <w:rFonts w:hint="eastAsia" w:ascii="宋体" w:hAnsi="宋体" w:cs="宋体"/>
          <w:color w:val="auto"/>
          <w:szCs w:val="21"/>
          <w:highlight w:val="none"/>
        </w:rPr>
        <w:t>份。</w:t>
      </w:r>
    </w:p>
    <w:p w14:paraId="3638E6B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本条款不因合同的变更、解除和终止而失效。</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4"/>
        <w:gridCol w:w="4814"/>
      </w:tblGrid>
      <w:tr w14:paraId="5526E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4814" w:type="dxa"/>
          </w:tcPr>
          <w:p w14:paraId="189E1836">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甲方（章）</w:t>
            </w:r>
          </w:p>
        </w:tc>
        <w:tc>
          <w:tcPr>
            <w:tcW w:w="4814" w:type="dxa"/>
          </w:tcPr>
          <w:p w14:paraId="49C7EFA7">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乙方（章）</w:t>
            </w:r>
          </w:p>
        </w:tc>
      </w:tr>
      <w:tr w14:paraId="6BC23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4814" w:type="dxa"/>
          </w:tcPr>
          <w:p w14:paraId="5E25E69F">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单位地址：</w:t>
            </w:r>
          </w:p>
        </w:tc>
        <w:tc>
          <w:tcPr>
            <w:tcW w:w="4814" w:type="dxa"/>
          </w:tcPr>
          <w:p w14:paraId="2A8979AA">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单位地址：</w:t>
            </w:r>
          </w:p>
        </w:tc>
      </w:tr>
      <w:tr w14:paraId="7C458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4814" w:type="dxa"/>
          </w:tcPr>
          <w:p w14:paraId="784DC3AD">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法定代表人：</w:t>
            </w:r>
          </w:p>
        </w:tc>
        <w:tc>
          <w:tcPr>
            <w:tcW w:w="4814" w:type="dxa"/>
          </w:tcPr>
          <w:p w14:paraId="3605B086">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法定代表人：</w:t>
            </w:r>
          </w:p>
        </w:tc>
      </w:tr>
      <w:tr w14:paraId="04F05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4814" w:type="dxa"/>
          </w:tcPr>
          <w:p w14:paraId="70969A59">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委托代理人：</w:t>
            </w:r>
          </w:p>
        </w:tc>
        <w:tc>
          <w:tcPr>
            <w:tcW w:w="4814" w:type="dxa"/>
          </w:tcPr>
          <w:p w14:paraId="532B1496">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委托代理人：</w:t>
            </w:r>
          </w:p>
        </w:tc>
      </w:tr>
      <w:tr w14:paraId="0434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4814" w:type="dxa"/>
          </w:tcPr>
          <w:p w14:paraId="50A894A7">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电话：</w:t>
            </w:r>
          </w:p>
        </w:tc>
        <w:tc>
          <w:tcPr>
            <w:tcW w:w="4814" w:type="dxa"/>
          </w:tcPr>
          <w:p w14:paraId="6C506B36">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电话：</w:t>
            </w:r>
          </w:p>
        </w:tc>
      </w:tr>
      <w:tr w14:paraId="13490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4814" w:type="dxa"/>
          </w:tcPr>
          <w:p w14:paraId="6363ABCA">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电子邮箱：</w:t>
            </w:r>
          </w:p>
        </w:tc>
        <w:tc>
          <w:tcPr>
            <w:tcW w:w="4814" w:type="dxa"/>
          </w:tcPr>
          <w:p w14:paraId="3E4CE78E">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电子邮箱：</w:t>
            </w:r>
          </w:p>
        </w:tc>
      </w:tr>
      <w:tr w14:paraId="1732C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4814" w:type="dxa"/>
          </w:tcPr>
          <w:p w14:paraId="01318EC1">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开户银行：</w:t>
            </w:r>
          </w:p>
        </w:tc>
        <w:tc>
          <w:tcPr>
            <w:tcW w:w="4814" w:type="dxa"/>
          </w:tcPr>
          <w:p w14:paraId="7626FB71">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开户银行：</w:t>
            </w:r>
          </w:p>
        </w:tc>
      </w:tr>
      <w:tr w14:paraId="6A2F7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4814" w:type="dxa"/>
          </w:tcPr>
          <w:p w14:paraId="2F56DE0E">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账号：</w:t>
            </w:r>
          </w:p>
        </w:tc>
        <w:tc>
          <w:tcPr>
            <w:tcW w:w="4814" w:type="dxa"/>
          </w:tcPr>
          <w:p w14:paraId="46E57C78">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账号：</w:t>
            </w:r>
          </w:p>
        </w:tc>
      </w:tr>
      <w:tr w14:paraId="0043B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814" w:type="dxa"/>
          </w:tcPr>
          <w:p w14:paraId="6EEF814C">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邮政编码：</w:t>
            </w:r>
          </w:p>
        </w:tc>
        <w:tc>
          <w:tcPr>
            <w:tcW w:w="4814" w:type="dxa"/>
          </w:tcPr>
          <w:p w14:paraId="43044A2D">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邮政编码：</w:t>
            </w:r>
          </w:p>
        </w:tc>
      </w:tr>
      <w:tr w14:paraId="0F3EE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2"/>
          </w:tcPr>
          <w:p w14:paraId="5CFECA6C">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经办人：</w:t>
            </w:r>
          </w:p>
          <w:p w14:paraId="332D8F9C">
            <w:pPr>
              <w:widowControl/>
              <w:spacing w:line="360" w:lineRule="auto"/>
              <w:jc w:val="left"/>
              <w:rPr>
                <w:rFonts w:hint="eastAsia" w:ascii="宋体" w:hAnsi="宋体" w:cs="宋体"/>
                <w:color w:val="auto"/>
                <w:kern w:val="0"/>
                <w:szCs w:val="21"/>
                <w:highlight w:val="none"/>
                <w:lang w:bidi="ar"/>
              </w:rPr>
            </w:pPr>
          </w:p>
          <w:p w14:paraId="00D0FB0D">
            <w:pPr>
              <w:widowControl/>
              <w:spacing w:line="360" w:lineRule="auto"/>
              <w:ind w:firstLine="6720" w:firstLineChars="3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年   月   日</w:t>
            </w:r>
          </w:p>
        </w:tc>
      </w:tr>
    </w:tbl>
    <w:p w14:paraId="31FC0774">
      <w:pPr>
        <w:snapToGrid w:val="0"/>
        <w:spacing w:line="360" w:lineRule="auto"/>
        <w:ind w:left="420" w:hanging="420" w:hangingChars="200"/>
        <w:rPr>
          <w:rFonts w:hint="eastAsia" w:ascii="宋体" w:hAnsi="宋体" w:cs="宋体"/>
          <w:color w:val="auto"/>
          <w:szCs w:val="21"/>
          <w:highlight w:val="none"/>
        </w:rPr>
      </w:pPr>
    </w:p>
    <w:p w14:paraId="15736CA0">
      <w:pPr>
        <w:snapToGrid w:val="0"/>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附件：</w:t>
      </w:r>
    </w:p>
    <w:p w14:paraId="7F8FF04F">
      <w:pPr>
        <w:pStyle w:val="2"/>
        <w:numPr>
          <w:ilvl w:val="0"/>
          <w:numId w:val="4"/>
        </w:numPr>
        <w:spacing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开标一览表、货物配置清单。</w:t>
      </w:r>
    </w:p>
    <w:p w14:paraId="2044E649">
      <w:pPr>
        <w:pStyle w:val="2"/>
        <w:numPr>
          <w:ilvl w:val="0"/>
          <w:numId w:val="4"/>
        </w:numPr>
        <w:spacing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服务承诺或售后服务方案、质保期责任承诺等其它方案或承诺函。（如有）</w:t>
      </w:r>
    </w:p>
    <w:p w14:paraId="581E24A2">
      <w:pPr>
        <w:snapToGrid w:val="0"/>
        <w:jc w:val="center"/>
        <w:rPr>
          <w:rFonts w:hint="eastAsia" w:ascii="宋体" w:hAnsi="宋体" w:cs="宋体"/>
          <w:bCs/>
          <w:color w:val="auto"/>
          <w:sz w:val="32"/>
          <w:szCs w:val="32"/>
          <w:highlight w:val="none"/>
        </w:rPr>
      </w:pPr>
    </w:p>
    <w:p w14:paraId="5E10149F">
      <w:pPr>
        <w:snapToGrid w:val="0"/>
        <w:jc w:val="center"/>
        <w:rPr>
          <w:rFonts w:hint="eastAsia" w:ascii="宋体" w:hAnsi="宋体" w:cs="宋体"/>
          <w:bCs/>
          <w:color w:val="auto"/>
          <w:sz w:val="32"/>
          <w:szCs w:val="32"/>
          <w:highlight w:val="none"/>
        </w:rPr>
      </w:pPr>
    </w:p>
    <w:p w14:paraId="7D4A3D30">
      <w:pPr>
        <w:snapToGrid w:val="0"/>
        <w:jc w:val="center"/>
        <w:rPr>
          <w:rFonts w:hint="eastAsia" w:ascii="宋体" w:hAnsi="宋体" w:cs="宋体"/>
          <w:bCs/>
          <w:color w:val="auto"/>
          <w:sz w:val="32"/>
          <w:szCs w:val="32"/>
          <w:highlight w:val="none"/>
        </w:rPr>
      </w:pPr>
    </w:p>
    <w:p w14:paraId="256D8F02">
      <w:pPr>
        <w:snapToGrid w:val="0"/>
        <w:jc w:val="center"/>
        <w:rPr>
          <w:rFonts w:hint="eastAsia" w:ascii="宋体" w:hAnsi="宋体" w:cs="宋体"/>
          <w:bCs/>
          <w:color w:val="auto"/>
          <w:sz w:val="32"/>
          <w:szCs w:val="32"/>
          <w:highlight w:val="none"/>
        </w:rPr>
      </w:pPr>
    </w:p>
    <w:p w14:paraId="4ACDDBFB">
      <w:pPr>
        <w:snapToGrid w:val="0"/>
        <w:jc w:val="center"/>
        <w:rPr>
          <w:rFonts w:hint="eastAsia" w:ascii="宋体" w:hAnsi="宋体" w:cs="宋体"/>
          <w:bCs/>
          <w:color w:val="auto"/>
          <w:sz w:val="32"/>
          <w:szCs w:val="32"/>
          <w:highlight w:val="none"/>
        </w:rPr>
      </w:pPr>
    </w:p>
    <w:p w14:paraId="43E379FD">
      <w:pPr>
        <w:snapToGrid w:val="0"/>
        <w:jc w:val="center"/>
        <w:rPr>
          <w:rFonts w:hint="eastAsia" w:ascii="宋体" w:hAnsi="宋体" w:cs="宋体"/>
          <w:bCs/>
          <w:color w:val="auto"/>
          <w:sz w:val="32"/>
          <w:szCs w:val="32"/>
          <w:highlight w:val="none"/>
        </w:rPr>
      </w:pPr>
    </w:p>
    <w:p w14:paraId="41BF6CB4">
      <w:pPr>
        <w:snapToGrid w:val="0"/>
        <w:jc w:val="center"/>
        <w:rPr>
          <w:rFonts w:hint="eastAsia" w:ascii="宋体" w:hAnsi="宋体" w:cs="宋体"/>
          <w:bCs/>
          <w:color w:val="auto"/>
          <w:sz w:val="32"/>
          <w:szCs w:val="32"/>
          <w:highlight w:val="none"/>
        </w:rPr>
      </w:pPr>
    </w:p>
    <w:p w14:paraId="54606FD0">
      <w:pPr>
        <w:snapToGrid w:val="0"/>
        <w:jc w:val="center"/>
        <w:rPr>
          <w:rFonts w:hint="eastAsia" w:ascii="宋体" w:hAnsi="宋体" w:cs="宋体"/>
          <w:bCs/>
          <w:color w:val="auto"/>
          <w:sz w:val="32"/>
          <w:szCs w:val="32"/>
          <w:highlight w:val="none"/>
        </w:rPr>
      </w:pPr>
    </w:p>
    <w:p w14:paraId="30821FBC">
      <w:pPr>
        <w:snapToGrid w:val="0"/>
        <w:jc w:val="center"/>
        <w:rPr>
          <w:rFonts w:hint="eastAsia" w:ascii="宋体" w:hAnsi="宋体" w:cs="宋体"/>
          <w:bCs/>
          <w:color w:val="auto"/>
          <w:sz w:val="32"/>
          <w:szCs w:val="32"/>
          <w:highlight w:val="none"/>
        </w:rPr>
      </w:pPr>
    </w:p>
    <w:p w14:paraId="320EAA07">
      <w:pPr>
        <w:snapToGrid w:val="0"/>
        <w:jc w:val="center"/>
        <w:rPr>
          <w:rFonts w:hint="eastAsia" w:ascii="宋体" w:hAnsi="宋体" w:cs="宋体"/>
          <w:bCs/>
          <w:color w:val="auto"/>
          <w:sz w:val="32"/>
          <w:szCs w:val="32"/>
          <w:highlight w:val="none"/>
        </w:rPr>
      </w:pPr>
    </w:p>
    <w:p w14:paraId="2E569DE4">
      <w:pPr>
        <w:pStyle w:val="4"/>
        <w:jc w:val="center"/>
        <w:rPr>
          <w:rFonts w:hint="eastAsia" w:ascii="宋体" w:hAnsi="宋体" w:cs="宋体"/>
          <w:color w:val="auto"/>
          <w:highlight w:val="none"/>
        </w:rPr>
      </w:pPr>
    </w:p>
    <w:p w14:paraId="1D17A5F9">
      <w:pPr>
        <w:pStyle w:val="4"/>
        <w:jc w:val="center"/>
        <w:rPr>
          <w:rFonts w:hint="eastAsia" w:ascii="宋体" w:hAnsi="宋体" w:cs="宋体"/>
          <w:color w:val="auto"/>
          <w:highlight w:val="none"/>
        </w:rPr>
      </w:pPr>
    </w:p>
    <w:p w14:paraId="73F0282D">
      <w:pPr>
        <w:pStyle w:val="4"/>
        <w:jc w:val="center"/>
        <w:rPr>
          <w:rFonts w:hint="eastAsia" w:ascii="宋体" w:hAnsi="宋体" w:cs="宋体"/>
          <w:color w:val="auto"/>
          <w:highlight w:val="none"/>
        </w:rPr>
      </w:pPr>
    </w:p>
    <w:p w14:paraId="6D0E9B48">
      <w:pPr>
        <w:pStyle w:val="4"/>
        <w:jc w:val="center"/>
        <w:rPr>
          <w:rFonts w:hint="eastAsia" w:ascii="宋体" w:hAnsi="宋体" w:cs="宋体"/>
          <w:color w:val="auto"/>
          <w:highlight w:val="none"/>
        </w:rPr>
      </w:pPr>
    </w:p>
    <w:p w14:paraId="4A7123C2">
      <w:pPr>
        <w:pStyle w:val="4"/>
        <w:jc w:val="center"/>
        <w:rPr>
          <w:rFonts w:hint="eastAsia" w:ascii="宋体" w:hAnsi="宋体" w:cs="宋体"/>
          <w:color w:val="auto"/>
          <w:highlight w:val="none"/>
        </w:rPr>
      </w:pPr>
      <w:bookmarkStart w:id="144" w:name="_Toc28667"/>
      <w:r>
        <w:rPr>
          <w:rFonts w:hint="eastAsia" w:ascii="宋体" w:hAnsi="宋体" w:cs="宋体"/>
          <w:color w:val="auto"/>
          <w:highlight w:val="none"/>
        </w:rPr>
        <w:t>第六章　投标文件格式</w:t>
      </w:r>
      <w:bookmarkEnd w:id="144"/>
    </w:p>
    <w:p w14:paraId="5F737742">
      <w:pPr>
        <w:snapToGrid w:val="0"/>
        <w:spacing w:before="50" w:after="50"/>
        <w:outlineLvl w:val="1"/>
        <w:rPr>
          <w:rFonts w:hint="eastAsia" w:ascii="宋体" w:hAnsi="宋体" w:cs="宋体"/>
          <w:color w:val="auto"/>
          <w:sz w:val="32"/>
          <w:szCs w:val="20"/>
          <w:highlight w:val="none"/>
        </w:rPr>
      </w:pPr>
    </w:p>
    <w:p w14:paraId="0721DB37">
      <w:pPr>
        <w:snapToGrid w:val="0"/>
        <w:spacing w:before="50" w:after="50"/>
        <w:outlineLvl w:val="1"/>
        <w:rPr>
          <w:rFonts w:hint="eastAsia" w:ascii="宋体" w:hAnsi="宋体" w:cs="宋体"/>
          <w:color w:val="auto"/>
          <w:sz w:val="32"/>
          <w:szCs w:val="20"/>
          <w:highlight w:val="none"/>
        </w:rPr>
      </w:pPr>
    </w:p>
    <w:p w14:paraId="7A56F186">
      <w:pPr>
        <w:snapToGrid w:val="0"/>
        <w:spacing w:before="50" w:after="50"/>
        <w:outlineLvl w:val="1"/>
        <w:rPr>
          <w:rFonts w:hint="eastAsia" w:ascii="宋体" w:hAnsi="宋体" w:cs="宋体"/>
          <w:color w:val="auto"/>
          <w:sz w:val="32"/>
          <w:szCs w:val="20"/>
          <w:highlight w:val="none"/>
        </w:rPr>
      </w:pPr>
    </w:p>
    <w:p w14:paraId="11E24058">
      <w:pPr>
        <w:snapToGrid w:val="0"/>
        <w:spacing w:before="50" w:after="50"/>
        <w:outlineLvl w:val="1"/>
        <w:rPr>
          <w:rFonts w:hint="eastAsia" w:ascii="宋体" w:hAnsi="宋体" w:cs="宋体"/>
          <w:color w:val="auto"/>
          <w:sz w:val="32"/>
          <w:szCs w:val="20"/>
          <w:highlight w:val="none"/>
        </w:rPr>
      </w:pPr>
    </w:p>
    <w:p w14:paraId="203D9694">
      <w:pPr>
        <w:snapToGrid w:val="0"/>
        <w:spacing w:before="50" w:after="50"/>
        <w:outlineLvl w:val="1"/>
        <w:rPr>
          <w:rFonts w:hint="eastAsia" w:ascii="宋体" w:hAnsi="宋体" w:cs="宋体"/>
          <w:color w:val="auto"/>
          <w:sz w:val="32"/>
          <w:szCs w:val="20"/>
          <w:highlight w:val="none"/>
        </w:rPr>
      </w:pPr>
    </w:p>
    <w:p w14:paraId="11F6584D">
      <w:pPr>
        <w:snapToGrid w:val="0"/>
        <w:spacing w:before="50" w:after="50"/>
        <w:outlineLvl w:val="1"/>
        <w:rPr>
          <w:rFonts w:hint="eastAsia" w:ascii="宋体" w:hAnsi="宋体" w:cs="宋体"/>
          <w:color w:val="auto"/>
          <w:sz w:val="32"/>
          <w:szCs w:val="20"/>
          <w:highlight w:val="none"/>
        </w:rPr>
      </w:pPr>
    </w:p>
    <w:p w14:paraId="1FD1BE0E">
      <w:pPr>
        <w:snapToGrid w:val="0"/>
        <w:spacing w:before="50" w:after="50"/>
        <w:outlineLvl w:val="1"/>
        <w:rPr>
          <w:rFonts w:hint="eastAsia" w:ascii="宋体" w:hAnsi="宋体" w:cs="宋体"/>
          <w:color w:val="auto"/>
          <w:sz w:val="32"/>
          <w:szCs w:val="20"/>
          <w:highlight w:val="none"/>
        </w:rPr>
      </w:pPr>
    </w:p>
    <w:p w14:paraId="45E0B3E8">
      <w:pPr>
        <w:snapToGrid w:val="0"/>
        <w:spacing w:before="50" w:after="50"/>
        <w:outlineLvl w:val="1"/>
        <w:rPr>
          <w:rFonts w:hint="eastAsia" w:ascii="宋体" w:hAnsi="宋体" w:cs="宋体"/>
          <w:color w:val="auto"/>
          <w:sz w:val="32"/>
          <w:szCs w:val="20"/>
          <w:highlight w:val="none"/>
        </w:rPr>
      </w:pPr>
    </w:p>
    <w:p w14:paraId="0D87F970">
      <w:pPr>
        <w:snapToGrid w:val="0"/>
        <w:spacing w:before="50" w:after="50"/>
        <w:outlineLvl w:val="1"/>
        <w:rPr>
          <w:rFonts w:hint="eastAsia" w:ascii="宋体" w:hAnsi="宋体" w:cs="宋体"/>
          <w:color w:val="auto"/>
          <w:sz w:val="32"/>
          <w:szCs w:val="20"/>
          <w:highlight w:val="none"/>
        </w:rPr>
      </w:pPr>
    </w:p>
    <w:p w14:paraId="0D459EED">
      <w:pPr>
        <w:snapToGrid w:val="0"/>
        <w:spacing w:before="50" w:after="50"/>
        <w:outlineLvl w:val="1"/>
        <w:rPr>
          <w:rFonts w:hint="eastAsia" w:ascii="宋体" w:hAnsi="宋体" w:cs="宋体"/>
          <w:color w:val="auto"/>
          <w:sz w:val="32"/>
          <w:szCs w:val="20"/>
          <w:highlight w:val="none"/>
        </w:rPr>
      </w:pPr>
    </w:p>
    <w:p w14:paraId="0A73FB41">
      <w:pPr>
        <w:snapToGrid w:val="0"/>
        <w:spacing w:before="120" w:beforeLines="50" w:after="50"/>
        <w:jc w:val="center"/>
        <w:outlineLvl w:val="1"/>
        <w:rPr>
          <w:rFonts w:hint="eastAsia" w:ascii="宋体" w:hAnsi="宋体" w:cs="宋体"/>
          <w:color w:val="auto"/>
          <w:highlight w:val="none"/>
        </w:rPr>
      </w:pPr>
    </w:p>
    <w:p w14:paraId="38D9BB75">
      <w:pPr>
        <w:rPr>
          <w:rFonts w:hint="eastAsia" w:ascii="宋体" w:hAnsi="宋体" w:cs="宋体"/>
          <w:b/>
          <w:color w:val="auto"/>
          <w:sz w:val="28"/>
          <w:szCs w:val="28"/>
          <w:highlight w:val="none"/>
        </w:rPr>
      </w:pPr>
      <w:bookmarkStart w:id="145" w:name="_Toc19686836"/>
      <w:bookmarkStart w:id="146" w:name="_Toc254970698"/>
      <w:bookmarkStart w:id="147" w:name="_Toc254970557"/>
      <w:r>
        <w:rPr>
          <w:rFonts w:hint="eastAsia" w:ascii="宋体" w:hAnsi="宋体" w:cs="宋体"/>
          <w:b/>
          <w:color w:val="auto"/>
          <w:sz w:val="28"/>
          <w:szCs w:val="28"/>
          <w:highlight w:val="none"/>
        </w:rPr>
        <w:br w:type="page"/>
      </w:r>
      <w:r>
        <w:rPr>
          <w:rFonts w:hint="eastAsia" w:ascii="宋体" w:hAnsi="宋体" w:cs="宋体"/>
          <w:b/>
          <w:color w:val="auto"/>
          <w:sz w:val="28"/>
          <w:szCs w:val="28"/>
          <w:highlight w:val="none"/>
        </w:rPr>
        <w:t>一、报价文件格式</w:t>
      </w:r>
      <w:bookmarkEnd w:id="145"/>
    </w:p>
    <w:p w14:paraId="772C1316">
      <w:pPr>
        <w:snapToGrid w:val="0"/>
        <w:spacing w:before="120" w:beforeLines="50" w:after="50" w:line="360" w:lineRule="auto"/>
        <w:ind w:left="142"/>
        <w:jc w:val="left"/>
        <w:rPr>
          <w:rFonts w:hint="eastAsia" w:ascii="宋体" w:hAnsi="宋体" w:cs="宋体"/>
          <w:color w:val="auto"/>
          <w:sz w:val="24"/>
          <w:szCs w:val="20"/>
          <w:highlight w:val="none"/>
        </w:rPr>
      </w:pPr>
      <w:r>
        <w:rPr>
          <w:rFonts w:hint="eastAsia" w:ascii="宋体" w:hAnsi="宋体" w:cs="宋体"/>
          <w:b/>
          <w:color w:val="auto"/>
          <w:sz w:val="24"/>
          <w:highlight w:val="none"/>
        </w:rPr>
        <w:t xml:space="preserve">1. 报价文件封面格式： </w:t>
      </w:r>
    </w:p>
    <w:p w14:paraId="5F55948A">
      <w:pPr>
        <w:snapToGrid w:val="0"/>
        <w:spacing w:before="120" w:beforeLines="50" w:after="50" w:line="400" w:lineRule="exact"/>
        <w:rPr>
          <w:rFonts w:hint="eastAsia" w:ascii="宋体" w:hAnsi="宋体" w:cs="宋体"/>
          <w:bCs/>
          <w:color w:val="auto"/>
          <w:sz w:val="32"/>
          <w:szCs w:val="20"/>
          <w:highlight w:val="none"/>
        </w:rPr>
      </w:pPr>
    </w:p>
    <w:p w14:paraId="375715C2">
      <w:pPr>
        <w:snapToGrid w:val="0"/>
        <w:spacing w:before="120" w:beforeLines="50" w:after="50" w:line="400" w:lineRule="exact"/>
        <w:jc w:val="center"/>
        <w:rPr>
          <w:rFonts w:hint="eastAsia" w:ascii="宋体" w:hAnsi="宋体" w:cs="宋体"/>
          <w:bCs/>
          <w:color w:val="auto"/>
          <w:sz w:val="24"/>
          <w:szCs w:val="20"/>
          <w:highlight w:val="none"/>
        </w:rPr>
      </w:pPr>
    </w:p>
    <w:p w14:paraId="195DA7E3">
      <w:pPr>
        <w:snapToGrid w:val="0"/>
        <w:spacing w:before="120" w:beforeLines="50" w:after="50"/>
        <w:jc w:val="center"/>
        <w:rPr>
          <w:rFonts w:hint="eastAsia" w:ascii="宋体" w:hAnsi="宋体" w:cs="宋体"/>
          <w:color w:val="auto"/>
          <w:sz w:val="84"/>
          <w:szCs w:val="84"/>
          <w:highlight w:val="none"/>
        </w:rPr>
      </w:pPr>
      <w:r>
        <w:rPr>
          <w:rFonts w:hint="eastAsia" w:ascii="宋体" w:hAnsi="宋体" w:cs="宋体"/>
          <w:color w:val="auto"/>
          <w:sz w:val="84"/>
          <w:szCs w:val="84"/>
          <w:highlight w:val="none"/>
        </w:rPr>
        <w:t>投  标  文  件</w:t>
      </w:r>
    </w:p>
    <w:p w14:paraId="0BBFB578">
      <w:pPr>
        <w:snapToGrid w:val="0"/>
        <w:spacing w:before="120" w:beforeLines="50" w:after="50" w:line="400" w:lineRule="exact"/>
        <w:jc w:val="center"/>
        <w:rPr>
          <w:rFonts w:hint="eastAsia" w:ascii="宋体" w:hAnsi="宋体" w:cs="宋体"/>
          <w:bCs/>
          <w:color w:val="auto"/>
          <w:sz w:val="32"/>
          <w:szCs w:val="32"/>
          <w:highlight w:val="none"/>
        </w:rPr>
      </w:pPr>
    </w:p>
    <w:p w14:paraId="34BBD06B">
      <w:pPr>
        <w:snapToGrid w:val="0"/>
        <w:spacing w:before="120" w:beforeLines="50" w:after="50" w:line="400" w:lineRule="exact"/>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报  价  文  件</w:t>
      </w:r>
    </w:p>
    <w:p w14:paraId="55342F51">
      <w:pPr>
        <w:snapToGrid w:val="0"/>
        <w:spacing w:before="120" w:beforeLines="50" w:after="50" w:line="400" w:lineRule="exact"/>
        <w:rPr>
          <w:rFonts w:hint="eastAsia" w:ascii="宋体" w:hAnsi="宋体" w:cs="宋体"/>
          <w:bCs/>
          <w:color w:val="auto"/>
          <w:sz w:val="24"/>
          <w:szCs w:val="20"/>
          <w:highlight w:val="none"/>
        </w:rPr>
      </w:pPr>
    </w:p>
    <w:p w14:paraId="56BA8D22">
      <w:pPr>
        <w:snapToGrid w:val="0"/>
        <w:spacing w:before="120" w:beforeLines="50" w:after="50" w:line="400" w:lineRule="exact"/>
        <w:rPr>
          <w:rFonts w:hint="eastAsia" w:ascii="宋体" w:hAnsi="宋体" w:cs="宋体"/>
          <w:bCs/>
          <w:color w:val="auto"/>
          <w:sz w:val="24"/>
          <w:szCs w:val="20"/>
          <w:highlight w:val="none"/>
        </w:rPr>
      </w:pPr>
    </w:p>
    <w:p w14:paraId="7DA98F73">
      <w:pPr>
        <w:snapToGrid w:val="0"/>
        <w:spacing w:before="120" w:beforeLines="50" w:after="50" w:line="400" w:lineRule="exact"/>
        <w:rPr>
          <w:rFonts w:hint="eastAsia" w:ascii="宋体" w:hAnsi="宋体" w:cs="宋体"/>
          <w:bCs/>
          <w:color w:val="auto"/>
          <w:sz w:val="24"/>
          <w:szCs w:val="20"/>
          <w:highlight w:val="none"/>
        </w:rPr>
      </w:pPr>
    </w:p>
    <w:p w14:paraId="1E262C64">
      <w:pPr>
        <w:snapToGrid w:val="0"/>
        <w:spacing w:before="120" w:beforeLines="50" w:after="50" w:line="400" w:lineRule="exact"/>
        <w:rPr>
          <w:rFonts w:hint="eastAsia" w:ascii="宋体" w:hAnsi="宋体" w:cs="宋体"/>
          <w:bCs/>
          <w:color w:val="auto"/>
          <w:sz w:val="24"/>
          <w:szCs w:val="20"/>
          <w:highlight w:val="none"/>
        </w:rPr>
      </w:pPr>
    </w:p>
    <w:p w14:paraId="7FAD8AC9">
      <w:pPr>
        <w:snapToGrid w:val="0"/>
        <w:spacing w:before="120" w:beforeLines="50" w:after="50" w:line="400" w:lineRule="exact"/>
        <w:ind w:firstLine="360" w:firstLineChars="150"/>
        <w:rPr>
          <w:rFonts w:hint="eastAsia" w:ascii="宋体" w:hAnsi="宋体" w:cs="宋体"/>
          <w:bCs/>
          <w:color w:val="auto"/>
          <w:sz w:val="24"/>
          <w:highlight w:val="none"/>
        </w:rPr>
      </w:pPr>
      <w:r>
        <w:rPr>
          <w:rFonts w:hint="eastAsia" w:ascii="宋体" w:hAnsi="宋体" w:cs="宋体"/>
          <w:bCs/>
          <w:color w:val="auto"/>
          <w:sz w:val="24"/>
          <w:highlight w:val="none"/>
        </w:rPr>
        <w:t xml:space="preserve">项目名称： </w:t>
      </w:r>
    </w:p>
    <w:p w14:paraId="0B5C91F8">
      <w:pPr>
        <w:snapToGrid w:val="0"/>
        <w:spacing w:before="120" w:beforeLines="50" w:after="50" w:line="400" w:lineRule="exact"/>
        <w:ind w:firstLine="360" w:firstLineChars="150"/>
        <w:rPr>
          <w:rFonts w:hint="eastAsia" w:ascii="宋体" w:hAnsi="宋体" w:cs="宋体"/>
          <w:bCs/>
          <w:color w:val="auto"/>
          <w:sz w:val="24"/>
          <w:highlight w:val="none"/>
        </w:rPr>
      </w:pPr>
    </w:p>
    <w:p w14:paraId="297F0F81">
      <w:pPr>
        <w:snapToGrid w:val="0"/>
        <w:spacing w:before="120" w:beforeLines="50" w:after="50" w:line="400" w:lineRule="exact"/>
        <w:ind w:firstLine="360" w:firstLineChars="150"/>
        <w:rPr>
          <w:rFonts w:hint="eastAsia" w:ascii="宋体" w:hAnsi="宋体" w:cs="宋体"/>
          <w:bCs/>
          <w:color w:val="auto"/>
          <w:sz w:val="24"/>
          <w:highlight w:val="none"/>
        </w:rPr>
      </w:pPr>
      <w:r>
        <w:rPr>
          <w:rFonts w:hint="eastAsia" w:ascii="宋体" w:hAnsi="宋体" w:cs="宋体"/>
          <w:bCs/>
          <w:color w:val="auto"/>
          <w:sz w:val="24"/>
          <w:highlight w:val="none"/>
        </w:rPr>
        <w:t xml:space="preserve">项目编号： </w:t>
      </w:r>
    </w:p>
    <w:p w14:paraId="32D5860F">
      <w:pPr>
        <w:snapToGrid w:val="0"/>
        <w:spacing w:before="120" w:beforeLines="50" w:after="50" w:line="400" w:lineRule="exact"/>
        <w:ind w:firstLine="360" w:firstLineChars="150"/>
        <w:rPr>
          <w:rFonts w:hint="eastAsia" w:ascii="宋体" w:hAnsi="宋体" w:cs="宋体"/>
          <w:bCs/>
          <w:color w:val="auto"/>
          <w:sz w:val="24"/>
          <w:highlight w:val="none"/>
        </w:rPr>
      </w:pPr>
    </w:p>
    <w:p w14:paraId="02932295">
      <w:pPr>
        <w:snapToGrid w:val="0"/>
        <w:spacing w:before="120" w:beforeLines="50" w:after="50" w:line="400" w:lineRule="exact"/>
        <w:ind w:firstLine="360" w:firstLineChars="150"/>
        <w:rPr>
          <w:rFonts w:hint="eastAsia" w:ascii="宋体" w:hAnsi="宋体" w:cs="宋体"/>
          <w:bCs/>
          <w:color w:val="auto"/>
          <w:sz w:val="24"/>
          <w:highlight w:val="none"/>
        </w:rPr>
      </w:pPr>
      <w:r>
        <w:rPr>
          <w:rFonts w:hint="eastAsia" w:ascii="宋体" w:hAnsi="宋体" w:cs="宋体"/>
          <w:bCs/>
          <w:color w:val="auto"/>
          <w:sz w:val="24"/>
          <w:highlight w:val="none"/>
        </w:rPr>
        <w:t>所投分标：</w:t>
      </w:r>
    </w:p>
    <w:p w14:paraId="42E4F0CD">
      <w:pPr>
        <w:snapToGrid w:val="0"/>
        <w:spacing w:before="120" w:beforeLines="50" w:after="50" w:line="400" w:lineRule="exact"/>
        <w:ind w:firstLine="360" w:firstLineChars="150"/>
        <w:rPr>
          <w:rFonts w:hint="eastAsia" w:ascii="宋体" w:hAnsi="宋体" w:cs="宋体"/>
          <w:bCs/>
          <w:color w:val="auto"/>
          <w:sz w:val="24"/>
          <w:highlight w:val="none"/>
        </w:rPr>
      </w:pPr>
    </w:p>
    <w:p w14:paraId="5FA717A5">
      <w:pPr>
        <w:snapToGrid w:val="0"/>
        <w:spacing w:before="120" w:beforeLines="50" w:after="50" w:line="400" w:lineRule="exact"/>
        <w:ind w:firstLine="360" w:firstLineChars="150"/>
        <w:rPr>
          <w:rFonts w:hint="eastAsia" w:ascii="宋体" w:hAnsi="宋体" w:cs="宋体"/>
          <w:bCs/>
          <w:color w:val="auto"/>
          <w:sz w:val="24"/>
          <w:highlight w:val="none"/>
        </w:rPr>
      </w:pPr>
      <w:r>
        <w:rPr>
          <w:rFonts w:hint="eastAsia" w:ascii="宋体" w:hAnsi="宋体" w:cs="宋体"/>
          <w:bCs/>
          <w:color w:val="auto"/>
          <w:sz w:val="24"/>
          <w:highlight w:val="none"/>
        </w:rPr>
        <w:t>投标人名称：</w:t>
      </w:r>
    </w:p>
    <w:p w14:paraId="3B408870">
      <w:pPr>
        <w:snapToGrid w:val="0"/>
        <w:spacing w:before="120" w:beforeLines="50" w:after="50" w:line="400" w:lineRule="exact"/>
        <w:ind w:firstLine="360" w:firstLineChars="150"/>
        <w:rPr>
          <w:rFonts w:hint="eastAsia" w:ascii="宋体" w:hAnsi="宋体" w:cs="宋体"/>
          <w:bCs/>
          <w:color w:val="auto"/>
          <w:sz w:val="24"/>
          <w:highlight w:val="none"/>
        </w:rPr>
      </w:pPr>
    </w:p>
    <w:p w14:paraId="25853EA0">
      <w:pPr>
        <w:snapToGrid w:val="0"/>
        <w:spacing w:before="120" w:beforeLines="50" w:after="50" w:line="400" w:lineRule="exact"/>
        <w:ind w:firstLine="360" w:firstLineChars="150"/>
        <w:rPr>
          <w:rFonts w:hint="eastAsia" w:ascii="宋体" w:hAnsi="宋体" w:cs="宋体"/>
          <w:bCs/>
          <w:color w:val="auto"/>
          <w:sz w:val="24"/>
          <w:highlight w:val="none"/>
        </w:rPr>
      </w:pPr>
      <w:r>
        <w:rPr>
          <w:rFonts w:hint="eastAsia" w:ascii="宋体" w:hAnsi="宋体" w:cs="宋体"/>
          <w:bCs/>
          <w:color w:val="auto"/>
          <w:sz w:val="24"/>
          <w:highlight w:val="none"/>
        </w:rPr>
        <w:t>投标人地址：</w:t>
      </w:r>
    </w:p>
    <w:p w14:paraId="5ADCFB0D">
      <w:pPr>
        <w:pStyle w:val="11"/>
        <w:snapToGrid w:val="0"/>
        <w:spacing w:before="50" w:after="50" w:line="400" w:lineRule="exact"/>
        <w:ind w:firstLine="960" w:firstLineChars="400"/>
        <w:rPr>
          <w:rFonts w:hint="eastAsia" w:ascii="宋体" w:hAnsi="宋体" w:cs="宋体"/>
          <w:bCs/>
          <w:color w:val="auto"/>
          <w:sz w:val="24"/>
          <w:szCs w:val="24"/>
          <w:highlight w:val="none"/>
        </w:rPr>
      </w:pPr>
    </w:p>
    <w:p w14:paraId="29942D2B">
      <w:pPr>
        <w:snapToGrid w:val="0"/>
        <w:spacing w:before="120" w:beforeLines="50" w:after="50" w:line="400" w:lineRule="exact"/>
        <w:rPr>
          <w:rFonts w:hint="eastAsia" w:ascii="宋体" w:hAnsi="宋体" w:cs="宋体"/>
          <w:color w:val="auto"/>
          <w:sz w:val="30"/>
          <w:szCs w:val="20"/>
          <w:highlight w:val="none"/>
        </w:rPr>
      </w:pPr>
      <w:r>
        <w:rPr>
          <w:rFonts w:hint="eastAsia" w:ascii="宋体" w:hAnsi="宋体" w:cs="宋体"/>
          <w:color w:val="auto"/>
          <w:sz w:val="24"/>
          <w:highlight w:val="none"/>
        </w:rPr>
        <w:t xml:space="preserve">                                   年  月  日</w:t>
      </w:r>
    </w:p>
    <w:p w14:paraId="27F18C4F">
      <w:pPr>
        <w:snapToGrid w:val="0"/>
        <w:spacing w:before="120" w:beforeLines="50" w:after="50" w:line="360" w:lineRule="auto"/>
        <w:jc w:val="left"/>
        <w:rPr>
          <w:rFonts w:hint="eastAsia" w:ascii="宋体" w:hAnsi="宋体" w:cs="宋体"/>
          <w:color w:val="auto"/>
          <w:sz w:val="24"/>
          <w:szCs w:val="20"/>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2.</w:t>
      </w:r>
      <w:r>
        <w:rPr>
          <w:rFonts w:hint="eastAsia" w:ascii="宋体" w:hAnsi="宋体" w:cs="宋体"/>
          <w:b/>
          <w:bCs/>
          <w:color w:val="auto"/>
          <w:sz w:val="24"/>
          <w:highlight w:val="none"/>
        </w:rPr>
        <w:t>报价文件目录</w:t>
      </w:r>
    </w:p>
    <w:p w14:paraId="26C15179">
      <w:pPr>
        <w:snapToGrid w:val="0"/>
        <w:spacing w:before="50" w:after="120" w:afterLines="50" w:line="360" w:lineRule="auto"/>
        <w:jc w:val="left"/>
        <w:rPr>
          <w:rFonts w:hint="eastAsia" w:ascii="宋体" w:hAnsi="宋体" w:cs="宋体"/>
          <w:b/>
          <w:color w:val="auto"/>
          <w:sz w:val="24"/>
          <w:highlight w:val="none"/>
        </w:rPr>
      </w:pPr>
      <w:r>
        <w:rPr>
          <w:rFonts w:hint="eastAsia" w:ascii="宋体" w:hAnsi="宋体" w:cs="宋体"/>
          <w:color w:val="auto"/>
          <w:szCs w:val="21"/>
          <w:highlight w:val="none"/>
        </w:rPr>
        <w:t>根据招标文件规定及投标人提供的材料自行编写目录。</w:t>
      </w:r>
    </w:p>
    <w:p w14:paraId="0D162E98">
      <w:pPr>
        <w:snapToGrid w:val="0"/>
        <w:spacing w:before="120" w:beforeLines="50" w:after="50"/>
        <w:rPr>
          <w:rFonts w:hint="eastAsia" w:ascii="宋体" w:hAnsi="宋体" w:cs="宋体"/>
          <w:b/>
          <w:color w:val="auto"/>
          <w:sz w:val="24"/>
          <w:highlight w:val="none"/>
        </w:rPr>
      </w:pPr>
    </w:p>
    <w:p w14:paraId="11A7F102">
      <w:pPr>
        <w:snapToGrid w:val="0"/>
        <w:spacing w:before="120" w:beforeLines="50" w:after="50"/>
        <w:rPr>
          <w:rFonts w:hint="eastAsia" w:ascii="宋体" w:hAnsi="宋体" w:cs="宋体"/>
          <w:b/>
          <w:color w:val="auto"/>
          <w:sz w:val="24"/>
          <w:highlight w:val="none"/>
        </w:rPr>
      </w:pPr>
    </w:p>
    <w:p w14:paraId="519FCDCE">
      <w:pPr>
        <w:snapToGrid w:val="0"/>
        <w:spacing w:before="120" w:beforeLines="50" w:after="50"/>
        <w:rPr>
          <w:rFonts w:hint="eastAsia" w:ascii="宋体" w:hAnsi="宋体" w:cs="宋体"/>
          <w:b/>
          <w:color w:val="auto"/>
          <w:sz w:val="24"/>
          <w:highlight w:val="none"/>
        </w:rPr>
      </w:pPr>
    </w:p>
    <w:p w14:paraId="7E7C2090">
      <w:pPr>
        <w:snapToGrid w:val="0"/>
        <w:spacing w:before="120" w:beforeLines="50" w:after="50"/>
        <w:ind w:left="142"/>
        <w:jc w:val="left"/>
        <w:rPr>
          <w:rFonts w:hint="eastAsia" w:ascii="宋体" w:hAnsi="宋体" w:cs="宋体"/>
          <w:b/>
          <w:color w:val="auto"/>
          <w:sz w:val="24"/>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3.投标函格式：</w:t>
      </w:r>
    </w:p>
    <w:p w14:paraId="1B078FCA">
      <w:pPr>
        <w:snapToGrid w:val="0"/>
        <w:spacing w:before="120" w:beforeLines="50" w:after="50" w:line="360" w:lineRule="auto"/>
        <w:jc w:val="center"/>
        <w:rPr>
          <w:rFonts w:hint="eastAsia" w:ascii="宋体" w:hAnsi="宋体" w:cs="宋体"/>
          <w:bCs/>
          <w:color w:val="auto"/>
          <w:sz w:val="44"/>
          <w:szCs w:val="44"/>
          <w:highlight w:val="none"/>
        </w:rPr>
      </w:pPr>
      <w:r>
        <w:rPr>
          <w:rFonts w:hint="eastAsia" w:ascii="宋体" w:hAnsi="宋体" w:cs="宋体"/>
          <w:bCs/>
          <w:color w:val="auto"/>
          <w:spacing w:val="220"/>
          <w:kern w:val="0"/>
          <w:sz w:val="44"/>
          <w:szCs w:val="44"/>
          <w:highlight w:val="none"/>
          <w:fitText w:val="2200" w:id="1126903426"/>
        </w:rPr>
        <w:t>投标</w:t>
      </w:r>
      <w:r>
        <w:rPr>
          <w:rFonts w:hint="eastAsia" w:ascii="宋体" w:hAnsi="宋体" w:cs="宋体"/>
          <w:bCs/>
          <w:color w:val="auto"/>
          <w:spacing w:val="0"/>
          <w:kern w:val="0"/>
          <w:sz w:val="44"/>
          <w:szCs w:val="44"/>
          <w:highlight w:val="none"/>
          <w:fitText w:val="2200" w:id="1126903426"/>
        </w:rPr>
        <w:t>函</w:t>
      </w:r>
    </w:p>
    <w:p w14:paraId="0D45E170">
      <w:pPr>
        <w:spacing w:line="440" w:lineRule="exact"/>
        <w:contextualSpacing/>
        <w:rPr>
          <w:rFonts w:hint="eastAsia" w:ascii="宋体" w:hAnsi="宋体" w:cs="宋体"/>
          <w:color w:val="auto"/>
          <w:szCs w:val="21"/>
          <w:highlight w:val="none"/>
        </w:rPr>
      </w:pPr>
      <w:r>
        <w:rPr>
          <w:rFonts w:hint="eastAsia" w:ascii="宋体" w:hAnsi="宋体" w:cs="宋体"/>
          <w:color w:val="auto"/>
          <w:szCs w:val="21"/>
          <w:highlight w:val="none"/>
        </w:rPr>
        <w:t>致：</w:t>
      </w:r>
      <w:r>
        <w:rPr>
          <w:rFonts w:hint="eastAsia" w:ascii="宋体" w:hAnsi="宋体" w:cs="宋体"/>
          <w:color w:val="auto"/>
          <w:szCs w:val="21"/>
          <w:highlight w:val="none"/>
          <w:u w:val="single"/>
        </w:rPr>
        <w:t>采购人名称</w:t>
      </w:r>
    </w:p>
    <w:p w14:paraId="3E32CDAB">
      <w:pPr>
        <w:spacing w:line="440" w:lineRule="exact"/>
        <w:ind w:firstLine="480"/>
        <w:contextualSpacing/>
        <w:rPr>
          <w:rFonts w:hint="eastAsia" w:ascii="宋体" w:hAnsi="宋体" w:cs="宋体"/>
          <w:color w:val="auto"/>
          <w:szCs w:val="21"/>
          <w:highlight w:val="none"/>
        </w:rPr>
      </w:pPr>
      <w:r>
        <w:rPr>
          <w:rFonts w:hint="eastAsia" w:ascii="宋体" w:hAnsi="宋体" w:cs="宋体"/>
          <w:color w:val="auto"/>
          <w:szCs w:val="21"/>
          <w:highlight w:val="none"/>
        </w:rPr>
        <w:t>根据贵方</w:t>
      </w:r>
      <w:r>
        <w:rPr>
          <w:rFonts w:hint="eastAsia" w:ascii="宋体" w:hAnsi="宋体" w:cs="宋体"/>
          <w:color w:val="auto"/>
          <w:szCs w:val="21"/>
          <w:highlight w:val="none"/>
          <w:u w:val="single"/>
        </w:rPr>
        <w:t xml:space="preserve">    项目名称</w:t>
      </w:r>
      <w:r>
        <w:rPr>
          <w:rFonts w:hint="eastAsia" w:ascii="宋体" w:hAnsi="宋体" w:cs="宋体"/>
          <w:color w:val="auto"/>
          <w:szCs w:val="21"/>
          <w:highlight w:val="none"/>
        </w:rPr>
        <w:t>（项目编号：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）的招标公告，签字代表______</w:t>
      </w:r>
      <w:r>
        <w:rPr>
          <w:rFonts w:hint="eastAsia" w:ascii="宋体" w:hAnsi="宋体" w:cs="宋体"/>
          <w:color w:val="auto"/>
          <w:szCs w:val="21"/>
          <w:highlight w:val="none"/>
          <w:u w:val="single"/>
        </w:rPr>
        <w:t>（姓名）</w:t>
      </w:r>
      <w:r>
        <w:rPr>
          <w:rFonts w:hint="eastAsia" w:ascii="宋体" w:hAnsi="宋体" w:cs="宋体"/>
          <w:color w:val="auto"/>
          <w:szCs w:val="21"/>
          <w:highlight w:val="none"/>
        </w:rPr>
        <w:t>经正式授权并代表投标人</w:t>
      </w:r>
      <w:r>
        <w:rPr>
          <w:rFonts w:hint="eastAsia" w:ascii="宋体" w:hAnsi="宋体" w:cs="宋体"/>
          <w:color w:val="auto"/>
          <w:szCs w:val="21"/>
          <w:highlight w:val="none"/>
          <w:u w:val="single"/>
        </w:rPr>
        <w:t xml:space="preserve">    （投标人名称）</w:t>
      </w:r>
      <w:r>
        <w:rPr>
          <w:rFonts w:hint="eastAsia" w:ascii="宋体" w:hAnsi="宋体" w:cs="宋体"/>
          <w:color w:val="auto"/>
          <w:szCs w:val="21"/>
          <w:highlight w:val="none"/>
        </w:rPr>
        <w:t>提交投标文件。</w:t>
      </w:r>
    </w:p>
    <w:p w14:paraId="643CD77A">
      <w:pPr>
        <w:spacing w:line="440" w:lineRule="exact"/>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据此函，我方宣布同意如下：</w:t>
      </w:r>
    </w:p>
    <w:p w14:paraId="189AB985">
      <w:pPr>
        <w:spacing w:line="440" w:lineRule="exact"/>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1.我方已详细审查全部“招标文件”，包括修改文件（如有的话）以及全部参考资料和有关附件，已经了解我方对于招标文件、采购过程、采购结果有依法进行询问、质疑、投诉的权利及相关渠道和要求。</w:t>
      </w:r>
    </w:p>
    <w:p w14:paraId="341DEECC">
      <w:pPr>
        <w:spacing w:line="440" w:lineRule="exact"/>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2.我方在投标之前已经完全理解并接受招标文件的各项规定和要求，对招标文件的合理性、合法性不再有异议。</w:t>
      </w:r>
    </w:p>
    <w:p w14:paraId="361F8813">
      <w:pPr>
        <w:spacing w:line="440" w:lineRule="exact"/>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3.本投标有效期自投标截止之日起______日。</w:t>
      </w:r>
    </w:p>
    <w:p w14:paraId="172A6538">
      <w:pPr>
        <w:spacing w:line="440" w:lineRule="exact"/>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4.如中标，本投标文件至本项目合同履行完毕止均保持有效，我方将按“招标文件”及政府采购法律、法规的规定履行合同责任和义务。</w:t>
      </w:r>
    </w:p>
    <w:p w14:paraId="733FB6BC">
      <w:pPr>
        <w:spacing w:line="440" w:lineRule="exact"/>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5.我方同意按照贵方要求提供与投标有关的一切数据或者资料。</w:t>
      </w:r>
    </w:p>
    <w:p w14:paraId="2CE69895">
      <w:pPr>
        <w:spacing w:line="440" w:lineRule="exact"/>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6.我方向贵方提交的所有投标文件、资料都是准确的和真实的。</w:t>
      </w:r>
    </w:p>
    <w:p w14:paraId="7F1EFE1F">
      <w:pPr>
        <w:spacing w:line="440" w:lineRule="exact"/>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7.以上事项如有虚假或者隐瞒，我方愿意承担一切后果，并不再寻求任何旨在减轻或者免除法律责任的辩解。</w:t>
      </w:r>
    </w:p>
    <w:p w14:paraId="04BC50EB">
      <w:pPr>
        <w:spacing w:line="440" w:lineRule="exact"/>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8.根据《中华人民共和国政府采购法实施条例》第五十条要求对政府采购合同进行公告，但政府采购合同中涉及国家秘密、商业秘密的内容除外。我方就对本次投标文件进行注明如下：（两项内容中必须选择一项）</w:t>
      </w:r>
    </w:p>
    <w:p w14:paraId="74B3EE4A">
      <w:pPr>
        <w:spacing w:line="440" w:lineRule="exact"/>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□我方本次投标文件</w:t>
      </w:r>
      <w:r>
        <w:rPr>
          <w:rFonts w:hint="eastAsia" w:ascii="宋体" w:hAnsi="宋体" w:cs="宋体"/>
          <w:color w:val="auto"/>
          <w:kern w:val="0"/>
          <w:szCs w:val="21"/>
          <w:highlight w:val="none"/>
        </w:rPr>
        <w:t>内容中</w:t>
      </w:r>
      <w:r>
        <w:rPr>
          <w:rFonts w:hint="eastAsia" w:ascii="宋体" w:hAnsi="宋体" w:cs="宋体"/>
          <w:color w:val="auto"/>
          <w:szCs w:val="21"/>
          <w:highlight w:val="none"/>
        </w:rPr>
        <w:t>未</w:t>
      </w:r>
      <w:r>
        <w:rPr>
          <w:rFonts w:hint="eastAsia" w:ascii="宋体" w:hAnsi="宋体" w:cs="宋体"/>
          <w:color w:val="auto"/>
          <w:kern w:val="0"/>
          <w:szCs w:val="21"/>
          <w:highlight w:val="none"/>
        </w:rPr>
        <w:t>涉及商业秘密；</w:t>
      </w:r>
    </w:p>
    <w:p w14:paraId="6F31C639">
      <w:pPr>
        <w:spacing w:line="440" w:lineRule="exact"/>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□我方本次投标文件</w:t>
      </w:r>
      <w:r>
        <w:rPr>
          <w:rFonts w:hint="eastAsia" w:ascii="宋体" w:hAnsi="宋体" w:cs="宋体"/>
          <w:color w:val="auto"/>
          <w:kern w:val="0"/>
          <w:szCs w:val="21"/>
          <w:highlight w:val="none"/>
        </w:rPr>
        <w:t>涉及商业秘密的内容有：</w:t>
      </w:r>
      <w:r>
        <w:rPr>
          <w:rFonts w:hint="eastAsia" w:ascii="宋体" w:hAnsi="宋体" w:cs="宋体"/>
          <w:color w:val="auto"/>
          <w:szCs w:val="21"/>
          <w:highlight w:val="none"/>
        </w:rPr>
        <w:t>______</w:t>
      </w:r>
      <w:r>
        <w:rPr>
          <w:rFonts w:hint="eastAsia" w:ascii="宋体" w:hAnsi="宋体" w:cs="宋体"/>
          <w:color w:val="auto"/>
          <w:kern w:val="0"/>
          <w:szCs w:val="21"/>
          <w:highlight w:val="none"/>
        </w:rPr>
        <w:t>；</w:t>
      </w:r>
    </w:p>
    <w:p w14:paraId="63CCB88D">
      <w:pPr>
        <w:spacing w:line="440" w:lineRule="exact"/>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9.与本投标有关的一切正式往来信函请寄：</w:t>
      </w:r>
    </w:p>
    <w:p w14:paraId="2A04FC75">
      <w:pPr>
        <w:spacing w:line="440" w:lineRule="exact"/>
        <w:ind w:firstLine="420" w:firstLineChars="200"/>
        <w:contextualSpacing/>
        <w:rPr>
          <w:rFonts w:hint="eastAsia" w:ascii="宋体" w:hAnsi="宋体" w:cs="宋体"/>
          <w:color w:val="auto"/>
          <w:szCs w:val="21"/>
          <w:highlight w:val="none"/>
          <w:u w:val="single"/>
        </w:rPr>
      </w:pPr>
      <w:r>
        <w:rPr>
          <w:rFonts w:hint="eastAsia" w:ascii="宋体" w:hAnsi="宋体" w:cs="宋体"/>
          <w:color w:val="auto"/>
          <w:szCs w:val="21"/>
          <w:highlight w:val="none"/>
        </w:rPr>
        <w:t>地址：______邮编：______</w:t>
      </w:r>
    </w:p>
    <w:p w14:paraId="5BB25271">
      <w:pPr>
        <w:spacing w:line="440" w:lineRule="exact"/>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电话：______邮箱：______</w:t>
      </w:r>
    </w:p>
    <w:p w14:paraId="5BD8AB79">
      <w:pPr>
        <w:spacing w:line="440" w:lineRule="exact"/>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投标人名称：______</w:t>
      </w:r>
    </w:p>
    <w:p w14:paraId="7E47E17A">
      <w:pPr>
        <w:spacing w:line="440" w:lineRule="exact"/>
        <w:ind w:firstLine="420" w:firstLineChars="200"/>
        <w:contextualSpacing/>
        <w:jc w:val="left"/>
        <w:rPr>
          <w:rFonts w:hint="eastAsia" w:ascii="宋体" w:hAnsi="宋体" w:cs="宋体"/>
          <w:color w:val="auto"/>
          <w:szCs w:val="21"/>
          <w:highlight w:val="none"/>
        </w:rPr>
      </w:pPr>
      <w:r>
        <w:rPr>
          <w:rFonts w:hint="eastAsia" w:ascii="宋体" w:hAnsi="宋体" w:cs="宋体"/>
          <w:color w:val="auto"/>
          <w:szCs w:val="21"/>
          <w:highlight w:val="none"/>
        </w:rPr>
        <w:t>开户银行：____银行帐号：_____</w:t>
      </w:r>
    </w:p>
    <w:p w14:paraId="7B038FC6">
      <w:pPr>
        <w:spacing w:line="440" w:lineRule="exact"/>
        <w:ind w:firstLine="420" w:firstLineChars="200"/>
        <w:contextualSpacing/>
        <w:jc w:val="left"/>
        <w:rPr>
          <w:rFonts w:hint="eastAsia" w:ascii="宋体" w:hAnsi="宋体" w:cs="宋体"/>
          <w:color w:val="auto"/>
          <w:szCs w:val="21"/>
          <w:highlight w:val="none"/>
        </w:rPr>
      </w:pPr>
      <w:r>
        <w:rPr>
          <w:rFonts w:hint="eastAsia" w:ascii="宋体" w:hAnsi="宋体" w:cs="宋体"/>
          <w:color w:val="auto"/>
          <w:szCs w:val="21"/>
          <w:highlight w:val="none"/>
        </w:rPr>
        <w:t xml:space="preserve">法定代表人或者委托代理人签字:___________ </w:t>
      </w:r>
    </w:p>
    <w:p w14:paraId="4C6EF83B">
      <w:pPr>
        <w:pStyle w:val="25"/>
        <w:spacing w:line="440" w:lineRule="exact"/>
        <w:contextualSpacing/>
        <w:jc w:val="center"/>
        <w:rPr>
          <w:rFonts w:hint="eastAsia" w:hAnsi="宋体" w:cs="宋体"/>
          <w:b/>
          <w:bCs/>
          <w:color w:val="auto"/>
          <w:sz w:val="21"/>
          <w:highlight w:val="none"/>
          <w:u w:val="single"/>
        </w:rPr>
      </w:pPr>
      <w:r>
        <w:rPr>
          <w:rFonts w:hint="eastAsia" w:hAnsi="宋体" w:cs="宋体"/>
          <w:color w:val="auto"/>
          <w:sz w:val="21"/>
          <w:highlight w:val="none"/>
        </w:rPr>
        <w:t>投标人名称（盖公章）：____________</w:t>
      </w:r>
    </w:p>
    <w:p w14:paraId="7F0931EC">
      <w:pPr>
        <w:pStyle w:val="25"/>
        <w:spacing w:line="440" w:lineRule="exact"/>
        <w:ind w:firstLine="4410" w:firstLineChars="2100"/>
        <w:contextualSpacing/>
        <w:rPr>
          <w:rFonts w:hint="eastAsia" w:hAnsi="宋体" w:cs="宋体"/>
          <w:color w:val="auto"/>
          <w:sz w:val="21"/>
          <w:highlight w:val="none"/>
        </w:rPr>
      </w:pPr>
      <w:r>
        <w:rPr>
          <w:rFonts w:hint="eastAsia" w:hAnsi="宋体" w:cs="宋体"/>
          <w:color w:val="auto"/>
          <w:sz w:val="21"/>
          <w:highlight w:val="none"/>
        </w:rPr>
        <w:t>______年______月______日</w:t>
      </w:r>
    </w:p>
    <w:p w14:paraId="4924B632">
      <w:pPr>
        <w:snapToGrid w:val="0"/>
        <w:spacing w:before="120" w:beforeLines="50" w:after="50" w:line="440" w:lineRule="exact"/>
        <w:jc w:val="left"/>
        <w:rPr>
          <w:rFonts w:hint="eastAsia" w:ascii="宋体" w:hAnsi="宋体" w:cs="宋体"/>
          <w:b/>
          <w:color w:val="auto"/>
          <w:sz w:val="24"/>
          <w:szCs w:val="20"/>
          <w:highlight w:val="none"/>
        </w:rPr>
      </w:pPr>
      <w:r>
        <w:rPr>
          <w:rFonts w:hint="eastAsia" w:ascii="宋体" w:hAnsi="宋体" w:cs="宋体"/>
          <w:color w:val="auto"/>
          <w:highlight w:val="none"/>
          <w:u w:val="single"/>
        </w:rPr>
        <w:br w:type="page"/>
      </w:r>
      <w:r>
        <w:rPr>
          <w:rFonts w:hint="eastAsia" w:ascii="宋体" w:hAnsi="宋体" w:cs="宋体"/>
          <w:b/>
          <w:color w:val="auto"/>
          <w:sz w:val="24"/>
          <w:highlight w:val="none"/>
        </w:rPr>
        <w:t>4.开标一览表（货物类格式）</w:t>
      </w:r>
    </w:p>
    <w:p w14:paraId="79BDB0AB">
      <w:pPr>
        <w:snapToGrid w:val="0"/>
        <w:spacing w:before="50" w:after="50"/>
        <w:jc w:val="center"/>
        <w:rPr>
          <w:rFonts w:hint="eastAsia" w:ascii="宋体" w:hAnsi="宋体" w:cs="宋体"/>
          <w:b/>
          <w:color w:val="auto"/>
          <w:sz w:val="30"/>
          <w:highlight w:val="none"/>
        </w:rPr>
      </w:pPr>
      <w:r>
        <w:rPr>
          <w:rFonts w:hint="eastAsia" w:ascii="宋体" w:hAnsi="宋体" w:cs="宋体"/>
          <w:b/>
          <w:color w:val="auto"/>
          <w:sz w:val="30"/>
          <w:highlight w:val="none"/>
        </w:rPr>
        <w:t>开标一览表</w:t>
      </w:r>
    </w:p>
    <w:p w14:paraId="73409288">
      <w:pPr>
        <w:snapToGrid w:val="0"/>
        <w:spacing w:before="50" w:after="50"/>
        <w:jc w:val="center"/>
        <w:rPr>
          <w:rFonts w:hint="eastAsia" w:ascii="宋体" w:hAnsi="宋体" w:cs="宋体"/>
          <w:b/>
          <w:color w:val="auto"/>
          <w:sz w:val="30"/>
          <w:szCs w:val="20"/>
          <w:highlight w:val="none"/>
        </w:rPr>
      </w:pPr>
    </w:p>
    <w:p w14:paraId="7499F418">
      <w:pPr>
        <w:snapToGrid w:val="0"/>
        <w:spacing w:before="50" w:after="50" w:line="360" w:lineRule="auto"/>
        <w:rPr>
          <w:rFonts w:hint="eastAsia" w:ascii="宋体" w:hAnsi="宋体" w:cs="宋体"/>
          <w:color w:val="auto"/>
          <w:sz w:val="24"/>
          <w:highlight w:val="none"/>
          <w:u w:val="single"/>
        </w:rPr>
      </w:pP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项目编号：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分标：</w:t>
      </w:r>
      <w:r>
        <w:rPr>
          <w:rFonts w:hint="eastAsia" w:ascii="宋体" w:hAnsi="宋体" w:cs="宋体"/>
          <w:color w:val="auto"/>
          <w:sz w:val="24"/>
          <w:highlight w:val="none"/>
          <w:u w:val="single"/>
        </w:rPr>
        <w:t xml:space="preserve">      </w:t>
      </w:r>
    </w:p>
    <w:p w14:paraId="476AB80E">
      <w:pPr>
        <w:snapToGrid w:val="0"/>
        <w:spacing w:before="50" w:after="50"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投标人名称：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单位：</w:t>
      </w:r>
      <w:r>
        <w:rPr>
          <w:rFonts w:hint="eastAsia" w:ascii="宋体" w:hAnsi="宋体" w:cs="宋体"/>
          <w:color w:val="auto"/>
          <w:spacing w:val="20"/>
          <w:sz w:val="24"/>
          <w:highlight w:val="none"/>
          <w:u w:val="single"/>
        </w:rPr>
        <w:t>（折扣系数）%</w:t>
      </w:r>
    </w:p>
    <w:tbl>
      <w:tblPr>
        <w:tblStyle w:val="4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41"/>
        <w:gridCol w:w="1418"/>
        <w:gridCol w:w="779"/>
        <w:gridCol w:w="780"/>
        <w:gridCol w:w="709"/>
        <w:gridCol w:w="1417"/>
        <w:gridCol w:w="1338"/>
        <w:gridCol w:w="947"/>
        <w:gridCol w:w="1389"/>
      </w:tblGrid>
      <w:tr w14:paraId="6BDBD7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17"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311C33C9">
            <w:pPr>
              <w:jc w:val="center"/>
              <w:rPr>
                <w:rFonts w:hint="eastAsia" w:ascii="宋体" w:hAnsi="宋体" w:cs="宋体"/>
                <w:b/>
                <w:color w:val="auto"/>
                <w:sz w:val="24"/>
                <w:highlight w:val="none"/>
              </w:rPr>
            </w:pPr>
            <w:r>
              <w:rPr>
                <w:rFonts w:hint="eastAsia" w:ascii="宋体" w:hAnsi="宋体" w:cs="宋体"/>
                <w:b/>
                <w:color w:val="auto"/>
                <w:sz w:val="24"/>
                <w:highlight w:val="none"/>
              </w:rPr>
              <w:t>项号</w:t>
            </w:r>
          </w:p>
        </w:tc>
        <w:tc>
          <w:tcPr>
            <w:tcW w:w="1418" w:type="dxa"/>
            <w:tcBorders>
              <w:top w:val="single" w:color="auto" w:sz="4" w:space="0"/>
              <w:left w:val="single" w:color="auto" w:sz="4" w:space="0"/>
              <w:bottom w:val="single" w:color="auto" w:sz="4" w:space="0"/>
              <w:right w:val="single" w:color="auto" w:sz="4" w:space="0"/>
            </w:tcBorders>
            <w:vAlign w:val="center"/>
          </w:tcPr>
          <w:p w14:paraId="4E116695">
            <w:pPr>
              <w:jc w:val="center"/>
              <w:rPr>
                <w:rFonts w:hint="eastAsia" w:ascii="宋体" w:hAnsi="宋体" w:cs="宋体"/>
                <w:b/>
                <w:color w:val="auto"/>
                <w:sz w:val="24"/>
                <w:highlight w:val="none"/>
              </w:rPr>
            </w:pPr>
            <w:r>
              <w:rPr>
                <w:rFonts w:hint="eastAsia" w:ascii="宋体" w:hAnsi="宋体" w:cs="宋体"/>
                <w:b/>
                <w:color w:val="auto"/>
                <w:sz w:val="24"/>
                <w:highlight w:val="none"/>
              </w:rPr>
              <w:t>货物名称</w:t>
            </w:r>
          </w:p>
        </w:tc>
        <w:tc>
          <w:tcPr>
            <w:tcW w:w="779" w:type="dxa"/>
            <w:tcBorders>
              <w:top w:val="single" w:color="auto" w:sz="4" w:space="0"/>
              <w:left w:val="single" w:color="auto" w:sz="4" w:space="0"/>
              <w:bottom w:val="single" w:color="auto" w:sz="4" w:space="0"/>
              <w:right w:val="single" w:color="auto" w:sz="4" w:space="0"/>
            </w:tcBorders>
            <w:vAlign w:val="center"/>
          </w:tcPr>
          <w:p w14:paraId="7B5362BD">
            <w:pPr>
              <w:jc w:val="center"/>
              <w:rPr>
                <w:rFonts w:hint="eastAsia" w:ascii="宋体" w:hAnsi="宋体" w:cs="宋体"/>
                <w:b/>
                <w:color w:val="auto"/>
                <w:sz w:val="24"/>
                <w:highlight w:val="none"/>
              </w:rPr>
            </w:pPr>
            <w:r>
              <w:rPr>
                <w:rFonts w:hint="eastAsia" w:ascii="宋体" w:hAnsi="宋体" w:cs="宋体"/>
                <w:b/>
                <w:color w:val="auto"/>
                <w:sz w:val="24"/>
                <w:highlight w:val="none"/>
              </w:rPr>
              <w:t>数量</w:t>
            </w:r>
          </w:p>
        </w:tc>
        <w:tc>
          <w:tcPr>
            <w:tcW w:w="780" w:type="dxa"/>
            <w:tcBorders>
              <w:top w:val="single" w:color="auto" w:sz="4" w:space="0"/>
              <w:left w:val="single" w:color="auto" w:sz="4" w:space="0"/>
              <w:bottom w:val="single" w:color="auto" w:sz="4" w:space="0"/>
              <w:right w:val="single" w:color="auto" w:sz="4" w:space="0"/>
            </w:tcBorders>
            <w:vAlign w:val="center"/>
          </w:tcPr>
          <w:p w14:paraId="376EB2BD">
            <w:pPr>
              <w:rPr>
                <w:rFonts w:hint="eastAsia" w:ascii="宋体" w:hAnsi="宋体" w:cs="宋体"/>
                <w:b/>
                <w:color w:val="auto"/>
                <w:sz w:val="24"/>
                <w:highlight w:val="none"/>
              </w:rPr>
            </w:pPr>
            <w:r>
              <w:rPr>
                <w:rFonts w:hint="eastAsia" w:ascii="宋体" w:hAnsi="宋体" w:cs="宋体"/>
                <w:b/>
                <w:color w:val="auto"/>
                <w:sz w:val="24"/>
                <w:highlight w:val="none"/>
              </w:rPr>
              <w:t>单位</w:t>
            </w:r>
          </w:p>
        </w:tc>
        <w:tc>
          <w:tcPr>
            <w:tcW w:w="709" w:type="dxa"/>
            <w:tcBorders>
              <w:top w:val="single" w:color="auto" w:sz="4" w:space="0"/>
              <w:left w:val="single" w:color="auto" w:sz="4" w:space="0"/>
              <w:bottom w:val="single" w:color="auto" w:sz="4" w:space="0"/>
              <w:right w:val="single" w:color="auto" w:sz="4" w:space="0"/>
            </w:tcBorders>
            <w:vAlign w:val="center"/>
          </w:tcPr>
          <w:p w14:paraId="7BC757A6">
            <w:pPr>
              <w:jc w:val="center"/>
              <w:rPr>
                <w:rFonts w:hint="eastAsia" w:ascii="宋体" w:hAnsi="宋体" w:cs="宋体"/>
                <w:b/>
                <w:color w:val="auto"/>
                <w:sz w:val="24"/>
                <w:highlight w:val="none"/>
              </w:rPr>
            </w:pPr>
            <w:r>
              <w:rPr>
                <w:rFonts w:hint="eastAsia" w:ascii="宋体" w:hAnsi="宋体" w:cs="宋体"/>
                <w:b/>
                <w:color w:val="auto"/>
                <w:sz w:val="24"/>
                <w:highlight w:val="none"/>
              </w:rPr>
              <w:t>产地</w:t>
            </w:r>
          </w:p>
        </w:tc>
        <w:tc>
          <w:tcPr>
            <w:tcW w:w="1417" w:type="dxa"/>
            <w:tcBorders>
              <w:top w:val="single" w:color="auto" w:sz="4" w:space="0"/>
              <w:left w:val="single" w:color="auto" w:sz="4" w:space="0"/>
              <w:bottom w:val="single" w:color="auto" w:sz="4" w:space="0"/>
              <w:right w:val="single" w:color="auto" w:sz="4" w:space="0"/>
            </w:tcBorders>
            <w:vAlign w:val="center"/>
          </w:tcPr>
          <w:p w14:paraId="0B9F6C82">
            <w:pPr>
              <w:jc w:val="center"/>
              <w:rPr>
                <w:rFonts w:hint="eastAsia" w:ascii="宋体" w:hAnsi="宋体" w:cs="宋体"/>
                <w:b/>
                <w:color w:val="auto"/>
                <w:sz w:val="24"/>
                <w:highlight w:val="none"/>
              </w:rPr>
            </w:pPr>
            <w:r>
              <w:rPr>
                <w:rFonts w:hint="eastAsia" w:ascii="宋体" w:hAnsi="宋体" w:cs="宋体"/>
                <w:b/>
                <w:color w:val="auto"/>
                <w:sz w:val="24"/>
                <w:highlight w:val="none"/>
              </w:rPr>
              <w:t>品牌、</w:t>
            </w:r>
          </w:p>
          <w:p w14:paraId="0F2FCCB6">
            <w:pPr>
              <w:jc w:val="center"/>
              <w:rPr>
                <w:rFonts w:hint="eastAsia" w:ascii="宋体" w:hAnsi="宋体" w:cs="宋体"/>
                <w:b/>
                <w:color w:val="auto"/>
                <w:sz w:val="24"/>
                <w:highlight w:val="none"/>
              </w:rPr>
            </w:pPr>
            <w:r>
              <w:rPr>
                <w:rFonts w:hint="eastAsia" w:ascii="宋体" w:hAnsi="宋体" w:cs="宋体"/>
                <w:b/>
                <w:color w:val="auto"/>
                <w:sz w:val="24"/>
                <w:highlight w:val="none"/>
              </w:rPr>
              <w:t>规格型号</w:t>
            </w:r>
          </w:p>
        </w:tc>
        <w:tc>
          <w:tcPr>
            <w:tcW w:w="1338" w:type="dxa"/>
            <w:tcBorders>
              <w:top w:val="single" w:color="auto" w:sz="4" w:space="0"/>
              <w:left w:val="single" w:color="auto" w:sz="4" w:space="0"/>
              <w:bottom w:val="single" w:color="auto" w:sz="4" w:space="0"/>
              <w:right w:val="single" w:color="auto" w:sz="4" w:space="0"/>
            </w:tcBorders>
            <w:vAlign w:val="center"/>
          </w:tcPr>
          <w:p w14:paraId="6DF83B67">
            <w:pPr>
              <w:jc w:val="center"/>
              <w:rPr>
                <w:rFonts w:hint="eastAsia" w:ascii="宋体" w:hAnsi="宋体" w:cs="宋体"/>
                <w:b/>
                <w:color w:val="auto"/>
                <w:sz w:val="24"/>
                <w:highlight w:val="none"/>
              </w:rPr>
            </w:pPr>
            <w:r>
              <w:rPr>
                <w:rFonts w:hint="eastAsia" w:ascii="宋体" w:hAnsi="宋体" w:cs="宋体"/>
                <w:b/>
                <w:color w:val="auto"/>
                <w:sz w:val="24"/>
                <w:highlight w:val="none"/>
              </w:rPr>
              <w:t>生产厂家</w:t>
            </w:r>
          </w:p>
        </w:tc>
        <w:tc>
          <w:tcPr>
            <w:tcW w:w="947" w:type="dxa"/>
            <w:tcBorders>
              <w:top w:val="single" w:color="auto" w:sz="4" w:space="0"/>
              <w:left w:val="single" w:color="auto" w:sz="4" w:space="0"/>
              <w:bottom w:val="single" w:color="auto" w:sz="4" w:space="0"/>
              <w:right w:val="single" w:color="auto" w:sz="4" w:space="0"/>
            </w:tcBorders>
            <w:vAlign w:val="center"/>
          </w:tcPr>
          <w:p w14:paraId="47264FF5">
            <w:pPr>
              <w:jc w:val="center"/>
              <w:rPr>
                <w:rFonts w:hint="eastAsia" w:ascii="宋体" w:hAnsi="宋体" w:cs="宋体"/>
                <w:b/>
                <w:color w:val="auto"/>
                <w:sz w:val="24"/>
                <w:highlight w:val="none"/>
              </w:rPr>
            </w:pPr>
            <w:r>
              <w:rPr>
                <w:rFonts w:hint="eastAsia" w:ascii="宋体" w:hAnsi="宋体" w:cs="宋体"/>
                <w:b/>
                <w:color w:val="auto"/>
                <w:sz w:val="24"/>
                <w:highlight w:val="none"/>
              </w:rPr>
              <w:t>单价（统一折扣系数）</w:t>
            </w:r>
          </w:p>
        </w:tc>
        <w:tc>
          <w:tcPr>
            <w:tcW w:w="1389" w:type="dxa"/>
            <w:tcBorders>
              <w:top w:val="single" w:color="auto" w:sz="4" w:space="0"/>
              <w:left w:val="single" w:color="auto" w:sz="4" w:space="0"/>
              <w:bottom w:val="single" w:color="auto" w:sz="4" w:space="0"/>
              <w:right w:val="single" w:color="auto" w:sz="4" w:space="0"/>
            </w:tcBorders>
            <w:vAlign w:val="center"/>
          </w:tcPr>
          <w:p w14:paraId="6004D99E">
            <w:pPr>
              <w:jc w:val="center"/>
              <w:rPr>
                <w:rFonts w:hint="eastAsia" w:ascii="宋体" w:hAnsi="宋体" w:cs="宋体"/>
                <w:b/>
                <w:color w:val="auto"/>
                <w:sz w:val="24"/>
                <w:highlight w:val="none"/>
              </w:rPr>
            </w:pPr>
            <w:r>
              <w:rPr>
                <w:rFonts w:hint="eastAsia" w:ascii="宋体" w:hAnsi="宋体" w:cs="宋体"/>
                <w:b/>
                <w:color w:val="auto"/>
                <w:sz w:val="24"/>
                <w:highlight w:val="none"/>
              </w:rPr>
              <w:t>备注</w:t>
            </w:r>
          </w:p>
        </w:tc>
      </w:tr>
      <w:tr w14:paraId="553C4B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0"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47DDA94B">
            <w:pPr>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418" w:type="dxa"/>
            <w:tcBorders>
              <w:top w:val="single" w:color="auto" w:sz="4" w:space="0"/>
              <w:left w:val="single" w:color="auto" w:sz="4" w:space="0"/>
              <w:bottom w:val="single" w:color="auto" w:sz="4" w:space="0"/>
              <w:right w:val="single" w:color="auto" w:sz="4" w:space="0"/>
            </w:tcBorders>
            <w:vAlign w:val="center"/>
          </w:tcPr>
          <w:p w14:paraId="1E0F7A55">
            <w:pPr>
              <w:rPr>
                <w:rFonts w:hint="eastAsia" w:ascii="宋体" w:hAnsi="宋体" w:cs="宋体"/>
                <w:color w:val="auto"/>
                <w:kern w:val="0"/>
                <w:szCs w:val="21"/>
                <w:highlight w:val="none"/>
              </w:rPr>
            </w:pPr>
          </w:p>
        </w:tc>
        <w:tc>
          <w:tcPr>
            <w:tcW w:w="779" w:type="dxa"/>
            <w:tcBorders>
              <w:top w:val="single" w:color="auto" w:sz="4" w:space="0"/>
              <w:left w:val="single" w:color="auto" w:sz="4" w:space="0"/>
              <w:bottom w:val="single" w:color="auto" w:sz="4" w:space="0"/>
              <w:right w:val="single" w:color="auto" w:sz="4" w:space="0"/>
            </w:tcBorders>
            <w:vAlign w:val="center"/>
          </w:tcPr>
          <w:p w14:paraId="71506AC8">
            <w:pPr>
              <w:rPr>
                <w:rFonts w:hint="eastAsia" w:ascii="宋体" w:hAnsi="宋体" w:cs="宋体"/>
                <w:color w:val="auto"/>
                <w:kern w:val="0"/>
                <w:szCs w:val="21"/>
                <w:highlight w:val="none"/>
              </w:rPr>
            </w:pPr>
          </w:p>
        </w:tc>
        <w:tc>
          <w:tcPr>
            <w:tcW w:w="780" w:type="dxa"/>
            <w:tcBorders>
              <w:top w:val="single" w:color="auto" w:sz="4" w:space="0"/>
              <w:left w:val="single" w:color="auto" w:sz="4" w:space="0"/>
              <w:bottom w:val="single" w:color="auto" w:sz="4" w:space="0"/>
              <w:right w:val="single" w:color="auto" w:sz="4" w:space="0"/>
            </w:tcBorders>
            <w:vAlign w:val="center"/>
          </w:tcPr>
          <w:p w14:paraId="60CA26AC">
            <w:pPr>
              <w:rPr>
                <w:rFonts w:hint="eastAsia" w:ascii="宋体" w:hAnsi="宋体" w:cs="宋体"/>
                <w:color w:val="auto"/>
                <w:kern w:val="0"/>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F5E3285">
            <w:pPr>
              <w:rPr>
                <w:rFonts w:hint="eastAsia" w:ascii="宋体" w:hAnsi="宋体" w:cs="宋体"/>
                <w:b/>
                <w:color w:val="auto"/>
                <w:sz w:val="24"/>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643ED768">
            <w:pPr>
              <w:rPr>
                <w:rFonts w:hint="eastAsia" w:ascii="宋体" w:hAnsi="宋体" w:cs="宋体"/>
                <w:color w:val="auto"/>
                <w:sz w:val="24"/>
                <w:highlight w:val="none"/>
              </w:rPr>
            </w:pPr>
          </w:p>
        </w:tc>
        <w:tc>
          <w:tcPr>
            <w:tcW w:w="1338" w:type="dxa"/>
            <w:tcBorders>
              <w:top w:val="single" w:color="auto" w:sz="4" w:space="0"/>
              <w:left w:val="single" w:color="auto" w:sz="4" w:space="0"/>
              <w:bottom w:val="single" w:color="auto" w:sz="4" w:space="0"/>
              <w:right w:val="single" w:color="auto" w:sz="4" w:space="0"/>
            </w:tcBorders>
            <w:vAlign w:val="center"/>
          </w:tcPr>
          <w:p w14:paraId="2E0BCB29">
            <w:pPr>
              <w:rPr>
                <w:rFonts w:hint="eastAsia" w:ascii="宋体" w:hAnsi="宋体" w:cs="宋体"/>
                <w:color w:val="auto"/>
                <w:sz w:val="24"/>
                <w:highlight w:val="none"/>
              </w:rPr>
            </w:pPr>
          </w:p>
        </w:tc>
        <w:tc>
          <w:tcPr>
            <w:tcW w:w="947" w:type="dxa"/>
            <w:vMerge w:val="restart"/>
            <w:tcBorders>
              <w:top w:val="single" w:color="auto" w:sz="4" w:space="0"/>
              <w:left w:val="single" w:color="auto" w:sz="4" w:space="0"/>
              <w:right w:val="single" w:color="auto" w:sz="4" w:space="0"/>
            </w:tcBorders>
            <w:vAlign w:val="center"/>
          </w:tcPr>
          <w:p w14:paraId="2280EC8B">
            <w:pPr>
              <w:rPr>
                <w:rFonts w:hint="eastAsia" w:ascii="宋体" w:hAnsi="宋体" w:cs="宋体"/>
                <w:color w:val="auto"/>
                <w:sz w:val="24"/>
                <w:highlight w:val="none"/>
              </w:rPr>
            </w:pPr>
            <w:r>
              <w:rPr>
                <w:rFonts w:hint="eastAsia" w:ascii="宋体" w:hAnsi="宋体" w:cs="宋体"/>
                <w:color w:val="auto"/>
                <w:spacing w:val="20"/>
                <w:sz w:val="24"/>
                <w:highlight w:val="none"/>
                <w:u w:val="single"/>
              </w:rPr>
              <w:t xml:space="preserve">  %</w:t>
            </w:r>
          </w:p>
        </w:tc>
        <w:tc>
          <w:tcPr>
            <w:tcW w:w="1389" w:type="dxa"/>
            <w:tcBorders>
              <w:top w:val="single" w:color="auto" w:sz="4" w:space="0"/>
              <w:left w:val="single" w:color="auto" w:sz="4" w:space="0"/>
              <w:bottom w:val="single" w:color="auto" w:sz="4" w:space="0"/>
              <w:right w:val="single" w:color="auto" w:sz="4" w:space="0"/>
            </w:tcBorders>
            <w:vAlign w:val="center"/>
          </w:tcPr>
          <w:p w14:paraId="6A7A9403">
            <w:pPr>
              <w:rPr>
                <w:rFonts w:hint="eastAsia" w:ascii="宋体" w:hAnsi="宋体" w:cs="宋体"/>
                <w:color w:val="auto"/>
                <w:sz w:val="24"/>
                <w:highlight w:val="none"/>
              </w:rPr>
            </w:pPr>
          </w:p>
        </w:tc>
      </w:tr>
      <w:tr w14:paraId="58ADA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0"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3EC0BF59">
            <w:pPr>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1418" w:type="dxa"/>
            <w:tcBorders>
              <w:top w:val="single" w:color="auto" w:sz="4" w:space="0"/>
              <w:left w:val="single" w:color="auto" w:sz="4" w:space="0"/>
              <w:bottom w:val="single" w:color="auto" w:sz="4" w:space="0"/>
              <w:right w:val="single" w:color="auto" w:sz="4" w:space="0"/>
            </w:tcBorders>
            <w:vAlign w:val="center"/>
          </w:tcPr>
          <w:p w14:paraId="07052F44">
            <w:pPr>
              <w:rPr>
                <w:rFonts w:hint="eastAsia" w:ascii="宋体" w:hAnsi="宋体" w:cs="宋体"/>
                <w:color w:val="auto"/>
                <w:kern w:val="0"/>
                <w:szCs w:val="21"/>
                <w:highlight w:val="none"/>
              </w:rPr>
            </w:pPr>
          </w:p>
        </w:tc>
        <w:tc>
          <w:tcPr>
            <w:tcW w:w="779" w:type="dxa"/>
            <w:tcBorders>
              <w:top w:val="single" w:color="auto" w:sz="4" w:space="0"/>
              <w:left w:val="single" w:color="auto" w:sz="4" w:space="0"/>
              <w:bottom w:val="single" w:color="auto" w:sz="4" w:space="0"/>
              <w:right w:val="single" w:color="auto" w:sz="4" w:space="0"/>
            </w:tcBorders>
            <w:vAlign w:val="center"/>
          </w:tcPr>
          <w:p w14:paraId="16EC7A0C">
            <w:pPr>
              <w:rPr>
                <w:rFonts w:hint="eastAsia" w:ascii="宋体" w:hAnsi="宋体" w:cs="宋体"/>
                <w:color w:val="auto"/>
                <w:kern w:val="0"/>
                <w:szCs w:val="21"/>
                <w:highlight w:val="none"/>
              </w:rPr>
            </w:pPr>
          </w:p>
        </w:tc>
        <w:tc>
          <w:tcPr>
            <w:tcW w:w="780" w:type="dxa"/>
            <w:tcBorders>
              <w:top w:val="single" w:color="auto" w:sz="4" w:space="0"/>
              <w:left w:val="single" w:color="auto" w:sz="4" w:space="0"/>
              <w:bottom w:val="single" w:color="auto" w:sz="4" w:space="0"/>
              <w:right w:val="single" w:color="auto" w:sz="4" w:space="0"/>
            </w:tcBorders>
            <w:vAlign w:val="center"/>
          </w:tcPr>
          <w:p w14:paraId="38457574">
            <w:pPr>
              <w:rPr>
                <w:rFonts w:hint="eastAsia" w:ascii="宋体" w:hAnsi="宋体" w:cs="宋体"/>
                <w:color w:val="auto"/>
                <w:kern w:val="0"/>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BADFA69">
            <w:pPr>
              <w:rPr>
                <w:rFonts w:hint="eastAsia" w:ascii="宋体" w:hAnsi="宋体" w:cs="宋体"/>
                <w:b/>
                <w:color w:val="auto"/>
                <w:sz w:val="24"/>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70CF3EF3">
            <w:pPr>
              <w:rPr>
                <w:rFonts w:hint="eastAsia" w:ascii="宋体" w:hAnsi="宋体" w:cs="宋体"/>
                <w:color w:val="auto"/>
                <w:sz w:val="24"/>
                <w:highlight w:val="none"/>
              </w:rPr>
            </w:pPr>
          </w:p>
        </w:tc>
        <w:tc>
          <w:tcPr>
            <w:tcW w:w="1338" w:type="dxa"/>
            <w:tcBorders>
              <w:top w:val="single" w:color="auto" w:sz="4" w:space="0"/>
              <w:left w:val="single" w:color="auto" w:sz="4" w:space="0"/>
              <w:bottom w:val="single" w:color="auto" w:sz="4" w:space="0"/>
              <w:right w:val="single" w:color="auto" w:sz="4" w:space="0"/>
            </w:tcBorders>
            <w:vAlign w:val="center"/>
          </w:tcPr>
          <w:p w14:paraId="592A457F">
            <w:pPr>
              <w:rPr>
                <w:rFonts w:hint="eastAsia" w:ascii="宋体" w:hAnsi="宋体" w:cs="宋体"/>
                <w:color w:val="auto"/>
                <w:sz w:val="24"/>
                <w:highlight w:val="none"/>
              </w:rPr>
            </w:pPr>
          </w:p>
        </w:tc>
        <w:tc>
          <w:tcPr>
            <w:tcW w:w="947" w:type="dxa"/>
            <w:vMerge w:val="continue"/>
            <w:tcBorders>
              <w:left w:val="single" w:color="auto" w:sz="4" w:space="0"/>
              <w:right w:val="single" w:color="auto" w:sz="4" w:space="0"/>
            </w:tcBorders>
            <w:vAlign w:val="center"/>
          </w:tcPr>
          <w:p w14:paraId="3CFF2610">
            <w:pPr>
              <w:rPr>
                <w:rFonts w:hint="eastAsia" w:ascii="宋体" w:hAnsi="宋体" w:cs="宋体"/>
                <w:color w:val="auto"/>
                <w:sz w:val="24"/>
                <w:highlight w:val="none"/>
              </w:rPr>
            </w:pPr>
          </w:p>
        </w:tc>
        <w:tc>
          <w:tcPr>
            <w:tcW w:w="1389" w:type="dxa"/>
            <w:tcBorders>
              <w:top w:val="single" w:color="auto" w:sz="4" w:space="0"/>
              <w:left w:val="single" w:color="auto" w:sz="4" w:space="0"/>
              <w:bottom w:val="single" w:color="auto" w:sz="4" w:space="0"/>
              <w:right w:val="single" w:color="auto" w:sz="4" w:space="0"/>
            </w:tcBorders>
            <w:vAlign w:val="center"/>
          </w:tcPr>
          <w:p w14:paraId="015A071F">
            <w:pPr>
              <w:rPr>
                <w:rFonts w:hint="eastAsia" w:ascii="宋体" w:hAnsi="宋体" w:cs="宋体"/>
                <w:color w:val="auto"/>
                <w:sz w:val="24"/>
                <w:highlight w:val="none"/>
              </w:rPr>
            </w:pPr>
          </w:p>
        </w:tc>
      </w:tr>
      <w:tr w14:paraId="34B0E8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0" w:hRule="atLeast"/>
          <w:jc w:val="center"/>
        </w:trPr>
        <w:tc>
          <w:tcPr>
            <w:tcW w:w="841" w:type="dxa"/>
            <w:tcBorders>
              <w:top w:val="single" w:color="auto" w:sz="4" w:space="0"/>
              <w:left w:val="single" w:color="auto" w:sz="4" w:space="0"/>
              <w:bottom w:val="single" w:color="auto" w:sz="4" w:space="0"/>
              <w:right w:val="single" w:color="auto" w:sz="4" w:space="0"/>
            </w:tcBorders>
            <w:vAlign w:val="center"/>
          </w:tcPr>
          <w:p w14:paraId="16E011C8">
            <w:pPr>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w:t>
            </w:r>
          </w:p>
        </w:tc>
        <w:tc>
          <w:tcPr>
            <w:tcW w:w="1418" w:type="dxa"/>
            <w:tcBorders>
              <w:top w:val="single" w:color="auto" w:sz="4" w:space="0"/>
              <w:left w:val="single" w:color="auto" w:sz="4" w:space="0"/>
              <w:bottom w:val="single" w:color="auto" w:sz="4" w:space="0"/>
              <w:right w:val="single" w:color="auto" w:sz="4" w:space="0"/>
            </w:tcBorders>
            <w:vAlign w:val="center"/>
          </w:tcPr>
          <w:p w14:paraId="70D77B5A">
            <w:pPr>
              <w:rPr>
                <w:rFonts w:hint="eastAsia" w:ascii="宋体" w:hAnsi="宋体" w:cs="宋体"/>
                <w:color w:val="auto"/>
                <w:kern w:val="0"/>
                <w:szCs w:val="21"/>
                <w:highlight w:val="none"/>
              </w:rPr>
            </w:pPr>
          </w:p>
        </w:tc>
        <w:tc>
          <w:tcPr>
            <w:tcW w:w="779" w:type="dxa"/>
            <w:tcBorders>
              <w:top w:val="single" w:color="auto" w:sz="4" w:space="0"/>
              <w:left w:val="single" w:color="auto" w:sz="4" w:space="0"/>
              <w:bottom w:val="single" w:color="auto" w:sz="4" w:space="0"/>
              <w:right w:val="single" w:color="auto" w:sz="4" w:space="0"/>
            </w:tcBorders>
            <w:vAlign w:val="center"/>
          </w:tcPr>
          <w:p w14:paraId="1F1FC3A1">
            <w:pPr>
              <w:rPr>
                <w:rFonts w:hint="eastAsia" w:ascii="宋体" w:hAnsi="宋体" w:cs="宋体"/>
                <w:color w:val="auto"/>
                <w:kern w:val="0"/>
                <w:szCs w:val="21"/>
                <w:highlight w:val="none"/>
              </w:rPr>
            </w:pPr>
          </w:p>
        </w:tc>
        <w:tc>
          <w:tcPr>
            <w:tcW w:w="780" w:type="dxa"/>
            <w:tcBorders>
              <w:top w:val="single" w:color="auto" w:sz="4" w:space="0"/>
              <w:left w:val="single" w:color="auto" w:sz="4" w:space="0"/>
              <w:bottom w:val="single" w:color="auto" w:sz="4" w:space="0"/>
              <w:right w:val="single" w:color="auto" w:sz="4" w:space="0"/>
            </w:tcBorders>
            <w:vAlign w:val="center"/>
          </w:tcPr>
          <w:p w14:paraId="4F284B1D">
            <w:pPr>
              <w:rPr>
                <w:rFonts w:hint="eastAsia" w:ascii="宋体" w:hAnsi="宋体" w:cs="宋体"/>
                <w:color w:val="auto"/>
                <w:kern w:val="0"/>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7ED0C066">
            <w:pPr>
              <w:rPr>
                <w:rFonts w:hint="eastAsia" w:ascii="宋体" w:hAnsi="宋体" w:cs="宋体"/>
                <w:b/>
                <w:color w:val="auto"/>
                <w:sz w:val="24"/>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006B841">
            <w:pPr>
              <w:rPr>
                <w:rFonts w:hint="eastAsia" w:ascii="宋体" w:hAnsi="宋体" w:cs="宋体"/>
                <w:color w:val="auto"/>
                <w:sz w:val="24"/>
                <w:highlight w:val="none"/>
              </w:rPr>
            </w:pPr>
          </w:p>
        </w:tc>
        <w:tc>
          <w:tcPr>
            <w:tcW w:w="1338" w:type="dxa"/>
            <w:tcBorders>
              <w:top w:val="single" w:color="auto" w:sz="4" w:space="0"/>
              <w:left w:val="single" w:color="auto" w:sz="4" w:space="0"/>
              <w:bottom w:val="single" w:color="auto" w:sz="4" w:space="0"/>
              <w:right w:val="single" w:color="auto" w:sz="4" w:space="0"/>
            </w:tcBorders>
            <w:vAlign w:val="center"/>
          </w:tcPr>
          <w:p w14:paraId="6B94B711">
            <w:pPr>
              <w:rPr>
                <w:rFonts w:hint="eastAsia" w:ascii="宋体" w:hAnsi="宋体" w:cs="宋体"/>
                <w:color w:val="auto"/>
                <w:sz w:val="24"/>
                <w:highlight w:val="none"/>
              </w:rPr>
            </w:pPr>
          </w:p>
        </w:tc>
        <w:tc>
          <w:tcPr>
            <w:tcW w:w="947" w:type="dxa"/>
            <w:vMerge w:val="continue"/>
            <w:tcBorders>
              <w:left w:val="single" w:color="auto" w:sz="4" w:space="0"/>
              <w:bottom w:val="single" w:color="auto" w:sz="4" w:space="0"/>
              <w:right w:val="single" w:color="auto" w:sz="4" w:space="0"/>
            </w:tcBorders>
            <w:vAlign w:val="center"/>
          </w:tcPr>
          <w:p w14:paraId="42AA9907">
            <w:pPr>
              <w:rPr>
                <w:rFonts w:hint="eastAsia" w:ascii="宋体" w:hAnsi="宋体" w:cs="宋体"/>
                <w:color w:val="auto"/>
                <w:sz w:val="24"/>
                <w:highlight w:val="none"/>
              </w:rPr>
            </w:pPr>
          </w:p>
        </w:tc>
        <w:tc>
          <w:tcPr>
            <w:tcW w:w="1389" w:type="dxa"/>
            <w:tcBorders>
              <w:top w:val="single" w:color="auto" w:sz="4" w:space="0"/>
              <w:left w:val="single" w:color="auto" w:sz="4" w:space="0"/>
              <w:bottom w:val="single" w:color="auto" w:sz="4" w:space="0"/>
              <w:right w:val="single" w:color="auto" w:sz="4" w:space="0"/>
            </w:tcBorders>
            <w:vAlign w:val="center"/>
          </w:tcPr>
          <w:p w14:paraId="4DCA9818">
            <w:pPr>
              <w:rPr>
                <w:rFonts w:hint="eastAsia" w:ascii="宋体" w:hAnsi="宋体" w:cs="宋体"/>
                <w:color w:val="auto"/>
                <w:sz w:val="24"/>
                <w:highlight w:val="none"/>
              </w:rPr>
            </w:pPr>
          </w:p>
        </w:tc>
      </w:tr>
      <w:tr w14:paraId="1BCCBB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618" w:type="dxa"/>
            <w:gridSpan w:val="9"/>
            <w:tcBorders>
              <w:top w:val="single" w:color="auto" w:sz="4" w:space="0"/>
              <w:left w:val="single" w:color="auto" w:sz="4" w:space="0"/>
              <w:bottom w:val="single" w:color="auto" w:sz="4" w:space="0"/>
              <w:right w:val="single" w:color="auto" w:sz="4" w:space="0"/>
            </w:tcBorders>
            <w:vAlign w:val="center"/>
          </w:tcPr>
          <w:p w14:paraId="0EBE8151">
            <w:pPr>
              <w:rPr>
                <w:rFonts w:hint="eastAsia" w:ascii="宋体" w:hAnsi="宋体" w:cs="宋体"/>
                <w:color w:val="auto"/>
                <w:spacing w:val="20"/>
                <w:sz w:val="24"/>
                <w:highlight w:val="none"/>
              </w:rPr>
            </w:pPr>
            <w:r>
              <w:rPr>
                <w:rFonts w:hint="eastAsia" w:ascii="宋体" w:hAnsi="宋体" w:cs="宋体"/>
                <w:color w:val="auto"/>
                <w:sz w:val="24"/>
                <w:highlight w:val="none"/>
              </w:rPr>
              <w:t>统一</w:t>
            </w:r>
            <w:r>
              <w:rPr>
                <w:rFonts w:hint="eastAsia" w:ascii="宋体" w:hAnsi="宋体" w:cs="宋体"/>
                <w:color w:val="auto"/>
                <w:spacing w:val="20"/>
                <w:sz w:val="24"/>
                <w:highlight w:val="none"/>
              </w:rPr>
              <w:t>折扣系数</w:t>
            </w:r>
            <w:r>
              <w:rPr>
                <w:rFonts w:hint="eastAsia" w:ascii="宋体" w:hAnsi="宋体" w:cs="宋体"/>
                <w:color w:val="auto"/>
                <w:sz w:val="24"/>
                <w:highlight w:val="none"/>
              </w:rPr>
              <w:t>：</w:t>
            </w:r>
            <w:r>
              <w:rPr>
                <w:rFonts w:hint="eastAsia" w:ascii="宋体" w:hAnsi="宋体" w:cs="宋体"/>
                <w:color w:val="auto"/>
                <w:spacing w:val="20"/>
                <w:sz w:val="24"/>
                <w:highlight w:val="none"/>
                <w:u w:val="single"/>
              </w:rPr>
              <w:t xml:space="preserve">            （%）</w:t>
            </w:r>
          </w:p>
        </w:tc>
      </w:tr>
      <w:tr w14:paraId="798966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618" w:type="dxa"/>
            <w:gridSpan w:val="9"/>
            <w:tcBorders>
              <w:top w:val="single" w:color="auto" w:sz="4" w:space="0"/>
              <w:left w:val="single" w:color="auto" w:sz="4" w:space="0"/>
              <w:bottom w:val="single" w:color="auto" w:sz="4" w:space="0"/>
              <w:right w:val="single" w:color="auto" w:sz="4" w:space="0"/>
            </w:tcBorders>
            <w:vAlign w:val="center"/>
          </w:tcPr>
          <w:p w14:paraId="047EEFCE">
            <w:pPr>
              <w:rPr>
                <w:rFonts w:hint="eastAsia" w:ascii="宋体" w:hAnsi="宋体" w:cs="宋体"/>
                <w:color w:val="auto"/>
                <w:sz w:val="24"/>
                <w:highlight w:val="none"/>
              </w:rPr>
            </w:pPr>
            <w:r>
              <w:rPr>
                <w:rFonts w:hint="eastAsia" w:ascii="宋体" w:hAnsi="宋体" w:cs="宋体"/>
                <w:bCs/>
                <w:color w:val="auto"/>
                <w:kern w:val="0"/>
                <w:sz w:val="24"/>
                <w:highlight w:val="none"/>
              </w:rPr>
              <w:t>交付时间</w:t>
            </w:r>
            <w:r>
              <w:rPr>
                <w:rFonts w:hint="eastAsia" w:ascii="宋体" w:hAnsi="宋体" w:cs="宋体"/>
                <w:color w:val="auto"/>
                <w:sz w:val="24"/>
                <w:highlight w:val="none"/>
              </w:rPr>
              <w:t>：</w:t>
            </w:r>
          </w:p>
        </w:tc>
      </w:tr>
    </w:tbl>
    <w:p w14:paraId="22A55210">
      <w:pPr>
        <w:snapToGrid w:val="0"/>
        <w:spacing w:before="50" w:after="50" w:line="360" w:lineRule="auto"/>
        <w:jc w:val="left"/>
        <w:rPr>
          <w:rFonts w:hint="eastAsia" w:ascii="宋体" w:hAnsi="宋体" w:cs="宋体"/>
          <w:color w:val="auto"/>
          <w:sz w:val="24"/>
          <w:highlight w:val="none"/>
        </w:rPr>
      </w:pPr>
      <w:r>
        <w:rPr>
          <w:rFonts w:hint="eastAsia" w:ascii="宋体" w:hAnsi="宋体" w:cs="宋体"/>
          <w:color w:val="auto"/>
          <w:sz w:val="24"/>
          <w:highlight w:val="none"/>
        </w:rPr>
        <w:t>注：</w:t>
      </w:r>
    </w:p>
    <w:p w14:paraId="38661364">
      <w:pPr>
        <w:snapToGrid w:val="0"/>
        <w:spacing w:before="50" w:after="5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1.投标人的开标一览表必须加盖投标人公章并由法定代表人或者委托代理人签字，</w:t>
      </w:r>
      <w:r>
        <w:rPr>
          <w:rFonts w:hint="eastAsia" w:ascii="宋体" w:hAnsi="宋体" w:cs="宋体"/>
          <w:b/>
          <w:color w:val="auto"/>
          <w:sz w:val="24"/>
          <w:highlight w:val="none"/>
        </w:rPr>
        <w:t>否则其投标作无效标处理</w:t>
      </w:r>
      <w:r>
        <w:rPr>
          <w:rFonts w:hint="eastAsia" w:ascii="宋体" w:hAnsi="宋体" w:cs="宋体"/>
          <w:color w:val="auto"/>
          <w:sz w:val="24"/>
          <w:highlight w:val="none"/>
        </w:rPr>
        <w:t>。</w:t>
      </w:r>
    </w:p>
    <w:p w14:paraId="6D40F76F">
      <w:pPr>
        <w:snapToGrid w:val="0"/>
        <w:spacing w:before="50" w:after="50" w:line="360" w:lineRule="auto"/>
        <w:ind w:firstLine="480" w:firstLineChars="200"/>
        <w:jc w:val="left"/>
        <w:rPr>
          <w:rFonts w:hint="eastAsia" w:ascii="宋体" w:hAnsi="宋体" w:cs="宋体"/>
          <w:b/>
          <w:color w:val="auto"/>
          <w:sz w:val="24"/>
          <w:highlight w:val="none"/>
        </w:rPr>
      </w:pPr>
      <w:r>
        <w:rPr>
          <w:rFonts w:hint="eastAsia" w:ascii="宋体" w:hAnsi="宋体" w:cs="宋体"/>
          <w:bCs/>
          <w:color w:val="auto"/>
          <w:sz w:val="24"/>
          <w:highlight w:val="none"/>
        </w:rPr>
        <w:t>2.</w:t>
      </w:r>
      <w:r>
        <w:rPr>
          <w:rFonts w:hint="eastAsia" w:ascii="宋体" w:hAnsi="宋体" w:cs="宋体"/>
          <w:color w:val="auto"/>
          <w:sz w:val="24"/>
          <w:highlight w:val="none"/>
        </w:rPr>
        <w:t>报价一经涂改，应在涂改处加盖投标人公章或者由法定代表人或者委托代理人签字或者盖章</w:t>
      </w:r>
      <w:r>
        <w:rPr>
          <w:rFonts w:hint="eastAsia" w:ascii="宋体" w:hAnsi="宋体" w:cs="宋体"/>
          <w:b/>
          <w:color w:val="auto"/>
          <w:sz w:val="24"/>
          <w:highlight w:val="none"/>
        </w:rPr>
        <w:t>，否则其投标作无效标处理。</w:t>
      </w:r>
    </w:p>
    <w:p w14:paraId="752E3018">
      <w:pPr>
        <w:snapToGrid w:val="0"/>
        <w:spacing w:before="50" w:after="5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3.招标文件中列明采购专用耗材的，应按招标文件规定的耗材量或者按耗材的常规试用量提供报价。</w:t>
      </w:r>
    </w:p>
    <w:p w14:paraId="141E7BEE">
      <w:pPr>
        <w:snapToGrid w:val="0"/>
        <w:spacing w:before="50" w:after="5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4.如为联合体投标，“投标人名称”处必须列明联合体各方名称，并标注联合体牵头人名称，</w:t>
      </w:r>
      <w:r>
        <w:rPr>
          <w:rFonts w:hint="eastAsia" w:ascii="宋体" w:hAnsi="宋体" w:cs="宋体"/>
          <w:color w:val="auto"/>
          <w:spacing w:val="-6"/>
          <w:sz w:val="24"/>
          <w:highlight w:val="none"/>
        </w:rPr>
        <w:t>盖章处须加盖联合体各方公章，</w:t>
      </w:r>
      <w:r>
        <w:rPr>
          <w:rFonts w:hint="eastAsia" w:ascii="宋体" w:hAnsi="宋体" w:cs="宋体"/>
          <w:b/>
          <w:color w:val="auto"/>
          <w:spacing w:val="-6"/>
          <w:sz w:val="24"/>
          <w:highlight w:val="none"/>
        </w:rPr>
        <w:t>否则其投标作无效标处理</w:t>
      </w:r>
      <w:r>
        <w:rPr>
          <w:rFonts w:hint="eastAsia" w:ascii="宋体" w:hAnsi="宋体" w:cs="宋体"/>
          <w:b/>
          <w:color w:val="auto"/>
          <w:sz w:val="24"/>
          <w:highlight w:val="none"/>
        </w:rPr>
        <w:t>。</w:t>
      </w:r>
    </w:p>
    <w:p w14:paraId="41ADC7EF">
      <w:pPr>
        <w:snapToGrid w:val="0"/>
        <w:spacing w:before="50" w:after="50" w:line="360" w:lineRule="auto"/>
        <w:ind w:firstLine="480" w:firstLineChars="200"/>
        <w:rPr>
          <w:rFonts w:hint="eastAsia" w:ascii="宋体" w:hAnsi="宋体" w:cs="宋体"/>
          <w:b/>
          <w:color w:val="auto"/>
          <w:sz w:val="24"/>
          <w:highlight w:val="none"/>
        </w:rPr>
      </w:pPr>
      <w:r>
        <w:rPr>
          <w:rFonts w:hint="eastAsia" w:ascii="宋体" w:hAnsi="宋体" w:cs="宋体"/>
          <w:color w:val="auto"/>
          <w:sz w:val="24"/>
          <w:highlight w:val="none"/>
        </w:rPr>
        <w:t>5.如有多分标，按分标分别提供开标一览表，</w:t>
      </w:r>
      <w:r>
        <w:rPr>
          <w:rFonts w:hint="eastAsia" w:ascii="宋体" w:hAnsi="宋体" w:cs="宋体"/>
          <w:b/>
          <w:color w:val="auto"/>
          <w:sz w:val="24"/>
          <w:highlight w:val="none"/>
        </w:rPr>
        <w:t>否则投标无效。</w:t>
      </w:r>
    </w:p>
    <w:p w14:paraId="5A180B17">
      <w:pPr>
        <w:snapToGrid w:val="0"/>
        <w:spacing w:before="50" w:after="50" w:line="360" w:lineRule="auto"/>
        <w:ind w:firstLine="482" w:firstLineChars="200"/>
        <w:rPr>
          <w:rFonts w:hint="eastAsia" w:ascii="宋体" w:hAnsi="宋体" w:cs="宋体"/>
          <w:b/>
          <w:color w:val="auto"/>
          <w:sz w:val="24"/>
          <w:highlight w:val="none"/>
        </w:rPr>
      </w:pPr>
    </w:p>
    <w:p w14:paraId="15CB2199">
      <w:pPr>
        <w:snapToGrid w:val="0"/>
        <w:spacing w:before="50" w:after="50" w:line="360" w:lineRule="auto"/>
        <w:ind w:left="-2" w:leftChars="-1" w:right="-817" w:rightChars="-389"/>
        <w:rPr>
          <w:rFonts w:hint="eastAsia" w:ascii="宋体" w:hAnsi="宋体" w:cs="宋体"/>
          <w:color w:val="auto"/>
          <w:sz w:val="24"/>
          <w:highlight w:val="none"/>
        </w:rPr>
      </w:pPr>
      <w:r>
        <w:rPr>
          <w:rFonts w:hint="eastAsia" w:ascii="宋体" w:hAnsi="宋体" w:cs="宋体"/>
          <w:color w:val="auto"/>
          <w:sz w:val="24"/>
          <w:highlight w:val="none"/>
        </w:rPr>
        <w:t xml:space="preserve">法定代表人或者委托代理人（签字）：                    </w:t>
      </w:r>
    </w:p>
    <w:p w14:paraId="59E3E910">
      <w:pPr>
        <w:snapToGrid w:val="0"/>
        <w:spacing w:before="50" w:after="50" w:line="360" w:lineRule="auto"/>
        <w:ind w:left="-3" w:leftChars="-15" w:right="-817" w:rightChars="-389" w:hanging="28" w:hangingChars="12"/>
        <w:rPr>
          <w:rFonts w:hint="eastAsia" w:ascii="宋体" w:hAnsi="宋体" w:cs="宋体"/>
          <w:color w:val="auto"/>
          <w:szCs w:val="21"/>
          <w:highlight w:val="none"/>
        </w:rPr>
      </w:pPr>
      <w:r>
        <w:rPr>
          <w:rFonts w:hint="eastAsia" w:ascii="宋体" w:hAnsi="宋体" w:cs="宋体"/>
          <w:color w:val="auto"/>
          <w:sz w:val="24"/>
          <w:highlight w:val="none"/>
        </w:rPr>
        <w:t>投标人名称（盖公章）：                                 日期：    年   月   日</w:t>
      </w:r>
    </w:p>
    <w:p w14:paraId="45372C60">
      <w:pPr>
        <w:rPr>
          <w:rFonts w:hint="eastAsia" w:ascii="宋体" w:hAnsi="宋体" w:cs="宋体"/>
          <w:b/>
          <w:color w:val="auto"/>
          <w:sz w:val="28"/>
          <w:szCs w:val="28"/>
          <w:highlight w:val="none"/>
        </w:rPr>
      </w:pPr>
      <w:r>
        <w:rPr>
          <w:rFonts w:hint="eastAsia" w:ascii="宋体" w:hAnsi="宋体" w:cs="宋体"/>
          <w:b/>
          <w:bCs/>
          <w:color w:val="auto"/>
          <w:sz w:val="24"/>
          <w:highlight w:val="none"/>
        </w:rPr>
        <w:br w:type="page"/>
      </w:r>
      <w:bookmarkStart w:id="148" w:name="_Toc19686837"/>
      <w:r>
        <w:rPr>
          <w:rFonts w:hint="eastAsia" w:ascii="宋体" w:hAnsi="宋体" w:cs="宋体"/>
          <w:b/>
          <w:color w:val="auto"/>
          <w:sz w:val="28"/>
          <w:szCs w:val="28"/>
          <w:highlight w:val="none"/>
        </w:rPr>
        <w:t>二、资格证明文件格式</w:t>
      </w:r>
      <w:bookmarkEnd w:id="146"/>
      <w:bookmarkEnd w:id="147"/>
      <w:bookmarkEnd w:id="148"/>
    </w:p>
    <w:p w14:paraId="679410F0">
      <w:pPr>
        <w:numPr>
          <w:ilvl w:val="2"/>
          <w:numId w:val="0"/>
        </w:numPr>
        <w:snapToGrid w:val="0"/>
        <w:spacing w:before="120" w:beforeLines="50" w:after="50" w:line="360" w:lineRule="auto"/>
        <w:jc w:val="left"/>
        <w:rPr>
          <w:rFonts w:hint="eastAsia" w:ascii="宋体" w:hAnsi="宋体" w:cs="宋体"/>
          <w:b/>
          <w:color w:val="auto"/>
          <w:sz w:val="24"/>
          <w:highlight w:val="none"/>
        </w:rPr>
      </w:pPr>
      <w:r>
        <w:rPr>
          <w:rFonts w:ascii="宋体" w:hAnsi="宋体" w:cs="宋体"/>
          <w:b/>
          <w:color w:val="auto"/>
          <w:sz w:val="24"/>
          <w:highlight w:val="none"/>
        </w:rPr>
        <w:t>1.</w:t>
      </w:r>
      <w:r>
        <w:rPr>
          <w:rFonts w:hint="eastAsia" w:ascii="宋体" w:hAnsi="宋体" w:cs="宋体"/>
          <w:b/>
          <w:color w:val="auto"/>
          <w:sz w:val="24"/>
          <w:highlight w:val="none"/>
        </w:rPr>
        <w:t xml:space="preserve">资格证明文件封面格式： </w:t>
      </w:r>
    </w:p>
    <w:p w14:paraId="1809ADCE">
      <w:pPr>
        <w:snapToGrid w:val="0"/>
        <w:spacing w:before="120" w:beforeLines="50" w:after="50"/>
        <w:rPr>
          <w:rFonts w:hint="eastAsia" w:ascii="宋体" w:hAnsi="宋体" w:cs="宋体"/>
          <w:bCs/>
          <w:color w:val="auto"/>
          <w:sz w:val="32"/>
          <w:szCs w:val="20"/>
          <w:highlight w:val="none"/>
        </w:rPr>
      </w:pPr>
    </w:p>
    <w:p w14:paraId="4C06AC03">
      <w:pPr>
        <w:snapToGrid w:val="0"/>
        <w:spacing w:before="120" w:beforeLines="50" w:after="50"/>
        <w:rPr>
          <w:rFonts w:hint="eastAsia" w:ascii="宋体" w:hAnsi="宋体" w:cs="宋体"/>
          <w:color w:val="auto"/>
          <w:sz w:val="24"/>
          <w:szCs w:val="20"/>
          <w:highlight w:val="none"/>
        </w:rPr>
      </w:pPr>
    </w:p>
    <w:p w14:paraId="6B060C00">
      <w:pPr>
        <w:snapToGrid w:val="0"/>
        <w:spacing w:before="120" w:beforeLines="50" w:after="50"/>
        <w:rPr>
          <w:rFonts w:hint="eastAsia" w:ascii="宋体" w:hAnsi="宋体" w:cs="宋体"/>
          <w:color w:val="auto"/>
          <w:sz w:val="24"/>
          <w:szCs w:val="20"/>
          <w:highlight w:val="none"/>
        </w:rPr>
      </w:pPr>
    </w:p>
    <w:p w14:paraId="53CACD2C">
      <w:pPr>
        <w:snapToGrid w:val="0"/>
        <w:spacing w:before="120" w:beforeLines="50" w:after="50"/>
        <w:jc w:val="center"/>
        <w:rPr>
          <w:rFonts w:hint="eastAsia" w:ascii="宋体" w:hAnsi="宋体" w:cs="宋体"/>
          <w:color w:val="auto"/>
          <w:sz w:val="84"/>
          <w:szCs w:val="84"/>
          <w:highlight w:val="none"/>
        </w:rPr>
      </w:pPr>
      <w:r>
        <w:rPr>
          <w:rFonts w:hint="eastAsia" w:ascii="宋体" w:hAnsi="宋体" w:cs="宋体"/>
          <w:color w:val="auto"/>
          <w:sz w:val="84"/>
          <w:szCs w:val="84"/>
          <w:highlight w:val="none"/>
        </w:rPr>
        <w:t>投  标  文  件</w:t>
      </w:r>
    </w:p>
    <w:p w14:paraId="645D57D8">
      <w:pPr>
        <w:snapToGrid w:val="0"/>
        <w:spacing w:before="120" w:beforeLines="50" w:after="50"/>
        <w:rPr>
          <w:rFonts w:hint="eastAsia" w:ascii="宋体" w:hAnsi="宋体" w:cs="宋体"/>
          <w:color w:val="auto"/>
          <w:sz w:val="24"/>
          <w:szCs w:val="20"/>
          <w:highlight w:val="none"/>
        </w:rPr>
      </w:pPr>
    </w:p>
    <w:p w14:paraId="40AE3C9A">
      <w:pPr>
        <w:snapToGrid w:val="0"/>
        <w:spacing w:before="120" w:beforeLines="50" w:after="50"/>
        <w:rPr>
          <w:rFonts w:hint="eastAsia" w:ascii="宋体" w:hAnsi="宋体" w:cs="宋体"/>
          <w:color w:val="auto"/>
          <w:sz w:val="24"/>
          <w:szCs w:val="20"/>
          <w:highlight w:val="none"/>
        </w:rPr>
      </w:pPr>
    </w:p>
    <w:p w14:paraId="1A11AEF5">
      <w:pPr>
        <w:snapToGrid w:val="0"/>
        <w:spacing w:before="120" w:beforeLines="50" w:after="50"/>
        <w:jc w:val="center"/>
        <w:rPr>
          <w:rFonts w:hint="eastAsia" w:ascii="宋体" w:hAnsi="宋体" w:cs="宋体"/>
          <w:b/>
          <w:color w:val="auto"/>
          <w:sz w:val="24"/>
          <w:szCs w:val="20"/>
          <w:highlight w:val="none"/>
        </w:rPr>
      </w:pPr>
      <w:r>
        <w:rPr>
          <w:rFonts w:hint="eastAsia" w:ascii="宋体" w:hAnsi="宋体" w:cs="宋体"/>
          <w:b/>
          <w:color w:val="auto"/>
          <w:sz w:val="32"/>
          <w:szCs w:val="32"/>
          <w:highlight w:val="none"/>
        </w:rPr>
        <w:t>资 格 证 明 文 件</w:t>
      </w:r>
    </w:p>
    <w:p w14:paraId="052A6C52">
      <w:pPr>
        <w:snapToGrid w:val="0"/>
        <w:spacing w:before="120" w:beforeLines="50" w:after="50"/>
        <w:rPr>
          <w:rFonts w:hint="eastAsia" w:ascii="宋体" w:hAnsi="宋体" w:cs="宋体"/>
          <w:bCs/>
          <w:color w:val="auto"/>
          <w:sz w:val="24"/>
          <w:szCs w:val="20"/>
          <w:highlight w:val="none"/>
        </w:rPr>
      </w:pPr>
    </w:p>
    <w:p w14:paraId="32027ECC">
      <w:pPr>
        <w:snapToGrid w:val="0"/>
        <w:spacing w:before="120" w:beforeLines="50" w:after="50"/>
        <w:rPr>
          <w:rFonts w:hint="eastAsia" w:ascii="宋体" w:hAnsi="宋体" w:cs="宋体"/>
          <w:bCs/>
          <w:color w:val="auto"/>
          <w:sz w:val="24"/>
          <w:szCs w:val="20"/>
          <w:highlight w:val="none"/>
        </w:rPr>
      </w:pPr>
    </w:p>
    <w:p w14:paraId="43B0D50E">
      <w:pPr>
        <w:snapToGrid w:val="0"/>
        <w:spacing w:before="120" w:beforeLines="50" w:after="50"/>
        <w:rPr>
          <w:rFonts w:hint="eastAsia" w:ascii="宋体" w:hAnsi="宋体" w:cs="宋体"/>
          <w:bCs/>
          <w:color w:val="auto"/>
          <w:sz w:val="24"/>
          <w:szCs w:val="20"/>
          <w:highlight w:val="none"/>
        </w:rPr>
      </w:pPr>
    </w:p>
    <w:p w14:paraId="46D360A3">
      <w:pPr>
        <w:snapToGrid w:val="0"/>
        <w:spacing w:before="120" w:beforeLines="50" w:after="50"/>
        <w:rPr>
          <w:rFonts w:hint="eastAsia" w:ascii="宋体" w:hAnsi="宋体" w:cs="宋体"/>
          <w:bCs/>
          <w:color w:val="auto"/>
          <w:sz w:val="24"/>
          <w:szCs w:val="20"/>
          <w:highlight w:val="none"/>
        </w:rPr>
      </w:pPr>
    </w:p>
    <w:p w14:paraId="00204ACF">
      <w:pPr>
        <w:snapToGrid w:val="0"/>
        <w:spacing w:before="120" w:beforeLines="50" w:after="50"/>
        <w:rPr>
          <w:rFonts w:hint="eastAsia" w:ascii="宋体" w:hAnsi="宋体" w:cs="宋体"/>
          <w:bCs/>
          <w:color w:val="auto"/>
          <w:sz w:val="24"/>
          <w:szCs w:val="20"/>
          <w:highlight w:val="none"/>
        </w:rPr>
      </w:pPr>
    </w:p>
    <w:p w14:paraId="6C47EC39">
      <w:pPr>
        <w:snapToGrid w:val="0"/>
        <w:spacing w:before="120" w:beforeLines="50" w:after="50"/>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项目名称：</w:t>
      </w:r>
    </w:p>
    <w:p w14:paraId="2B2193CC">
      <w:pPr>
        <w:snapToGrid w:val="0"/>
        <w:spacing w:before="120" w:beforeLines="50" w:after="50"/>
        <w:ind w:firstLine="540" w:firstLineChars="225"/>
        <w:rPr>
          <w:rFonts w:hint="eastAsia" w:ascii="宋体" w:hAnsi="宋体" w:cs="宋体"/>
          <w:bCs/>
          <w:color w:val="auto"/>
          <w:sz w:val="24"/>
          <w:szCs w:val="20"/>
          <w:highlight w:val="none"/>
        </w:rPr>
      </w:pPr>
    </w:p>
    <w:p w14:paraId="73A754BC">
      <w:pPr>
        <w:snapToGrid w:val="0"/>
        <w:spacing w:before="120" w:beforeLines="50" w:after="50"/>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项目编号：</w:t>
      </w:r>
    </w:p>
    <w:p w14:paraId="10E2854A">
      <w:pPr>
        <w:snapToGrid w:val="0"/>
        <w:spacing w:before="120" w:beforeLines="50" w:after="50"/>
        <w:ind w:firstLine="540" w:firstLineChars="225"/>
        <w:rPr>
          <w:rFonts w:hint="eastAsia" w:ascii="宋体" w:hAnsi="宋体" w:cs="宋体"/>
          <w:bCs/>
          <w:color w:val="auto"/>
          <w:sz w:val="24"/>
          <w:szCs w:val="20"/>
          <w:highlight w:val="none"/>
        </w:rPr>
      </w:pPr>
    </w:p>
    <w:p w14:paraId="402EF33D">
      <w:pPr>
        <w:snapToGrid w:val="0"/>
        <w:spacing w:before="120" w:beforeLines="50" w:after="50"/>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所投分标：</w:t>
      </w:r>
    </w:p>
    <w:p w14:paraId="518C9CC9">
      <w:pPr>
        <w:pStyle w:val="11"/>
        <w:snapToGrid w:val="0"/>
        <w:spacing w:before="50" w:after="50"/>
        <w:ind w:firstLine="540" w:firstLineChars="225"/>
        <w:rPr>
          <w:rFonts w:hint="eastAsia" w:ascii="宋体" w:hAnsi="宋体" w:cs="宋体"/>
          <w:bCs/>
          <w:color w:val="auto"/>
          <w:sz w:val="24"/>
          <w:szCs w:val="24"/>
          <w:highlight w:val="none"/>
        </w:rPr>
      </w:pPr>
    </w:p>
    <w:p w14:paraId="2525FEA2">
      <w:pPr>
        <w:pStyle w:val="11"/>
        <w:snapToGrid w:val="0"/>
        <w:spacing w:before="50" w:after="50"/>
        <w:ind w:firstLine="540" w:firstLineChars="225"/>
        <w:rPr>
          <w:rFonts w:hint="eastAsia" w:ascii="宋体" w:hAnsi="宋体" w:cs="宋体"/>
          <w:bCs/>
          <w:color w:val="auto"/>
          <w:sz w:val="24"/>
          <w:szCs w:val="24"/>
          <w:highlight w:val="none"/>
        </w:rPr>
      </w:pPr>
      <w:r>
        <w:rPr>
          <w:rFonts w:hint="eastAsia" w:ascii="宋体" w:hAnsi="宋体" w:cs="宋体"/>
          <w:bCs/>
          <w:color w:val="auto"/>
          <w:sz w:val="24"/>
          <w:szCs w:val="24"/>
          <w:highlight w:val="none"/>
        </w:rPr>
        <w:t>投标人名称：</w:t>
      </w:r>
    </w:p>
    <w:p w14:paraId="0F23E506">
      <w:pPr>
        <w:pStyle w:val="11"/>
        <w:snapToGrid w:val="0"/>
        <w:spacing w:before="50" w:after="50"/>
        <w:ind w:firstLine="540" w:firstLineChars="225"/>
        <w:rPr>
          <w:rFonts w:hint="eastAsia" w:ascii="宋体" w:hAnsi="宋体" w:cs="宋体"/>
          <w:bCs/>
          <w:color w:val="auto"/>
          <w:sz w:val="24"/>
          <w:szCs w:val="24"/>
          <w:highlight w:val="none"/>
        </w:rPr>
      </w:pPr>
    </w:p>
    <w:p w14:paraId="43EAF236">
      <w:pPr>
        <w:pStyle w:val="11"/>
        <w:snapToGrid w:val="0"/>
        <w:spacing w:before="50" w:after="50"/>
        <w:ind w:firstLine="960" w:firstLineChars="400"/>
        <w:rPr>
          <w:rFonts w:hint="eastAsia" w:ascii="宋体" w:hAnsi="宋体" w:cs="宋体"/>
          <w:bCs/>
          <w:color w:val="auto"/>
          <w:sz w:val="24"/>
          <w:szCs w:val="24"/>
          <w:highlight w:val="none"/>
        </w:rPr>
      </w:pPr>
    </w:p>
    <w:p w14:paraId="56999752">
      <w:pPr>
        <w:snapToGrid w:val="0"/>
        <w:spacing w:before="120" w:beforeLines="50" w:after="50"/>
        <w:ind w:firstLine="645"/>
        <w:jc w:val="center"/>
        <w:rPr>
          <w:rFonts w:hint="eastAsia" w:ascii="宋体" w:hAnsi="宋体" w:cs="宋体"/>
          <w:color w:val="auto"/>
          <w:sz w:val="24"/>
          <w:highlight w:val="none"/>
        </w:rPr>
      </w:pPr>
      <w:r>
        <w:rPr>
          <w:rFonts w:hint="eastAsia" w:ascii="宋体" w:hAnsi="宋体" w:cs="宋体"/>
          <w:color w:val="auto"/>
          <w:sz w:val="24"/>
          <w:highlight w:val="none"/>
        </w:rPr>
        <w:t>年  月  日</w:t>
      </w:r>
    </w:p>
    <w:p w14:paraId="678141E3">
      <w:pPr>
        <w:snapToGrid w:val="0"/>
        <w:spacing w:before="120" w:beforeLines="50" w:after="50"/>
        <w:rPr>
          <w:rFonts w:hint="eastAsia" w:ascii="宋体" w:hAnsi="宋体" w:cs="宋体"/>
          <w:color w:val="auto"/>
          <w:sz w:val="24"/>
          <w:szCs w:val="20"/>
          <w:highlight w:val="none"/>
        </w:rPr>
      </w:pPr>
    </w:p>
    <w:p w14:paraId="49E802CF">
      <w:pPr>
        <w:snapToGrid w:val="0"/>
        <w:spacing w:before="120" w:beforeLines="50" w:after="50"/>
        <w:rPr>
          <w:rFonts w:hint="eastAsia" w:ascii="宋体" w:hAnsi="宋体" w:cs="宋体"/>
          <w:color w:val="auto"/>
          <w:sz w:val="24"/>
          <w:szCs w:val="20"/>
          <w:highlight w:val="none"/>
        </w:rPr>
      </w:pPr>
    </w:p>
    <w:p w14:paraId="5DD27B77">
      <w:pPr>
        <w:numPr>
          <w:ilvl w:val="2"/>
          <w:numId w:val="0"/>
        </w:numPr>
        <w:snapToGrid w:val="0"/>
        <w:spacing w:before="120" w:beforeLines="50" w:after="50" w:line="360" w:lineRule="auto"/>
        <w:jc w:val="left"/>
        <w:rPr>
          <w:rFonts w:hint="eastAsia" w:ascii="宋体" w:hAnsi="宋体" w:cs="宋体"/>
          <w:b/>
          <w:bCs/>
          <w:color w:val="auto"/>
          <w:sz w:val="24"/>
          <w:highlight w:val="none"/>
        </w:rPr>
      </w:pPr>
    </w:p>
    <w:p w14:paraId="7E2D9C2F">
      <w:pPr>
        <w:numPr>
          <w:ilvl w:val="2"/>
          <w:numId w:val="0"/>
        </w:numPr>
        <w:snapToGrid w:val="0"/>
        <w:spacing w:before="120" w:beforeLines="50" w:after="50" w:line="360" w:lineRule="auto"/>
        <w:jc w:val="left"/>
        <w:rPr>
          <w:rFonts w:hint="eastAsia" w:ascii="宋体" w:hAnsi="宋体" w:cs="宋体"/>
          <w:b/>
          <w:bCs/>
          <w:color w:val="auto"/>
          <w:sz w:val="24"/>
          <w:highlight w:val="none"/>
        </w:rPr>
      </w:pPr>
    </w:p>
    <w:p w14:paraId="563D0608">
      <w:pPr>
        <w:numPr>
          <w:ilvl w:val="2"/>
          <w:numId w:val="0"/>
        </w:numPr>
        <w:snapToGrid w:val="0"/>
        <w:spacing w:before="120" w:beforeLines="50" w:after="50" w:line="360" w:lineRule="auto"/>
        <w:jc w:val="left"/>
        <w:rPr>
          <w:rFonts w:hint="eastAsia" w:ascii="宋体" w:hAnsi="宋体" w:cs="宋体"/>
          <w:b/>
          <w:bCs/>
          <w:color w:val="auto"/>
          <w:sz w:val="24"/>
          <w:highlight w:val="none"/>
        </w:rPr>
      </w:pPr>
    </w:p>
    <w:p w14:paraId="17D88B2B">
      <w:pPr>
        <w:numPr>
          <w:ilvl w:val="2"/>
          <w:numId w:val="0"/>
        </w:numPr>
        <w:snapToGrid w:val="0"/>
        <w:spacing w:before="120" w:beforeLines="50" w:after="50" w:line="360" w:lineRule="auto"/>
        <w:jc w:val="left"/>
        <w:rPr>
          <w:rFonts w:hint="eastAsia" w:ascii="宋体" w:hAnsi="宋体" w:cs="宋体"/>
          <w:color w:val="auto"/>
          <w:sz w:val="24"/>
          <w:szCs w:val="20"/>
          <w:highlight w:val="none"/>
        </w:rPr>
      </w:pPr>
      <w:r>
        <w:rPr>
          <w:rFonts w:ascii="宋体" w:hAnsi="宋体" w:cs="宋体"/>
          <w:b/>
          <w:bCs/>
          <w:color w:val="auto"/>
          <w:sz w:val="24"/>
          <w:highlight w:val="none"/>
        </w:rPr>
        <w:t>2.</w:t>
      </w:r>
      <w:r>
        <w:rPr>
          <w:rFonts w:hint="eastAsia" w:ascii="宋体" w:hAnsi="宋体" w:cs="宋体"/>
          <w:b/>
          <w:bCs/>
          <w:color w:val="auto"/>
          <w:sz w:val="24"/>
          <w:highlight w:val="none"/>
        </w:rPr>
        <w:t>资格证明文件目录</w:t>
      </w:r>
    </w:p>
    <w:p w14:paraId="3FB95ACD">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根据招标文件规定及投标人提供的材料自行编写目录。</w:t>
      </w:r>
    </w:p>
    <w:p w14:paraId="4031B1E2">
      <w:pPr>
        <w:snapToGrid w:val="0"/>
        <w:spacing w:before="50" w:after="120" w:afterLines="50"/>
        <w:jc w:val="left"/>
        <w:rPr>
          <w:rFonts w:hint="eastAsia" w:ascii="宋体" w:hAnsi="宋体" w:cs="宋体"/>
          <w:color w:val="auto"/>
          <w:sz w:val="24"/>
          <w:highlight w:val="none"/>
        </w:rPr>
      </w:pPr>
    </w:p>
    <w:p w14:paraId="4EEE8EA4">
      <w:pPr>
        <w:snapToGrid w:val="0"/>
        <w:spacing w:before="50" w:after="120" w:afterLines="50"/>
        <w:jc w:val="left"/>
        <w:rPr>
          <w:rFonts w:hint="eastAsia" w:ascii="宋体" w:hAnsi="宋体" w:cs="宋体"/>
          <w:color w:val="auto"/>
          <w:sz w:val="24"/>
          <w:highlight w:val="none"/>
        </w:rPr>
      </w:pPr>
    </w:p>
    <w:p w14:paraId="43E0228C">
      <w:pPr>
        <w:numPr>
          <w:ilvl w:val="2"/>
          <w:numId w:val="0"/>
        </w:numPr>
        <w:snapToGrid w:val="0"/>
        <w:spacing w:before="120" w:beforeLines="50" w:after="50"/>
        <w:jc w:val="left"/>
        <w:rPr>
          <w:rFonts w:hint="eastAsia" w:ascii="宋体" w:hAnsi="宋体" w:cs="宋体"/>
          <w:b/>
          <w:color w:val="auto"/>
          <w:sz w:val="24"/>
          <w:highlight w:val="none"/>
        </w:rPr>
      </w:pPr>
    </w:p>
    <w:p w14:paraId="374077CA">
      <w:pPr>
        <w:numPr>
          <w:ilvl w:val="2"/>
          <w:numId w:val="0"/>
        </w:numPr>
        <w:snapToGrid w:val="0"/>
        <w:spacing w:before="120" w:beforeLines="50" w:after="50"/>
        <w:jc w:val="left"/>
        <w:rPr>
          <w:rFonts w:hint="eastAsia" w:ascii="宋体" w:hAnsi="宋体" w:cs="宋体"/>
          <w:b/>
          <w:color w:val="auto"/>
          <w:sz w:val="24"/>
          <w:highlight w:val="none"/>
        </w:rPr>
      </w:pPr>
    </w:p>
    <w:p w14:paraId="46D60745">
      <w:pPr>
        <w:numPr>
          <w:ilvl w:val="2"/>
          <w:numId w:val="0"/>
        </w:numPr>
        <w:snapToGrid w:val="0"/>
        <w:spacing w:before="120" w:beforeLines="50" w:after="50"/>
        <w:jc w:val="left"/>
        <w:rPr>
          <w:rFonts w:hint="eastAsia" w:ascii="宋体" w:hAnsi="宋体" w:cs="宋体"/>
          <w:b/>
          <w:color w:val="auto"/>
          <w:sz w:val="24"/>
          <w:highlight w:val="none"/>
        </w:rPr>
      </w:pPr>
    </w:p>
    <w:p w14:paraId="60DD757C">
      <w:pPr>
        <w:rPr>
          <w:rFonts w:hint="eastAsia" w:ascii="宋体" w:hAnsi="宋体" w:cs="宋体"/>
          <w:b/>
          <w:color w:val="auto"/>
          <w:sz w:val="24"/>
          <w:highlight w:val="none"/>
        </w:rPr>
      </w:pPr>
      <w:r>
        <w:rPr>
          <w:rFonts w:ascii="宋体" w:hAnsi="宋体" w:cs="宋体"/>
          <w:b/>
          <w:color w:val="auto"/>
          <w:sz w:val="24"/>
          <w:highlight w:val="none"/>
        </w:rPr>
        <w:br w:type="page"/>
      </w:r>
    </w:p>
    <w:p w14:paraId="7D4D74C5">
      <w:pPr>
        <w:numPr>
          <w:ilvl w:val="2"/>
          <w:numId w:val="0"/>
        </w:numPr>
        <w:snapToGrid w:val="0"/>
        <w:spacing w:before="120" w:beforeLines="50" w:after="50"/>
        <w:jc w:val="left"/>
        <w:rPr>
          <w:rFonts w:hint="eastAsia" w:ascii="宋体" w:hAnsi="宋体" w:cs="宋体"/>
          <w:b/>
          <w:color w:val="auto"/>
          <w:sz w:val="24"/>
          <w:highlight w:val="none"/>
        </w:rPr>
      </w:pPr>
      <w:r>
        <w:rPr>
          <w:rFonts w:ascii="宋体" w:hAnsi="宋体" w:cs="宋体"/>
          <w:b/>
          <w:color w:val="auto"/>
          <w:sz w:val="24"/>
          <w:highlight w:val="none"/>
        </w:rPr>
        <w:t>3.</w:t>
      </w:r>
      <w:r>
        <w:rPr>
          <w:rFonts w:hint="eastAsia" w:ascii="宋体" w:hAnsi="宋体" w:cs="宋体"/>
          <w:b/>
          <w:color w:val="auto"/>
          <w:sz w:val="28"/>
          <w:szCs w:val="28"/>
          <w:highlight w:val="none"/>
        </w:rPr>
        <w:t>投标人直接控股、管理关系信息表</w:t>
      </w:r>
    </w:p>
    <w:p w14:paraId="2CE35F4B">
      <w:pPr>
        <w:snapToGrid w:val="0"/>
        <w:spacing w:before="50" w:after="120" w:afterLines="50"/>
        <w:jc w:val="center"/>
        <w:rPr>
          <w:rFonts w:hint="eastAsia" w:ascii="宋体" w:hAnsi="宋体" w:cs="宋体"/>
          <w:b/>
          <w:color w:val="auto"/>
          <w:sz w:val="28"/>
          <w:szCs w:val="28"/>
          <w:highlight w:val="none"/>
        </w:rPr>
      </w:pPr>
    </w:p>
    <w:p w14:paraId="030EE42B">
      <w:pPr>
        <w:snapToGrid w:val="0"/>
        <w:spacing w:before="50" w:after="120" w:afterLines="50" w:line="360" w:lineRule="auto"/>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投标人直接控股股东信息表</w:t>
      </w:r>
    </w:p>
    <w:tbl>
      <w:tblPr>
        <w:tblStyle w:val="48"/>
        <w:tblW w:w="0" w:type="auto"/>
        <w:jc w:val="center"/>
        <w:shd w:val="clear" w:color="auto" w:fill="FBFBFB"/>
        <w:tblLayout w:type="fixed"/>
        <w:tblCellMar>
          <w:top w:w="0" w:type="dxa"/>
          <w:left w:w="0" w:type="dxa"/>
          <w:bottom w:w="0" w:type="dxa"/>
          <w:right w:w="0" w:type="dxa"/>
        </w:tblCellMar>
      </w:tblPr>
      <w:tblGrid>
        <w:gridCol w:w="828"/>
        <w:gridCol w:w="2269"/>
        <w:gridCol w:w="1239"/>
        <w:gridCol w:w="4148"/>
        <w:gridCol w:w="992"/>
      </w:tblGrid>
      <w:tr w14:paraId="70C50A21">
        <w:tblPrEx>
          <w:shd w:val="clear" w:color="auto" w:fill="FBFBFB"/>
          <w:tblCellMar>
            <w:top w:w="0" w:type="dxa"/>
            <w:left w:w="0" w:type="dxa"/>
            <w:bottom w:w="0" w:type="dxa"/>
            <w:right w:w="0" w:type="dxa"/>
          </w:tblCellMar>
        </w:tblPrEx>
        <w:trPr>
          <w:tblHeader/>
          <w:jc w:val="cent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373E0D4">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0CB3AA0">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7CBCC5E">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414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FA84BEB">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99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2F84562">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7D53B09F">
        <w:tblPrEx>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210F279">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FE2BE3D">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9B77800">
            <w:pPr>
              <w:spacing w:line="360" w:lineRule="auto"/>
              <w:jc w:val="center"/>
              <w:rPr>
                <w:rFonts w:hint="eastAsia" w:ascii="宋体" w:hAnsi="宋体" w:cs="宋体"/>
                <w:color w:val="auto"/>
                <w:kern w:val="0"/>
                <w:sz w:val="24"/>
                <w:highlight w:val="none"/>
              </w:rPr>
            </w:pPr>
          </w:p>
        </w:tc>
        <w:tc>
          <w:tcPr>
            <w:tcW w:w="414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26E3912">
            <w:pPr>
              <w:spacing w:line="360" w:lineRule="auto"/>
              <w:jc w:val="center"/>
              <w:rPr>
                <w:rFonts w:hint="eastAsia" w:ascii="宋体" w:hAnsi="宋体" w:cs="宋体"/>
                <w:color w:val="auto"/>
                <w:kern w:val="0"/>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978D9BB">
            <w:pPr>
              <w:spacing w:line="360" w:lineRule="auto"/>
              <w:jc w:val="center"/>
              <w:rPr>
                <w:rFonts w:hint="eastAsia" w:ascii="宋体" w:hAnsi="宋体" w:cs="宋体"/>
                <w:color w:val="auto"/>
                <w:kern w:val="0"/>
                <w:sz w:val="24"/>
                <w:highlight w:val="none"/>
              </w:rPr>
            </w:pPr>
          </w:p>
        </w:tc>
      </w:tr>
      <w:tr w14:paraId="472A0137">
        <w:tblPrEx>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54D91E8">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E458CA9">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1D44AB3">
            <w:pPr>
              <w:spacing w:line="360" w:lineRule="auto"/>
              <w:jc w:val="center"/>
              <w:rPr>
                <w:rFonts w:hint="eastAsia" w:ascii="宋体" w:hAnsi="宋体" w:cs="宋体"/>
                <w:color w:val="auto"/>
                <w:kern w:val="0"/>
                <w:sz w:val="24"/>
                <w:highlight w:val="none"/>
              </w:rPr>
            </w:pPr>
          </w:p>
        </w:tc>
        <w:tc>
          <w:tcPr>
            <w:tcW w:w="414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61C03A8">
            <w:pPr>
              <w:spacing w:line="360" w:lineRule="auto"/>
              <w:jc w:val="center"/>
              <w:rPr>
                <w:rFonts w:hint="eastAsia" w:ascii="宋体" w:hAnsi="宋体" w:cs="宋体"/>
                <w:color w:val="auto"/>
                <w:kern w:val="0"/>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E29E7E0">
            <w:pPr>
              <w:spacing w:line="360" w:lineRule="auto"/>
              <w:jc w:val="center"/>
              <w:rPr>
                <w:rFonts w:hint="eastAsia" w:ascii="宋体" w:hAnsi="宋体" w:cs="宋体"/>
                <w:color w:val="auto"/>
                <w:kern w:val="0"/>
                <w:sz w:val="24"/>
                <w:highlight w:val="none"/>
              </w:rPr>
            </w:pPr>
          </w:p>
        </w:tc>
      </w:tr>
      <w:tr w14:paraId="163B9BEB">
        <w:tblPrEx>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16CFECA">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A4DF59A">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30651BD">
            <w:pPr>
              <w:spacing w:line="360" w:lineRule="auto"/>
              <w:jc w:val="center"/>
              <w:rPr>
                <w:rFonts w:hint="eastAsia" w:ascii="宋体" w:hAnsi="宋体" w:cs="宋体"/>
                <w:color w:val="auto"/>
                <w:kern w:val="0"/>
                <w:sz w:val="24"/>
                <w:highlight w:val="none"/>
              </w:rPr>
            </w:pPr>
          </w:p>
        </w:tc>
        <w:tc>
          <w:tcPr>
            <w:tcW w:w="414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6F0E7A8">
            <w:pPr>
              <w:spacing w:line="360" w:lineRule="auto"/>
              <w:jc w:val="center"/>
              <w:rPr>
                <w:rFonts w:hint="eastAsia" w:ascii="宋体" w:hAnsi="宋体" w:cs="宋体"/>
                <w:color w:val="auto"/>
                <w:kern w:val="0"/>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AD94282">
            <w:pPr>
              <w:spacing w:line="360" w:lineRule="auto"/>
              <w:jc w:val="center"/>
              <w:rPr>
                <w:rFonts w:hint="eastAsia" w:ascii="宋体" w:hAnsi="宋体" w:cs="宋体"/>
                <w:color w:val="auto"/>
                <w:kern w:val="0"/>
                <w:sz w:val="24"/>
                <w:highlight w:val="none"/>
              </w:rPr>
            </w:pPr>
          </w:p>
        </w:tc>
      </w:tr>
      <w:tr w14:paraId="076020C1">
        <w:tblPrEx>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3661DDE">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9EC2D54">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76BEBE9">
            <w:pPr>
              <w:spacing w:line="360" w:lineRule="auto"/>
              <w:jc w:val="center"/>
              <w:rPr>
                <w:rFonts w:hint="eastAsia" w:ascii="宋体" w:hAnsi="宋体" w:cs="宋体"/>
                <w:color w:val="auto"/>
                <w:kern w:val="0"/>
                <w:sz w:val="24"/>
                <w:highlight w:val="none"/>
              </w:rPr>
            </w:pPr>
          </w:p>
        </w:tc>
        <w:tc>
          <w:tcPr>
            <w:tcW w:w="414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BED88E">
            <w:pPr>
              <w:spacing w:line="360" w:lineRule="auto"/>
              <w:jc w:val="center"/>
              <w:rPr>
                <w:rFonts w:hint="eastAsia" w:ascii="宋体" w:hAnsi="宋体" w:cs="宋体"/>
                <w:color w:val="auto"/>
                <w:kern w:val="0"/>
                <w:sz w:val="24"/>
                <w:highlight w:val="none"/>
              </w:rPr>
            </w:pPr>
          </w:p>
        </w:tc>
        <w:tc>
          <w:tcPr>
            <w:tcW w:w="99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50E4F6F">
            <w:pPr>
              <w:spacing w:line="360" w:lineRule="auto"/>
              <w:jc w:val="center"/>
              <w:rPr>
                <w:rFonts w:hint="eastAsia" w:ascii="宋体" w:hAnsi="宋体" w:cs="宋体"/>
                <w:color w:val="auto"/>
                <w:kern w:val="0"/>
                <w:sz w:val="24"/>
                <w:highlight w:val="none"/>
              </w:rPr>
            </w:pPr>
          </w:p>
        </w:tc>
      </w:tr>
    </w:tbl>
    <w:p w14:paraId="22E037A6">
      <w:pPr>
        <w:snapToGrid w:val="0"/>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注：</w:t>
      </w:r>
    </w:p>
    <w:p w14:paraId="7A5758C5">
      <w:pPr>
        <w:snapToGrid w:val="0"/>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D0FBE51">
      <w:pPr>
        <w:snapToGrid w:val="0"/>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2.本表所指的控股关系仅限于直接控股关系，不包括间接的控股关系。公司实际控制人与公司之间的关系不属于本表所指的直接控股关系。</w:t>
      </w:r>
    </w:p>
    <w:p w14:paraId="71C53E5E">
      <w:pPr>
        <w:snapToGrid w:val="0"/>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3.供应商不存在直接控股股东的，则填“无”。</w:t>
      </w:r>
    </w:p>
    <w:p w14:paraId="1777C329">
      <w:pPr>
        <w:snapToGrid w:val="0"/>
        <w:spacing w:line="360" w:lineRule="auto"/>
        <w:jc w:val="left"/>
        <w:rPr>
          <w:rFonts w:hint="eastAsia" w:ascii="宋体" w:hAnsi="宋体" w:cs="宋体"/>
          <w:color w:val="auto"/>
          <w:sz w:val="24"/>
          <w:highlight w:val="none"/>
        </w:rPr>
      </w:pPr>
    </w:p>
    <w:p w14:paraId="0755A9DC">
      <w:pPr>
        <w:snapToGrid w:val="0"/>
        <w:spacing w:line="360" w:lineRule="auto"/>
        <w:jc w:val="left"/>
        <w:rPr>
          <w:rFonts w:hint="eastAsia" w:ascii="宋体" w:hAnsi="宋体" w:cs="宋体"/>
          <w:color w:val="auto"/>
          <w:sz w:val="24"/>
          <w:highlight w:val="none"/>
        </w:rPr>
      </w:pPr>
    </w:p>
    <w:p w14:paraId="32638A26">
      <w:pPr>
        <w:snapToGrid w:val="0"/>
        <w:spacing w:line="360" w:lineRule="auto"/>
        <w:jc w:val="left"/>
        <w:rPr>
          <w:rFonts w:hint="eastAsia" w:ascii="宋体" w:hAnsi="宋体" w:cs="宋体"/>
          <w:color w:val="auto"/>
          <w:sz w:val="24"/>
          <w:highlight w:val="none"/>
        </w:rPr>
      </w:pPr>
    </w:p>
    <w:p w14:paraId="08A28B2D">
      <w:pPr>
        <w:snapToGrid w:val="0"/>
        <w:spacing w:line="360" w:lineRule="auto"/>
        <w:jc w:val="left"/>
        <w:rPr>
          <w:rFonts w:hint="eastAsia" w:ascii="宋体" w:hAnsi="宋体" w:cs="宋体"/>
          <w:color w:val="auto"/>
          <w:sz w:val="24"/>
          <w:highlight w:val="none"/>
        </w:rPr>
      </w:pPr>
    </w:p>
    <w:p w14:paraId="4C444570">
      <w:pPr>
        <w:snapToGrid w:val="0"/>
        <w:spacing w:line="360" w:lineRule="auto"/>
        <w:jc w:val="left"/>
        <w:rPr>
          <w:rFonts w:hint="eastAsia" w:ascii="宋体" w:hAnsi="宋体" w:cs="宋体"/>
          <w:color w:val="auto"/>
          <w:sz w:val="24"/>
          <w:highlight w:val="none"/>
        </w:rPr>
      </w:pPr>
    </w:p>
    <w:p w14:paraId="0826FEA3">
      <w:pPr>
        <w:snapToGrid w:val="0"/>
        <w:spacing w:before="120" w:beforeLines="50" w:line="360" w:lineRule="auto"/>
        <w:ind w:right="480" w:firstLine="3967" w:firstLineChars="1653"/>
        <w:rPr>
          <w:rFonts w:hint="eastAsia" w:ascii="宋体" w:hAnsi="宋体" w:cs="宋体"/>
          <w:color w:val="auto"/>
          <w:sz w:val="24"/>
          <w:highlight w:val="none"/>
          <w:u w:val="single"/>
        </w:rPr>
      </w:pPr>
      <w:r>
        <w:rPr>
          <w:rFonts w:hint="eastAsia" w:ascii="宋体" w:hAnsi="宋体" w:cs="宋体"/>
          <w:color w:val="auto"/>
          <w:sz w:val="24"/>
          <w:highlight w:val="none"/>
        </w:rPr>
        <w:t>法定代表人或者委托代理人（签字）：</w:t>
      </w:r>
    </w:p>
    <w:p w14:paraId="5416BDC3">
      <w:pPr>
        <w:snapToGrid w:val="0"/>
        <w:spacing w:before="120" w:beforeLines="50" w:after="50" w:line="360" w:lineRule="auto"/>
        <w:ind w:right="480" w:firstLine="5520" w:firstLineChars="2300"/>
        <w:rPr>
          <w:rFonts w:hint="eastAsia" w:ascii="宋体" w:hAnsi="宋体" w:cs="宋体"/>
          <w:color w:val="auto"/>
          <w:sz w:val="24"/>
          <w:highlight w:val="none"/>
          <w:u w:val="single"/>
        </w:rPr>
      </w:pPr>
      <w:r>
        <w:rPr>
          <w:rFonts w:hint="eastAsia" w:ascii="宋体" w:hAnsi="宋体" w:cs="宋体"/>
          <w:color w:val="auto"/>
          <w:sz w:val="24"/>
          <w:highlight w:val="none"/>
        </w:rPr>
        <w:t>投标人名称（盖公章）：</w:t>
      </w:r>
    </w:p>
    <w:p w14:paraId="20BD6190">
      <w:pPr>
        <w:snapToGrid w:val="0"/>
        <w:spacing w:before="120" w:beforeLines="50" w:after="50" w:line="360" w:lineRule="auto"/>
        <w:ind w:right="480" w:firstLine="5520" w:firstLineChars="2300"/>
        <w:rPr>
          <w:rFonts w:hint="eastAsia" w:ascii="宋体" w:hAnsi="宋体" w:cs="宋体"/>
          <w:color w:val="auto"/>
          <w:szCs w:val="21"/>
          <w:highlight w:val="none"/>
        </w:rPr>
      </w:pPr>
      <w:r>
        <w:rPr>
          <w:rFonts w:hint="eastAsia" w:ascii="宋体" w:hAnsi="宋体" w:cs="宋体"/>
          <w:color w:val="auto"/>
          <w:sz w:val="24"/>
          <w:highlight w:val="none"/>
        </w:rPr>
        <w:t>年    月    日</w:t>
      </w:r>
    </w:p>
    <w:p w14:paraId="74B54535">
      <w:pPr>
        <w:snapToGrid w:val="0"/>
        <w:jc w:val="center"/>
        <w:rPr>
          <w:rFonts w:hint="eastAsia" w:ascii="宋体" w:hAnsi="宋体" w:cs="宋体"/>
          <w:b/>
          <w:color w:val="auto"/>
          <w:sz w:val="28"/>
          <w:szCs w:val="28"/>
          <w:highlight w:val="none"/>
        </w:rPr>
      </w:pPr>
    </w:p>
    <w:p w14:paraId="51A7F44E">
      <w:pPr>
        <w:snapToGrid w:val="0"/>
        <w:spacing w:line="360" w:lineRule="auto"/>
        <w:jc w:val="center"/>
        <w:rPr>
          <w:rFonts w:hint="eastAsia" w:ascii="宋体" w:hAnsi="宋体" w:cs="宋体"/>
          <w:color w:val="auto"/>
          <w:sz w:val="32"/>
          <w:szCs w:val="32"/>
          <w:highlight w:val="none"/>
        </w:rPr>
      </w:pPr>
      <w:r>
        <w:rPr>
          <w:rFonts w:hint="eastAsia" w:ascii="宋体" w:hAnsi="宋体" w:cs="宋体"/>
          <w:b/>
          <w:color w:val="auto"/>
          <w:sz w:val="32"/>
          <w:szCs w:val="32"/>
          <w:highlight w:val="none"/>
        </w:rPr>
        <w:br w:type="page"/>
      </w:r>
      <w:r>
        <w:rPr>
          <w:rFonts w:hint="eastAsia" w:ascii="宋体" w:hAnsi="宋体" w:cs="宋体"/>
          <w:b/>
          <w:color w:val="auto"/>
          <w:sz w:val="32"/>
          <w:szCs w:val="32"/>
          <w:highlight w:val="none"/>
        </w:rPr>
        <w:t>投标人直接管理关系信息表</w:t>
      </w:r>
    </w:p>
    <w:tbl>
      <w:tblPr>
        <w:tblStyle w:val="48"/>
        <w:tblW w:w="0" w:type="auto"/>
        <w:jc w:val="center"/>
        <w:tblLayout w:type="fixed"/>
        <w:tblCellMar>
          <w:top w:w="0" w:type="dxa"/>
          <w:left w:w="0" w:type="dxa"/>
          <w:bottom w:w="0" w:type="dxa"/>
          <w:right w:w="0" w:type="dxa"/>
        </w:tblCellMar>
      </w:tblPr>
      <w:tblGrid>
        <w:gridCol w:w="1005"/>
        <w:gridCol w:w="2659"/>
        <w:gridCol w:w="3924"/>
        <w:gridCol w:w="2064"/>
      </w:tblGrid>
      <w:tr w14:paraId="484CE674">
        <w:tblPrEx>
          <w:tblCellMar>
            <w:top w:w="0" w:type="dxa"/>
            <w:left w:w="0" w:type="dxa"/>
            <w:bottom w:w="0" w:type="dxa"/>
            <w:right w:w="0" w:type="dxa"/>
          </w:tblCellMar>
        </w:tblPrEx>
        <w:trPr>
          <w:tblHeader/>
          <w:jc w:val="center"/>
        </w:trPr>
        <w:tc>
          <w:tcPr>
            <w:tcW w:w="10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5D8D724">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65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AA7BC3A">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122B5A3">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E080A6A">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764A951F">
        <w:tblPrEx>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2D1A32A">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265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3B5E1B4">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05A6BD7">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F519F93">
            <w:pPr>
              <w:spacing w:line="360" w:lineRule="auto"/>
              <w:jc w:val="center"/>
              <w:rPr>
                <w:rFonts w:hint="eastAsia" w:ascii="宋体" w:hAnsi="宋体" w:cs="宋体"/>
                <w:color w:val="auto"/>
                <w:kern w:val="0"/>
                <w:sz w:val="24"/>
                <w:highlight w:val="none"/>
              </w:rPr>
            </w:pPr>
          </w:p>
        </w:tc>
      </w:tr>
      <w:tr w14:paraId="446513B9">
        <w:tblPrEx>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73D23E9">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265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4B3ED87">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A13902D">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514C226">
            <w:pPr>
              <w:spacing w:line="360" w:lineRule="auto"/>
              <w:jc w:val="center"/>
              <w:rPr>
                <w:rFonts w:hint="eastAsia" w:ascii="宋体" w:hAnsi="宋体" w:cs="宋体"/>
                <w:color w:val="auto"/>
                <w:kern w:val="0"/>
                <w:sz w:val="24"/>
                <w:highlight w:val="none"/>
              </w:rPr>
            </w:pPr>
          </w:p>
        </w:tc>
      </w:tr>
      <w:tr w14:paraId="6ACA99EF">
        <w:tblPrEx>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68CD48E">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265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00C88C0">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E1103F2">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62F5DDF">
            <w:pPr>
              <w:spacing w:line="360" w:lineRule="auto"/>
              <w:jc w:val="center"/>
              <w:rPr>
                <w:rFonts w:hint="eastAsia" w:ascii="宋体" w:hAnsi="宋体" w:cs="宋体"/>
                <w:color w:val="auto"/>
                <w:kern w:val="0"/>
                <w:sz w:val="24"/>
                <w:highlight w:val="none"/>
              </w:rPr>
            </w:pPr>
          </w:p>
        </w:tc>
      </w:tr>
      <w:tr w14:paraId="42B98DA2">
        <w:tblPrEx>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D66F889">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65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E5F808C">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5231DD8">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C0B2B9C">
            <w:pPr>
              <w:spacing w:line="360" w:lineRule="auto"/>
              <w:jc w:val="center"/>
              <w:rPr>
                <w:rFonts w:hint="eastAsia" w:ascii="宋体" w:hAnsi="宋体" w:cs="宋体"/>
                <w:color w:val="auto"/>
                <w:kern w:val="0"/>
                <w:sz w:val="24"/>
                <w:highlight w:val="none"/>
              </w:rPr>
            </w:pPr>
          </w:p>
        </w:tc>
      </w:tr>
    </w:tbl>
    <w:p w14:paraId="79C39096">
      <w:pPr>
        <w:snapToGrid w:val="0"/>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注：</w:t>
      </w:r>
    </w:p>
    <w:p w14:paraId="1FD6D073">
      <w:pPr>
        <w:snapToGrid w:val="0"/>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1.管理关系：是指不具有出资持股关系的其他单位之间存在的管理与被管理关系，如一些上下级关系的事业单位和团体组织。</w:t>
      </w:r>
    </w:p>
    <w:p w14:paraId="01176F4C">
      <w:pPr>
        <w:snapToGrid w:val="0"/>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pacing w:val="-6"/>
          <w:sz w:val="24"/>
          <w:highlight w:val="none"/>
        </w:rPr>
        <w:t>本表所指的管理关系仅限于直接管理关系，不包括间接的管理关系。</w:t>
      </w:r>
    </w:p>
    <w:p w14:paraId="65497216">
      <w:pPr>
        <w:snapToGrid w:val="0"/>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3.供应商不存在直接管理关系的，则填“无”。</w:t>
      </w:r>
    </w:p>
    <w:p w14:paraId="7339DB66">
      <w:pPr>
        <w:snapToGrid w:val="0"/>
        <w:spacing w:line="360" w:lineRule="auto"/>
        <w:jc w:val="left"/>
        <w:rPr>
          <w:rFonts w:hint="eastAsia" w:ascii="宋体" w:hAnsi="宋体" w:cs="宋体"/>
          <w:color w:val="auto"/>
          <w:sz w:val="24"/>
          <w:highlight w:val="none"/>
        </w:rPr>
      </w:pPr>
    </w:p>
    <w:p w14:paraId="12527578">
      <w:pPr>
        <w:snapToGrid w:val="0"/>
        <w:spacing w:line="360" w:lineRule="auto"/>
        <w:jc w:val="left"/>
        <w:rPr>
          <w:rFonts w:hint="eastAsia" w:ascii="宋体" w:hAnsi="宋体" w:cs="宋体"/>
          <w:color w:val="auto"/>
          <w:sz w:val="24"/>
          <w:highlight w:val="none"/>
        </w:rPr>
      </w:pPr>
    </w:p>
    <w:p w14:paraId="168FD409">
      <w:pPr>
        <w:snapToGrid w:val="0"/>
        <w:spacing w:line="360" w:lineRule="auto"/>
        <w:jc w:val="left"/>
        <w:rPr>
          <w:rFonts w:hint="eastAsia" w:ascii="宋体" w:hAnsi="宋体" w:cs="宋体"/>
          <w:color w:val="auto"/>
          <w:sz w:val="24"/>
          <w:highlight w:val="none"/>
        </w:rPr>
      </w:pPr>
    </w:p>
    <w:p w14:paraId="27B3136D">
      <w:pPr>
        <w:snapToGrid w:val="0"/>
        <w:spacing w:line="360" w:lineRule="auto"/>
        <w:jc w:val="left"/>
        <w:rPr>
          <w:rFonts w:hint="eastAsia" w:ascii="宋体" w:hAnsi="宋体" w:cs="宋体"/>
          <w:color w:val="auto"/>
          <w:sz w:val="24"/>
          <w:highlight w:val="none"/>
        </w:rPr>
      </w:pPr>
    </w:p>
    <w:p w14:paraId="1FEFFDD9">
      <w:pPr>
        <w:snapToGrid w:val="0"/>
        <w:spacing w:line="360" w:lineRule="auto"/>
        <w:jc w:val="left"/>
        <w:rPr>
          <w:rFonts w:hint="eastAsia" w:ascii="宋体" w:hAnsi="宋体" w:cs="宋体"/>
          <w:color w:val="auto"/>
          <w:sz w:val="24"/>
          <w:highlight w:val="none"/>
        </w:rPr>
      </w:pPr>
    </w:p>
    <w:p w14:paraId="1A3151C1">
      <w:pPr>
        <w:snapToGrid w:val="0"/>
        <w:spacing w:line="360" w:lineRule="auto"/>
        <w:jc w:val="left"/>
        <w:rPr>
          <w:rFonts w:hint="eastAsia" w:ascii="宋体" w:hAnsi="宋体" w:cs="宋体"/>
          <w:color w:val="auto"/>
          <w:sz w:val="24"/>
          <w:highlight w:val="none"/>
        </w:rPr>
      </w:pPr>
    </w:p>
    <w:p w14:paraId="65FD718E">
      <w:pPr>
        <w:snapToGrid w:val="0"/>
        <w:spacing w:line="360" w:lineRule="auto"/>
        <w:jc w:val="left"/>
        <w:rPr>
          <w:rFonts w:hint="eastAsia" w:ascii="宋体" w:hAnsi="宋体" w:cs="宋体"/>
          <w:color w:val="auto"/>
          <w:sz w:val="24"/>
          <w:highlight w:val="none"/>
        </w:rPr>
      </w:pPr>
    </w:p>
    <w:p w14:paraId="484BD8E4">
      <w:pPr>
        <w:snapToGrid w:val="0"/>
        <w:spacing w:before="120" w:beforeLines="50" w:line="360" w:lineRule="auto"/>
        <w:ind w:right="480" w:firstLine="3967" w:firstLineChars="1653"/>
        <w:rPr>
          <w:rFonts w:hint="eastAsia" w:ascii="宋体" w:hAnsi="宋体" w:cs="宋体"/>
          <w:color w:val="auto"/>
          <w:sz w:val="24"/>
          <w:highlight w:val="none"/>
          <w:u w:val="single"/>
        </w:rPr>
      </w:pPr>
      <w:r>
        <w:rPr>
          <w:rFonts w:hint="eastAsia" w:ascii="宋体" w:hAnsi="宋体" w:cs="宋体"/>
          <w:color w:val="auto"/>
          <w:sz w:val="24"/>
          <w:highlight w:val="none"/>
        </w:rPr>
        <w:t>法定代表人或者委托代理人（签字）：</w:t>
      </w:r>
    </w:p>
    <w:p w14:paraId="2CFB1D99">
      <w:pPr>
        <w:snapToGrid w:val="0"/>
        <w:spacing w:before="120" w:beforeLines="50" w:after="50" w:line="360" w:lineRule="auto"/>
        <w:ind w:right="480" w:firstLine="5520" w:firstLineChars="2300"/>
        <w:rPr>
          <w:rFonts w:hint="eastAsia" w:ascii="宋体" w:hAnsi="宋体" w:cs="宋体"/>
          <w:color w:val="auto"/>
          <w:sz w:val="24"/>
          <w:highlight w:val="none"/>
        </w:rPr>
      </w:pPr>
      <w:r>
        <w:rPr>
          <w:rFonts w:hint="eastAsia" w:ascii="宋体" w:hAnsi="宋体" w:cs="宋体"/>
          <w:color w:val="auto"/>
          <w:sz w:val="24"/>
          <w:highlight w:val="none"/>
        </w:rPr>
        <w:t>投标人名称（盖公章）：</w:t>
      </w:r>
    </w:p>
    <w:p w14:paraId="2D0AE6AC">
      <w:pPr>
        <w:snapToGrid w:val="0"/>
        <w:spacing w:before="120" w:beforeLines="50" w:after="50" w:line="360" w:lineRule="auto"/>
        <w:ind w:right="480" w:firstLine="240" w:firstLineChars="100"/>
        <w:jc w:val="right"/>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468B5CBC">
      <w:pPr>
        <w:snapToGrid w:val="0"/>
        <w:spacing w:before="50" w:after="120" w:afterLines="50"/>
        <w:jc w:val="left"/>
        <w:rPr>
          <w:rFonts w:hint="eastAsia" w:ascii="宋体" w:hAnsi="宋体" w:cs="宋体"/>
          <w:color w:val="auto"/>
          <w:szCs w:val="21"/>
          <w:highlight w:val="none"/>
        </w:rPr>
      </w:pPr>
    </w:p>
    <w:p w14:paraId="23304018">
      <w:pPr>
        <w:snapToGrid w:val="0"/>
        <w:spacing w:before="120" w:beforeLines="50" w:after="50"/>
        <w:jc w:val="left"/>
        <w:rPr>
          <w:rFonts w:hint="eastAsia" w:ascii="宋体" w:hAnsi="宋体" w:cs="宋体"/>
          <w:b/>
          <w:color w:val="auto"/>
          <w:sz w:val="24"/>
          <w:szCs w:val="20"/>
          <w:highlight w:val="none"/>
        </w:rPr>
      </w:pPr>
    </w:p>
    <w:p w14:paraId="40DE6EF0">
      <w:pPr>
        <w:numPr>
          <w:ilvl w:val="2"/>
          <w:numId w:val="0"/>
        </w:numPr>
        <w:snapToGrid w:val="0"/>
        <w:spacing w:before="120" w:beforeLines="50" w:after="50"/>
        <w:jc w:val="left"/>
        <w:rPr>
          <w:rFonts w:hint="eastAsia" w:ascii="宋体" w:hAnsi="宋体" w:cs="宋体"/>
          <w:b/>
          <w:color w:val="auto"/>
          <w:sz w:val="24"/>
          <w:highlight w:val="none"/>
        </w:rPr>
      </w:pPr>
    </w:p>
    <w:p w14:paraId="0C7C6E28">
      <w:pPr>
        <w:numPr>
          <w:ilvl w:val="2"/>
          <w:numId w:val="0"/>
        </w:numPr>
        <w:snapToGrid w:val="0"/>
        <w:spacing w:before="120" w:beforeLines="50" w:after="50"/>
        <w:jc w:val="left"/>
        <w:rPr>
          <w:rFonts w:hint="eastAsia" w:ascii="宋体" w:hAnsi="宋体" w:cs="宋体"/>
          <w:b/>
          <w:color w:val="auto"/>
          <w:sz w:val="24"/>
          <w:highlight w:val="none"/>
        </w:rPr>
      </w:pPr>
    </w:p>
    <w:p w14:paraId="7ACE062C">
      <w:pPr>
        <w:numPr>
          <w:ilvl w:val="2"/>
          <w:numId w:val="0"/>
        </w:numPr>
        <w:snapToGrid w:val="0"/>
        <w:spacing w:before="120" w:beforeLines="50" w:after="50"/>
        <w:jc w:val="left"/>
        <w:rPr>
          <w:rFonts w:hint="eastAsia" w:ascii="宋体" w:hAnsi="宋体" w:cs="宋体"/>
          <w:b/>
          <w:color w:val="auto"/>
          <w:sz w:val="24"/>
          <w:highlight w:val="none"/>
        </w:rPr>
      </w:pPr>
    </w:p>
    <w:p w14:paraId="2EFA0540">
      <w:pPr>
        <w:numPr>
          <w:ilvl w:val="2"/>
          <w:numId w:val="0"/>
        </w:numPr>
        <w:snapToGrid w:val="0"/>
        <w:spacing w:before="120" w:beforeLines="50" w:after="50"/>
        <w:jc w:val="left"/>
        <w:rPr>
          <w:rFonts w:hint="eastAsia" w:ascii="宋体" w:hAnsi="宋体" w:cs="宋体"/>
          <w:b/>
          <w:color w:val="auto"/>
          <w:sz w:val="24"/>
          <w:szCs w:val="20"/>
          <w:highlight w:val="none"/>
        </w:rPr>
      </w:pPr>
      <w:r>
        <w:rPr>
          <w:rFonts w:ascii="宋体" w:hAnsi="宋体" w:cs="宋体"/>
          <w:b/>
          <w:color w:val="auto"/>
          <w:sz w:val="24"/>
          <w:highlight w:val="none"/>
        </w:rPr>
        <w:t>4.</w:t>
      </w:r>
      <w:r>
        <w:rPr>
          <w:rFonts w:hint="eastAsia" w:ascii="宋体" w:hAnsi="宋体" w:cs="宋体"/>
          <w:b/>
          <w:color w:val="auto"/>
          <w:sz w:val="24"/>
          <w:highlight w:val="none"/>
        </w:rPr>
        <w:t>投标声明格式</w:t>
      </w:r>
    </w:p>
    <w:p w14:paraId="3DCA4840">
      <w:pPr>
        <w:snapToGrid w:val="0"/>
        <w:spacing w:before="50" w:after="120" w:afterLines="50"/>
        <w:jc w:val="left"/>
        <w:rPr>
          <w:rFonts w:hint="eastAsia" w:ascii="宋体" w:hAnsi="宋体" w:cs="宋体"/>
          <w:color w:val="auto"/>
          <w:highlight w:val="none"/>
        </w:rPr>
      </w:pPr>
    </w:p>
    <w:p w14:paraId="0898B1BD">
      <w:pPr>
        <w:snapToGrid w:val="0"/>
        <w:spacing w:before="50" w:after="120" w:afterLines="5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投标声明</w:t>
      </w:r>
    </w:p>
    <w:p w14:paraId="711DEF6C">
      <w:pPr>
        <w:snapToGrid w:val="0"/>
        <w:spacing w:before="50" w:after="120" w:afterLines="50"/>
        <w:jc w:val="center"/>
        <w:rPr>
          <w:rFonts w:hint="eastAsia" w:ascii="宋体" w:hAnsi="宋体" w:cs="宋体"/>
          <w:bCs/>
          <w:color w:val="auto"/>
          <w:sz w:val="44"/>
          <w:szCs w:val="44"/>
          <w:highlight w:val="none"/>
        </w:rPr>
      </w:pPr>
    </w:p>
    <w:p w14:paraId="28707EF9">
      <w:pPr>
        <w:spacing w:line="400" w:lineRule="exact"/>
        <w:contextualSpacing/>
        <w:jc w:val="left"/>
        <w:rPr>
          <w:rFonts w:hint="eastAsia" w:ascii="宋体" w:hAnsi="宋体" w:cs="宋体"/>
          <w:color w:val="auto"/>
          <w:sz w:val="24"/>
          <w:highlight w:val="none"/>
        </w:rPr>
      </w:pPr>
      <w:r>
        <w:rPr>
          <w:rFonts w:hint="eastAsia" w:ascii="宋体" w:hAnsi="宋体" w:cs="宋体"/>
          <w:color w:val="auto"/>
          <w:sz w:val="24"/>
          <w:highlight w:val="none"/>
        </w:rPr>
        <w:t>（采购人名称）：</w:t>
      </w:r>
    </w:p>
    <w:p w14:paraId="39DA1BD5">
      <w:pPr>
        <w:spacing w:line="400" w:lineRule="exact"/>
        <w:ind w:firstLine="523" w:firstLineChars="218"/>
        <w:contextualSpacing/>
        <w:jc w:val="left"/>
        <w:rPr>
          <w:rFonts w:hint="eastAsia" w:ascii="宋体" w:hAnsi="宋体" w:cs="宋体"/>
          <w:color w:val="auto"/>
          <w:sz w:val="24"/>
          <w:highlight w:val="none"/>
        </w:rPr>
      </w:pPr>
      <w:r>
        <w:rPr>
          <w:rFonts w:hint="eastAsia" w:ascii="宋体" w:hAnsi="宋体" w:cs="宋体"/>
          <w:color w:val="auto"/>
          <w:sz w:val="24"/>
          <w:highlight w:val="none"/>
        </w:rPr>
        <w:t>我方参加贵单位组织</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项目（项目编号：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）的政府采购活动。我方在此郑重声明：</w:t>
      </w:r>
    </w:p>
    <w:p w14:paraId="12D9B69D">
      <w:pPr>
        <w:spacing w:line="400" w:lineRule="exact"/>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名单、政府采购严重违法失信行为记录名单，完全符合《中华人民共和国政府采购法》第二十二条规定的供应商资格条件，我方对此声明负全部法律责任。</w:t>
      </w:r>
    </w:p>
    <w:p w14:paraId="6AC1A6CB">
      <w:pPr>
        <w:spacing w:line="400" w:lineRule="exact"/>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2.我方不是为本次采购项目提供整体设计、规范编制或者项目管理、监理、检测等服务的供应商。</w:t>
      </w:r>
    </w:p>
    <w:p w14:paraId="515A5ED3">
      <w:pPr>
        <w:spacing w:line="400" w:lineRule="exact"/>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3. 我方承诺符合《中华人民共和国政府采购法》第二十二条规定：</w:t>
      </w:r>
    </w:p>
    <w:p w14:paraId="2D604B10">
      <w:pPr>
        <w:spacing w:line="400" w:lineRule="exact"/>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（一）具有独立承担民事责任的能力；</w:t>
      </w:r>
    </w:p>
    <w:p w14:paraId="66CCD125">
      <w:pPr>
        <w:spacing w:line="400" w:lineRule="exact"/>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（二）具有良好的商业信誉和健全的财务会计制度；</w:t>
      </w:r>
    </w:p>
    <w:p w14:paraId="6004E34B">
      <w:pPr>
        <w:spacing w:line="400" w:lineRule="exact"/>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（三）具有履行合同所必需的设备和专业技术能力；</w:t>
      </w:r>
    </w:p>
    <w:p w14:paraId="63C5E2AF">
      <w:pPr>
        <w:spacing w:line="400" w:lineRule="exact"/>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（四）有依法缴纳税收和社会保障资金的良好记录；</w:t>
      </w:r>
    </w:p>
    <w:p w14:paraId="28F3E912">
      <w:pPr>
        <w:spacing w:line="400" w:lineRule="exact"/>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（五）参加政府采购活动前三年内，在经营活动中没有重大违法记录；</w:t>
      </w:r>
    </w:p>
    <w:p w14:paraId="7F8A5F1D">
      <w:pPr>
        <w:spacing w:line="400" w:lineRule="exact"/>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（六）法律、行政法规规定的其他条件。</w:t>
      </w:r>
    </w:p>
    <w:p w14:paraId="62F3C9E4">
      <w:pPr>
        <w:spacing w:line="400" w:lineRule="exact"/>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4.以上事项如有虚假或者隐瞒，我方愿意承担一切后果，并不再寻求任何旨在减轻或者免除法律责任的辩解。</w:t>
      </w:r>
    </w:p>
    <w:p w14:paraId="08A6F06F">
      <w:pPr>
        <w:spacing w:line="400" w:lineRule="exact"/>
        <w:contextualSpacing/>
        <w:jc w:val="left"/>
        <w:rPr>
          <w:rFonts w:hint="eastAsia" w:ascii="宋体" w:hAnsi="宋体" w:cs="宋体"/>
          <w:color w:val="auto"/>
          <w:sz w:val="24"/>
          <w:highlight w:val="none"/>
        </w:rPr>
      </w:pPr>
      <w:r>
        <w:rPr>
          <w:rFonts w:hint="eastAsia" w:ascii="宋体" w:hAnsi="宋体" w:cs="宋体"/>
          <w:color w:val="auto"/>
          <w:sz w:val="24"/>
          <w:highlight w:val="none"/>
        </w:rPr>
        <w:t xml:space="preserve">    特此承诺。</w:t>
      </w:r>
    </w:p>
    <w:p w14:paraId="7E82A2AD">
      <w:pPr>
        <w:spacing w:line="400" w:lineRule="exact"/>
        <w:contextualSpacing/>
        <w:jc w:val="left"/>
        <w:rPr>
          <w:rFonts w:hint="eastAsia" w:ascii="宋体" w:hAnsi="宋体" w:cs="宋体"/>
          <w:b/>
          <w:color w:val="auto"/>
          <w:sz w:val="24"/>
          <w:highlight w:val="none"/>
        </w:rPr>
      </w:pPr>
      <w:r>
        <w:rPr>
          <w:rFonts w:hint="eastAsia" w:ascii="宋体" w:hAnsi="宋体" w:cs="宋体"/>
          <w:b/>
          <w:color w:val="auto"/>
          <w:sz w:val="24"/>
          <w:highlight w:val="none"/>
        </w:rPr>
        <w:t xml:space="preserve">    注：如为联合体投标，盖章处须加盖联合体各方公章并由联合体各方法定代表人分别签字，否则投标无效。</w:t>
      </w:r>
    </w:p>
    <w:p w14:paraId="1F6C4CE8">
      <w:pPr>
        <w:spacing w:line="400" w:lineRule="exact"/>
        <w:contextualSpacing/>
        <w:jc w:val="left"/>
        <w:rPr>
          <w:rFonts w:hint="eastAsia" w:ascii="宋体" w:hAnsi="宋体" w:cs="宋体"/>
          <w:color w:val="auto"/>
          <w:sz w:val="24"/>
          <w:highlight w:val="none"/>
        </w:rPr>
      </w:pPr>
    </w:p>
    <w:p w14:paraId="0C1757A1">
      <w:pPr>
        <w:spacing w:line="400" w:lineRule="exact"/>
        <w:contextualSpacing/>
        <w:jc w:val="left"/>
        <w:rPr>
          <w:rFonts w:hint="eastAsia" w:ascii="宋体" w:hAnsi="宋体" w:cs="宋体"/>
          <w:color w:val="auto"/>
          <w:sz w:val="24"/>
          <w:highlight w:val="none"/>
        </w:rPr>
      </w:pPr>
    </w:p>
    <w:p w14:paraId="07870066">
      <w:pPr>
        <w:spacing w:line="400" w:lineRule="exact"/>
        <w:contextualSpacing/>
        <w:jc w:val="left"/>
        <w:rPr>
          <w:rFonts w:hint="eastAsia" w:ascii="宋体" w:hAnsi="宋体" w:cs="宋体"/>
          <w:color w:val="auto"/>
          <w:sz w:val="24"/>
          <w:highlight w:val="none"/>
        </w:rPr>
      </w:pPr>
    </w:p>
    <w:p w14:paraId="05DA8F55">
      <w:pPr>
        <w:spacing w:line="400" w:lineRule="exact"/>
        <w:ind w:firstLine="3840" w:firstLineChars="1600"/>
        <w:contextualSpacing/>
        <w:jc w:val="left"/>
        <w:rPr>
          <w:rFonts w:hint="eastAsia" w:ascii="宋体" w:hAnsi="宋体" w:cs="宋体"/>
          <w:color w:val="auto"/>
          <w:sz w:val="24"/>
          <w:highlight w:val="none"/>
          <w:u w:val="single"/>
        </w:rPr>
      </w:pPr>
      <w:r>
        <w:rPr>
          <w:rFonts w:hint="eastAsia" w:ascii="宋体" w:hAnsi="宋体" w:cs="宋体"/>
          <w:color w:val="auto"/>
          <w:sz w:val="24"/>
          <w:highlight w:val="none"/>
        </w:rPr>
        <w:t xml:space="preserve">      法定代表人（签字或者盖章）：</w:t>
      </w:r>
      <w:r>
        <w:rPr>
          <w:rFonts w:hint="eastAsia" w:ascii="宋体" w:hAnsi="宋体" w:cs="宋体"/>
          <w:color w:val="auto"/>
          <w:sz w:val="24"/>
          <w:highlight w:val="none"/>
          <w:u w:val="single"/>
        </w:rPr>
        <w:t xml:space="preserve">          </w:t>
      </w:r>
    </w:p>
    <w:p w14:paraId="373C0DD1">
      <w:pPr>
        <w:spacing w:line="400" w:lineRule="exact"/>
        <w:contextualSpacing/>
        <w:jc w:val="left"/>
        <w:rPr>
          <w:rFonts w:hint="eastAsia" w:ascii="宋体" w:hAnsi="宋体" w:cs="宋体"/>
          <w:color w:val="auto"/>
          <w:sz w:val="24"/>
          <w:highlight w:val="none"/>
        </w:rPr>
      </w:pPr>
      <w:r>
        <w:rPr>
          <w:rFonts w:hint="eastAsia" w:ascii="宋体" w:hAnsi="宋体" w:cs="宋体"/>
          <w:color w:val="auto"/>
          <w:sz w:val="24"/>
          <w:highlight w:val="none"/>
        </w:rPr>
        <w:t xml:space="preserve">                                          投标人名称（盖公章）：</w:t>
      </w:r>
      <w:r>
        <w:rPr>
          <w:rFonts w:hint="eastAsia" w:ascii="宋体" w:hAnsi="宋体" w:cs="宋体"/>
          <w:color w:val="auto"/>
          <w:sz w:val="24"/>
          <w:highlight w:val="none"/>
          <w:u w:val="single"/>
        </w:rPr>
        <w:t xml:space="preserve">          </w:t>
      </w:r>
    </w:p>
    <w:p w14:paraId="2D7172F4">
      <w:pPr>
        <w:spacing w:line="400" w:lineRule="exact"/>
        <w:contextualSpacing/>
        <w:jc w:val="left"/>
        <w:rPr>
          <w:rFonts w:hint="eastAsia" w:ascii="宋体" w:hAnsi="宋体" w:cs="宋体"/>
          <w:color w:val="auto"/>
          <w:highlight w:val="none"/>
        </w:rPr>
      </w:pPr>
      <w:r>
        <w:rPr>
          <w:rFonts w:hint="eastAsia" w:ascii="宋体" w:hAnsi="宋体" w:cs="宋体"/>
          <w:color w:val="auto"/>
          <w:sz w:val="24"/>
          <w:highlight w:val="none"/>
        </w:rPr>
        <w:t xml:space="preserve">                                                  年    月    日</w:t>
      </w:r>
    </w:p>
    <w:p w14:paraId="6AEEDECE">
      <w:pPr>
        <w:rPr>
          <w:rFonts w:hint="eastAsia" w:ascii="宋体" w:hAnsi="宋体" w:cs="宋体"/>
          <w:b/>
          <w:color w:val="auto"/>
          <w:sz w:val="28"/>
          <w:szCs w:val="28"/>
          <w:highlight w:val="none"/>
        </w:rPr>
      </w:pPr>
      <w:bookmarkStart w:id="149" w:name="_Toc19686838"/>
      <w:r>
        <w:rPr>
          <w:rFonts w:hint="eastAsia" w:ascii="宋体" w:hAnsi="宋体" w:cs="宋体"/>
          <w:b/>
          <w:color w:val="auto"/>
          <w:sz w:val="28"/>
          <w:szCs w:val="28"/>
          <w:highlight w:val="none"/>
        </w:rPr>
        <w:br w:type="page"/>
      </w:r>
      <w:r>
        <w:rPr>
          <w:rFonts w:hint="eastAsia" w:ascii="宋体" w:hAnsi="宋体" w:cs="宋体"/>
          <w:b/>
          <w:color w:val="auto"/>
          <w:sz w:val="28"/>
          <w:szCs w:val="28"/>
          <w:highlight w:val="none"/>
        </w:rPr>
        <w:t>三、商务文件格式</w:t>
      </w:r>
      <w:bookmarkEnd w:id="149"/>
    </w:p>
    <w:p w14:paraId="7347AD87">
      <w:pPr>
        <w:snapToGrid w:val="0"/>
        <w:spacing w:before="120" w:beforeLines="50" w:after="50" w:line="360" w:lineRule="auto"/>
        <w:jc w:val="left"/>
        <w:rPr>
          <w:rFonts w:hint="eastAsia" w:ascii="宋体" w:hAnsi="宋体" w:cs="宋体"/>
          <w:b/>
          <w:color w:val="auto"/>
          <w:sz w:val="24"/>
          <w:highlight w:val="none"/>
        </w:rPr>
      </w:pPr>
      <w:r>
        <w:rPr>
          <w:rFonts w:hint="eastAsia" w:ascii="宋体" w:hAnsi="宋体" w:cs="宋体"/>
          <w:b/>
          <w:color w:val="auto"/>
          <w:sz w:val="24"/>
          <w:highlight w:val="none"/>
        </w:rPr>
        <w:t xml:space="preserve">1.商务文件封面格式： </w:t>
      </w:r>
    </w:p>
    <w:p w14:paraId="6227E09D">
      <w:pPr>
        <w:snapToGrid w:val="0"/>
        <w:spacing w:before="120" w:beforeLines="50" w:after="50"/>
        <w:rPr>
          <w:rFonts w:hint="eastAsia" w:ascii="宋体" w:hAnsi="宋体" w:cs="宋体"/>
          <w:bCs/>
          <w:color w:val="auto"/>
          <w:sz w:val="32"/>
          <w:szCs w:val="20"/>
          <w:highlight w:val="none"/>
        </w:rPr>
      </w:pPr>
    </w:p>
    <w:p w14:paraId="0B8D9E69">
      <w:pPr>
        <w:snapToGrid w:val="0"/>
        <w:spacing w:before="120" w:beforeLines="50" w:after="50"/>
        <w:rPr>
          <w:rFonts w:hint="eastAsia" w:ascii="宋体" w:hAnsi="宋体" w:cs="宋体"/>
          <w:color w:val="auto"/>
          <w:sz w:val="24"/>
          <w:szCs w:val="20"/>
          <w:highlight w:val="none"/>
        </w:rPr>
      </w:pPr>
    </w:p>
    <w:p w14:paraId="7D3EBA5F">
      <w:pPr>
        <w:snapToGrid w:val="0"/>
        <w:spacing w:before="120" w:beforeLines="50" w:after="50"/>
        <w:rPr>
          <w:rFonts w:hint="eastAsia" w:ascii="宋体" w:hAnsi="宋体" w:cs="宋体"/>
          <w:color w:val="auto"/>
          <w:sz w:val="24"/>
          <w:szCs w:val="20"/>
          <w:highlight w:val="none"/>
        </w:rPr>
      </w:pPr>
    </w:p>
    <w:p w14:paraId="47F6D2EB">
      <w:pPr>
        <w:snapToGrid w:val="0"/>
        <w:spacing w:before="120" w:beforeLines="50" w:after="50"/>
        <w:rPr>
          <w:rFonts w:hint="eastAsia" w:ascii="宋体" w:hAnsi="宋体" w:cs="宋体"/>
          <w:color w:val="auto"/>
          <w:sz w:val="24"/>
          <w:szCs w:val="20"/>
          <w:highlight w:val="none"/>
        </w:rPr>
      </w:pPr>
    </w:p>
    <w:p w14:paraId="389CB4FC">
      <w:pPr>
        <w:snapToGrid w:val="0"/>
        <w:spacing w:before="120" w:beforeLines="50" w:after="50"/>
        <w:jc w:val="center"/>
        <w:rPr>
          <w:rFonts w:hint="eastAsia" w:ascii="宋体" w:hAnsi="宋体" w:cs="宋体"/>
          <w:color w:val="auto"/>
          <w:sz w:val="84"/>
          <w:szCs w:val="84"/>
          <w:highlight w:val="none"/>
        </w:rPr>
      </w:pPr>
      <w:r>
        <w:rPr>
          <w:rFonts w:hint="eastAsia" w:ascii="宋体" w:hAnsi="宋体" w:cs="宋体"/>
          <w:color w:val="auto"/>
          <w:sz w:val="84"/>
          <w:szCs w:val="84"/>
          <w:highlight w:val="none"/>
        </w:rPr>
        <w:t>投  标  文  件</w:t>
      </w:r>
    </w:p>
    <w:p w14:paraId="4AA90636">
      <w:pPr>
        <w:snapToGrid w:val="0"/>
        <w:spacing w:before="120" w:beforeLines="50" w:after="50"/>
        <w:rPr>
          <w:rFonts w:hint="eastAsia" w:ascii="宋体" w:hAnsi="宋体" w:cs="宋体"/>
          <w:color w:val="auto"/>
          <w:sz w:val="24"/>
          <w:szCs w:val="20"/>
          <w:highlight w:val="none"/>
        </w:rPr>
      </w:pPr>
    </w:p>
    <w:p w14:paraId="15827941">
      <w:pPr>
        <w:snapToGrid w:val="0"/>
        <w:spacing w:before="120" w:beforeLines="50" w:after="50"/>
        <w:rPr>
          <w:rFonts w:hint="eastAsia" w:ascii="宋体" w:hAnsi="宋体" w:cs="宋体"/>
          <w:color w:val="auto"/>
          <w:sz w:val="24"/>
          <w:szCs w:val="20"/>
          <w:highlight w:val="none"/>
        </w:rPr>
      </w:pPr>
    </w:p>
    <w:p w14:paraId="056C0B56">
      <w:pPr>
        <w:snapToGrid w:val="0"/>
        <w:spacing w:before="120" w:beforeLines="50" w:after="50"/>
        <w:jc w:val="center"/>
        <w:rPr>
          <w:rFonts w:hint="eastAsia" w:ascii="宋体" w:hAnsi="宋体" w:cs="宋体"/>
          <w:bCs/>
          <w:color w:val="auto"/>
          <w:sz w:val="32"/>
          <w:szCs w:val="32"/>
          <w:highlight w:val="none"/>
        </w:rPr>
      </w:pPr>
      <w:r>
        <w:rPr>
          <w:rFonts w:hint="eastAsia" w:ascii="宋体" w:hAnsi="宋体" w:cs="宋体"/>
          <w:bCs/>
          <w:color w:val="auto"/>
          <w:sz w:val="32"/>
          <w:szCs w:val="32"/>
          <w:highlight w:val="none"/>
        </w:rPr>
        <w:t>商  务  文  件</w:t>
      </w:r>
    </w:p>
    <w:p w14:paraId="19567971">
      <w:pPr>
        <w:snapToGrid w:val="0"/>
        <w:spacing w:before="120" w:beforeLines="50" w:after="50"/>
        <w:rPr>
          <w:rFonts w:hint="eastAsia" w:ascii="宋体" w:hAnsi="宋体" w:cs="宋体"/>
          <w:bCs/>
          <w:color w:val="auto"/>
          <w:sz w:val="24"/>
          <w:szCs w:val="20"/>
          <w:highlight w:val="none"/>
        </w:rPr>
      </w:pPr>
    </w:p>
    <w:p w14:paraId="68DBBC05">
      <w:pPr>
        <w:snapToGrid w:val="0"/>
        <w:spacing w:before="120" w:beforeLines="50" w:after="50"/>
        <w:ind w:firstLine="540" w:firstLineChars="225"/>
        <w:rPr>
          <w:rFonts w:hint="eastAsia" w:ascii="宋体" w:hAnsi="宋体" w:cs="宋体"/>
          <w:bCs/>
          <w:color w:val="auto"/>
          <w:sz w:val="24"/>
          <w:highlight w:val="none"/>
        </w:rPr>
      </w:pPr>
    </w:p>
    <w:p w14:paraId="0CAF2D47">
      <w:pPr>
        <w:snapToGrid w:val="0"/>
        <w:spacing w:before="120" w:beforeLines="50" w:after="50"/>
        <w:ind w:firstLine="540" w:firstLineChars="225"/>
        <w:rPr>
          <w:rFonts w:hint="eastAsia" w:ascii="宋体" w:hAnsi="宋体" w:cs="宋体"/>
          <w:bCs/>
          <w:color w:val="auto"/>
          <w:sz w:val="24"/>
          <w:highlight w:val="none"/>
        </w:rPr>
      </w:pPr>
    </w:p>
    <w:p w14:paraId="05ACD813">
      <w:pPr>
        <w:snapToGrid w:val="0"/>
        <w:spacing w:before="120" w:beforeLines="50" w:after="50"/>
        <w:ind w:firstLine="540" w:firstLineChars="225"/>
        <w:rPr>
          <w:rFonts w:hint="eastAsia" w:ascii="宋体" w:hAnsi="宋体" w:cs="宋体"/>
          <w:bCs/>
          <w:color w:val="auto"/>
          <w:sz w:val="24"/>
          <w:highlight w:val="none"/>
        </w:rPr>
      </w:pPr>
    </w:p>
    <w:p w14:paraId="4112920D">
      <w:pPr>
        <w:snapToGrid w:val="0"/>
        <w:spacing w:before="120" w:beforeLines="50" w:after="50"/>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项目名称：</w:t>
      </w:r>
    </w:p>
    <w:p w14:paraId="47373797">
      <w:pPr>
        <w:snapToGrid w:val="0"/>
        <w:spacing w:before="120" w:beforeLines="50" w:after="50"/>
        <w:ind w:firstLine="540" w:firstLineChars="225"/>
        <w:rPr>
          <w:rFonts w:hint="eastAsia" w:ascii="宋体" w:hAnsi="宋体" w:cs="宋体"/>
          <w:bCs/>
          <w:color w:val="auto"/>
          <w:sz w:val="24"/>
          <w:szCs w:val="20"/>
          <w:highlight w:val="none"/>
        </w:rPr>
      </w:pPr>
    </w:p>
    <w:p w14:paraId="35DBEBA3">
      <w:pPr>
        <w:snapToGrid w:val="0"/>
        <w:spacing w:before="120" w:beforeLines="50" w:after="50"/>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项目编号：</w:t>
      </w:r>
    </w:p>
    <w:p w14:paraId="5C5618BA">
      <w:pPr>
        <w:snapToGrid w:val="0"/>
        <w:spacing w:before="120" w:beforeLines="50" w:after="50"/>
        <w:ind w:firstLine="540" w:firstLineChars="225"/>
        <w:rPr>
          <w:rFonts w:hint="eastAsia" w:ascii="宋体" w:hAnsi="宋体" w:cs="宋体"/>
          <w:bCs/>
          <w:color w:val="auto"/>
          <w:sz w:val="24"/>
          <w:szCs w:val="20"/>
          <w:highlight w:val="none"/>
        </w:rPr>
      </w:pPr>
    </w:p>
    <w:p w14:paraId="70EB230F">
      <w:pPr>
        <w:snapToGrid w:val="0"/>
        <w:spacing w:before="120" w:beforeLines="50" w:after="50"/>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所投分标：</w:t>
      </w:r>
    </w:p>
    <w:p w14:paraId="0465A27A">
      <w:pPr>
        <w:snapToGrid w:val="0"/>
        <w:spacing w:before="120" w:beforeLines="50" w:after="50"/>
        <w:ind w:firstLine="540" w:firstLineChars="225"/>
        <w:rPr>
          <w:rFonts w:hint="eastAsia" w:ascii="宋体" w:hAnsi="宋体" w:cs="宋体"/>
          <w:bCs/>
          <w:color w:val="auto"/>
          <w:sz w:val="24"/>
          <w:szCs w:val="20"/>
          <w:highlight w:val="none"/>
        </w:rPr>
      </w:pPr>
    </w:p>
    <w:p w14:paraId="3A0EB627">
      <w:pPr>
        <w:pStyle w:val="11"/>
        <w:snapToGrid w:val="0"/>
        <w:spacing w:before="50" w:after="50"/>
        <w:ind w:firstLine="540" w:firstLineChars="225"/>
        <w:rPr>
          <w:rFonts w:hint="eastAsia" w:ascii="宋体" w:hAnsi="宋体" w:cs="宋体"/>
          <w:bCs/>
          <w:color w:val="auto"/>
          <w:sz w:val="24"/>
          <w:szCs w:val="24"/>
          <w:highlight w:val="none"/>
        </w:rPr>
      </w:pPr>
      <w:r>
        <w:rPr>
          <w:rFonts w:hint="eastAsia" w:ascii="宋体" w:hAnsi="宋体" w:cs="宋体"/>
          <w:bCs/>
          <w:color w:val="auto"/>
          <w:sz w:val="24"/>
          <w:szCs w:val="24"/>
          <w:highlight w:val="none"/>
        </w:rPr>
        <w:t>投标人名称：</w:t>
      </w:r>
    </w:p>
    <w:p w14:paraId="3F2A9C40">
      <w:pPr>
        <w:pStyle w:val="11"/>
        <w:snapToGrid w:val="0"/>
        <w:spacing w:before="50" w:after="50"/>
        <w:ind w:firstLine="540" w:firstLineChars="225"/>
        <w:rPr>
          <w:rFonts w:hint="eastAsia" w:ascii="宋体" w:hAnsi="宋体" w:cs="宋体"/>
          <w:bCs/>
          <w:color w:val="auto"/>
          <w:sz w:val="24"/>
          <w:szCs w:val="24"/>
          <w:highlight w:val="none"/>
        </w:rPr>
      </w:pPr>
    </w:p>
    <w:p w14:paraId="04F98E89">
      <w:pPr>
        <w:pStyle w:val="11"/>
        <w:snapToGrid w:val="0"/>
        <w:spacing w:before="50" w:after="50"/>
        <w:ind w:firstLine="540" w:firstLineChars="225"/>
        <w:rPr>
          <w:rFonts w:hint="eastAsia" w:ascii="宋体" w:hAnsi="宋体" w:cs="宋体"/>
          <w:bCs/>
          <w:color w:val="auto"/>
          <w:sz w:val="24"/>
          <w:szCs w:val="24"/>
          <w:highlight w:val="none"/>
        </w:rPr>
      </w:pPr>
      <w:r>
        <w:rPr>
          <w:rFonts w:hint="eastAsia" w:ascii="宋体" w:hAnsi="宋体" w:cs="宋体"/>
          <w:bCs/>
          <w:color w:val="auto"/>
          <w:sz w:val="24"/>
          <w:szCs w:val="24"/>
          <w:highlight w:val="none"/>
        </w:rPr>
        <w:t>投标人地址：</w:t>
      </w:r>
    </w:p>
    <w:p w14:paraId="2356E085">
      <w:pPr>
        <w:pStyle w:val="11"/>
        <w:snapToGrid w:val="0"/>
        <w:spacing w:before="50" w:after="50"/>
        <w:ind w:firstLine="960" w:firstLineChars="400"/>
        <w:rPr>
          <w:rFonts w:hint="eastAsia" w:ascii="宋体" w:hAnsi="宋体" w:cs="宋体"/>
          <w:bCs/>
          <w:color w:val="auto"/>
          <w:sz w:val="24"/>
          <w:szCs w:val="24"/>
          <w:highlight w:val="none"/>
        </w:rPr>
      </w:pPr>
    </w:p>
    <w:p w14:paraId="1C77DE0A">
      <w:pPr>
        <w:snapToGrid w:val="0"/>
        <w:spacing w:before="120" w:beforeLines="50" w:after="50"/>
        <w:ind w:firstLine="645"/>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3B54FA1B">
      <w:pPr>
        <w:snapToGrid w:val="0"/>
        <w:spacing w:before="120" w:beforeLines="50" w:after="50"/>
        <w:rPr>
          <w:rFonts w:hint="eastAsia" w:ascii="宋体" w:hAnsi="宋体" w:cs="宋体"/>
          <w:color w:val="auto"/>
          <w:sz w:val="24"/>
          <w:szCs w:val="20"/>
          <w:highlight w:val="none"/>
        </w:rPr>
      </w:pPr>
    </w:p>
    <w:p w14:paraId="1DEABE3F">
      <w:pPr>
        <w:snapToGrid w:val="0"/>
        <w:spacing w:line="360" w:lineRule="auto"/>
        <w:jc w:val="left"/>
        <w:rPr>
          <w:rFonts w:hint="eastAsia" w:ascii="宋体" w:hAnsi="宋体" w:cs="宋体"/>
          <w:b/>
          <w:bCs/>
          <w:color w:val="auto"/>
          <w:sz w:val="28"/>
          <w:szCs w:val="28"/>
          <w:highlight w:val="none"/>
        </w:rPr>
      </w:pPr>
      <w:r>
        <w:rPr>
          <w:rFonts w:hint="eastAsia" w:ascii="宋体" w:hAnsi="宋体" w:cs="宋体"/>
          <w:color w:val="auto"/>
          <w:sz w:val="24"/>
          <w:szCs w:val="20"/>
          <w:highlight w:val="none"/>
        </w:rPr>
        <w:br w:type="page"/>
      </w:r>
      <w:r>
        <w:rPr>
          <w:rFonts w:hint="eastAsia" w:ascii="宋体" w:hAnsi="宋体" w:cs="宋体"/>
          <w:b/>
          <w:bCs/>
          <w:color w:val="auto"/>
          <w:sz w:val="24"/>
          <w:highlight w:val="none"/>
        </w:rPr>
        <w:t>2.商务文件目录</w:t>
      </w:r>
    </w:p>
    <w:p w14:paraId="09EF89E0">
      <w:pPr>
        <w:snapToGrid w:val="0"/>
        <w:spacing w:before="50" w:after="120" w:afterLines="50" w:line="360" w:lineRule="auto"/>
        <w:ind w:firstLine="480" w:firstLineChars="200"/>
        <w:jc w:val="left"/>
        <w:rPr>
          <w:rFonts w:hint="eastAsia" w:ascii="宋体" w:hAnsi="宋体" w:cs="宋体"/>
          <w:b/>
          <w:bCs/>
          <w:color w:val="auto"/>
          <w:sz w:val="32"/>
          <w:szCs w:val="32"/>
          <w:highlight w:val="none"/>
        </w:rPr>
      </w:pPr>
      <w:r>
        <w:rPr>
          <w:rFonts w:hint="eastAsia" w:ascii="宋体" w:hAnsi="宋体" w:cs="宋体"/>
          <w:color w:val="auto"/>
          <w:sz w:val="24"/>
          <w:highlight w:val="none"/>
        </w:rPr>
        <w:t>根据招标文件规定及投标人提供的材料自行编写目录。</w:t>
      </w:r>
    </w:p>
    <w:p w14:paraId="196C7434">
      <w:pPr>
        <w:snapToGrid w:val="0"/>
        <w:spacing w:before="50" w:after="120" w:afterLines="50"/>
        <w:jc w:val="left"/>
        <w:rPr>
          <w:rFonts w:hint="eastAsia" w:ascii="宋体" w:hAnsi="宋体" w:cs="宋体"/>
          <w:color w:val="auto"/>
          <w:highlight w:val="none"/>
        </w:rPr>
      </w:pPr>
    </w:p>
    <w:p w14:paraId="19ABD7B1">
      <w:pPr>
        <w:snapToGrid w:val="0"/>
        <w:spacing w:before="120" w:beforeLines="50" w:after="50"/>
        <w:jc w:val="left"/>
        <w:rPr>
          <w:rFonts w:hint="eastAsia" w:ascii="宋体" w:hAnsi="宋体" w:cs="宋体"/>
          <w:b/>
          <w:color w:val="auto"/>
          <w:sz w:val="24"/>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3.投标人参加本项目无围标串标行为的承诺</w:t>
      </w:r>
    </w:p>
    <w:p w14:paraId="2FCAEB7D">
      <w:pPr>
        <w:snapToGrid w:val="0"/>
        <w:spacing w:before="120" w:beforeLines="50" w:after="50"/>
        <w:jc w:val="left"/>
        <w:rPr>
          <w:rFonts w:hint="eastAsia" w:ascii="宋体" w:hAnsi="宋体" w:cs="宋体"/>
          <w:b/>
          <w:color w:val="auto"/>
          <w:sz w:val="24"/>
          <w:highlight w:val="none"/>
        </w:rPr>
      </w:pPr>
    </w:p>
    <w:p w14:paraId="5904D472">
      <w:pPr>
        <w:spacing w:line="360" w:lineRule="auto"/>
        <w:ind w:left="420"/>
        <w:contextualSpacing/>
        <w:jc w:val="center"/>
        <w:rPr>
          <w:rFonts w:hint="eastAsia" w:ascii="宋体" w:hAnsi="宋体" w:cs="宋体"/>
          <w:b/>
          <w:color w:val="auto"/>
          <w:sz w:val="24"/>
          <w:highlight w:val="none"/>
        </w:rPr>
      </w:pPr>
      <w:r>
        <w:rPr>
          <w:rFonts w:hint="eastAsia" w:ascii="宋体" w:hAnsi="宋体" w:cs="宋体"/>
          <w:bCs/>
          <w:color w:val="auto"/>
          <w:spacing w:val="-11"/>
          <w:sz w:val="44"/>
          <w:szCs w:val="44"/>
          <w:highlight w:val="none"/>
        </w:rPr>
        <w:t>投标人参加本项目无围标串标行为的承诺函</w:t>
      </w:r>
    </w:p>
    <w:p w14:paraId="35021A85">
      <w:pPr>
        <w:spacing w:line="440" w:lineRule="exact"/>
        <w:contextualSpacing/>
        <w:jc w:val="left"/>
        <w:rPr>
          <w:rFonts w:hint="eastAsia" w:ascii="宋体" w:hAnsi="宋体" w:cs="宋体"/>
          <w:b/>
          <w:color w:val="auto"/>
          <w:sz w:val="24"/>
          <w:highlight w:val="none"/>
        </w:rPr>
      </w:pPr>
      <w:r>
        <w:rPr>
          <w:rFonts w:hint="eastAsia" w:ascii="宋体" w:hAnsi="宋体" w:cs="宋体"/>
          <w:b/>
          <w:color w:val="auto"/>
          <w:sz w:val="24"/>
          <w:highlight w:val="none"/>
        </w:rPr>
        <w:t>一、我方承诺无下列相互串通投标的情形：</w:t>
      </w:r>
    </w:p>
    <w:p w14:paraId="28E2923D">
      <w:pPr>
        <w:spacing w:line="440" w:lineRule="exact"/>
        <w:ind w:firstLine="470" w:firstLineChars="196"/>
        <w:contextualSpacing/>
        <w:jc w:val="left"/>
        <w:rPr>
          <w:rFonts w:hint="eastAsia" w:ascii="宋体" w:hAnsi="宋体" w:cs="宋体"/>
          <w:color w:val="auto"/>
          <w:sz w:val="24"/>
          <w:highlight w:val="none"/>
        </w:rPr>
      </w:pPr>
      <w:r>
        <w:rPr>
          <w:rFonts w:hint="eastAsia" w:ascii="宋体" w:hAnsi="宋体" w:cs="宋体"/>
          <w:color w:val="auto"/>
          <w:sz w:val="24"/>
          <w:highlight w:val="none"/>
        </w:rPr>
        <w:t>1.不同投标人的投标文件由同一单位或者个人编制；</w:t>
      </w:r>
    </w:p>
    <w:p w14:paraId="09D5E4F5">
      <w:pPr>
        <w:spacing w:line="440" w:lineRule="exact"/>
        <w:ind w:firstLine="470" w:firstLineChars="196"/>
        <w:contextualSpacing/>
        <w:jc w:val="left"/>
        <w:rPr>
          <w:rFonts w:hint="eastAsia" w:ascii="宋体" w:hAnsi="宋体" w:cs="宋体"/>
          <w:color w:val="auto"/>
          <w:sz w:val="24"/>
          <w:highlight w:val="none"/>
        </w:rPr>
      </w:pPr>
      <w:r>
        <w:rPr>
          <w:rFonts w:hint="eastAsia" w:ascii="宋体" w:hAnsi="宋体" w:cs="宋体"/>
          <w:color w:val="auto"/>
          <w:sz w:val="24"/>
          <w:highlight w:val="none"/>
        </w:rPr>
        <w:t>2.不同投标人委托同一单位或者个人办理投标事宜；</w:t>
      </w:r>
    </w:p>
    <w:p w14:paraId="7C474C47">
      <w:pPr>
        <w:spacing w:line="440" w:lineRule="exact"/>
        <w:ind w:firstLine="470" w:firstLineChars="196"/>
        <w:contextualSpacing/>
        <w:jc w:val="left"/>
        <w:rPr>
          <w:rFonts w:hint="eastAsia" w:ascii="宋体" w:hAnsi="宋体" w:cs="宋体"/>
          <w:color w:val="auto"/>
          <w:sz w:val="24"/>
          <w:highlight w:val="none"/>
        </w:rPr>
      </w:pPr>
      <w:r>
        <w:rPr>
          <w:rFonts w:hint="eastAsia" w:ascii="宋体" w:hAnsi="宋体" w:cs="宋体"/>
          <w:color w:val="auto"/>
          <w:sz w:val="24"/>
          <w:highlight w:val="none"/>
        </w:rPr>
        <w:t>3.不同的投标人的投标文件载明的项目管理员为同一个人；</w:t>
      </w:r>
    </w:p>
    <w:p w14:paraId="3EEB7748">
      <w:pPr>
        <w:spacing w:line="440" w:lineRule="exact"/>
        <w:ind w:firstLine="470" w:firstLineChars="196"/>
        <w:contextualSpacing/>
        <w:jc w:val="left"/>
        <w:rPr>
          <w:rFonts w:hint="eastAsia" w:ascii="宋体" w:hAnsi="宋体" w:cs="宋体"/>
          <w:color w:val="auto"/>
          <w:sz w:val="24"/>
          <w:highlight w:val="none"/>
        </w:rPr>
      </w:pPr>
      <w:r>
        <w:rPr>
          <w:rFonts w:hint="eastAsia" w:ascii="宋体" w:hAnsi="宋体" w:cs="宋体"/>
          <w:color w:val="auto"/>
          <w:sz w:val="24"/>
          <w:highlight w:val="none"/>
        </w:rPr>
        <w:t>4.不同投标人的投标文件异常一致或者投标报价呈规律性差异；</w:t>
      </w:r>
    </w:p>
    <w:p w14:paraId="5382E01C">
      <w:pPr>
        <w:spacing w:line="440" w:lineRule="exact"/>
        <w:ind w:firstLine="470" w:firstLineChars="196"/>
        <w:contextualSpacing/>
        <w:jc w:val="left"/>
        <w:rPr>
          <w:rFonts w:hint="eastAsia" w:ascii="宋体" w:hAnsi="宋体" w:cs="宋体"/>
          <w:color w:val="auto"/>
          <w:sz w:val="24"/>
          <w:highlight w:val="none"/>
        </w:rPr>
      </w:pPr>
      <w:r>
        <w:rPr>
          <w:rFonts w:hint="eastAsia" w:ascii="宋体" w:hAnsi="宋体" w:cs="宋体"/>
          <w:color w:val="auto"/>
          <w:sz w:val="24"/>
          <w:highlight w:val="none"/>
        </w:rPr>
        <w:t>5.不同投标人的投标文件相互混装；</w:t>
      </w:r>
    </w:p>
    <w:p w14:paraId="273EEBCE">
      <w:pPr>
        <w:spacing w:line="440" w:lineRule="exact"/>
        <w:ind w:firstLine="470" w:firstLineChars="196"/>
        <w:contextualSpacing/>
        <w:jc w:val="left"/>
        <w:rPr>
          <w:rFonts w:hint="eastAsia" w:ascii="宋体" w:hAnsi="宋体" w:cs="宋体"/>
          <w:color w:val="auto"/>
          <w:sz w:val="24"/>
          <w:highlight w:val="none"/>
        </w:rPr>
      </w:pPr>
      <w:r>
        <w:rPr>
          <w:rFonts w:hint="eastAsia" w:ascii="宋体" w:hAnsi="宋体" w:cs="宋体"/>
          <w:color w:val="auto"/>
          <w:sz w:val="24"/>
          <w:highlight w:val="none"/>
        </w:rPr>
        <w:t>6.不同投标人的投标保证金从同一单位或者个人账户转出。</w:t>
      </w:r>
    </w:p>
    <w:p w14:paraId="70A24A00">
      <w:pPr>
        <w:spacing w:line="440" w:lineRule="exact"/>
        <w:contextualSpacing/>
        <w:jc w:val="left"/>
        <w:rPr>
          <w:rFonts w:hint="eastAsia" w:ascii="宋体" w:hAnsi="宋体" w:cs="宋体"/>
          <w:color w:val="auto"/>
          <w:sz w:val="24"/>
          <w:highlight w:val="none"/>
        </w:rPr>
      </w:pPr>
      <w:r>
        <w:rPr>
          <w:rFonts w:hint="eastAsia" w:ascii="宋体" w:hAnsi="宋体" w:cs="宋体"/>
          <w:b/>
          <w:color w:val="auto"/>
          <w:sz w:val="24"/>
          <w:highlight w:val="none"/>
        </w:rPr>
        <w:t>二、我方承诺无下列恶意串通的情形：</w:t>
      </w:r>
    </w:p>
    <w:p w14:paraId="45D0B73A">
      <w:pPr>
        <w:spacing w:line="440" w:lineRule="exact"/>
        <w:ind w:firstLine="470" w:firstLineChars="196"/>
        <w:contextualSpacing/>
        <w:jc w:val="left"/>
        <w:rPr>
          <w:rFonts w:hint="eastAsia" w:ascii="宋体" w:hAnsi="宋体" w:cs="宋体"/>
          <w:color w:val="auto"/>
          <w:sz w:val="24"/>
          <w:highlight w:val="none"/>
        </w:rPr>
      </w:pPr>
      <w:r>
        <w:rPr>
          <w:rFonts w:hint="eastAsia" w:ascii="宋体" w:hAnsi="宋体" w:cs="宋体"/>
          <w:color w:val="auto"/>
          <w:sz w:val="24"/>
          <w:highlight w:val="none"/>
        </w:rPr>
        <w:t>1.投标人直接或者间接从采购人或者采购代理机构处获得其他投标人的相关信息并修改其投标文件或者响应文件；</w:t>
      </w:r>
    </w:p>
    <w:p w14:paraId="6F31DAE6">
      <w:pPr>
        <w:spacing w:line="440" w:lineRule="exact"/>
        <w:ind w:firstLine="470" w:firstLineChars="196"/>
        <w:contextualSpacing/>
        <w:jc w:val="left"/>
        <w:rPr>
          <w:rFonts w:hint="eastAsia" w:ascii="宋体" w:hAnsi="宋体" w:cs="宋体"/>
          <w:color w:val="auto"/>
          <w:sz w:val="24"/>
          <w:highlight w:val="none"/>
        </w:rPr>
      </w:pPr>
      <w:r>
        <w:rPr>
          <w:rFonts w:hint="eastAsia" w:ascii="宋体" w:hAnsi="宋体" w:cs="宋体"/>
          <w:color w:val="auto"/>
          <w:sz w:val="24"/>
          <w:highlight w:val="none"/>
        </w:rPr>
        <w:t>2.投标人按照采购人或者采购代理机构的授意撤换、修改投标文件或者响应文件；</w:t>
      </w:r>
    </w:p>
    <w:p w14:paraId="736FB586">
      <w:pPr>
        <w:spacing w:line="440" w:lineRule="exact"/>
        <w:ind w:firstLine="470" w:firstLineChars="196"/>
        <w:contextualSpacing/>
        <w:jc w:val="left"/>
        <w:rPr>
          <w:rFonts w:hint="eastAsia" w:ascii="宋体" w:hAnsi="宋体" w:cs="宋体"/>
          <w:color w:val="auto"/>
          <w:sz w:val="24"/>
          <w:highlight w:val="none"/>
        </w:rPr>
      </w:pPr>
      <w:r>
        <w:rPr>
          <w:rFonts w:hint="eastAsia" w:ascii="宋体" w:hAnsi="宋体" w:cs="宋体"/>
          <w:color w:val="auto"/>
          <w:sz w:val="24"/>
          <w:highlight w:val="none"/>
        </w:rPr>
        <w:t>3.投标人直接或者间接从采购人或者采购代理机构处获得评标委员会成员信息；</w:t>
      </w:r>
    </w:p>
    <w:p w14:paraId="3B4A1E5A">
      <w:pPr>
        <w:spacing w:line="440" w:lineRule="exact"/>
        <w:ind w:firstLine="470" w:firstLineChars="196"/>
        <w:contextualSpacing/>
        <w:jc w:val="left"/>
        <w:rPr>
          <w:rFonts w:hint="eastAsia" w:ascii="宋体" w:hAnsi="宋体" w:cs="宋体"/>
          <w:color w:val="auto"/>
          <w:sz w:val="24"/>
          <w:highlight w:val="none"/>
        </w:rPr>
      </w:pPr>
      <w:r>
        <w:rPr>
          <w:rFonts w:hint="eastAsia" w:ascii="宋体" w:hAnsi="宋体" w:cs="宋体"/>
          <w:color w:val="auto"/>
          <w:sz w:val="24"/>
          <w:highlight w:val="none"/>
        </w:rPr>
        <w:t>4.投标人之间协商报价、技术方案等投标文件或者响应文件的实质性内容；</w:t>
      </w:r>
    </w:p>
    <w:p w14:paraId="249A01AE">
      <w:pPr>
        <w:spacing w:line="440" w:lineRule="exact"/>
        <w:ind w:firstLine="470" w:firstLineChars="196"/>
        <w:contextualSpacing/>
        <w:jc w:val="left"/>
        <w:rPr>
          <w:rFonts w:hint="eastAsia" w:ascii="宋体" w:hAnsi="宋体" w:cs="宋体"/>
          <w:color w:val="auto"/>
          <w:sz w:val="24"/>
          <w:highlight w:val="none"/>
        </w:rPr>
      </w:pPr>
      <w:r>
        <w:rPr>
          <w:rFonts w:hint="eastAsia" w:ascii="宋体" w:hAnsi="宋体" w:cs="宋体"/>
          <w:color w:val="auto"/>
          <w:sz w:val="24"/>
          <w:highlight w:val="none"/>
        </w:rPr>
        <w:t>5.属于同一集团、协会、商会等组织成员的投标人按照该组织要求协同参加政府采购活动；</w:t>
      </w:r>
    </w:p>
    <w:p w14:paraId="078B1C7E">
      <w:pPr>
        <w:spacing w:line="440" w:lineRule="exact"/>
        <w:ind w:firstLine="470" w:firstLineChars="196"/>
        <w:contextualSpacing/>
        <w:jc w:val="left"/>
        <w:rPr>
          <w:rFonts w:hint="eastAsia" w:ascii="宋体" w:hAnsi="宋体" w:cs="宋体"/>
          <w:color w:val="auto"/>
          <w:sz w:val="24"/>
          <w:highlight w:val="none"/>
        </w:rPr>
      </w:pPr>
      <w:r>
        <w:rPr>
          <w:rFonts w:hint="eastAsia" w:ascii="宋体" w:hAnsi="宋体" w:cs="宋体"/>
          <w:color w:val="auto"/>
          <w:sz w:val="24"/>
          <w:highlight w:val="none"/>
        </w:rPr>
        <w:t>6.投标人之间事先约定一致抬高或者压低投标报价，或者在招标项目中事先约定轮流以高价位或者低价位中标，或者事先约定由某一特定投标人中标，然后再参加投标；</w:t>
      </w:r>
    </w:p>
    <w:p w14:paraId="02C609A1">
      <w:pPr>
        <w:spacing w:line="440" w:lineRule="exact"/>
        <w:ind w:firstLine="470" w:firstLineChars="196"/>
        <w:contextualSpacing/>
        <w:jc w:val="left"/>
        <w:rPr>
          <w:rFonts w:hint="eastAsia" w:ascii="宋体" w:hAnsi="宋体" w:cs="宋体"/>
          <w:color w:val="auto"/>
          <w:sz w:val="24"/>
          <w:highlight w:val="none"/>
        </w:rPr>
      </w:pPr>
      <w:r>
        <w:rPr>
          <w:rFonts w:hint="eastAsia" w:ascii="宋体" w:hAnsi="宋体" w:cs="宋体"/>
          <w:color w:val="auto"/>
          <w:sz w:val="24"/>
          <w:highlight w:val="none"/>
        </w:rPr>
        <w:t>7.投标人之间商定部分投标人放弃参加政府采购活动或者放弃中标；</w:t>
      </w:r>
    </w:p>
    <w:p w14:paraId="7F565CDA">
      <w:pPr>
        <w:spacing w:line="440" w:lineRule="exact"/>
        <w:ind w:firstLine="470" w:firstLineChars="196"/>
        <w:contextualSpacing/>
        <w:jc w:val="left"/>
        <w:rPr>
          <w:rFonts w:hint="eastAsia" w:ascii="宋体" w:hAnsi="宋体" w:cs="宋体"/>
          <w:color w:val="auto"/>
          <w:sz w:val="24"/>
          <w:highlight w:val="none"/>
        </w:rPr>
      </w:pPr>
      <w:r>
        <w:rPr>
          <w:rFonts w:hint="eastAsia" w:ascii="宋体" w:hAnsi="宋体" w:cs="宋体"/>
          <w:color w:val="auto"/>
          <w:sz w:val="24"/>
          <w:highlight w:val="none"/>
        </w:rPr>
        <w:t>8.投标人与采购人或者采购代理机构之间、投标人相互之间，为谋求特定投标人中标或者排斥其他投标人的其他串通行为。</w:t>
      </w:r>
    </w:p>
    <w:p w14:paraId="52821B99">
      <w:pPr>
        <w:spacing w:line="440" w:lineRule="exact"/>
        <w:ind w:firstLine="472" w:firstLineChars="196"/>
        <w:contextualSpacing/>
        <w:jc w:val="left"/>
        <w:rPr>
          <w:rFonts w:hint="eastAsia" w:ascii="宋体" w:hAnsi="宋体" w:cs="宋体"/>
          <w:b/>
          <w:color w:val="auto"/>
          <w:sz w:val="24"/>
          <w:highlight w:val="none"/>
        </w:rPr>
      </w:pPr>
      <w:r>
        <w:rPr>
          <w:rFonts w:hint="eastAsia" w:ascii="宋体" w:hAnsi="宋体" w:cs="宋体"/>
          <w:b/>
          <w:color w:val="auto"/>
          <w:sz w:val="24"/>
          <w:highlight w:val="none"/>
        </w:rPr>
        <w:t>以上情形一经核查属实，我方愿意承担一切后果，并不再寻求任何旨在减轻或者免除法律责任的辩解。</w:t>
      </w:r>
    </w:p>
    <w:p w14:paraId="438A724A">
      <w:pPr>
        <w:pStyle w:val="25"/>
        <w:spacing w:line="440" w:lineRule="exact"/>
        <w:ind w:firstLine="6840" w:firstLineChars="2850"/>
        <w:contextualSpacing/>
        <w:rPr>
          <w:rFonts w:hint="eastAsia" w:hAnsi="宋体" w:cs="宋体"/>
          <w:color w:val="auto"/>
          <w:sz w:val="24"/>
          <w:szCs w:val="24"/>
          <w:highlight w:val="none"/>
        </w:rPr>
      </w:pPr>
    </w:p>
    <w:p w14:paraId="6F4B850E">
      <w:pPr>
        <w:pStyle w:val="25"/>
        <w:spacing w:line="440" w:lineRule="exact"/>
        <w:ind w:firstLine="3780" w:firstLineChars="1575"/>
        <w:contextualSpacing/>
        <w:jc w:val="center"/>
        <w:rPr>
          <w:rFonts w:hint="eastAsia" w:hAnsi="宋体" w:cs="宋体"/>
          <w:color w:val="auto"/>
          <w:sz w:val="24"/>
          <w:szCs w:val="24"/>
          <w:highlight w:val="none"/>
        </w:rPr>
      </w:pPr>
      <w:r>
        <w:rPr>
          <w:rFonts w:hint="eastAsia" w:hAnsi="宋体" w:cs="宋体"/>
          <w:color w:val="auto"/>
          <w:sz w:val="24"/>
          <w:szCs w:val="24"/>
          <w:highlight w:val="none"/>
        </w:rPr>
        <w:t>投标人名称（盖公章）：</w:t>
      </w:r>
      <w:r>
        <w:rPr>
          <w:rFonts w:hint="eastAsia" w:hAnsi="宋体" w:cs="宋体"/>
          <w:color w:val="auto"/>
          <w:sz w:val="24"/>
          <w:highlight w:val="none"/>
          <w:u w:val="single"/>
        </w:rPr>
        <w:t xml:space="preserve">            </w:t>
      </w:r>
    </w:p>
    <w:p w14:paraId="1AB859E6">
      <w:pPr>
        <w:pStyle w:val="25"/>
        <w:spacing w:line="440" w:lineRule="exact"/>
        <w:contextualSpacing/>
        <w:jc w:val="right"/>
        <w:rPr>
          <w:rFonts w:hint="eastAsia" w:hAnsi="宋体" w:cs="宋体"/>
          <w:color w:val="auto"/>
          <w:sz w:val="24"/>
          <w:highlight w:val="none"/>
        </w:rPr>
      </w:pPr>
      <w:r>
        <w:rPr>
          <w:rFonts w:hint="eastAsia" w:hAnsi="宋体" w:cs="宋体"/>
          <w:color w:val="auto"/>
          <w:sz w:val="24"/>
          <w:highlight w:val="none"/>
          <w:u w:val="single"/>
        </w:rPr>
        <w:t xml:space="preserve">    </w:t>
      </w:r>
      <w:r>
        <w:rPr>
          <w:rFonts w:hint="eastAsia" w:hAnsi="宋体" w:cs="宋体"/>
          <w:color w:val="auto"/>
          <w:sz w:val="24"/>
          <w:highlight w:val="none"/>
        </w:rPr>
        <w:t>年</w:t>
      </w:r>
      <w:r>
        <w:rPr>
          <w:rFonts w:hint="eastAsia" w:hAnsi="宋体" w:cs="宋体"/>
          <w:color w:val="auto"/>
          <w:sz w:val="24"/>
          <w:highlight w:val="none"/>
          <w:u w:val="single"/>
        </w:rPr>
        <w:t xml:space="preserve">    </w:t>
      </w:r>
      <w:r>
        <w:rPr>
          <w:rFonts w:hint="eastAsia" w:hAnsi="宋体" w:cs="宋体"/>
          <w:color w:val="auto"/>
          <w:sz w:val="24"/>
          <w:highlight w:val="none"/>
        </w:rPr>
        <w:t>月</w:t>
      </w:r>
      <w:r>
        <w:rPr>
          <w:rFonts w:hint="eastAsia" w:hAnsi="宋体" w:cs="宋体"/>
          <w:color w:val="auto"/>
          <w:sz w:val="24"/>
          <w:highlight w:val="none"/>
          <w:u w:val="single"/>
        </w:rPr>
        <w:t xml:space="preserve">    </w:t>
      </w:r>
      <w:r>
        <w:rPr>
          <w:rFonts w:hint="eastAsia" w:hAnsi="宋体" w:cs="宋体"/>
          <w:color w:val="auto"/>
          <w:sz w:val="24"/>
          <w:highlight w:val="none"/>
        </w:rPr>
        <w:t>日</w:t>
      </w:r>
    </w:p>
    <w:p w14:paraId="45A42B57">
      <w:pPr>
        <w:snapToGrid w:val="0"/>
        <w:spacing w:before="120" w:beforeLines="50" w:after="50"/>
        <w:jc w:val="left"/>
        <w:rPr>
          <w:rFonts w:hint="eastAsia" w:ascii="宋体" w:hAnsi="宋体" w:cs="宋体"/>
          <w:b/>
          <w:color w:val="auto"/>
          <w:sz w:val="24"/>
          <w:highlight w:val="none"/>
        </w:rPr>
      </w:pPr>
    </w:p>
    <w:p w14:paraId="05F1E88D">
      <w:pPr>
        <w:snapToGrid w:val="0"/>
        <w:spacing w:before="120" w:beforeLines="50" w:after="50"/>
        <w:jc w:val="left"/>
        <w:rPr>
          <w:rFonts w:hint="eastAsia" w:ascii="宋体" w:hAnsi="宋体" w:cs="宋体"/>
          <w:b/>
          <w:color w:val="auto"/>
          <w:sz w:val="24"/>
          <w:highlight w:val="none"/>
        </w:rPr>
      </w:pPr>
    </w:p>
    <w:p w14:paraId="44674EC3">
      <w:pPr>
        <w:snapToGrid w:val="0"/>
        <w:spacing w:before="120" w:beforeLines="50" w:after="50"/>
        <w:jc w:val="left"/>
        <w:rPr>
          <w:rFonts w:hint="eastAsia" w:ascii="宋体" w:hAnsi="宋体" w:cs="宋体"/>
          <w:b/>
          <w:color w:val="auto"/>
          <w:sz w:val="24"/>
          <w:highlight w:val="none"/>
        </w:rPr>
      </w:pPr>
    </w:p>
    <w:p w14:paraId="358168A5">
      <w:pPr>
        <w:snapToGrid w:val="0"/>
        <w:spacing w:before="120" w:beforeLines="50" w:after="50"/>
        <w:jc w:val="left"/>
        <w:rPr>
          <w:rFonts w:hint="eastAsia" w:ascii="宋体" w:hAnsi="宋体" w:cs="宋体"/>
          <w:b/>
          <w:color w:val="auto"/>
          <w:sz w:val="24"/>
          <w:highlight w:val="none"/>
        </w:rPr>
      </w:pPr>
    </w:p>
    <w:p w14:paraId="7EB8C05C">
      <w:pPr>
        <w:snapToGrid w:val="0"/>
        <w:spacing w:before="120" w:beforeLines="50" w:after="50"/>
        <w:jc w:val="left"/>
        <w:rPr>
          <w:rFonts w:hint="eastAsia" w:ascii="宋体" w:hAnsi="宋体" w:cs="宋体"/>
          <w:b/>
          <w:color w:val="auto"/>
          <w:sz w:val="24"/>
          <w:highlight w:val="none"/>
        </w:rPr>
      </w:pPr>
    </w:p>
    <w:p w14:paraId="49486FFA">
      <w:pPr>
        <w:snapToGrid w:val="0"/>
        <w:spacing w:before="120" w:beforeLines="50" w:after="50"/>
        <w:jc w:val="left"/>
        <w:rPr>
          <w:rFonts w:hint="eastAsia" w:ascii="宋体" w:hAnsi="宋体" w:cs="宋体"/>
          <w:b/>
          <w:color w:val="auto"/>
          <w:sz w:val="24"/>
          <w:highlight w:val="none"/>
        </w:rPr>
      </w:pPr>
      <w:r>
        <w:rPr>
          <w:rFonts w:hint="eastAsia" w:ascii="宋体" w:hAnsi="宋体" w:cs="宋体"/>
          <w:b/>
          <w:color w:val="auto"/>
          <w:sz w:val="24"/>
          <w:highlight w:val="none"/>
        </w:rPr>
        <w:t>4.投标人廉洁承诺函</w:t>
      </w:r>
    </w:p>
    <w:p w14:paraId="3243351F">
      <w:pPr>
        <w:snapToGrid w:val="0"/>
        <w:spacing w:before="120" w:beforeLines="50" w:after="50"/>
        <w:jc w:val="left"/>
        <w:rPr>
          <w:rFonts w:hint="eastAsia" w:ascii="宋体" w:hAnsi="宋体" w:cs="宋体"/>
          <w:b/>
          <w:color w:val="auto"/>
          <w:sz w:val="24"/>
          <w:highlight w:val="none"/>
        </w:rPr>
      </w:pPr>
    </w:p>
    <w:p w14:paraId="6FA66CDE">
      <w:pPr>
        <w:spacing w:line="360" w:lineRule="auto"/>
        <w:ind w:left="420"/>
        <w:contextualSpacing/>
        <w:jc w:val="center"/>
        <w:rPr>
          <w:rFonts w:hint="eastAsia" w:ascii="宋体" w:hAnsi="宋体" w:cs="宋体"/>
          <w:b/>
          <w:color w:val="auto"/>
          <w:sz w:val="24"/>
          <w:highlight w:val="none"/>
        </w:rPr>
      </w:pPr>
      <w:r>
        <w:rPr>
          <w:rFonts w:hint="eastAsia" w:ascii="宋体" w:hAnsi="宋体" w:cs="宋体"/>
          <w:bCs/>
          <w:color w:val="auto"/>
          <w:spacing w:val="-11"/>
          <w:sz w:val="44"/>
          <w:szCs w:val="44"/>
          <w:highlight w:val="none"/>
        </w:rPr>
        <w:t>投标人廉洁承诺函</w:t>
      </w:r>
    </w:p>
    <w:p w14:paraId="42E10C87">
      <w:pPr>
        <w:spacing w:line="480" w:lineRule="auto"/>
        <w:contextualSpacing/>
        <w:jc w:val="left"/>
        <w:rPr>
          <w:rFonts w:hint="eastAsia" w:ascii="宋体" w:hAnsi="宋体" w:cs="宋体"/>
          <w:b/>
          <w:color w:val="auto"/>
          <w:sz w:val="24"/>
          <w:highlight w:val="none"/>
        </w:rPr>
      </w:pPr>
      <w:r>
        <w:rPr>
          <w:rFonts w:hint="eastAsia" w:ascii="宋体" w:hAnsi="宋体" w:cs="宋体"/>
          <w:b/>
          <w:color w:val="auto"/>
          <w:sz w:val="24"/>
          <w:highlight w:val="none"/>
        </w:rPr>
        <w:t>广西壮族自治区梧州监狱：</w:t>
      </w:r>
    </w:p>
    <w:p w14:paraId="2C12A928">
      <w:pPr>
        <w:spacing w:line="480" w:lineRule="auto"/>
        <w:ind w:firstLine="470" w:firstLineChars="196"/>
        <w:contextualSpacing/>
        <w:jc w:val="left"/>
        <w:rPr>
          <w:rFonts w:hint="eastAsia" w:ascii="宋体" w:hAnsi="宋体" w:cs="宋体"/>
          <w:color w:val="auto"/>
          <w:sz w:val="24"/>
          <w:highlight w:val="none"/>
        </w:rPr>
      </w:pPr>
      <w:r>
        <w:rPr>
          <w:rFonts w:hint="eastAsia" w:ascii="宋体" w:hAnsi="宋体" w:cs="宋体"/>
          <w:color w:val="auto"/>
          <w:sz w:val="24"/>
          <w:highlight w:val="none"/>
        </w:rPr>
        <w:t>为了积极配合贵单位进行的</w:t>
      </w:r>
      <w:r>
        <w:rPr>
          <w:rFonts w:hint="eastAsia" w:ascii="宋体" w:hAnsi="宋体" w:cs="宋体"/>
          <w:color w:val="auto"/>
          <w:sz w:val="24"/>
          <w:highlight w:val="none"/>
          <w:u w:val="single"/>
        </w:rPr>
        <w:t>2026年梧州监狱罪犯生活物资采购项目</w:t>
      </w:r>
      <w:r>
        <w:rPr>
          <w:rFonts w:hint="eastAsia" w:ascii="宋体" w:hAnsi="宋体" w:cs="宋体"/>
          <w:color w:val="auto"/>
          <w:sz w:val="24"/>
          <w:highlight w:val="none"/>
        </w:rPr>
        <w:t>招标工作，有效遏制不公平竞争和违规违纪行为的发生，确保招标工作的公平、公正、公开、有序进行，我们保证认真贯彻执行《中华人民共和国政府采购法》、《中华人民共和国政府采购法实施条例》等法律法规以及与廉洁有关的规章制度，特向贵单位承诺如下事项：</w:t>
      </w:r>
    </w:p>
    <w:p w14:paraId="4C695622">
      <w:pPr>
        <w:spacing w:line="480" w:lineRule="auto"/>
        <w:ind w:firstLine="470" w:firstLineChars="196"/>
        <w:contextualSpacing/>
        <w:jc w:val="left"/>
        <w:rPr>
          <w:rFonts w:hint="eastAsia" w:ascii="宋体" w:hAnsi="宋体" w:cs="宋体"/>
          <w:color w:val="auto"/>
          <w:sz w:val="24"/>
          <w:highlight w:val="none"/>
        </w:rPr>
      </w:pPr>
      <w:r>
        <w:rPr>
          <w:rFonts w:hint="eastAsia" w:ascii="宋体" w:hAnsi="宋体" w:cs="宋体"/>
          <w:color w:val="auto"/>
          <w:sz w:val="24"/>
          <w:highlight w:val="none"/>
        </w:rPr>
        <w:t>一、自觉遵守国家有关法律法规及廉洁规定。</w:t>
      </w:r>
    </w:p>
    <w:p w14:paraId="59D75CD2">
      <w:pPr>
        <w:spacing w:line="480" w:lineRule="auto"/>
        <w:ind w:firstLine="470" w:firstLineChars="196"/>
        <w:contextualSpacing/>
        <w:jc w:val="left"/>
        <w:rPr>
          <w:rFonts w:hint="eastAsia" w:ascii="宋体" w:hAnsi="宋体" w:cs="宋体"/>
          <w:color w:val="auto"/>
          <w:sz w:val="24"/>
          <w:highlight w:val="none"/>
        </w:rPr>
      </w:pPr>
      <w:r>
        <w:rPr>
          <w:rFonts w:hint="eastAsia" w:ascii="宋体" w:hAnsi="宋体" w:cs="宋体"/>
          <w:color w:val="auto"/>
          <w:sz w:val="24"/>
          <w:highlight w:val="none"/>
        </w:rPr>
        <w:t>二、不与招标单位工作人员及代理机构工作人员串通投标，损害国家利益、企业利益以及他人的合法利益；不与其他投标人相互串通投标报价，不排挤其他投标人，不损害招标人或其他投标人的合法权益。</w:t>
      </w:r>
    </w:p>
    <w:p w14:paraId="05B0C802">
      <w:pPr>
        <w:spacing w:line="480" w:lineRule="auto"/>
        <w:ind w:firstLine="470" w:firstLineChars="196"/>
        <w:contextualSpacing/>
        <w:jc w:val="left"/>
        <w:rPr>
          <w:rFonts w:hint="eastAsia" w:ascii="宋体" w:hAnsi="宋体" w:cs="宋体"/>
          <w:color w:val="auto"/>
          <w:sz w:val="24"/>
          <w:highlight w:val="none"/>
        </w:rPr>
      </w:pPr>
      <w:r>
        <w:rPr>
          <w:rFonts w:hint="eastAsia" w:ascii="宋体" w:hAnsi="宋体" w:cs="宋体"/>
          <w:color w:val="auto"/>
          <w:sz w:val="24"/>
          <w:highlight w:val="none"/>
        </w:rPr>
        <w:t>三、不以任何名义为参与招标、评标工作的有关人员报销应由参与招标、评标工作的有关人员支付的任何费用。</w:t>
      </w:r>
    </w:p>
    <w:p w14:paraId="027A536B">
      <w:pPr>
        <w:spacing w:line="480" w:lineRule="auto"/>
        <w:ind w:firstLine="470" w:firstLineChars="196"/>
        <w:contextualSpacing/>
        <w:jc w:val="left"/>
        <w:rPr>
          <w:rFonts w:hint="eastAsia" w:ascii="宋体" w:hAnsi="宋体" w:cs="宋体"/>
          <w:color w:val="auto"/>
          <w:sz w:val="24"/>
          <w:highlight w:val="none"/>
        </w:rPr>
      </w:pPr>
      <w:r>
        <w:rPr>
          <w:rFonts w:hint="eastAsia" w:ascii="宋体" w:hAnsi="宋体" w:cs="宋体"/>
          <w:color w:val="auto"/>
          <w:sz w:val="24"/>
          <w:highlight w:val="none"/>
        </w:rPr>
        <w:t>四、不得借故到贵单位相关领导、部门负责人及相关工作人员家中访谈并提供任何好处费；不以任何名义向参与招标、评标工作的有关人员赠送回扣、红包、礼金、购物卡、有价证券、贵重物品和好处费、感谢费等。</w:t>
      </w:r>
    </w:p>
    <w:p w14:paraId="5564CC74">
      <w:pPr>
        <w:spacing w:line="480" w:lineRule="auto"/>
        <w:ind w:firstLine="470" w:firstLineChars="196"/>
        <w:contextualSpacing/>
        <w:jc w:val="left"/>
        <w:rPr>
          <w:rFonts w:hint="eastAsia" w:ascii="宋体" w:hAnsi="宋体" w:cs="宋体"/>
          <w:color w:val="auto"/>
          <w:sz w:val="24"/>
          <w:highlight w:val="none"/>
        </w:rPr>
      </w:pPr>
      <w:r>
        <w:rPr>
          <w:rFonts w:hint="eastAsia" w:ascii="宋体" w:hAnsi="宋体" w:cs="宋体"/>
          <w:color w:val="auto"/>
          <w:sz w:val="24"/>
          <w:highlight w:val="none"/>
        </w:rPr>
        <w:t>五、不以任何名义向参与招标、评标工作的有关人员提供高消费宴请及娱乐活动。</w:t>
      </w:r>
    </w:p>
    <w:p w14:paraId="02882CAC">
      <w:pPr>
        <w:spacing w:line="480" w:lineRule="auto"/>
        <w:ind w:firstLine="470" w:firstLineChars="196"/>
        <w:contextualSpacing/>
        <w:jc w:val="left"/>
        <w:rPr>
          <w:rFonts w:hint="eastAsia" w:ascii="宋体" w:hAnsi="宋体" w:cs="宋体"/>
          <w:color w:val="auto"/>
          <w:sz w:val="24"/>
          <w:highlight w:val="none"/>
        </w:rPr>
      </w:pPr>
      <w:r>
        <w:rPr>
          <w:rFonts w:hint="eastAsia" w:ascii="宋体" w:hAnsi="宋体" w:cs="宋体"/>
          <w:color w:val="auto"/>
          <w:sz w:val="24"/>
          <w:highlight w:val="none"/>
        </w:rPr>
        <w:t>六、不以谋取非正当利益为目的，擅自与参与招标、评标工作的有关人员就业务问题进行私下商谈或者达成利益默契。</w:t>
      </w:r>
    </w:p>
    <w:p w14:paraId="7E199547">
      <w:pPr>
        <w:spacing w:line="480" w:lineRule="auto"/>
        <w:ind w:firstLine="470" w:firstLineChars="196"/>
        <w:contextualSpacing/>
        <w:jc w:val="left"/>
        <w:rPr>
          <w:rFonts w:hint="eastAsia" w:ascii="宋体" w:hAnsi="宋体" w:cs="宋体"/>
          <w:color w:val="auto"/>
          <w:sz w:val="24"/>
          <w:highlight w:val="none"/>
        </w:rPr>
      </w:pPr>
      <w:r>
        <w:rPr>
          <w:rFonts w:hint="eastAsia" w:ascii="宋体" w:hAnsi="宋体" w:cs="宋体"/>
          <w:color w:val="auto"/>
          <w:sz w:val="24"/>
          <w:highlight w:val="none"/>
        </w:rPr>
        <w:t>七、不以任何名义接受或暗示为参与招标、评标工作的有关人员装修住房、婚丧嫁取、配偶子女的工作安排以及境内外旅游等提供方便。</w:t>
      </w:r>
    </w:p>
    <w:p w14:paraId="00229FAC">
      <w:pPr>
        <w:spacing w:line="480" w:lineRule="auto"/>
        <w:ind w:firstLine="472" w:firstLineChars="196"/>
        <w:contextualSpacing/>
        <w:jc w:val="left"/>
        <w:rPr>
          <w:rFonts w:hint="eastAsia" w:ascii="宋体" w:hAnsi="宋体" w:cs="宋体"/>
          <w:color w:val="auto"/>
          <w:sz w:val="24"/>
          <w:highlight w:val="none"/>
        </w:rPr>
      </w:pPr>
      <w:r>
        <w:rPr>
          <w:rFonts w:hint="eastAsia" w:ascii="宋体" w:hAnsi="宋体" w:cs="宋体"/>
          <w:b/>
          <w:color w:val="auto"/>
          <w:sz w:val="24"/>
          <w:highlight w:val="none"/>
        </w:rPr>
        <w:t>以上情形一经核查属实，我方愿意承担一切后果，并不再寻求任何旨在减轻或者免除法律责任的辩解</w:t>
      </w:r>
      <w:r>
        <w:rPr>
          <w:rFonts w:hint="eastAsia" w:ascii="宋体" w:hAnsi="宋体" w:cs="宋体"/>
          <w:color w:val="auto"/>
          <w:sz w:val="24"/>
          <w:highlight w:val="none"/>
        </w:rPr>
        <w:t>。如违反以上承诺，我单位自愿接受广西壮族自治区梧州监狱依据有关规定对我单位进行严肃处理（包括但不限于实施市场禁入、取消投、中标资格以及终止合同等），给贵单位造成损失的，予以赔偿。我单位的委托人、代理人或与我单位有销售、劳务或服务关系的其他主体在参加贵公司系统的招投标活动或经济往来等过程中发生行贿行为的，视同我单位行为。</w:t>
      </w:r>
    </w:p>
    <w:p w14:paraId="130C41EF">
      <w:pPr>
        <w:spacing w:line="480" w:lineRule="auto"/>
        <w:ind w:firstLine="470" w:firstLineChars="196"/>
        <w:contextualSpacing/>
        <w:jc w:val="left"/>
        <w:rPr>
          <w:rFonts w:hint="eastAsia" w:ascii="宋体" w:hAnsi="宋体" w:cs="宋体"/>
          <w:color w:val="auto"/>
          <w:sz w:val="24"/>
          <w:highlight w:val="none"/>
        </w:rPr>
      </w:pPr>
      <w:r>
        <w:rPr>
          <w:rFonts w:hint="eastAsia" w:ascii="宋体" w:hAnsi="宋体" w:cs="宋体"/>
          <w:color w:val="auto"/>
          <w:sz w:val="24"/>
          <w:highlight w:val="none"/>
        </w:rPr>
        <w:t>本廉洁承诺书为我单位应答此次采购项目正式文件的附件，与其他投标文件具有同等法律效力，经我单位法定代表人或其授权委托人签字盖章后立即生效。</w:t>
      </w:r>
    </w:p>
    <w:p w14:paraId="4D482C95">
      <w:pPr>
        <w:pStyle w:val="25"/>
        <w:spacing w:line="480" w:lineRule="auto"/>
        <w:contextualSpacing/>
        <w:jc w:val="center"/>
        <w:rPr>
          <w:rFonts w:hint="eastAsia" w:hAnsi="宋体" w:cs="宋体"/>
          <w:color w:val="auto"/>
          <w:sz w:val="24"/>
          <w:szCs w:val="24"/>
          <w:highlight w:val="none"/>
        </w:rPr>
      </w:pPr>
      <w:r>
        <w:rPr>
          <w:rFonts w:hint="eastAsia" w:hAnsi="宋体" w:cs="宋体"/>
          <w:color w:val="auto"/>
          <w:sz w:val="24"/>
          <w:szCs w:val="24"/>
          <w:highlight w:val="none"/>
        </w:rPr>
        <w:t>投标人名称（盖公章）：</w:t>
      </w:r>
    </w:p>
    <w:p w14:paraId="1AB3758B">
      <w:pPr>
        <w:pStyle w:val="25"/>
        <w:spacing w:line="480" w:lineRule="auto"/>
        <w:contextualSpacing/>
        <w:rPr>
          <w:rFonts w:hint="eastAsia" w:hAnsi="宋体" w:cs="宋体"/>
          <w:color w:val="auto"/>
          <w:sz w:val="24"/>
          <w:highlight w:val="none"/>
        </w:rPr>
      </w:pPr>
      <w:r>
        <w:rPr>
          <w:rFonts w:hint="eastAsia" w:hAnsi="宋体" w:cs="宋体"/>
          <w:color w:val="auto"/>
          <w:sz w:val="24"/>
          <w:highlight w:val="none"/>
        </w:rPr>
        <w:t xml:space="preserve">                                       法定代表人或其授权委托人（签章）：</w:t>
      </w:r>
    </w:p>
    <w:p w14:paraId="4919C2DB">
      <w:pPr>
        <w:pStyle w:val="25"/>
        <w:spacing w:line="480" w:lineRule="auto"/>
        <w:contextualSpacing/>
        <w:jc w:val="right"/>
        <w:rPr>
          <w:rFonts w:hint="eastAsia" w:hAnsi="宋体" w:cs="宋体"/>
          <w:b/>
          <w:color w:val="auto"/>
          <w:sz w:val="24"/>
          <w:highlight w:val="none"/>
        </w:rPr>
      </w:pPr>
      <w:r>
        <w:rPr>
          <w:rFonts w:hint="eastAsia" w:hAnsi="宋体" w:cs="宋体"/>
          <w:color w:val="auto"/>
          <w:sz w:val="24"/>
          <w:highlight w:val="none"/>
        </w:rPr>
        <w:t>年    月    日</w:t>
      </w:r>
    </w:p>
    <w:p w14:paraId="55BAB333">
      <w:pPr>
        <w:rPr>
          <w:rFonts w:hint="eastAsia" w:ascii="宋体" w:hAnsi="宋体" w:cs="宋体"/>
          <w:b/>
          <w:color w:val="auto"/>
          <w:sz w:val="24"/>
          <w:highlight w:val="none"/>
        </w:rPr>
      </w:pPr>
      <w:r>
        <w:rPr>
          <w:rFonts w:hint="eastAsia" w:ascii="宋体" w:hAnsi="宋体" w:cs="宋体"/>
          <w:b/>
          <w:color w:val="auto"/>
          <w:sz w:val="24"/>
          <w:highlight w:val="none"/>
        </w:rPr>
        <w:br w:type="page"/>
      </w:r>
    </w:p>
    <w:p w14:paraId="38E422EB">
      <w:pPr>
        <w:snapToGrid w:val="0"/>
        <w:spacing w:before="120" w:beforeLines="50" w:after="50"/>
        <w:jc w:val="left"/>
        <w:rPr>
          <w:rFonts w:hint="eastAsia" w:ascii="宋体" w:hAnsi="宋体" w:cs="宋体"/>
          <w:b/>
          <w:color w:val="auto"/>
          <w:sz w:val="24"/>
          <w:szCs w:val="20"/>
          <w:highlight w:val="none"/>
        </w:rPr>
      </w:pPr>
      <w:r>
        <w:rPr>
          <w:rFonts w:hint="eastAsia" w:ascii="宋体" w:hAnsi="宋体" w:cs="宋体"/>
          <w:b/>
          <w:color w:val="auto"/>
          <w:sz w:val="24"/>
          <w:highlight w:val="none"/>
        </w:rPr>
        <w:t>5.法定代表人身份证明</w:t>
      </w:r>
    </w:p>
    <w:p w14:paraId="43EC19B5">
      <w:pPr>
        <w:spacing w:before="240" w:beforeLines="100" w:after="120" w:afterLines="50"/>
        <w:ind w:left="540"/>
        <w:jc w:val="center"/>
        <w:rPr>
          <w:rFonts w:hint="eastAsia" w:ascii="宋体" w:hAnsi="宋体" w:cs="宋体"/>
          <w:bCs/>
          <w:color w:val="auto"/>
          <w:sz w:val="44"/>
          <w:szCs w:val="44"/>
          <w:highlight w:val="none"/>
        </w:rPr>
      </w:pPr>
    </w:p>
    <w:p w14:paraId="4A52AF4F">
      <w:pPr>
        <w:spacing w:before="240" w:beforeLines="100" w:after="120" w:afterLines="50"/>
        <w:ind w:left="54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法定代表人身份证明</w:t>
      </w:r>
    </w:p>
    <w:p w14:paraId="5693D203">
      <w:pPr>
        <w:spacing w:line="500" w:lineRule="exact"/>
        <w:ind w:left="540"/>
        <w:rPr>
          <w:rFonts w:hint="eastAsia" w:ascii="宋体" w:hAnsi="宋体" w:cs="宋体"/>
          <w:color w:val="auto"/>
          <w:sz w:val="24"/>
          <w:highlight w:val="none"/>
        </w:rPr>
      </w:pPr>
      <w:r>
        <w:rPr>
          <w:rFonts w:hint="eastAsia" w:ascii="宋体" w:hAnsi="宋体" w:cs="宋体"/>
          <w:color w:val="auto"/>
          <w:sz w:val="24"/>
          <w:highlight w:val="none"/>
        </w:rPr>
        <w:t>投 标 人：</w:t>
      </w:r>
      <w:r>
        <w:rPr>
          <w:rFonts w:hint="eastAsia" w:ascii="宋体" w:hAnsi="宋体" w:cs="宋体"/>
          <w:color w:val="auto"/>
          <w:sz w:val="24"/>
          <w:highlight w:val="none"/>
          <w:u w:val="single"/>
        </w:rPr>
        <w:t xml:space="preserve">              </w:t>
      </w:r>
    </w:p>
    <w:p w14:paraId="4ECF5E61">
      <w:pPr>
        <w:spacing w:line="500" w:lineRule="exact"/>
        <w:ind w:left="540"/>
        <w:rPr>
          <w:rFonts w:hint="eastAsia" w:ascii="宋体" w:hAnsi="宋体" w:cs="宋体"/>
          <w:color w:val="auto"/>
          <w:sz w:val="24"/>
          <w:highlight w:val="none"/>
        </w:rPr>
      </w:pPr>
      <w:r>
        <w:rPr>
          <w:rFonts w:hint="eastAsia" w:ascii="宋体" w:hAnsi="宋体" w:cs="宋体"/>
          <w:color w:val="auto"/>
          <w:sz w:val="24"/>
          <w:highlight w:val="none"/>
        </w:rPr>
        <w:t>地    址：</w:t>
      </w:r>
      <w:r>
        <w:rPr>
          <w:rFonts w:hint="eastAsia" w:ascii="宋体" w:hAnsi="宋体" w:cs="宋体"/>
          <w:color w:val="auto"/>
          <w:sz w:val="24"/>
          <w:highlight w:val="none"/>
          <w:u w:val="single"/>
        </w:rPr>
        <w:t xml:space="preserve">              </w:t>
      </w:r>
    </w:p>
    <w:p w14:paraId="058F12F4">
      <w:pPr>
        <w:spacing w:line="500" w:lineRule="exact"/>
        <w:ind w:left="540"/>
        <w:rPr>
          <w:rFonts w:hint="eastAsia" w:ascii="宋体" w:hAnsi="宋体" w:cs="宋体"/>
          <w:color w:val="auto"/>
          <w:sz w:val="24"/>
          <w:highlight w:val="none"/>
        </w:rPr>
      </w:pPr>
      <w:r>
        <w:rPr>
          <w:rFonts w:hint="eastAsia" w:ascii="宋体" w:hAnsi="宋体" w:cs="宋体"/>
          <w:color w:val="auto"/>
          <w:sz w:val="24"/>
          <w:highlight w:val="none"/>
        </w:rPr>
        <w:t>姓    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性      别：</w:t>
      </w:r>
      <w:r>
        <w:rPr>
          <w:rFonts w:hint="eastAsia" w:ascii="宋体" w:hAnsi="宋体" w:cs="宋体"/>
          <w:color w:val="auto"/>
          <w:sz w:val="24"/>
          <w:highlight w:val="none"/>
          <w:u w:val="single"/>
        </w:rPr>
        <w:t xml:space="preserve">              </w:t>
      </w:r>
    </w:p>
    <w:p w14:paraId="4BB2B0B3">
      <w:pPr>
        <w:spacing w:line="500" w:lineRule="exact"/>
        <w:ind w:left="540"/>
        <w:rPr>
          <w:rFonts w:hint="eastAsia" w:ascii="宋体" w:hAnsi="宋体" w:cs="宋体"/>
          <w:color w:val="auto"/>
          <w:sz w:val="24"/>
          <w:highlight w:val="none"/>
          <w:u w:val="single"/>
        </w:rPr>
      </w:pPr>
      <w:r>
        <w:rPr>
          <w:rFonts w:hint="eastAsia" w:ascii="宋体" w:hAnsi="宋体" w:cs="宋体"/>
          <w:color w:val="auto"/>
          <w:sz w:val="24"/>
          <w:highlight w:val="none"/>
        </w:rPr>
        <w:t>年    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职      务：</w:t>
      </w:r>
      <w:r>
        <w:rPr>
          <w:rFonts w:hint="eastAsia" w:ascii="宋体" w:hAnsi="宋体" w:cs="宋体"/>
          <w:color w:val="auto"/>
          <w:sz w:val="24"/>
          <w:highlight w:val="none"/>
          <w:u w:val="single"/>
        </w:rPr>
        <w:t xml:space="preserve">              </w:t>
      </w:r>
    </w:p>
    <w:p w14:paraId="043A6A3C">
      <w:pPr>
        <w:spacing w:line="500" w:lineRule="exact"/>
        <w:ind w:left="540"/>
        <w:rPr>
          <w:rFonts w:hint="eastAsia" w:ascii="宋体" w:hAnsi="宋体" w:cs="宋体"/>
          <w:color w:val="auto"/>
          <w:sz w:val="24"/>
          <w:highlight w:val="none"/>
        </w:rPr>
      </w:pP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p>
    <w:p w14:paraId="20B09FE1">
      <w:pPr>
        <w:spacing w:line="500" w:lineRule="exact"/>
        <w:ind w:left="540"/>
        <w:rPr>
          <w:rFonts w:hint="eastAsia" w:ascii="宋体" w:hAnsi="宋体" w:cs="宋体"/>
          <w:color w:val="auto"/>
          <w:sz w:val="24"/>
          <w:highlight w:val="none"/>
        </w:rPr>
      </w:pP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（投标人名称）              </w:t>
      </w:r>
      <w:r>
        <w:rPr>
          <w:rFonts w:hint="eastAsia" w:ascii="宋体" w:hAnsi="宋体" w:cs="宋体"/>
          <w:color w:val="auto"/>
          <w:sz w:val="24"/>
          <w:highlight w:val="none"/>
        </w:rPr>
        <w:t>的法定代表人。</w:t>
      </w:r>
    </w:p>
    <w:p w14:paraId="0B44F159">
      <w:pPr>
        <w:spacing w:line="500" w:lineRule="exact"/>
        <w:ind w:left="540"/>
        <w:rPr>
          <w:rFonts w:hint="eastAsia" w:ascii="宋体" w:hAnsi="宋体" w:cs="宋体"/>
          <w:color w:val="auto"/>
          <w:sz w:val="24"/>
          <w:highlight w:val="none"/>
        </w:rPr>
      </w:pPr>
      <w:r>
        <w:rPr>
          <w:rFonts w:hint="eastAsia" w:ascii="宋体" w:hAnsi="宋体" w:cs="宋体"/>
          <w:color w:val="auto"/>
          <w:sz w:val="24"/>
          <w:highlight w:val="none"/>
        </w:rPr>
        <w:t>特此证明。</w:t>
      </w:r>
    </w:p>
    <w:p w14:paraId="28809330">
      <w:pPr>
        <w:spacing w:line="500" w:lineRule="exact"/>
        <w:ind w:left="540"/>
        <w:rPr>
          <w:rFonts w:hint="eastAsia" w:ascii="宋体" w:hAnsi="宋体" w:cs="宋体"/>
          <w:color w:val="auto"/>
          <w:sz w:val="24"/>
          <w:highlight w:val="none"/>
        </w:rPr>
      </w:pPr>
    </w:p>
    <w:p w14:paraId="3A425E75">
      <w:pPr>
        <w:spacing w:line="500" w:lineRule="exact"/>
        <w:ind w:left="540"/>
        <w:rPr>
          <w:rFonts w:hint="eastAsia" w:ascii="宋体" w:hAnsi="宋体" w:cs="宋体"/>
          <w:color w:val="auto"/>
          <w:sz w:val="24"/>
          <w:highlight w:val="none"/>
        </w:rPr>
      </w:pPr>
    </w:p>
    <w:p w14:paraId="4FA8B4CD">
      <w:pPr>
        <w:spacing w:line="500" w:lineRule="exact"/>
        <w:ind w:left="540"/>
        <w:rPr>
          <w:rFonts w:hint="eastAsia" w:ascii="宋体" w:hAnsi="宋体" w:cs="宋体"/>
          <w:color w:val="auto"/>
          <w:sz w:val="24"/>
          <w:highlight w:val="none"/>
        </w:rPr>
      </w:pPr>
      <w:r>
        <w:rPr>
          <w:rFonts w:hint="eastAsia" w:ascii="宋体" w:hAnsi="宋体" w:cs="宋体"/>
          <w:color w:val="auto"/>
          <w:sz w:val="24"/>
          <w:highlight w:val="none"/>
        </w:rPr>
        <w:t>附件：法定代表人有效身份证正反面复印件</w:t>
      </w:r>
    </w:p>
    <w:p w14:paraId="09575988">
      <w:pPr>
        <w:spacing w:line="500" w:lineRule="exact"/>
        <w:ind w:left="540"/>
        <w:rPr>
          <w:rFonts w:hint="eastAsia" w:ascii="宋体" w:hAnsi="宋体" w:cs="宋体"/>
          <w:color w:val="auto"/>
          <w:sz w:val="24"/>
          <w:highlight w:val="none"/>
        </w:rPr>
      </w:pPr>
    </w:p>
    <w:p w14:paraId="4CE4E676">
      <w:pPr>
        <w:spacing w:line="500" w:lineRule="exact"/>
        <w:ind w:left="540"/>
        <w:jc w:val="right"/>
        <w:rPr>
          <w:rFonts w:hint="eastAsia" w:ascii="宋体" w:hAnsi="宋体" w:cs="宋体"/>
          <w:color w:val="auto"/>
          <w:sz w:val="24"/>
          <w:highlight w:val="none"/>
        </w:rPr>
      </w:pPr>
      <w:r>
        <w:rPr>
          <w:rFonts w:hint="eastAsia" w:ascii="宋体" w:hAnsi="宋体" w:cs="宋体"/>
          <w:color w:val="auto"/>
          <w:sz w:val="24"/>
          <w:highlight w:val="none"/>
        </w:rPr>
        <w:t>投标人名称（盖公章）</w:t>
      </w:r>
    </w:p>
    <w:p w14:paraId="59DA883D">
      <w:pPr>
        <w:spacing w:line="500" w:lineRule="exact"/>
        <w:ind w:left="540"/>
        <w:jc w:val="right"/>
        <w:rPr>
          <w:rFonts w:hint="eastAsia" w:ascii="宋体" w:hAnsi="宋体" w:cs="宋体"/>
          <w:color w:val="auto"/>
          <w:sz w:val="24"/>
          <w:highlight w:val="none"/>
        </w:rPr>
      </w:pPr>
    </w:p>
    <w:p w14:paraId="091F63CD">
      <w:pPr>
        <w:snapToGrid w:val="0"/>
        <w:spacing w:before="120" w:beforeLines="50" w:after="50"/>
        <w:ind w:left="540"/>
        <w:jc w:val="right"/>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1B18637D">
      <w:pPr>
        <w:snapToGrid w:val="0"/>
        <w:spacing w:before="120" w:beforeLines="50" w:after="50"/>
        <w:jc w:val="center"/>
        <w:rPr>
          <w:rFonts w:hint="eastAsia" w:ascii="宋体" w:hAnsi="宋体" w:cs="宋体"/>
          <w:b/>
          <w:color w:val="auto"/>
          <w:sz w:val="24"/>
          <w:highlight w:val="none"/>
        </w:rPr>
      </w:pPr>
    </w:p>
    <w:p w14:paraId="334393C5">
      <w:pPr>
        <w:snapToGrid w:val="0"/>
        <w:spacing w:before="120" w:beforeLines="50" w:after="50"/>
        <w:jc w:val="left"/>
        <w:rPr>
          <w:rFonts w:hint="eastAsia" w:ascii="宋体" w:hAnsi="宋体" w:cs="宋体"/>
          <w:b/>
          <w:color w:val="auto"/>
          <w:sz w:val="24"/>
          <w:szCs w:val="20"/>
          <w:highlight w:val="none"/>
        </w:rPr>
      </w:pPr>
      <w:r>
        <w:rPr>
          <w:rFonts w:hint="eastAsia" w:ascii="宋体" w:hAnsi="宋体" w:cs="宋体"/>
          <w:color w:val="auto"/>
          <w:sz w:val="24"/>
          <w:highlight w:val="none"/>
        </w:rPr>
        <w:t>注：自然人投标的无需提供</w:t>
      </w:r>
    </w:p>
    <w:p w14:paraId="6676A3A0">
      <w:pPr>
        <w:snapToGrid w:val="0"/>
        <w:spacing w:before="120" w:beforeLines="50" w:after="50"/>
        <w:jc w:val="left"/>
        <w:rPr>
          <w:rFonts w:hint="eastAsia" w:ascii="宋体" w:hAnsi="宋体" w:cs="宋体"/>
          <w:b/>
          <w:color w:val="auto"/>
          <w:sz w:val="24"/>
          <w:szCs w:val="20"/>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6.授权委托书格式</w:t>
      </w:r>
    </w:p>
    <w:p w14:paraId="478E25EC">
      <w:pPr>
        <w:snapToGrid w:val="0"/>
        <w:spacing w:before="120" w:beforeLines="50" w:after="50"/>
        <w:jc w:val="center"/>
        <w:rPr>
          <w:rFonts w:hint="eastAsia" w:ascii="宋体" w:hAnsi="宋体" w:cs="宋体"/>
          <w:b/>
          <w:color w:val="auto"/>
          <w:sz w:val="44"/>
          <w:szCs w:val="44"/>
          <w:highlight w:val="none"/>
        </w:rPr>
      </w:pPr>
    </w:p>
    <w:p w14:paraId="2D1485AC">
      <w:pPr>
        <w:spacing w:line="360" w:lineRule="auto"/>
        <w:contextualSpacing/>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授权委托书</w:t>
      </w:r>
    </w:p>
    <w:p w14:paraId="467B4AD5">
      <w:pPr>
        <w:spacing w:line="360" w:lineRule="auto"/>
        <w:contextualSpacing/>
        <w:jc w:val="center"/>
        <w:rPr>
          <w:rFonts w:hint="eastAsia" w:ascii="宋体" w:hAnsi="宋体" w:cs="宋体"/>
          <w:bCs/>
          <w:color w:val="auto"/>
          <w:sz w:val="24"/>
          <w:highlight w:val="none"/>
        </w:rPr>
      </w:pPr>
      <w:r>
        <w:rPr>
          <w:rFonts w:hint="eastAsia" w:ascii="宋体" w:hAnsi="宋体" w:cs="宋体"/>
          <w:bCs/>
          <w:color w:val="auto"/>
          <w:sz w:val="32"/>
          <w:szCs w:val="32"/>
          <w:highlight w:val="none"/>
        </w:rPr>
        <w:t>（如有委托时）</w:t>
      </w:r>
    </w:p>
    <w:p w14:paraId="06939B85">
      <w:pPr>
        <w:spacing w:line="440" w:lineRule="exact"/>
        <w:contextualSpacing/>
        <w:jc w:val="center"/>
        <w:rPr>
          <w:rFonts w:hint="eastAsia" w:ascii="宋体" w:hAnsi="宋体" w:cs="宋体"/>
          <w:b/>
          <w:color w:val="auto"/>
          <w:sz w:val="24"/>
          <w:highlight w:val="none"/>
        </w:rPr>
      </w:pPr>
    </w:p>
    <w:p w14:paraId="0FF0D841">
      <w:pPr>
        <w:spacing w:line="440" w:lineRule="exact"/>
        <w:contextualSpacing/>
        <w:rPr>
          <w:rFonts w:hint="eastAsia" w:ascii="宋体" w:hAnsi="宋体" w:cs="宋体"/>
          <w:b/>
          <w:bCs/>
          <w:color w:val="auto"/>
          <w:sz w:val="24"/>
          <w:highlight w:val="none"/>
        </w:rPr>
      </w:pPr>
      <w:r>
        <w:rPr>
          <w:rFonts w:hint="eastAsia" w:ascii="宋体" w:hAnsi="宋体" w:cs="宋体"/>
          <w:bCs/>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3CF32FE2">
      <w:pPr>
        <w:spacing w:line="440" w:lineRule="exact"/>
        <w:ind w:firstLine="566" w:firstLineChars="236"/>
        <w:contextualSpacing/>
        <w:rPr>
          <w:rFonts w:hint="eastAsia" w:ascii="宋体" w:hAnsi="宋体" w:cs="宋体"/>
          <w:color w:val="auto"/>
          <w:sz w:val="24"/>
          <w:highlight w:val="none"/>
        </w:rPr>
      </w:pPr>
      <w:r>
        <w:rPr>
          <w:rFonts w:hint="eastAsia" w:ascii="宋体" w:hAnsi="宋体" w:cs="宋体"/>
          <w:color w:val="auto"/>
          <w:sz w:val="24"/>
          <w:highlight w:val="none"/>
        </w:rPr>
        <w:t>我</w:t>
      </w:r>
      <w:r>
        <w:rPr>
          <w:rFonts w:hint="eastAsia" w:ascii="宋体" w:hAnsi="宋体" w:cs="宋体"/>
          <w:color w:val="auto"/>
          <w:sz w:val="24"/>
          <w:highlight w:val="none"/>
          <w:u w:val="single"/>
        </w:rPr>
        <w:t xml:space="preserve">       （姓名）</w:t>
      </w: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（投标人名称）</w:t>
      </w:r>
      <w:r>
        <w:rPr>
          <w:rFonts w:hint="eastAsia" w:ascii="宋体" w:hAnsi="宋体" w:cs="宋体"/>
          <w:color w:val="auto"/>
          <w:sz w:val="24"/>
          <w:highlight w:val="none"/>
        </w:rPr>
        <w:t>的法定代表人，现授权委托</w:t>
      </w:r>
      <w:r>
        <w:rPr>
          <w:rFonts w:hint="eastAsia" w:ascii="宋体" w:hAnsi="宋体" w:cs="宋体"/>
          <w:color w:val="auto"/>
          <w:sz w:val="24"/>
          <w:highlight w:val="none"/>
          <w:u w:val="single"/>
        </w:rPr>
        <w:t xml:space="preserve">       （姓名）</w:t>
      </w:r>
      <w:r>
        <w:rPr>
          <w:rFonts w:hint="eastAsia" w:ascii="宋体" w:hAnsi="宋体" w:cs="宋体"/>
          <w:color w:val="auto"/>
          <w:sz w:val="24"/>
          <w:highlight w:val="none"/>
        </w:rPr>
        <w:t>以我方的名义参加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项目的投标活动，并代表我方全权办理针对上述项目的所有采购程序和环节的具体事务和签署相关文件。</w:t>
      </w:r>
    </w:p>
    <w:p w14:paraId="195C8C1C">
      <w:pPr>
        <w:spacing w:line="440" w:lineRule="exact"/>
        <w:contextualSpacing/>
        <w:rPr>
          <w:rFonts w:hint="eastAsia" w:ascii="宋体" w:hAnsi="宋体" w:cs="宋体"/>
          <w:color w:val="auto"/>
          <w:sz w:val="24"/>
          <w:highlight w:val="none"/>
        </w:rPr>
      </w:pPr>
      <w:r>
        <w:rPr>
          <w:rFonts w:hint="eastAsia" w:ascii="宋体" w:hAnsi="宋体" w:cs="宋体"/>
          <w:color w:val="auto"/>
          <w:sz w:val="24"/>
          <w:highlight w:val="none"/>
        </w:rPr>
        <w:t xml:space="preserve">    我方对委托代理人的签字事项负全部责任。</w:t>
      </w:r>
    </w:p>
    <w:p w14:paraId="7CD173CC">
      <w:pPr>
        <w:spacing w:line="440" w:lineRule="exact"/>
        <w:ind w:firstLine="480"/>
        <w:contextualSpacing/>
        <w:rPr>
          <w:rFonts w:hint="eastAsia" w:ascii="宋体" w:hAnsi="宋体" w:cs="宋体"/>
          <w:color w:val="auto"/>
          <w:sz w:val="24"/>
          <w:highlight w:val="none"/>
        </w:rPr>
      </w:pPr>
      <w:r>
        <w:rPr>
          <w:rFonts w:hint="eastAsia" w:ascii="宋体" w:hAnsi="宋体" w:cs="宋体"/>
          <w:color w:val="auto"/>
          <w:sz w:val="24"/>
          <w:highlight w:val="none"/>
          <w:u w:val="single"/>
        </w:rPr>
        <w:t>本授权书自签署之日起生效，在撤销授权的书面通知以前，本授权书一直有效。委托代理人在授权书有效期内签署的所有文件不因授权的撤销而失效。</w:t>
      </w:r>
    </w:p>
    <w:p w14:paraId="01D03462">
      <w:pPr>
        <w:spacing w:line="440" w:lineRule="exact"/>
        <w:ind w:firstLine="480"/>
        <w:contextualSpacing/>
        <w:rPr>
          <w:rFonts w:hint="eastAsia" w:ascii="宋体" w:hAnsi="宋体" w:cs="宋体"/>
          <w:color w:val="auto"/>
          <w:sz w:val="24"/>
          <w:highlight w:val="none"/>
        </w:rPr>
      </w:pPr>
      <w:r>
        <w:rPr>
          <w:rFonts w:hint="eastAsia" w:ascii="宋体" w:hAnsi="宋体" w:cs="宋体"/>
          <w:color w:val="auto"/>
          <w:sz w:val="24"/>
          <w:highlight w:val="none"/>
        </w:rPr>
        <w:t>委托代理人无转委托权，特此委托。</w:t>
      </w:r>
    </w:p>
    <w:p w14:paraId="644EAF34">
      <w:pPr>
        <w:spacing w:line="440" w:lineRule="exact"/>
        <w:ind w:firstLine="480"/>
        <w:contextualSpacing/>
        <w:rPr>
          <w:rFonts w:hint="eastAsia" w:ascii="宋体" w:hAnsi="宋体" w:cs="宋体"/>
          <w:color w:val="auto"/>
          <w:sz w:val="24"/>
          <w:highlight w:val="none"/>
        </w:rPr>
      </w:pPr>
      <w:r>
        <w:rPr>
          <w:rFonts w:hint="eastAsia" w:ascii="宋体" w:hAnsi="宋体" w:cs="宋体"/>
          <w:color w:val="auto"/>
          <w:sz w:val="24"/>
          <w:highlight w:val="none"/>
        </w:rPr>
        <w:t>附：法定代表人身份证明及委托代理人有效身份证正反面复印件</w:t>
      </w:r>
    </w:p>
    <w:p w14:paraId="4A0305D7">
      <w:pPr>
        <w:spacing w:line="440" w:lineRule="exact"/>
        <w:contextualSpacing/>
        <w:rPr>
          <w:rFonts w:hint="eastAsia" w:ascii="宋体" w:hAnsi="宋体" w:cs="宋体"/>
          <w:color w:val="auto"/>
          <w:sz w:val="24"/>
          <w:highlight w:val="none"/>
        </w:rPr>
      </w:pPr>
    </w:p>
    <w:p w14:paraId="117C46E2">
      <w:pPr>
        <w:spacing w:line="440" w:lineRule="exact"/>
        <w:contextualSpacing/>
        <w:rPr>
          <w:rFonts w:hint="eastAsia" w:ascii="宋体" w:hAnsi="宋体" w:cs="宋体"/>
          <w:color w:val="auto"/>
          <w:sz w:val="24"/>
          <w:highlight w:val="none"/>
          <w:u w:val="single"/>
        </w:rPr>
      </w:pPr>
      <w:r>
        <w:rPr>
          <w:rFonts w:hint="eastAsia" w:ascii="宋体" w:hAnsi="宋体" w:cs="宋体"/>
          <w:color w:val="auto"/>
          <w:sz w:val="24"/>
          <w:highlight w:val="none"/>
        </w:rPr>
        <w:t>委托代理人（签字）：</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法定代表人（签字或者盖章）：</w:t>
      </w:r>
      <w:r>
        <w:rPr>
          <w:rFonts w:hint="eastAsia" w:ascii="宋体" w:hAnsi="宋体" w:cs="宋体"/>
          <w:color w:val="auto"/>
          <w:sz w:val="24"/>
          <w:highlight w:val="none"/>
          <w:u w:val="single"/>
        </w:rPr>
        <w:t xml:space="preserve">         </w:t>
      </w:r>
    </w:p>
    <w:p w14:paraId="15CB7E87">
      <w:pPr>
        <w:spacing w:line="440" w:lineRule="exact"/>
        <w:contextualSpacing/>
        <w:rPr>
          <w:rFonts w:hint="eastAsia" w:ascii="宋体" w:hAnsi="宋体" w:cs="宋体"/>
          <w:color w:val="auto"/>
          <w:sz w:val="24"/>
          <w:highlight w:val="none"/>
          <w:u w:val="single"/>
        </w:rPr>
      </w:pPr>
      <w:r>
        <w:rPr>
          <w:rFonts w:hint="eastAsia" w:ascii="宋体" w:hAnsi="宋体" w:cs="宋体"/>
          <w:color w:val="auto"/>
          <w:sz w:val="24"/>
          <w:highlight w:val="none"/>
        </w:rPr>
        <w:t>委托代理人身份证号码：</w:t>
      </w:r>
      <w:r>
        <w:rPr>
          <w:rFonts w:hint="eastAsia" w:ascii="宋体" w:hAnsi="宋体" w:cs="宋体"/>
          <w:color w:val="auto"/>
          <w:sz w:val="24"/>
          <w:highlight w:val="none"/>
          <w:u w:val="single"/>
        </w:rPr>
        <w:t xml:space="preserve">            </w:t>
      </w:r>
    </w:p>
    <w:p w14:paraId="6B2F4C13">
      <w:pPr>
        <w:spacing w:line="440" w:lineRule="exact"/>
        <w:contextualSpacing/>
        <w:jc w:val="center"/>
        <w:rPr>
          <w:rFonts w:hint="eastAsia" w:ascii="宋体" w:hAnsi="宋体" w:cs="宋体"/>
          <w:color w:val="auto"/>
          <w:sz w:val="24"/>
          <w:highlight w:val="none"/>
        </w:rPr>
      </w:pPr>
    </w:p>
    <w:p w14:paraId="54A4ABF4">
      <w:pPr>
        <w:spacing w:line="440" w:lineRule="exact"/>
        <w:contextualSpacing/>
        <w:jc w:val="center"/>
        <w:rPr>
          <w:rFonts w:hint="eastAsia" w:ascii="宋体" w:hAnsi="宋体" w:cs="宋体"/>
          <w:color w:val="auto"/>
          <w:sz w:val="24"/>
          <w:highlight w:val="none"/>
        </w:rPr>
      </w:pPr>
      <w:r>
        <w:rPr>
          <w:rFonts w:hint="eastAsia" w:ascii="宋体" w:hAnsi="宋体" w:cs="宋体"/>
          <w:color w:val="auto"/>
          <w:sz w:val="24"/>
          <w:highlight w:val="none"/>
        </w:rPr>
        <w:t xml:space="preserve">   投标人名称（盖公章）：</w:t>
      </w:r>
    </w:p>
    <w:p w14:paraId="1F5FDFCF">
      <w:pPr>
        <w:spacing w:line="440" w:lineRule="exact"/>
        <w:contextualSpacing/>
        <w:jc w:val="center"/>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262FCBB0">
      <w:pPr>
        <w:spacing w:line="440" w:lineRule="exact"/>
        <w:contextualSpacing/>
        <w:rPr>
          <w:rFonts w:hint="eastAsia" w:ascii="宋体" w:hAnsi="宋体" w:cs="宋体"/>
          <w:color w:val="auto"/>
          <w:sz w:val="24"/>
          <w:highlight w:val="none"/>
        </w:rPr>
      </w:pPr>
      <w:r>
        <w:rPr>
          <w:rFonts w:hint="eastAsia" w:ascii="宋体" w:hAnsi="宋体" w:cs="宋体"/>
          <w:color w:val="auto"/>
          <w:sz w:val="24"/>
          <w:highlight w:val="none"/>
        </w:rPr>
        <w:t>注：1.</w:t>
      </w:r>
      <w:bookmarkStart w:id="150" w:name="_Hlk65851555"/>
      <w:bookmarkStart w:id="151" w:name="_Hlk65851620"/>
      <w:r>
        <w:rPr>
          <w:rFonts w:hint="eastAsia" w:ascii="宋体" w:hAnsi="宋体" w:cs="宋体"/>
          <w:color w:val="auto"/>
          <w:sz w:val="24"/>
          <w:highlight w:val="none"/>
        </w:rPr>
        <w:t>法定代表人必须在授权委托书上亲笔签字或者盖章，</w:t>
      </w:r>
      <w:bookmarkEnd w:id="150"/>
      <w:r>
        <w:rPr>
          <w:rFonts w:hint="eastAsia" w:ascii="宋体" w:hAnsi="宋体" w:cs="宋体"/>
          <w:color w:val="auto"/>
          <w:sz w:val="24"/>
          <w:highlight w:val="none"/>
        </w:rPr>
        <w:t>委托代理人必须在授权委托书上亲笔签字，</w:t>
      </w:r>
      <w:r>
        <w:rPr>
          <w:rFonts w:hint="eastAsia" w:ascii="宋体" w:hAnsi="宋体" w:cs="宋体"/>
          <w:b/>
          <w:bCs/>
          <w:color w:val="auto"/>
          <w:sz w:val="24"/>
          <w:highlight w:val="none"/>
        </w:rPr>
        <w:t>否则按无效投标处理</w:t>
      </w:r>
      <w:r>
        <w:rPr>
          <w:rFonts w:hint="eastAsia" w:ascii="宋体" w:hAnsi="宋体" w:cs="宋体"/>
          <w:color w:val="auto"/>
          <w:sz w:val="24"/>
          <w:highlight w:val="none"/>
        </w:rPr>
        <w:t>；</w:t>
      </w:r>
      <w:bookmarkEnd w:id="151"/>
    </w:p>
    <w:p w14:paraId="29B7CA33">
      <w:pPr>
        <w:spacing w:line="440" w:lineRule="exact"/>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2.法人、其他组织投标时“我方”是指“我单位”，自然人投标时“我方”是指“本人”。</w:t>
      </w:r>
    </w:p>
    <w:p w14:paraId="655326A3">
      <w:pPr>
        <w:snapToGrid w:val="0"/>
        <w:spacing w:before="120" w:beforeLines="50" w:after="50"/>
        <w:ind w:firstLine="566" w:firstLineChars="236"/>
        <w:jc w:val="center"/>
        <w:rPr>
          <w:rFonts w:hint="eastAsia" w:ascii="宋体" w:hAnsi="宋体" w:cs="宋体"/>
          <w:color w:val="auto"/>
          <w:sz w:val="44"/>
          <w:szCs w:val="44"/>
          <w:highlight w:val="none"/>
        </w:rPr>
      </w:pPr>
      <w:r>
        <w:rPr>
          <w:rFonts w:hint="eastAsia" w:ascii="宋体" w:hAnsi="宋体" w:cs="宋体"/>
          <w:color w:val="auto"/>
          <w:sz w:val="24"/>
          <w:highlight w:val="none"/>
        </w:rPr>
        <w:br w:type="page"/>
      </w:r>
      <w:r>
        <w:rPr>
          <w:rFonts w:hint="eastAsia" w:ascii="宋体" w:hAnsi="宋体" w:cs="宋体"/>
          <w:color w:val="auto"/>
          <w:sz w:val="44"/>
          <w:szCs w:val="44"/>
          <w:highlight w:val="none"/>
        </w:rPr>
        <w:t>授权委托书</w:t>
      </w:r>
    </w:p>
    <w:p w14:paraId="39BF44FD">
      <w:pPr>
        <w:snapToGrid w:val="0"/>
        <w:spacing w:before="120" w:beforeLines="50" w:after="50"/>
        <w:ind w:firstLine="755" w:firstLineChars="236"/>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（联合体投标格式）</w:t>
      </w:r>
    </w:p>
    <w:p w14:paraId="2463191E">
      <w:pPr>
        <w:snapToGrid w:val="0"/>
        <w:spacing w:before="120" w:beforeLines="50" w:after="50"/>
        <w:ind w:firstLine="755" w:firstLineChars="236"/>
        <w:jc w:val="center"/>
        <w:rPr>
          <w:rFonts w:hint="eastAsia" w:ascii="宋体" w:hAnsi="宋体" w:cs="宋体"/>
          <w:color w:val="auto"/>
          <w:sz w:val="24"/>
          <w:highlight w:val="none"/>
        </w:rPr>
      </w:pPr>
      <w:r>
        <w:rPr>
          <w:rFonts w:hint="eastAsia" w:ascii="宋体" w:hAnsi="宋体" w:cs="宋体"/>
          <w:color w:val="auto"/>
          <w:sz w:val="32"/>
          <w:szCs w:val="32"/>
          <w:highlight w:val="none"/>
        </w:rPr>
        <w:t>（如有委托时）</w:t>
      </w:r>
    </w:p>
    <w:p w14:paraId="559D6840">
      <w:pPr>
        <w:spacing w:line="440" w:lineRule="exact"/>
        <w:contextualSpacing/>
        <w:jc w:val="left"/>
        <w:rPr>
          <w:rFonts w:hint="eastAsia" w:ascii="宋体" w:hAnsi="宋体" w:cs="宋体"/>
          <w:color w:val="auto"/>
          <w:sz w:val="24"/>
          <w:highlight w:val="none"/>
        </w:rPr>
      </w:pPr>
      <w:r>
        <w:rPr>
          <w:rFonts w:hint="eastAsia" w:ascii="宋体" w:hAnsi="宋体" w:cs="宋体"/>
          <w:bCs/>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39135FFC">
      <w:pPr>
        <w:spacing w:line="440" w:lineRule="exact"/>
        <w:ind w:firstLine="566" w:firstLineChars="236"/>
        <w:contextualSpacing/>
        <w:rPr>
          <w:rFonts w:hint="eastAsia" w:ascii="宋体" w:hAnsi="宋体" w:cs="宋体"/>
          <w:color w:val="auto"/>
          <w:sz w:val="24"/>
          <w:highlight w:val="none"/>
        </w:rPr>
      </w:pPr>
      <w:r>
        <w:rPr>
          <w:rFonts w:hint="eastAsia" w:ascii="宋体" w:hAnsi="宋体" w:cs="宋体"/>
          <w:color w:val="auto"/>
          <w:sz w:val="24"/>
          <w:highlight w:val="none"/>
        </w:rPr>
        <w:t>根据</w:t>
      </w:r>
      <w:r>
        <w:rPr>
          <w:rFonts w:hint="eastAsia" w:ascii="宋体" w:hAnsi="宋体" w:cs="宋体"/>
          <w:color w:val="auto"/>
          <w:sz w:val="24"/>
          <w:highlight w:val="none"/>
          <w:u w:val="single"/>
        </w:rPr>
        <w:t xml:space="preserve">    （牵头人名称）</w:t>
      </w:r>
      <w:r>
        <w:rPr>
          <w:rFonts w:hint="eastAsia" w:ascii="宋体" w:hAnsi="宋体" w:cs="宋体"/>
          <w:color w:val="auto"/>
          <w:sz w:val="24"/>
          <w:highlight w:val="none"/>
        </w:rPr>
        <w:t>与</w:t>
      </w:r>
      <w:r>
        <w:rPr>
          <w:rFonts w:hint="eastAsia" w:ascii="宋体" w:hAnsi="宋体" w:cs="宋体"/>
          <w:color w:val="auto"/>
          <w:sz w:val="24"/>
          <w:highlight w:val="none"/>
          <w:u w:val="single"/>
        </w:rPr>
        <w:t>（联合体其他成员名称）</w:t>
      </w:r>
      <w:r>
        <w:rPr>
          <w:rFonts w:hint="eastAsia" w:ascii="宋体" w:hAnsi="宋体" w:cs="宋体"/>
          <w:color w:val="auto"/>
          <w:sz w:val="24"/>
          <w:highlight w:val="none"/>
        </w:rPr>
        <w:t>签订的《联合体投标协议书》的内容，</w:t>
      </w:r>
      <w:r>
        <w:rPr>
          <w:rFonts w:hint="eastAsia" w:ascii="宋体" w:hAnsi="宋体" w:cs="宋体"/>
          <w:color w:val="auto"/>
          <w:sz w:val="24"/>
          <w:highlight w:val="none"/>
          <w:u w:val="single"/>
        </w:rPr>
        <w:t xml:space="preserve">    （牵头人名称）</w:t>
      </w:r>
      <w:r>
        <w:rPr>
          <w:rFonts w:hint="eastAsia" w:ascii="宋体" w:hAnsi="宋体" w:cs="宋体"/>
          <w:color w:val="auto"/>
          <w:sz w:val="24"/>
          <w:highlight w:val="none"/>
        </w:rPr>
        <w:t>的法定代表人</w:t>
      </w:r>
      <w:r>
        <w:rPr>
          <w:rFonts w:hint="eastAsia" w:ascii="宋体" w:hAnsi="宋体" w:cs="宋体"/>
          <w:color w:val="auto"/>
          <w:sz w:val="24"/>
          <w:highlight w:val="none"/>
          <w:u w:val="single"/>
        </w:rPr>
        <w:t xml:space="preserve">       （姓名）</w:t>
      </w:r>
      <w:r>
        <w:rPr>
          <w:rFonts w:hint="eastAsia" w:ascii="宋体" w:hAnsi="宋体" w:cs="宋体"/>
          <w:color w:val="auto"/>
          <w:sz w:val="24"/>
          <w:highlight w:val="none"/>
        </w:rPr>
        <w:t>现授权委托</w:t>
      </w:r>
      <w:r>
        <w:rPr>
          <w:rFonts w:hint="eastAsia" w:ascii="宋体" w:hAnsi="宋体" w:cs="宋体"/>
          <w:color w:val="auto"/>
          <w:sz w:val="24"/>
          <w:highlight w:val="none"/>
          <w:u w:val="single"/>
        </w:rPr>
        <w:t xml:space="preserve">       （姓名）</w:t>
      </w:r>
      <w:r>
        <w:rPr>
          <w:rFonts w:hint="eastAsia" w:ascii="宋体" w:hAnsi="宋体" w:cs="宋体"/>
          <w:color w:val="auto"/>
          <w:sz w:val="24"/>
          <w:highlight w:val="none"/>
        </w:rPr>
        <w:t>以我方的名义参加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项目的投标活动，并代表我方全权办理针对上述项目的所有采购程序和环节的具体事务和签署相关文件。</w:t>
      </w:r>
    </w:p>
    <w:p w14:paraId="32BABC52">
      <w:pPr>
        <w:spacing w:line="440" w:lineRule="exact"/>
        <w:ind w:firstLine="566" w:firstLineChars="236"/>
        <w:contextualSpacing/>
        <w:rPr>
          <w:rFonts w:hint="eastAsia" w:ascii="宋体" w:hAnsi="宋体" w:cs="宋体"/>
          <w:color w:val="auto"/>
          <w:sz w:val="24"/>
          <w:highlight w:val="none"/>
        </w:rPr>
      </w:pPr>
      <w:r>
        <w:rPr>
          <w:rFonts w:hint="eastAsia" w:ascii="宋体" w:hAnsi="宋体" w:cs="宋体"/>
          <w:color w:val="auto"/>
          <w:sz w:val="24"/>
          <w:highlight w:val="none"/>
        </w:rPr>
        <w:t>我方对委托代理人的签字事项负全部责任。</w:t>
      </w:r>
    </w:p>
    <w:p w14:paraId="13974382">
      <w:pPr>
        <w:spacing w:line="440" w:lineRule="exact"/>
        <w:ind w:firstLine="566" w:firstLineChars="236"/>
        <w:contextualSpacing/>
        <w:rPr>
          <w:rFonts w:hint="eastAsia" w:ascii="宋体" w:hAnsi="宋体" w:cs="宋体"/>
          <w:color w:val="auto"/>
          <w:sz w:val="24"/>
          <w:highlight w:val="none"/>
        </w:rPr>
      </w:pPr>
      <w:r>
        <w:rPr>
          <w:rFonts w:hint="eastAsia" w:ascii="宋体" w:hAnsi="宋体" w:cs="宋体"/>
          <w:color w:val="auto"/>
          <w:sz w:val="24"/>
          <w:highlight w:val="none"/>
        </w:rPr>
        <w:t>本授权书自签署之日起生效，在撤销授权的书面通知以前，本授权书一直有效。委托代理人在授权书有效期内签署的所有文件不因授权的撤销而失效。</w:t>
      </w:r>
    </w:p>
    <w:p w14:paraId="0ED8C73A">
      <w:pPr>
        <w:spacing w:line="440" w:lineRule="exact"/>
        <w:ind w:firstLine="566" w:firstLineChars="236"/>
        <w:contextualSpacing/>
        <w:rPr>
          <w:rFonts w:hint="eastAsia" w:ascii="宋体" w:hAnsi="宋体" w:cs="宋体"/>
          <w:color w:val="auto"/>
          <w:sz w:val="24"/>
          <w:highlight w:val="none"/>
        </w:rPr>
      </w:pPr>
      <w:r>
        <w:rPr>
          <w:rFonts w:hint="eastAsia" w:ascii="宋体" w:hAnsi="宋体" w:cs="宋体"/>
          <w:color w:val="auto"/>
          <w:sz w:val="24"/>
          <w:highlight w:val="none"/>
        </w:rPr>
        <w:t>委托代理人无转委托权，特此委托。</w:t>
      </w:r>
    </w:p>
    <w:p w14:paraId="51752DCB">
      <w:pPr>
        <w:spacing w:line="440" w:lineRule="exact"/>
        <w:ind w:firstLine="566" w:firstLineChars="236"/>
        <w:contextualSpacing/>
        <w:rPr>
          <w:rFonts w:hint="eastAsia" w:ascii="宋体" w:hAnsi="宋体" w:cs="宋体"/>
          <w:color w:val="auto"/>
          <w:sz w:val="24"/>
          <w:highlight w:val="none"/>
        </w:rPr>
      </w:pPr>
      <w:r>
        <w:rPr>
          <w:rFonts w:hint="eastAsia" w:ascii="宋体" w:hAnsi="宋体" w:cs="宋体"/>
          <w:color w:val="auto"/>
          <w:sz w:val="24"/>
          <w:highlight w:val="none"/>
        </w:rPr>
        <w:t>附：牵头人法定代表人身份证明及委托代理人有效身份证正反面复印件</w:t>
      </w:r>
    </w:p>
    <w:p w14:paraId="35B900DE">
      <w:pPr>
        <w:spacing w:line="440" w:lineRule="exact"/>
        <w:ind w:firstLine="566" w:firstLineChars="236"/>
        <w:contextualSpacing/>
        <w:rPr>
          <w:rFonts w:hint="eastAsia" w:ascii="宋体" w:hAnsi="宋体" w:cs="宋体"/>
          <w:color w:val="auto"/>
          <w:sz w:val="24"/>
          <w:highlight w:val="none"/>
        </w:rPr>
      </w:pPr>
    </w:p>
    <w:p w14:paraId="69A5849B">
      <w:pPr>
        <w:spacing w:line="440" w:lineRule="exact"/>
        <w:ind w:firstLine="566" w:firstLineChars="236"/>
        <w:contextualSpacing/>
        <w:rPr>
          <w:rFonts w:hint="eastAsia" w:ascii="宋体" w:hAnsi="宋体" w:cs="宋体"/>
          <w:color w:val="auto"/>
          <w:sz w:val="24"/>
          <w:highlight w:val="none"/>
        </w:rPr>
      </w:pPr>
      <w:r>
        <w:rPr>
          <w:rFonts w:hint="eastAsia" w:ascii="宋体" w:hAnsi="宋体" w:cs="宋体"/>
          <w:color w:val="auto"/>
          <w:sz w:val="24"/>
          <w:highlight w:val="none"/>
        </w:rPr>
        <w:t>牵头人法定代表人（签字或者盖章）：</w:t>
      </w:r>
    </w:p>
    <w:p w14:paraId="3BB574A5">
      <w:pPr>
        <w:spacing w:line="440" w:lineRule="exact"/>
        <w:ind w:firstLine="566" w:firstLineChars="236"/>
        <w:contextualSpacing/>
        <w:rPr>
          <w:rFonts w:hint="eastAsia" w:ascii="宋体" w:hAnsi="宋体" w:cs="宋体"/>
          <w:color w:val="auto"/>
          <w:sz w:val="24"/>
          <w:highlight w:val="none"/>
        </w:rPr>
      </w:pPr>
      <w:r>
        <w:rPr>
          <w:rFonts w:hint="eastAsia" w:ascii="宋体" w:hAnsi="宋体" w:cs="宋体"/>
          <w:color w:val="auto"/>
          <w:sz w:val="24"/>
          <w:highlight w:val="none"/>
        </w:rPr>
        <w:t>牵头人（盖公章）：</w:t>
      </w:r>
    </w:p>
    <w:p w14:paraId="1BD0B3C2">
      <w:pPr>
        <w:spacing w:line="440" w:lineRule="exact"/>
        <w:ind w:firstLine="566" w:firstLineChars="236"/>
        <w:contextualSpacing/>
        <w:rPr>
          <w:rFonts w:hint="eastAsia" w:ascii="宋体" w:hAnsi="宋体" w:cs="宋体"/>
          <w:color w:val="auto"/>
          <w:sz w:val="24"/>
          <w:highlight w:val="none"/>
        </w:rPr>
      </w:pPr>
      <w:r>
        <w:rPr>
          <w:rFonts w:hint="eastAsia" w:ascii="宋体" w:hAnsi="宋体" w:cs="宋体"/>
          <w:color w:val="auto"/>
          <w:sz w:val="24"/>
          <w:highlight w:val="none"/>
        </w:rPr>
        <w:t>日期：    年   月   日</w:t>
      </w:r>
    </w:p>
    <w:p w14:paraId="51CF45C9">
      <w:pPr>
        <w:spacing w:line="440" w:lineRule="exact"/>
        <w:ind w:firstLine="566" w:firstLineChars="236"/>
        <w:contextualSpacing/>
        <w:rPr>
          <w:rFonts w:hint="eastAsia" w:ascii="宋体" w:hAnsi="宋体" w:cs="宋体"/>
          <w:color w:val="auto"/>
          <w:sz w:val="24"/>
          <w:highlight w:val="none"/>
        </w:rPr>
      </w:pPr>
    </w:p>
    <w:p w14:paraId="64DF9DCC">
      <w:pPr>
        <w:spacing w:line="440" w:lineRule="exact"/>
        <w:ind w:firstLine="566" w:firstLineChars="236"/>
        <w:contextualSpacing/>
        <w:rPr>
          <w:rFonts w:hint="eastAsia" w:ascii="宋体" w:hAnsi="宋体" w:cs="宋体"/>
          <w:color w:val="auto"/>
          <w:sz w:val="24"/>
          <w:highlight w:val="none"/>
        </w:rPr>
      </w:pPr>
      <w:r>
        <w:rPr>
          <w:rFonts w:hint="eastAsia" w:ascii="宋体" w:hAnsi="宋体" w:cs="宋体"/>
          <w:color w:val="auto"/>
          <w:sz w:val="24"/>
          <w:highlight w:val="none"/>
        </w:rPr>
        <w:t>被授权人（签字）：</w:t>
      </w:r>
    </w:p>
    <w:p w14:paraId="72F4391E">
      <w:pPr>
        <w:spacing w:line="440" w:lineRule="exact"/>
        <w:ind w:firstLine="566" w:firstLineChars="236"/>
        <w:contextualSpacing/>
        <w:rPr>
          <w:rFonts w:hint="eastAsia" w:ascii="宋体" w:hAnsi="宋体" w:cs="宋体"/>
          <w:color w:val="auto"/>
          <w:sz w:val="32"/>
          <w:szCs w:val="32"/>
          <w:highlight w:val="none"/>
        </w:rPr>
      </w:pPr>
      <w:r>
        <w:rPr>
          <w:rFonts w:hint="eastAsia" w:ascii="宋体" w:hAnsi="宋体" w:cs="宋体"/>
          <w:color w:val="auto"/>
          <w:sz w:val="24"/>
          <w:highlight w:val="none"/>
        </w:rPr>
        <w:t>日期：    年   月   日</w:t>
      </w:r>
    </w:p>
    <w:p w14:paraId="4EF5E9DC">
      <w:pPr>
        <w:spacing w:line="440" w:lineRule="exact"/>
        <w:contextualSpacing/>
        <w:rPr>
          <w:rFonts w:hint="eastAsia" w:ascii="宋体" w:hAnsi="宋体" w:cs="宋体"/>
          <w:color w:val="auto"/>
          <w:sz w:val="24"/>
          <w:highlight w:val="none"/>
        </w:rPr>
      </w:pPr>
      <w:r>
        <w:rPr>
          <w:rFonts w:hint="eastAsia" w:ascii="宋体" w:hAnsi="宋体" w:cs="宋体"/>
          <w:color w:val="auto"/>
          <w:sz w:val="24"/>
          <w:highlight w:val="none"/>
        </w:rPr>
        <w:t>注：1. 法定代表人必须在授权委托书上亲笔签字或者盖章，委托代理人必须在授权委托书上亲笔签字，</w:t>
      </w:r>
      <w:r>
        <w:rPr>
          <w:rFonts w:hint="eastAsia" w:ascii="宋体" w:hAnsi="宋体" w:cs="宋体"/>
          <w:b/>
          <w:bCs/>
          <w:color w:val="auto"/>
          <w:sz w:val="24"/>
          <w:highlight w:val="none"/>
        </w:rPr>
        <w:t>否则按无效投标处理</w:t>
      </w:r>
      <w:r>
        <w:rPr>
          <w:rFonts w:hint="eastAsia" w:ascii="宋体" w:hAnsi="宋体" w:cs="宋体"/>
          <w:color w:val="auto"/>
          <w:sz w:val="24"/>
          <w:highlight w:val="none"/>
        </w:rPr>
        <w:t>；</w:t>
      </w:r>
    </w:p>
    <w:p w14:paraId="4B08DE2D">
      <w:pPr>
        <w:spacing w:line="440" w:lineRule="exact"/>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2.本授权委托书应由联合体牵头人的法定代表人按上述规定签字。</w:t>
      </w:r>
    </w:p>
    <w:p w14:paraId="35210104">
      <w:pPr>
        <w:spacing w:line="440" w:lineRule="exact"/>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3.法人、其他组织投标时“我方”是指“我单位”，自然人投标时“我方”是指“本人”。</w:t>
      </w:r>
    </w:p>
    <w:p w14:paraId="315B0F0C">
      <w:pPr>
        <w:snapToGrid w:val="0"/>
        <w:spacing w:before="50" w:after="120" w:afterLines="50"/>
        <w:ind w:firstLine="480" w:firstLineChars="200"/>
        <w:jc w:val="left"/>
        <w:rPr>
          <w:rFonts w:hint="eastAsia" w:ascii="宋体" w:hAnsi="宋体" w:cs="宋体"/>
          <w:color w:val="auto"/>
          <w:sz w:val="24"/>
          <w:highlight w:val="none"/>
        </w:rPr>
        <w:sectPr>
          <w:footerReference r:id="rId5" w:type="default"/>
          <w:pgSz w:w="11906" w:h="16838"/>
          <w:pgMar w:top="1440" w:right="1080" w:bottom="1440" w:left="1080" w:header="851" w:footer="567" w:gutter="0"/>
          <w:pgNumType w:start="1"/>
          <w:cols w:space="720" w:num="1"/>
          <w:docGrid w:linePitch="312" w:charSpace="0"/>
        </w:sectPr>
      </w:pPr>
    </w:p>
    <w:p w14:paraId="1CB4572D">
      <w:pPr>
        <w:rPr>
          <w:rFonts w:hint="eastAsia" w:ascii="宋体" w:hAnsi="宋体" w:cs="宋体"/>
          <w:color w:val="auto"/>
          <w:sz w:val="24"/>
          <w:highlight w:val="none"/>
        </w:rPr>
      </w:pPr>
    </w:p>
    <w:p w14:paraId="4565C4A9">
      <w:pPr>
        <w:rPr>
          <w:rFonts w:hint="eastAsia" w:ascii="宋体" w:hAnsi="宋体" w:cs="宋体"/>
          <w:b/>
          <w:color w:val="auto"/>
          <w:sz w:val="24"/>
          <w:szCs w:val="20"/>
          <w:highlight w:val="none"/>
        </w:rPr>
      </w:pPr>
      <w:r>
        <w:rPr>
          <w:rFonts w:hint="eastAsia" w:ascii="宋体" w:hAnsi="宋体" w:cs="宋体"/>
          <w:b/>
          <w:color w:val="auto"/>
          <w:sz w:val="24"/>
          <w:highlight w:val="none"/>
        </w:rPr>
        <w:t>7.商务要求偏离表格式（注：按项目需求表具体项目修改）</w:t>
      </w:r>
    </w:p>
    <w:p w14:paraId="7D0CD2F9">
      <w:pPr>
        <w:snapToGrid w:val="0"/>
        <w:spacing w:before="50"/>
        <w:jc w:val="left"/>
        <w:rPr>
          <w:rFonts w:hint="eastAsia" w:ascii="宋体" w:hAnsi="宋体" w:cs="宋体"/>
          <w:color w:val="auto"/>
          <w:sz w:val="24"/>
          <w:highlight w:val="none"/>
        </w:rPr>
      </w:pPr>
    </w:p>
    <w:p w14:paraId="4062DDE1">
      <w:pPr>
        <w:pStyle w:val="25"/>
        <w:rPr>
          <w:rFonts w:hint="eastAsia" w:hAnsi="宋体" w:cs="宋体"/>
          <w:color w:val="auto"/>
          <w:sz w:val="24"/>
          <w:szCs w:val="24"/>
          <w:highlight w:val="none"/>
        </w:rPr>
      </w:pPr>
      <w:r>
        <w:rPr>
          <w:rFonts w:hint="eastAsia" w:hAnsi="宋体" w:cs="宋体"/>
          <w:color w:val="auto"/>
          <w:sz w:val="24"/>
          <w:szCs w:val="24"/>
          <w:highlight w:val="none"/>
        </w:rPr>
        <w:t>所投分标：</w:t>
      </w:r>
      <w:r>
        <w:rPr>
          <w:rFonts w:hint="eastAsia" w:hAnsi="宋体" w:cs="宋体"/>
          <w:color w:val="auto"/>
          <w:sz w:val="24"/>
          <w:szCs w:val="24"/>
          <w:highlight w:val="none"/>
          <w:u w:val="single"/>
        </w:rPr>
        <w:t xml:space="preserve">分标    </w:t>
      </w:r>
    </w:p>
    <w:p w14:paraId="636FDDD9">
      <w:pPr>
        <w:snapToGrid w:val="0"/>
        <w:spacing w:before="50"/>
        <w:jc w:val="left"/>
        <w:rPr>
          <w:rFonts w:hint="eastAsia" w:ascii="宋体" w:hAnsi="宋体" w:cs="宋体"/>
          <w:color w:val="auto"/>
          <w:sz w:val="24"/>
          <w:highlight w:val="none"/>
          <w:u w:val="single"/>
        </w:rPr>
      </w:pPr>
    </w:p>
    <w:tbl>
      <w:tblPr>
        <w:tblStyle w:val="48"/>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424F5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vAlign w:val="center"/>
          </w:tcPr>
          <w:p w14:paraId="13A43B86">
            <w:pPr>
              <w:spacing w:line="340" w:lineRule="exact"/>
              <w:jc w:val="center"/>
              <w:rPr>
                <w:rFonts w:hint="eastAsia" w:ascii="宋体" w:hAnsi="宋体" w:cs="宋体"/>
                <w:color w:val="auto"/>
                <w:szCs w:val="21"/>
                <w:highlight w:val="none"/>
              </w:rPr>
            </w:pPr>
            <w:r>
              <w:rPr>
                <w:rFonts w:hint="eastAsia" w:ascii="宋体" w:hAnsi="宋体" w:cs="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vAlign w:val="center"/>
          </w:tcPr>
          <w:p w14:paraId="02CF9C75">
            <w:pPr>
              <w:spacing w:line="340" w:lineRule="exact"/>
              <w:jc w:val="center"/>
              <w:rPr>
                <w:rFonts w:hint="eastAsia" w:ascii="宋体" w:hAnsi="宋体" w:cs="宋体"/>
                <w:color w:val="auto"/>
                <w:szCs w:val="21"/>
                <w:highlight w:val="none"/>
              </w:rPr>
            </w:pPr>
            <w:r>
              <w:rPr>
                <w:rFonts w:hint="eastAsia" w:ascii="宋体" w:hAnsi="宋体" w:cs="宋体"/>
                <w:color w:val="auto"/>
                <w:szCs w:val="21"/>
                <w:highlight w:val="none"/>
              </w:rPr>
              <w:t>招标文件的商务需求</w:t>
            </w:r>
          </w:p>
        </w:tc>
        <w:tc>
          <w:tcPr>
            <w:tcW w:w="3589" w:type="dxa"/>
            <w:tcBorders>
              <w:top w:val="single" w:color="auto" w:sz="4" w:space="0"/>
              <w:left w:val="single" w:color="auto" w:sz="4" w:space="0"/>
              <w:bottom w:val="single" w:color="auto" w:sz="4" w:space="0"/>
              <w:right w:val="single" w:color="auto" w:sz="4" w:space="0"/>
            </w:tcBorders>
            <w:vAlign w:val="center"/>
          </w:tcPr>
          <w:p w14:paraId="2C0A5899">
            <w:pPr>
              <w:spacing w:line="340" w:lineRule="exact"/>
              <w:jc w:val="center"/>
              <w:rPr>
                <w:rFonts w:hint="eastAsia" w:ascii="宋体" w:hAnsi="宋体" w:cs="宋体"/>
                <w:color w:val="auto"/>
                <w:szCs w:val="21"/>
                <w:highlight w:val="none"/>
              </w:rPr>
            </w:pPr>
            <w:r>
              <w:rPr>
                <w:rFonts w:hint="eastAsia" w:ascii="宋体" w:hAnsi="宋体" w:cs="宋体"/>
                <w:color w:val="auto"/>
                <w:szCs w:val="21"/>
                <w:highlight w:val="none"/>
              </w:rPr>
              <w:t>投标文件承诺的商务条款</w:t>
            </w:r>
          </w:p>
        </w:tc>
        <w:tc>
          <w:tcPr>
            <w:tcW w:w="1274" w:type="dxa"/>
            <w:tcBorders>
              <w:top w:val="single" w:color="auto" w:sz="4" w:space="0"/>
              <w:left w:val="single" w:color="auto" w:sz="4" w:space="0"/>
              <w:bottom w:val="single" w:color="auto" w:sz="4" w:space="0"/>
              <w:right w:val="single" w:color="auto" w:sz="4" w:space="0"/>
            </w:tcBorders>
            <w:vAlign w:val="center"/>
          </w:tcPr>
          <w:p w14:paraId="3159AFBF">
            <w:pPr>
              <w:spacing w:line="340" w:lineRule="exact"/>
              <w:jc w:val="center"/>
              <w:rPr>
                <w:rFonts w:hint="eastAsia" w:ascii="宋体" w:hAnsi="宋体" w:cs="宋体"/>
                <w:color w:val="auto"/>
                <w:szCs w:val="21"/>
                <w:highlight w:val="none"/>
              </w:rPr>
            </w:pPr>
            <w:r>
              <w:rPr>
                <w:rFonts w:hint="eastAsia" w:ascii="宋体" w:hAnsi="宋体" w:cs="宋体"/>
                <w:color w:val="auto"/>
                <w:szCs w:val="21"/>
                <w:highlight w:val="none"/>
              </w:rPr>
              <w:t>偏离说明</w:t>
            </w:r>
          </w:p>
        </w:tc>
      </w:tr>
      <w:tr w14:paraId="5060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00696FDA">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1</w:t>
            </w:r>
          </w:p>
        </w:tc>
        <w:tc>
          <w:tcPr>
            <w:tcW w:w="3926" w:type="dxa"/>
            <w:tcBorders>
              <w:top w:val="single" w:color="auto" w:sz="4" w:space="0"/>
              <w:left w:val="single" w:color="auto" w:sz="4" w:space="0"/>
              <w:bottom w:val="single" w:color="auto" w:sz="4" w:space="0"/>
              <w:right w:val="single" w:color="auto" w:sz="4" w:space="0"/>
            </w:tcBorders>
          </w:tcPr>
          <w:p w14:paraId="4C8B25ED">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1.  ……</w:t>
            </w:r>
          </w:p>
          <w:p w14:paraId="31DE79E8">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2.  ……</w:t>
            </w:r>
          </w:p>
          <w:p w14:paraId="4BD87D17">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3.  ……</w:t>
            </w:r>
          </w:p>
          <w:p w14:paraId="7E81F2CF">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52B08E78">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1.  ……</w:t>
            </w:r>
          </w:p>
          <w:p w14:paraId="1C532919">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2.  ……</w:t>
            </w:r>
          </w:p>
          <w:p w14:paraId="58B19CB8">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3.  ……</w:t>
            </w:r>
          </w:p>
          <w:p w14:paraId="5BB809F7">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3AAB06CB">
            <w:pPr>
              <w:spacing w:line="300" w:lineRule="exact"/>
              <w:rPr>
                <w:rFonts w:hint="eastAsia" w:ascii="宋体" w:hAnsi="宋体" w:cs="宋体"/>
                <w:color w:val="auto"/>
                <w:szCs w:val="21"/>
                <w:highlight w:val="none"/>
              </w:rPr>
            </w:pPr>
          </w:p>
        </w:tc>
      </w:tr>
      <w:tr w14:paraId="3C89B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33FFF143">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2</w:t>
            </w:r>
          </w:p>
        </w:tc>
        <w:tc>
          <w:tcPr>
            <w:tcW w:w="3926" w:type="dxa"/>
            <w:tcBorders>
              <w:top w:val="single" w:color="auto" w:sz="4" w:space="0"/>
              <w:left w:val="single" w:color="auto" w:sz="4" w:space="0"/>
              <w:bottom w:val="single" w:color="auto" w:sz="4" w:space="0"/>
              <w:right w:val="single" w:color="auto" w:sz="4" w:space="0"/>
            </w:tcBorders>
          </w:tcPr>
          <w:p w14:paraId="59EF66F1">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1.  ……</w:t>
            </w:r>
          </w:p>
          <w:p w14:paraId="0EBD5BC0">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2.  ……</w:t>
            </w:r>
          </w:p>
          <w:p w14:paraId="3B1B0FBB">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3.  ……</w:t>
            </w:r>
          </w:p>
          <w:p w14:paraId="15713F58">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16DD5083">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1.  ……</w:t>
            </w:r>
          </w:p>
          <w:p w14:paraId="597FEB24">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2.  ……</w:t>
            </w:r>
          </w:p>
          <w:p w14:paraId="0602B9BF">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3.  ……</w:t>
            </w:r>
          </w:p>
          <w:p w14:paraId="2C7FF37D">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305502C9">
            <w:pPr>
              <w:spacing w:line="300" w:lineRule="exact"/>
              <w:rPr>
                <w:rFonts w:hint="eastAsia" w:ascii="宋体" w:hAnsi="宋体" w:cs="宋体"/>
                <w:color w:val="auto"/>
                <w:szCs w:val="21"/>
                <w:highlight w:val="none"/>
              </w:rPr>
            </w:pPr>
          </w:p>
        </w:tc>
      </w:tr>
      <w:tr w14:paraId="3FAFE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tcPr>
          <w:p w14:paraId="41FC465F">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tcPr>
          <w:p w14:paraId="05B927C2">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1.  ……</w:t>
            </w:r>
          </w:p>
          <w:p w14:paraId="172D9E51">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2.  ……</w:t>
            </w:r>
          </w:p>
          <w:p w14:paraId="38C29B6A">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3.  ……</w:t>
            </w:r>
          </w:p>
          <w:p w14:paraId="6085FAB0">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0827DF43">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1.  ……</w:t>
            </w:r>
          </w:p>
          <w:p w14:paraId="621540C4">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2.  ……</w:t>
            </w:r>
          </w:p>
          <w:p w14:paraId="4B8EB629">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3.  ……</w:t>
            </w:r>
          </w:p>
          <w:p w14:paraId="5FA46B77">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6C39383B">
            <w:pPr>
              <w:spacing w:line="300" w:lineRule="exact"/>
              <w:rPr>
                <w:rFonts w:hint="eastAsia" w:ascii="宋体" w:hAnsi="宋体" w:cs="宋体"/>
                <w:color w:val="auto"/>
                <w:szCs w:val="21"/>
                <w:highlight w:val="none"/>
              </w:rPr>
            </w:pPr>
          </w:p>
        </w:tc>
      </w:tr>
    </w:tbl>
    <w:p w14:paraId="28D54B4C">
      <w:pPr>
        <w:snapToGrid w:val="0"/>
        <w:spacing w:before="50"/>
        <w:jc w:val="left"/>
        <w:rPr>
          <w:rFonts w:hint="eastAsia" w:ascii="宋体" w:hAnsi="宋体" w:cs="宋体"/>
          <w:color w:val="auto"/>
          <w:sz w:val="24"/>
          <w:highlight w:val="none"/>
          <w:u w:val="single"/>
        </w:rPr>
      </w:pPr>
    </w:p>
    <w:p w14:paraId="4B1DFA38">
      <w:pPr>
        <w:pStyle w:val="19"/>
        <w:rPr>
          <w:rFonts w:hint="eastAsia" w:ascii="宋体" w:hAnsi="宋体" w:cs="宋体"/>
          <w:color w:val="auto"/>
          <w:highlight w:val="none"/>
        </w:rPr>
      </w:pPr>
      <w:r>
        <w:rPr>
          <w:rFonts w:hint="eastAsia" w:ascii="宋体" w:hAnsi="宋体" w:cs="宋体"/>
          <w:color w:val="auto"/>
          <w:highlight w:val="none"/>
        </w:rPr>
        <w:t>注：</w:t>
      </w:r>
    </w:p>
    <w:p w14:paraId="6E1986D6">
      <w:pPr>
        <w:pStyle w:val="20"/>
        <w:spacing w:line="520" w:lineRule="exact"/>
        <w:ind w:firstLine="0" w:firstLineChars="0"/>
        <w:rPr>
          <w:rFonts w:hint="eastAsia" w:ascii="宋体" w:hAnsi="宋体" w:eastAsia="宋体" w:cs="宋体"/>
          <w:color w:val="auto"/>
          <w:szCs w:val="32"/>
          <w:highlight w:val="none"/>
        </w:rPr>
      </w:pPr>
      <w:r>
        <w:rPr>
          <w:rFonts w:hint="eastAsia" w:ascii="宋体" w:hAnsi="宋体" w:eastAsia="宋体" w:cs="宋体"/>
          <w:color w:val="auto"/>
          <w:sz w:val="24"/>
          <w:szCs w:val="24"/>
          <w:highlight w:val="none"/>
        </w:rPr>
        <w:t>1.说明：应对照招标文件“第二章 采购需求”中的“商务条款”逐条作明确的投标响应，并作出偏离说明。</w:t>
      </w:r>
    </w:p>
    <w:p w14:paraId="3EBBFDB5">
      <w:pPr>
        <w:pStyle w:val="19"/>
        <w:rPr>
          <w:rFonts w:hint="eastAsia" w:ascii="宋体" w:hAnsi="宋体" w:cs="宋体"/>
          <w:b w:val="0"/>
          <w:bCs w:val="0"/>
          <w:color w:val="auto"/>
          <w:highlight w:val="none"/>
        </w:rPr>
      </w:pPr>
      <w:r>
        <w:rPr>
          <w:rFonts w:hint="eastAsia" w:ascii="宋体" w:hAnsi="宋体" w:cs="宋体"/>
          <w:b w:val="0"/>
          <w:bCs w:val="0"/>
          <w:color w:val="auto"/>
          <w:highlight w:val="none"/>
        </w:rPr>
        <w:t>2.投标人应根据自身的承诺，对照招标文件要求在“偏离说明”中注明“</w:t>
      </w:r>
      <w:r>
        <w:rPr>
          <w:rFonts w:hint="eastAsia" w:ascii="宋体" w:hAnsi="宋体" w:cs="宋体"/>
          <w:color w:val="auto"/>
          <w:highlight w:val="none"/>
        </w:rPr>
        <w:t>正偏离</w:t>
      </w:r>
      <w:r>
        <w:rPr>
          <w:rFonts w:hint="eastAsia" w:ascii="宋体" w:hAnsi="宋体" w:cs="宋体"/>
          <w:b w:val="0"/>
          <w:bCs w:val="0"/>
          <w:color w:val="auto"/>
          <w:highlight w:val="none"/>
        </w:rPr>
        <w:t>”、“</w:t>
      </w:r>
      <w:r>
        <w:rPr>
          <w:rFonts w:hint="eastAsia" w:ascii="宋体" w:hAnsi="宋体" w:cs="宋体"/>
          <w:color w:val="auto"/>
          <w:highlight w:val="none"/>
        </w:rPr>
        <w:t>负偏离</w:t>
      </w:r>
      <w:r>
        <w:rPr>
          <w:rFonts w:hint="eastAsia" w:ascii="宋体" w:hAnsi="宋体" w:cs="宋体"/>
          <w:b w:val="0"/>
          <w:bCs w:val="0"/>
          <w:color w:val="auto"/>
          <w:highlight w:val="none"/>
        </w:rPr>
        <w:t>”或者“</w:t>
      </w:r>
      <w:r>
        <w:rPr>
          <w:rFonts w:hint="eastAsia" w:ascii="宋体" w:hAnsi="宋体" w:cs="宋体"/>
          <w:color w:val="auto"/>
          <w:highlight w:val="none"/>
        </w:rPr>
        <w:t>无偏离</w:t>
      </w:r>
      <w:r>
        <w:rPr>
          <w:rFonts w:hint="eastAsia" w:ascii="宋体" w:hAnsi="宋体" w:cs="宋体"/>
          <w:b w:val="0"/>
          <w:bCs w:val="0"/>
          <w:color w:val="auto"/>
          <w:highlight w:val="none"/>
        </w:rPr>
        <w:t>”。既不属于“</w:t>
      </w:r>
      <w:r>
        <w:rPr>
          <w:rFonts w:hint="eastAsia" w:ascii="宋体" w:hAnsi="宋体" w:cs="宋体"/>
          <w:color w:val="auto"/>
          <w:highlight w:val="none"/>
        </w:rPr>
        <w:t>正偏离</w:t>
      </w:r>
      <w:r>
        <w:rPr>
          <w:rFonts w:hint="eastAsia" w:ascii="宋体" w:hAnsi="宋体" w:cs="宋体"/>
          <w:b w:val="0"/>
          <w:bCs w:val="0"/>
          <w:color w:val="auto"/>
          <w:highlight w:val="none"/>
        </w:rPr>
        <w:t>”也不属于“</w:t>
      </w:r>
      <w:r>
        <w:rPr>
          <w:rFonts w:hint="eastAsia" w:ascii="宋体" w:hAnsi="宋体" w:cs="宋体"/>
          <w:color w:val="auto"/>
          <w:highlight w:val="none"/>
        </w:rPr>
        <w:t>负偏离</w:t>
      </w:r>
      <w:r>
        <w:rPr>
          <w:rFonts w:hint="eastAsia" w:ascii="宋体" w:hAnsi="宋体" w:cs="宋体"/>
          <w:b w:val="0"/>
          <w:bCs w:val="0"/>
          <w:color w:val="auto"/>
          <w:highlight w:val="none"/>
        </w:rPr>
        <w:t>”即为“</w:t>
      </w:r>
      <w:r>
        <w:rPr>
          <w:rFonts w:hint="eastAsia" w:ascii="宋体" w:hAnsi="宋体" w:cs="宋体"/>
          <w:color w:val="auto"/>
          <w:highlight w:val="none"/>
        </w:rPr>
        <w:t>无偏离</w:t>
      </w:r>
      <w:r>
        <w:rPr>
          <w:rFonts w:hint="eastAsia" w:ascii="宋体" w:hAnsi="宋体" w:cs="宋体"/>
          <w:b w:val="0"/>
          <w:bCs w:val="0"/>
          <w:color w:val="auto"/>
          <w:highlight w:val="none"/>
        </w:rPr>
        <w:t>”。</w:t>
      </w:r>
    </w:p>
    <w:p w14:paraId="2AA68FC6">
      <w:pPr>
        <w:snapToGrid w:val="0"/>
        <w:spacing w:before="50" w:after="50"/>
        <w:rPr>
          <w:rFonts w:hint="eastAsia" w:ascii="宋体" w:hAnsi="宋体" w:cs="宋体"/>
          <w:color w:val="auto"/>
          <w:sz w:val="24"/>
          <w:highlight w:val="none"/>
        </w:rPr>
      </w:pPr>
    </w:p>
    <w:p w14:paraId="7AC58275">
      <w:pPr>
        <w:snapToGrid w:val="0"/>
        <w:spacing w:before="50" w:after="50"/>
        <w:rPr>
          <w:rFonts w:hint="eastAsia" w:ascii="宋体" w:hAnsi="宋体" w:cs="宋体"/>
          <w:color w:val="auto"/>
          <w:sz w:val="24"/>
          <w:highlight w:val="none"/>
        </w:rPr>
      </w:pPr>
    </w:p>
    <w:p w14:paraId="512E459F">
      <w:pPr>
        <w:snapToGrid w:val="0"/>
        <w:spacing w:before="50" w:after="50"/>
        <w:rPr>
          <w:rFonts w:hint="eastAsia" w:ascii="宋体" w:hAnsi="宋体" w:cs="宋体"/>
          <w:color w:val="auto"/>
          <w:spacing w:val="20"/>
          <w:sz w:val="24"/>
          <w:highlight w:val="none"/>
          <w:u w:val="single"/>
        </w:rPr>
      </w:pPr>
      <w:r>
        <w:rPr>
          <w:rFonts w:hint="eastAsia" w:ascii="宋体" w:hAnsi="宋体" w:cs="宋体"/>
          <w:color w:val="auto"/>
          <w:sz w:val="24"/>
          <w:highlight w:val="none"/>
        </w:rPr>
        <w:t>法定代表人或者委托代理人</w:t>
      </w:r>
      <w:r>
        <w:rPr>
          <w:rFonts w:hint="eastAsia" w:ascii="宋体" w:hAnsi="宋体" w:cs="宋体"/>
          <w:color w:val="auto"/>
          <w:spacing w:val="20"/>
          <w:sz w:val="24"/>
          <w:highlight w:val="none"/>
        </w:rPr>
        <w:t>（签字）：</w:t>
      </w:r>
    </w:p>
    <w:p w14:paraId="4C4E8C8E">
      <w:pPr>
        <w:snapToGrid w:val="0"/>
        <w:spacing w:before="120" w:beforeLines="50"/>
        <w:rPr>
          <w:rFonts w:hint="eastAsia" w:ascii="宋体" w:hAnsi="宋体" w:cs="宋体"/>
          <w:color w:val="auto"/>
          <w:spacing w:val="20"/>
          <w:sz w:val="24"/>
          <w:highlight w:val="none"/>
        </w:rPr>
      </w:pPr>
      <w:r>
        <w:rPr>
          <w:rFonts w:hint="eastAsia" w:ascii="宋体" w:hAnsi="宋体" w:cs="宋体"/>
          <w:color w:val="auto"/>
          <w:spacing w:val="20"/>
          <w:sz w:val="24"/>
          <w:highlight w:val="none"/>
        </w:rPr>
        <w:t>投标人名称（盖公章）：</w:t>
      </w:r>
    </w:p>
    <w:p w14:paraId="1C2424C6">
      <w:pPr>
        <w:snapToGrid w:val="0"/>
        <w:spacing w:before="120" w:beforeLines="50"/>
        <w:rPr>
          <w:rFonts w:hint="eastAsia" w:ascii="宋体" w:hAnsi="宋体" w:cs="宋体"/>
          <w:color w:val="auto"/>
          <w:sz w:val="24"/>
          <w:szCs w:val="20"/>
          <w:highlight w:val="none"/>
        </w:rPr>
      </w:pPr>
      <w:r>
        <w:rPr>
          <w:rFonts w:hint="eastAsia" w:ascii="宋体" w:hAnsi="宋体" w:cs="宋体"/>
          <w:color w:val="auto"/>
          <w:spacing w:val="20"/>
          <w:sz w:val="24"/>
          <w:highlight w:val="none"/>
        </w:rPr>
        <w:t>日  期：</w:t>
      </w:r>
    </w:p>
    <w:p w14:paraId="09079995">
      <w:pPr>
        <w:snapToGrid w:val="0"/>
        <w:spacing w:before="120" w:beforeLines="50"/>
        <w:rPr>
          <w:rFonts w:hint="eastAsia" w:ascii="宋体" w:hAnsi="宋体" w:cs="宋体"/>
          <w:color w:val="auto"/>
          <w:sz w:val="24"/>
          <w:szCs w:val="20"/>
          <w:highlight w:val="none"/>
        </w:rPr>
      </w:pPr>
    </w:p>
    <w:p w14:paraId="114498E2">
      <w:pPr>
        <w:snapToGrid w:val="0"/>
        <w:spacing w:before="120" w:beforeLines="50" w:after="50"/>
        <w:jc w:val="left"/>
        <w:rPr>
          <w:rFonts w:hint="eastAsia" w:ascii="宋体" w:hAnsi="宋体" w:cs="宋体"/>
          <w:color w:val="auto"/>
          <w:sz w:val="24"/>
          <w:szCs w:val="20"/>
          <w:highlight w:val="none"/>
        </w:rPr>
      </w:pPr>
    </w:p>
    <w:p w14:paraId="1AE377EE">
      <w:pPr>
        <w:snapToGrid w:val="0"/>
        <w:spacing w:before="120" w:beforeLines="50" w:after="50"/>
        <w:jc w:val="left"/>
        <w:rPr>
          <w:rFonts w:hint="eastAsia" w:ascii="宋体" w:hAnsi="宋体" w:cs="宋体"/>
          <w:b/>
          <w:color w:val="auto"/>
          <w:sz w:val="24"/>
          <w:highlight w:val="none"/>
        </w:rPr>
      </w:pPr>
      <w:r>
        <w:rPr>
          <w:rFonts w:hint="eastAsia" w:ascii="宋体" w:hAnsi="宋体" w:cs="宋体"/>
          <w:color w:val="auto"/>
          <w:sz w:val="24"/>
          <w:szCs w:val="20"/>
          <w:highlight w:val="none"/>
        </w:rPr>
        <w:br w:type="page"/>
      </w:r>
      <w:r>
        <w:rPr>
          <w:rFonts w:hint="eastAsia" w:ascii="宋体" w:hAnsi="宋体" w:cs="宋体"/>
          <w:b/>
          <w:color w:val="auto"/>
          <w:sz w:val="24"/>
          <w:highlight w:val="none"/>
        </w:rPr>
        <w:t>8.投标人业绩证明材料</w:t>
      </w:r>
    </w:p>
    <w:p w14:paraId="6A57CBA3">
      <w:pPr>
        <w:pStyle w:val="35"/>
        <w:snapToGrid w:val="0"/>
        <w:ind w:left="480" w:hanging="480"/>
        <w:rPr>
          <w:rFonts w:hint="eastAsia" w:ascii="宋体" w:hAnsi="宋体" w:cs="宋体"/>
          <w:color w:val="auto"/>
          <w:sz w:val="24"/>
          <w:highlight w:val="none"/>
        </w:rPr>
      </w:pPr>
    </w:p>
    <w:p w14:paraId="6C7C2BEC">
      <w:pPr>
        <w:pStyle w:val="35"/>
        <w:snapToGrid w:val="0"/>
        <w:ind w:left="480" w:hanging="480"/>
        <w:rPr>
          <w:rFonts w:hint="eastAsia" w:ascii="宋体" w:hAnsi="宋体" w:cs="宋体"/>
          <w:color w:val="auto"/>
          <w:sz w:val="24"/>
          <w:highlight w:val="none"/>
        </w:rPr>
      </w:pPr>
      <w:r>
        <w:rPr>
          <w:rFonts w:hint="eastAsia" w:ascii="宋体" w:hAnsi="宋体" w:cs="宋体"/>
          <w:color w:val="auto"/>
          <w:sz w:val="24"/>
          <w:highlight w:val="none"/>
        </w:rPr>
        <w:t xml:space="preserve">投标人业绩情况一览表格式： </w:t>
      </w:r>
    </w:p>
    <w:tbl>
      <w:tblPr>
        <w:tblStyle w:val="48"/>
        <w:tblW w:w="4996"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006"/>
        <w:gridCol w:w="2977"/>
        <w:gridCol w:w="1653"/>
        <w:gridCol w:w="1653"/>
        <w:gridCol w:w="2665"/>
      </w:tblGrid>
      <w:tr w14:paraId="2B9938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65" w:hRule="atLeast"/>
          <w:jc w:val="center"/>
        </w:trPr>
        <w:tc>
          <w:tcPr>
            <w:tcW w:w="505" w:type="pct"/>
            <w:tcBorders>
              <w:top w:val="single" w:color="auto" w:sz="4" w:space="0"/>
              <w:left w:val="single" w:color="auto" w:sz="4" w:space="0"/>
              <w:bottom w:val="single" w:color="auto" w:sz="4" w:space="0"/>
              <w:right w:val="single" w:color="auto" w:sz="4" w:space="0"/>
            </w:tcBorders>
            <w:vAlign w:val="center"/>
          </w:tcPr>
          <w:p w14:paraId="150D6F58">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序号</w:t>
            </w:r>
          </w:p>
        </w:tc>
        <w:tc>
          <w:tcPr>
            <w:tcW w:w="1495" w:type="pct"/>
            <w:tcBorders>
              <w:top w:val="single" w:color="auto" w:sz="4" w:space="0"/>
              <w:left w:val="single" w:color="auto" w:sz="4" w:space="0"/>
              <w:bottom w:val="single" w:color="auto" w:sz="4" w:space="0"/>
              <w:right w:val="single" w:color="auto" w:sz="4" w:space="0"/>
            </w:tcBorders>
            <w:vAlign w:val="center"/>
          </w:tcPr>
          <w:p w14:paraId="30472B2D">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采购人名称</w:t>
            </w:r>
          </w:p>
        </w:tc>
        <w:tc>
          <w:tcPr>
            <w:tcW w:w="830" w:type="pct"/>
            <w:tcBorders>
              <w:top w:val="single" w:color="auto" w:sz="4" w:space="0"/>
              <w:left w:val="single" w:color="auto" w:sz="4" w:space="0"/>
              <w:bottom w:val="single" w:color="auto" w:sz="4" w:space="0"/>
              <w:right w:val="single" w:color="auto" w:sz="4" w:space="0"/>
            </w:tcBorders>
            <w:vAlign w:val="center"/>
          </w:tcPr>
          <w:p w14:paraId="43CC402A">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项目名称</w:t>
            </w:r>
          </w:p>
        </w:tc>
        <w:tc>
          <w:tcPr>
            <w:tcW w:w="830" w:type="pct"/>
            <w:tcBorders>
              <w:top w:val="single" w:color="auto" w:sz="4" w:space="0"/>
              <w:left w:val="single" w:color="auto" w:sz="4" w:space="0"/>
              <w:bottom w:val="single" w:color="auto" w:sz="4" w:space="0"/>
              <w:right w:val="single" w:color="auto" w:sz="4" w:space="0"/>
            </w:tcBorders>
            <w:vAlign w:val="center"/>
          </w:tcPr>
          <w:p w14:paraId="65631BA9">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合同金额</w:t>
            </w:r>
          </w:p>
          <w:p w14:paraId="045D6F5E">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（万元）</w:t>
            </w:r>
          </w:p>
        </w:tc>
        <w:tc>
          <w:tcPr>
            <w:tcW w:w="1338" w:type="pct"/>
            <w:tcBorders>
              <w:top w:val="single" w:color="auto" w:sz="4" w:space="0"/>
              <w:left w:val="single" w:color="auto" w:sz="4" w:space="0"/>
              <w:bottom w:val="single" w:color="auto" w:sz="4" w:space="0"/>
              <w:right w:val="single" w:color="auto" w:sz="4" w:space="0"/>
            </w:tcBorders>
            <w:vAlign w:val="center"/>
          </w:tcPr>
          <w:p w14:paraId="255A4E03">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采购人联系人及</w:t>
            </w:r>
          </w:p>
          <w:p w14:paraId="155494CF">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联系电话</w:t>
            </w:r>
          </w:p>
        </w:tc>
      </w:tr>
      <w:tr w14:paraId="0708BA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505" w:type="pct"/>
            <w:tcBorders>
              <w:top w:val="single" w:color="auto" w:sz="4" w:space="0"/>
              <w:left w:val="single" w:color="auto" w:sz="4" w:space="0"/>
              <w:bottom w:val="single" w:color="auto" w:sz="4" w:space="0"/>
              <w:right w:val="single" w:color="auto" w:sz="4" w:space="0"/>
            </w:tcBorders>
          </w:tcPr>
          <w:p w14:paraId="71874B81">
            <w:pPr>
              <w:snapToGrid w:val="0"/>
              <w:spacing w:line="240" w:lineRule="exact"/>
              <w:jc w:val="left"/>
              <w:rPr>
                <w:rFonts w:hint="eastAsia" w:ascii="宋体" w:hAnsi="宋体" w:cs="宋体"/>
                <w:color w:val="auto"/>
                <w:sz w:val="24"/>
                <w:highlight w:val="none"/>
              </w:rPr>
            </w:pPr>
          </w:p>
        </w:tc>
        <w:tc>
          <w:tcPr>
            <w:tcW w:w="1495" w:type="pct"/>
            <w:tcBorders>
              <w:top w:val="single" w:color="auto" w:sz="4" w:space="0"/>
              <w:left w:val="single" w:color="auto" w:sz="4" w:space="0"/>
              <w:bottom w:val="single" w:color="auto" w:sz="4" w:space="0"/>
              <w:right w:val="single" w:color="auto" w:sz="4" w:space="0"/>
            </w:tcBorders>
          </w:tcPr>
          <w:p w14:paraId="251591AE">
            <w:pPr>
              <w:snapToGrid w:val="0"/>
              <w:spacing w:line="240" w:lineRule="exact"/>
              <w:jc w:val="left"/>
              <w:rPr>
                <w:rFonts w:hint="eastAsia" w:ascii="宋体" w:hAnsi="宋体" w:cs="宋体"/>
                <w:color w:val="auto"/>
                <w:sz w:val="24"/>
                <w:highlight w:val="none"/>
              </w:rPr>
            </w:pPr>
          </w:p>
        </w:tc>
        <w:tc>
          <w:tcPr>
            <w:tcW w:w="830" w:type="pct"/>
            <w:tcBorders>
              <w:top w:val="single" w:color="auto" w:sz="4" w:space="0"/>
              <w:left w:val="single" w:color="auto" w:sz="4" w:space="0"/>
              <w:bottom w:val="single" w:color="auto" w:sz="4" w:space="0"/>
              <w:right w:val="single" w:color="auto" w:sz="4" w:space="0"/>
            </w:tcBorders>
          </w:tcPr>
          <w:p w14:paraId="152B6B46">
            <w:pPr>
              <w:snapToGrid w:val="0"/>
              <w:spacing w:line="240" w:lineRule="exact"/>
              <w:jc w:val="left"/>
              <w:rPr>
                <w:rFonts w:hint="eastAsia" w:ascii="宋体" w:hAnsi="宋体" w:cs="宋体"/>
                <w:color w:val="auto"/>
                <w:sz w:val="24"/>
                <w:highlight w:val="none"/>
              </w:rPr>
            </w:pPr>
          </w:p>
        </w:tc>
        <w:tc>
          <w:tcPr>
            <w:tcW w:w="830" w:type="pct"/>
            <w:tcBorders>
              <w:top w:val="single" w:color="auto" w:sz="4" w:space="0"/>
              <w:left w:val="single" w:color="auto" w:sz="4" w:space="0"/>
              <w:bottom w:val="single" w:color="auto" w:sz="4" w:space="0"/>
              <w:right w:val="single" w:color="auto" w:sz="4" w:space="0"/>
            </w:tcBorders>
          </w:tcPr>
          <w:p w14:paraId="6A49310C">
            <w:pPr>
              <w:snapToGrid w:val="0"/>
              <w:spacing w:line="240" w:lineRule="exact"/>
              <w:jc w:val="left"/>
              <w:rPr>
                <w:rFonts w:hint="eastAsia" w:ascii="宋体" w:hAnsi="宋体" w:cs="宋体"/>
                <w:color w:val="auto"/>
                <w:sz w:val="24"/>
                <w:highlight w:val="none"/>
              </w:rPr>
            </w:pPr>
          </w:p>
        </w:tc>
        <w:tc>
          <w:tcPr>
            <w:tcW w:w="1338" w:type="pct"/>
            <w:tcBorders>
              <w:top w:val="single" w:color="auto" w:sz="4" w:space="0"/>
              <w:left w:val="single" w:color="auto" w:sz="4" w:space="0"/>
              <w:bottom w:val="single" w:color="auto" w:sz="4" w:space="0"/>
              <w:right w:val="single" w:color="auto" w:sz="4" w:space="0"/>
            </w:tcBorders>
          </w:tcPr>
          <w:p w14:paraId="79E78CA1">
            <w:pPr>
              <w:snapToGrid w:val="0"/>
              <w:spacing w:line="240" w:lineRule="exact"/>
              <w:jc w:val="left"/>
              <w:rPr>
                <w:rFonts w:hint="eastAsia" w:ascii="宋体" w:hAnsi="宋体" w:cs="宋体"/>
                <w:color w:val="auto"/>
                <w:sz w:val="24"/>
                <w:highlight w:val="none"/>
              </w:rPr>
            </w:pPr>
          </w:p>
        </w:tc>
      </w:tr>
      <w:tr w14:paraId="3A64FF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05" w:type="pct"/>
            <w:tcBorders>
              <w:top w:val="single" w:color="auto" w:sz="4" w:space="0"/>
              <w:left w:val="single" w:color="auto" w:sz="4" w:space="0"/>
              <w:bottom w:val="single" w:color="auto" w:sz="4" w:space="0"/>
              <w:right w:val="single" w:color="auto" w:sz="4" w:space="0"/>
            </w:tcBorders>
          </w:tcPr>
          <w:p w14:paraId="17EA31D9">
            <w:pPr>
              <w:snapToGrid w:val="0"/>
              <w:spacing w:before="50" w:after="120" w:afterLines="50" w:line="400" w:lineRule="exact"/>
              <w:jc w:val="left"/>
              <w:rPr>
                <w:rFonts w:hint="eastAsia" w:ascii="宋体" w:hAnsi="宋体" w:cs="宋体"/>
                <w:color w:val="auto"/>
                <w:sz w:val="24"/>
                <w:highlight w:val="none"/>
              </w:rPr>
            </w:pPr>
          </w:p>
        </w:tc>
        <w:tc>
          <w:tcPr>
            <w:tcW w:w="1495" w:type="pct"/>
            <w:tcBorders>
              <w:top w:val="single" w:color="auto" w:sz="4" w:space="0"/>
              <w:left w:val="single" w:color="auto" w:sz="4" w:space="0"/>
              <w:bottom w:val="single" w:color="auto" w:sz="4" w:space="0"/>
              <w:right w:val="single" w:color="auto" w:sz="4" w:space="0"/>
            </w:tcBorders>
          </w:tcPr>
          <w:p w14:paraId="3114E319">
            <w:pPr>
              <w:snapToGrid w:val="0"/>
              <w:spacing w:before="50" w:after="120" w:afterLines="50" w:line="400" w:lineRule="exact"/>
              <w:jc w:val="left"/>
              <w:rPr>
                <w:rFonts w:hint="eastAsia" w:ascii="宋体" w:hAnsi="宋体" w:cs="宋体"/>
                <w:color w:val="auto"/>
                <w:sz w:val="24"/>
                <w:highlight w:val="none"/>
              </w:rPr>
            </w:pPr>
          </w:p>
        </w:tc>
        <w:tc>
          <w:tcPr>
            <w:tcW w:w="830" w:type="pct"/>
            <w:tcBorders>
              <w:top w:val="single" w:color="auto" w:sz="4" w:space="0"/>
              <w:left w:val="single" w:color="auto" w:sz="4" w:space="0"/>
              <w:bottom w:val="single" w:color="auto" w:sz="4" w:space="0"/>
              <w:right w:val="single" w:color="auto" w:sz="4" w:space="0"/>
            </w:tcBorders>
          </w:tcPr>
          <w:p w14:paraId="4502836A">
            <w:pPr>
              <w:snapToGrid w:val="0"/>
              <w:spacing w:before="50" w:after="120" w:afterLines="50" w:line="400" w:lineRule="exact"/>
              <w:jc w:val="left"/>
              <w:rPr>
                <w:rFonts w:hint="eastAsia" w:ascii="宋体" w:hAnsi="宋体" w:cs="宋体"/>
                <w:color w:val="auto"/>
                <w:sz w:val="24"/>
                <w:highlight w:val="none"/>
              </w:rPr>
            </w:pPr>
          </w:p>
        </w:tc>
        <w:tc>
          <w:tcPr>
            <w:tcW w:w="830" w:type="pct"/>
            <w:tcBorders>
              <w:top w:val="single" w:color="auto" w:sz="4" w:space="0"/>
              <w:left w:val="single" w:color="auto" w:sz="4" w:space="0"/>
              <w:bottom w:val="single" w:color="auto" w:sz="4" w:space="0"/>
              <w:right w:val="single" w:color="auto" w:sz="4" w:space="0"/>
            </w:tcBorders>
          </w:tcPr>
          <w:p w14:paraId="122DB220">
            <w:pPr>
              <w:snapToGrid w:val="0"/>
              <w:spacing w:before="50" w:after="120" w:afterLines="50" w:line="400" w:lineRule="exact"/>
              <w:jc w:val="left"/>
              <w:rPr>
                <w:rFonts w:hint="eastAsia" w:ascii="宋体" w:hAnsi="宋体" w:cs="宋体"/>
                <w:color w:val="auto"/>
                <w:sz w:val="24"/>
                <w:highlight w:val="none"/>
              </w:rPr>
            </w:pPr>
          </w:p>
        </w:tc>
        <w:tc>
          <w:tcPr>
            <w:tcW w:w="1338" w:type="pct"/>
            <w:tcBorders>
              <w:top w:val="single" w:color="auto" w:sz="4" w:space="0"/>
              <w:left w:val="single" w:color="auto" w:sz="4" w:space="0"/>
              <w:bottom w:val="single" w:color="auto" w:sz="4" w:space="0"/>
              <w:right w:val="single" w:color="auto" w:sz="4" w:space="0"/>
            </w:tcBorders>
          </w:tcPr>
          <w:p w14:paraId="6DE64974">
            <w:pPr>
              <w:snapToGrid w:val="0"/>
              <w:spacing w:before="50" w:after="120" w:afterLines="50" w:line="400" w:lineRule="exact"/>
              <w:jc w:val="left"/>
              <w:rPr>
                <w:rFonts w:hint="eastAsia" w:ascii="宋体" w:hAnsi="宋体" w:cs="宋体"/>
                <w:color w:val="auto"/>
                <w:sz w:val="24"/>
                <w:highlight w:val="none"/>
              </w:rPr>
            </w:pPr>
          </w:p>
        </w:tc>
      </w:tr>
      <w:tr w14:paraId="59FE90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505" w:type="pct"/>
            <w:tcBorders>
              <w:top w:val="single" w:color="auto" w:sz="4" w:space="0"/>
              <w:left w:val="single" w:color="auto" w:sz="4" w:space="0"/>
              <w:bottom w:val="single" w:color="auto" w:sz="4" w:space="0"/>
              <w:right w:val="single" w:color="auto" w:sz="4" w:space="0"/>
            </w:tcBorders>
          </w:tcPr>
          <w:p w14:paraId="0844114E">
            <w:pPr>
              <w:snapToGrid w:val="0"/>
              <w:spacing w:before="50" w:after="120" w:afterLines="50" w:line="400" w:lineRule="exact"/>
              <w:jc w:val="left"/>
              <w:rPr>
                <w:rFonts w:hint="eastAsia" w:ascii="宋体" w:hAnsi="宋体" w:cs="宋体"/>
                <w:color w:val="auto"/>
                <w:sz w:val="24"/>
                <w:highlight w:val="none"/>
              </w:rPr>
            </w:pPr>
          </w:p>
        </w:tc>
        <w:tc>
          <w:tcPr>
            <w:tcW w:w="1495" w:type="pct"/>
            <w:tcBorders>
              <w:top w:val="single" w:color="auto" w:sz="4" w:space="0"/>
              <w:left w:val="single" w:color="auto" w:sz="4" w:space="0"/>
              <w:bottom w:val="single" w:color="auto" w:sz="4" w:space="0"/>
              <w:right w:val="single" w:color="auto" w:sz="4" w:space="0"/>
            </w:tcBorders>
          </w:tcPr>
          <w:p w14:paraId="7A079281">
            <w:pPr>
              <w:snapToGrid w:val="0"/>
              <w:spacing w:before="50" w:after="120" w:afterLines="50" w:line="400" w:lineRule="exact"/>
              <w:jc w:val="left"/>
              <w:rPr>
                <w:rFonts w:hint="eastAsia" w:ascii="宋体" w:hAnsi="宋体" w:cs="宋体"/>
                <w:color w:val="auto"/>
                <w:sz w:val="24"/>
                <w:highlight w:val="none"/>
              </w:rPr>
            </w:pPr>
          </w:p>
        </w:tc>
        <w:tc>
          <w:tcPr>
            <w:tcW w:w="830" w:type="pct"/>
            <w:tcBorders>
              <w:top w:val="single" w:color="auto" w:sz="4" w:space="0"/>
              <w:left w:val="single" w:color="auto" w:sz="4" w:space="0"/>
              <w:bottom w:val="single" w:color="auto" w:sz="4" w:space="0"/>
              <w:right w:val="single" w:color="auto" w:sz="4" w:space="0"/>
            </w:tcBorders>
          </w:tcPr>
          <w:p w14:paraId="108D9123">
            <w:pPr>
              <w:snapToGrid w:val="0"/>
              <w:spacing w:before="50" w:after="120" w:afterLines="50" w:line="400" w:lineRule="exact"/>
              <w:jc w:val="left"/>
              <w:rPr>
                <w:rFonts w:hint="eastAsia" w:ascii="宋体" w:hAnsi="宋体" w:cs="宋体"/>
                <w:color w:val="auto"/>
                <w:sz w:val="24"/>
                <w:highlight w:val="none"/>
              </w:rPr>
            </w:pPr>
          </w:p>
        </w:tc>
        <w:tc>
          <w:tcPr>
            <w:tcW w:w="830" w:type="pct"/>
            <w:tcBorders>
              <w:top w:val="single" w:color="auto" w:sz="4" w:space="0"/>
              <w:left w:val="single" w:color="auto" w:sz="4" w:space="0"/>
              <w:bottom w:val="single" w:color="auto" w:sz="4" w:space="0"/>
              <w:right w:val="single" w:color="auto" w:sz="4" w:space="0"/>
            </w:tcBorders>
          </w:tcPr>
          <w:p w14:paraId="499F0D81">
            <w:pPr>
              <w:snapToGrid w:val="0"/>
              <w:spacing w:before="50" w:after="120" w:afterLines="50" w:line="400" w:lineRule="exact"/>
              <w:jc w:val="left"/>
              <w:rPr>
                <w:rFonts w:hint="eastAsia" w:ascii="宋体" w:hAnsi="宋体" w:cs="宋体"/>
                <w:color w:val="auto"/>
                <w:sz w:val="24"/>
                <w:highlight w:val="none"/>
              </w:rPr>
            </w:pPr>
          </w:p>
        </w:tc>
        <w:tc>
          <w:tcPr>
            <w:tcW w:w="1338" w:type="pct"/>
            <w:tcBorders>
              <w:top w:val="single" w:color="auto" w:sz="4" w:space="0"/>
              <w:left w:val="single" w:color="auto" w:sz="4" w:space="0"/>
              <w:bottom w:val="single" w:color="auto" w:sz="4" w:space="0"/>
              <w:right w:val="single" w:color="auto" w:sz="4" w:space="0"/>
            </w:tcBorders>
          </w:tcPr>
          <w:p w14:paraId="2E48024E">
            <w:pPr>
              <w:snapToGrid w:val="0"/>
              <w:spacing w:before="50" w:after="120" w:afterLines="50" w:line="400" w:lineRule="exact"/>
              <w:jc w:val="left"/>
              <w:rPr>
                <w:rFonts w:hint="eastAsia" w:ascii="宋体" w:hAnsi="宋体" w:cs="宋体"/>
                <w:color w:val="auto"/>
                <w:sz w:val="24"/>
                <w:highlight w:val="none"/>
              </w:rPr>
            </w:pPr>
          </w:p>
        </w:tc>
      </w:tr>
      <w:tr w14:paraId="1EDC9A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05" w:type="pct"/>
            <w:tcBorders>
              <w:top w:val="single" w:color="auto" w:sz="4" w:space="0"/>
              <w:left w:val="single" w:color="auto" w:sz="4" w:space="0"/>
              <w:bottom w:val="single" w:color="auto" w:sz="4" w:space="0"/>
              <w:right w:val="single" w:color="auto" w:sz="4" w:space="0"/>
            </w:tcBorders>
          </w:tcPr>
          <w:p w14:paraId="53CD3B14">
            <w:pPr>
              <w:snapToGrid w:val="0"/>
              <w:spacing w:before="50" w:after="120" w:afterLines="50" w:line="400" w:lineRule="exact"/>
              <w:jc w:val="left"/>
              <w:rPr>
                <w:rFonts w:hint="eastAsia" w:ascii="宋体" w:hAnsi="宋体" w:cs="宋体"/>
                <w:color w:val="auto"/>
                <w:sz w:val="24"/>
                <w:highlight w:val="none"/>
              </w:rPr>
            </w:pPr>
          </w:p>
        </w:tc>
        <w:tc>
          <w:tcPr>
            <w:tcW w:w="1495" w:type="pct"/>
            <w:tcBorders>
              <w:top w:val="single" w:color="auto" w:sz="4" w:space="0"/>
              <w:left w:val="single" w:color="auto" w:sz="4" w:space="0"/>
              <w:bottom w:val="single" w:color="auto" w:sz="4" w:space="0"/>
              <w:right w:val="single" w:color="auto" w:sz="4" w:space="0"/>
            </w:tcBorders>
          </w:tcPr>
          <w:p w14:paraId="772E1E2B">
            <w:pPr>
              <w:snapToGrid w:val="0"/>
              <w:spacing w:before="50" w:after="120" w:afterLines="50" w:line="400" w:lineRule="exact"/>
              <w:jc w:val="left"/>
              <w:rPr>
                <w:rFonts w:hint="eastAsia" w:ascii="宋体" w:hAnsi="宋体" w:cs="宋体"/>
                <w:color w:val="auto"/>
                <w:sz w:val="24"/>
                <w:highlight w:val="none"/>
              </w:rPr>
            </w:pPr>
          </w:p>
        </w:tc>
        <w:tc>
          <w:tcPr>
            <w:tcW w:w="830" w:type="pct"/>
            <w:tcBorders>
              <w:top w:val="single" w:color="auto" w:sz="4" w:space="0"/>
              <w:left w:val="single" w:color="auto" w:sz="4" w:space="0"/>
              <w:bottom w:val="single" w:color="auto" w:sz="4" w:space="0"/>
              <w:right w:val="single" w:color="auto" w:sz="4" w:space="0"/>
            </w:tcBorders>
          </w:tcPr>
          <w:p w14:paraId="345BA031">
            <w:pPr>
              <w:snapToGrid w:val="0"/>
              <w:spacing w:before="50" w:after="120" w:afterLines="50" w:line="400" w:lineRule="exact"/>
              <w:jc w:val="left"/>
              <w:rPr>
                <w:rFonts w:hint="eastAsia" w:ascii="宋体" w:hAnsi="宋体" w:cs="宋体"/>
                <w:color w:val="auto"/>
                <w:sz w:val="24"/>
                <w:highlight w:val="none"/>
              </w:rPr>
            </w:pPr>
          </w:p>
        </w:tc>
        <w:tc>
          <w:tcPr>
            <w:tcW w:w="830" w:type="pct"/>
            <w:tcBorders>
              <w:top w:val="single" w:color="auto" w:sz="4" w:space="0"/>
              <w:left w:val="single" w:color="auto" w:sz="4" w:space="0"/>
              <w:bottom w:val="single" w:color="auto" w:sz="4" w:space="0"/>
              <w:right w:val="single" w:color="auto" w:sz="4" w:space="0"/>
            </w:tcBorders>
          </w:tcPr>
          <w:p w14:paraId="231B3A58">
            <w:pPr>
              <w:snapToGrid w:val="0"/>
              <w:spacing w:before="50" w:after="120" w:afterLines="50" w:line="400" w:lineRule="exact"/>
              <w:jc w:val="left"/>
              <w:rPr>
                <w:rFonts w:hint="eastAsia" w:ascii="宋体" w:hAnsi="宋体" w:cs="宋体"/>
                <w:color w:val="auto"/>
                <w:sz w:val="24"/>
                <w:highlight w:val="none"/>
              </w:rPr>
            </w:pPr>
          </w:p>
        </w:tc>
        <w:tc>
          <w:tcPr>
            <w:tcW w:w="1338" w:type="pct"/>
            <w:tcBorders>
              <w:top w:val="single" w:color="auto" w:sz="4" w:space="0"/>
              <w:left w:val="single" w:color="auto" w:sz="4" w:space="0"/>
              <w:bottom w:val="single" w:color="auto" w:sz="4" w:space="0"/>
              <w:right w:val="single" w:color="auto" w:sz="4" w:space="0"/>
            </w:tcBorders>
          </w:tcPr>
          <w:p w14:paraId="62859A59">
            <w:pPr>
              <w:snapToGrid w:val="0"/>
              <w:spacing w:before="50" w:after="120" w:afterLines="50" w:line="400" w:lineRule="exact"/>
              <w:jc w:val="left"/>
              <w:rPr>
                <w:rFonts w:hint="eastAsia" w:ascii="宋体" w:hAnsi="宋体" w:cs="宋体"/>
                <w:color w:val="auto"/>
                <w:sz w:val="24"/>
                <w:highlight w:val="none"/>
              </w:rPr>
            </w:pPr>
          </w:p>
        </w:tc>
      </w:tr>
      <w:tr w14:paraId="781F35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05" w:type="pct"/>
            <w:tcBorders>
              <w:top w:val="single" w:color="auto" w:sz="4" w:space="0"/>
              <w:left w:val="single" w:color="auto" w:sz="4" w:space="0"/>
              <w:bottom w:val="single" w:color="auto" w:sz="4" w:space="0"/>
              <w:right w:val="single" w:color="auto" w:sz="4" w:space="0"/>
            </w:tcBorders>
          </w:tcPr>
          <w:p w14:paraId="52915769">
            <w:pPr>
              <w:snapToGrid w:val="0"/>
              <w:spacing w:before="50" w:after="120" w:afterLines="50" w:line="400" w:lineRule="exact"/>
              <w:jc w:val="left"/>
              <w:rPr>
                <w:rFonts w:hint="eastAsia" w:ascii="宋体" w:hAnsi="宋体" w:cs="宋体"/>
                <w:color w:val="auto"/>
                <w:sz w:val="24"/>
                <w:highlight w:val="none"/>
              </w:rPr>
            </w:pPr>
          </w:p>
        </w:tc>
        <w:tc>
          <w:tcPr>
            <w:tcW w:w="1495" w:type="pct"/>
            <w:tcBorders>
              <w:top w:val="single" w:color="auto" w:sz="4" w:space="0"/>
              <w:left w:val="single" w:color="auto" w:sz="4" w:space="0"/>
              <w:bottom w:val="single" w:color="auto" w:sz="4" w:space="0"/>
              <w:right w:val="single" w:color="auto" w:sz="4" w:space="0"/>
            </w:tcBorders>
          </w:tcPr>
          <w:p w14:paraId="779E6CA1">
            <w:pPr>
              <w:snapToGrid w:val="0"/>
              <w:spacing w:before="50" w:after="120" w:afterLines="50" w:line="400" w:lineRule="exact"/>
              <w:jc w:val="left"/>
              <w:rPr>
                <w:rFonts w:hint="eastAsia" w:ascii="宋体" w:hAnsi="宋体" w:cs="宋体"/>
                <w:color w:val="auto"/>
                <w:sz w:val="24"/>
                <w:highlight w:val="none"/>
              </w:rPr>
            </w:pPr>
          </w:p>
        </w:tc>
        <w:tc>
          <w:tcPr>
            <w:tcW w:w="830" w:type="pct"/>
            <w:tcBorders>
              <w:top w:val="single" w:color="auto" w:sz="4" w:space="0"/>
              <w:left w:val="single" w:color="auto" w:sz="4" w:space="0"/>
              <w:bottom w:val="single" w:color="auto" w:sz="4" w:space="0"/>
              <w:right w:val="single" w:color="auto" w:sz="4" w:space="0"/>
            </w:tcBorders>
          </w:tcPr>
          <w:p w14:paraId="1208CD57">
            <w:pPr>
              <w:snapToGrid w:val="0"/>
              <w:spacing w:before="50" w:after="120" w:afterLines="50" w:line="400" w:lineRule="exact"/>
              <w:jc w:val="left"/>
              <w:rPr>
                <w:rFonts w:hint="eastAsia" w:ascii="宋体" w:hAnsi="宋体" w:cs="宋体"/>
                <w:color w:val="auto"/>
                <w:sz w:val="24"/>
                <w:highlight w:val="none"/>
              </w:rPr>
            </w:pPr>
          </w:p>
        </w:tc>
        <w:tc>
          <w:tcPr>
            <w:tcW w:w="830" w:type="pct"/>
            <w:tcBorders>
              <w:top w:val="single" w:color="auto" w:sz="4" w:space="0"/>
              <w:left w:val="single" w:color="auto" w:sz="4" w:space="0"/>
              <w:bottom w:val="single" w:color="auto" w:sz="4" w:space="0"/>
              <w:right w:val="single" w:color="auto" w:sz="4" w:space="0"/>
            </w:tcBorders>
          </w:tcPr>
          <w:p w14:paraId="10392F0B">
            <w:pPr>
              <w:snapToGrid w:val="0"/>
              <w:spacing w:before="50" w:after="120" w:afterLines="50" w:line="400" w:lineRule="exact"/>
              <w:jc w:val="left"/>
              <w:rPr>
                <w:rFonts w:hint="eastAsia" w:ascii="宋体" w:hAnsi="宋体" w:cs="宋体"/>
                <w:color w:val="auto"/>
                <w:sz w:val="24"/>
                <w:highlight w:val="none"/>
              </w:rPr>
            </w:pPr>
          </w:p>
        </w:tc>
        <w:tc>
          <w:tcPr>
            <w:tcW w:w="1338" w:type="pct"/>
            <w:tcBorders>
              <w:top w:val="single" w:color="auto" w:sz="4" w:space="0"/>
              <w:left w:val="single" w:color="auto" w:sz="4" w:space="0"/>
              <w:bottom w:val="single" w:color="auto" w:sz="4" w:space="0"/>
              <w:right w:val="single" w:color="auto" w:sz="4" w:space="0"/>
            </w:tcBorders>
          </w:tcPr>
          <w:p w14:paraId="01AEAA87">
            <w:pPr>
              <w:snapToGrid w:val="0"/>
              <w:spacing w:before="50" w:after="120" w:afterLines="50" w:line="400" w:lineRule="exact"/>
              <w:jc w:val="left"/>
              <w:rPr>
                <w:rFonts w:hint="eastAsia" w:ascii="宋体" w:hAnsi="宋体" w:cs="宋体"/>
                <w:color w:val="auto"/>
                <w:sz w:val="24"/>
                <w:highlight w:val="none"/>
              </w:rPr>
            </w:pPr>
          </w:p>
        </w:tc>
      </w:tr>
    </w:tbl>
    <w:p w14:paraId="76E9E962">
      <w:pPr>
        <w:pStyle w:val="16"/>
        <w:spacing w:before="0" w:after="0" w:line="360" w:lineRule="auto"/>
        <w:contextualSpacing/>
        <w:rPr>
          <w:rFonts w:hint="eastAsia" w:ascii="宋体" w:hAnsi="宋体" w:eastAsia="宋体" w:cs="宋体"/>
          <w:color w:val="auto"/>
          <w:sz w:val="24"/>
          <w:szCs w:val="24"/>
          <w:highlight w:val="none"/>
        </w:rPr>
      </w:pPr>
    </w:p>
    <w:p w14:paraId="28CD2580">
      <w:pPr>
        <w:pStyle w:val="16"/>
        <w:spacing w:before="0" w:after="0" w:line="360" w:lineRule="auto"/>
        <w:contextualSpacing/>
        <w:rPr>
          <w:rFonts w:hint="eastAsia" w:ascii="宋体" w:hAnsi="宋体" w:eastAsia="宋体" w:cs="宋体"/>
          <w:color w:val="auto"/>
          <w:sz w:val="24"/>
          <w:szCs w:val="24"/>
          <w:highlight w:val="none"/>
        </w:rPr>
      </w:pPr>
    </w:p>
    <w:p w14:paraId="6D455AAA">
      <w:pPr>
        <w:pStyle w:val="16"/>
        <w:spacing w:before="0" w:after="0" w:line="360" w:lineRule="auto"/>
        <w:contextualSpacing/>
        <w:rPr>
          <w:rFonts w:hint="eastAsia" w:ascii="宋体" w:hAnsi="宋体" w:eastAsia="宋体" w:cs="宋体"/>
          <w:color w:val="auto"/>
          <w:sz w:val="24"/>
          <w:szCs w:val="24"/>
          <w:highlight w:val="none"/>
        </w:rPr>
      </w:pPr>
    </w:p>
    <w:p w14:paraId="3E2A41EB">
      <w:pPr>
        <w:pStyle w:val="16"/>
        <w:spacing w:before="0" w:after="0" w:line="360" w:lineRule="auto"/>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hint="eastAsia" w:ascii="宋体" w:hAnsi="宋体" w:eastAsia="宋体" w:cs="宋体"/>
          <w:color w:val="auto"/>
          <w:sz w:val="24"/>
          <w:highlight w:val="none"/>
        </w:rPr>
        <w:t>投标人根据评标标准具体要求附业绩证明材料。</w:t>
      </w:r>
    </w:p>
    <w:p w14:paraId="292A5441">
      <w:pPr>
        <w:pStyle w:val="16"/>
        <w:spacing w:before="0" w:after="0" w:line="360" w:lineRule="auto"/>
        <w:contextualSpacing/>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法定代表人或者委托代理人（签字）：</w:t>
      </w:r>
      <w:r>
        <w:rPr>
          <w:rFonts w:hint="eastAsia" w:ascii="宋体" w:hAnsi="宋体" w:eastAsia="宋体" w:cs="宋体"/>
          <w:color w:val="auto"/>
          <w:sz w:val="24"/>
          <w:szCs w:val="24"/>
          <w:highlight w:val="none"/>
          <w:u w:val="single"/>
        </w:rPr>
        <w:t>　　　　　</w:t>
      </w:r>
    </w:p>
    <w:p w14:paraId="13238C0E">
      <w:pPr>
        <w:spacing w:line="360" w:lineRule="auto"/>
        <w:ind w:right="480"/>
        <w:contextualSpacing/>
        <w:jc w:val="left"/>
        <w:rPr>
          <w:rFonts w:hint="eastAsia" w:ascii="宋体" w:hAnsi="宋体" w:cs="宋体"/>
          <w:color w:val="auto"/>
          <w:sz w:val="24"/>
          <w:highlight w:val="none"/>
        </w:rPr>
      </w:pPr>
      <w:r>
        <w:rPr>
          <w:rFonts w:hint="eastAsia" w:ascii="宋体" w:hAnsi="宋体" w:cs="宋体"/>
          <w:color w:val="auto"/>
          <w:sz w:val="24"/>
          <w:highlight w:val="none"/>
        </w:rPr>
        <w:t>投标人名称（盖公章）：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078FF301">
      <w:pPr>
        <w:spacing w:line="360" w:lineRule="auto"/>
        <w:ind w:right="480"/>
        <w:contextualSpacing/>
        <w:jc w:val="left"/>
        <w:rPr>
          <w:rFonts w:hint="eastAsia" w:ascii="宋体" w:hAnsi="宋体" w:cs="宋体"/>
          <w:color w:val="auto"/>
          <w:sz w:val="24"/>
          <w:szCs w:val="20"/>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71A6F401">
      <w:pPr>
        <w:snapToGrid w:val="0"/>
        <w:spacing w:before="50"/>
        <w:ind w:firstLine="480" w:firstLineChars="200"/>
        <w:jc w:val="left"/>
        <w:rPr>
          <w:rFonts w:hint="eastAsia" w:ascii="宋体" w:hAnsi="宋体" w:cs="宋体"/>
          <w:color w:val="auto"/>
          <w:sz w:val="24"/>
          <w:szCs w:val="20"/>
          <w:highlight w:val="none"/>
        </w:rPr>
      </w:pPr>
    </w:p>
    <w:p w14:paraId="4F8DE4E4">
      <w:pPr>
        <w:snapToGrid w:val="0"/>
        <w:spacing w:before="50"/>
        <w:jc w:val="left"/>
        <w:rPr>
          <w:rFonts w:hint="eastAsia" w:ascii="宋体" w:hAnsi="宋体" w:cs="宋体"/>
          <w:color w:val="auto"/>
          <w:sz w:val="24"/>
          <w:highlight w:val="none"/>
        </w:rPr>
      </w:pPr>
    </w:p>
    <w:p w14:paraId="114523E3">
      <w:pPr>
        <w:snapToGrid w:val="0"/>
        <w:spacing w:before="120" w:beforeLines="50"/>
        <w:rPr>
          <w:rFonts w:hint="eastAsia" w:ascii="宋体" w:hAnsi="宋体" w:cs="宋体"/>
          <w:color w:val="auto"/>
          <w:sz w:val="24"/>
          <w:szCs w:val="20"/>
          <w:highlight w:val="none"/>
        </w:rPr>
        <w:sectPr>
          <w:pgSz w:w="11906" w:h="16838"/>
          <w:pgMar w:top="1440" w:right="1080" w:bottom="1440" w:left="1080" w:header="851" w:footer="992" w:gutter="0"/>
          <w:cols w:space="720" w:num="1"/>
          <w:docGrid w:linePitch="312" w:charSpace="0"/>
        </w:sectPr>
      </w:pPr>
    </w:p>
    <w:p w14:paraId="74495069">
      <w:pPr>
        <w:rPr>
          <w:rFonts w:hint="eastAsia" w:ascii="宋体" w:hAnsi="宋体" w:cs="宋体"/>
          <w:b/>
          <w:color w:val="auto"/>
          <w:sz w:val="28"/>
          <w:szCs w:val="28"/>
          <w:highlight w:val="none"/>
        </w:rPr>
      </w:pPr>
      <w:r>
        <w:rPr>
          <w:rFonts w:hint="eastAsia" w:ascii="宋体" w:hAnsi="宋体" w:cs="宋体"/>
          <w:b/>
          <w:color w:val="auto"/>
          <w:sz w:val="28"/>
          <w:szCs w:val="28"/>
          <w:highlight w:val="none"/>
        </w:rPr>
        <w:t>四、技术文件格式</w:t>
      </w:r>
    </w:p>
    <w:p w14:paraId="0C021968">
      <w:pPr>
        <w:snapToGrid w:val="0"/>
        <w:spacing w:before="120" w:beforeLines="50" w:after="50"/>
        <w:ind w:left="142"/>
        <w:jc w:val="left"/>
        <w:rPr>
          <w:rFonts w:hint="eastAsia" w:ascii="宋体" w:hAnsi="宋体" w:cs="宋体"/>
          <w:b/>
          <w:color w:val="auto"/>
          <w:sz w:val="24"/>
          <w:highlight w:val="none"/>
        </w:rPr>
      </w:pPr>
      <w:r>
        <w:rPr>
          <w:rFonts w:hint="eastAsia" w:ascii="宋体" w:hAnsi="宋体" w:cs="宋体"/>
          <w:b/>
          <w:color w:val="auto"/>
          <w:sz w:val="24"/>
          <w:highlight w:val="none"/>
        </w:rPr>
        <w:t xml:space="preserve">1. 技术文件封面格式： </w:t>
      </w:r>
    </w:p>
    <w:p w14:paraId="7873F5CF">
      <w:pPr>
        <w:snapToGrid w:val="0"/>
        <w:spacing w:before="120" w:beforeLines="50" w:after="50"/>
        <w:rPr>
          <w:rFonts w:hint="eastAsia" w:ascii="宋体" w:hAnsi="宋体" w:cs="宋体"/>
          <w:b/>
          <w:bCs/>
          <w:color w:val="auto"/>
          <w:sz w:val="32"/>
          <w:szCs w:val="20"/>
          <w:highlight w:val="none"/>
        </w:rPr>
      </w:pPr>
    </w:p>
    <w:p w14:paraId="36A6DB2A">
      <w:pPr>
        <w:snapToGrid w:val="0"/>
        <w:spacing w:before="120" w:beforeLines="50" w:after="50"/>
        <w:rPr>
          <w:rFonts w:hint="eastAsia" w:ascii="宋体" w:hAnsi="宋体" w:cs="宋体"/>
          <w:color w:val="auto"/>
          <w:sz w:val="24"/>
          <w:szCs w:val="20"/>
          <w:highlight w:val="none"/>
        </w:rPr>
      </w:pPr>
    </w:p>
    <w:p w14:paraId="070E8CDB">
      <w:pPr>
        <w:snapToGrid w:val="0"/>
        <w:spacing w:before="120" w:beforeLines="50" w:after="50"/>
        <w:rPr>
          <w:rFonts w:hint="eastAsia" w:ascii="宋体" w:hAnsi="宋体" w:cs="宋体"/>
          <w:color w:val="auto"/>
          <w:sz w:val="24"/>
          <w:szCs w:val="20"/>
          <w:highlight w:val="none"/>
        </w:rPr>
      </w:pPr>
    </w:p>
    <w:p w14:paraId="00F1CE12">
      <w:pPr>
        <w:snapToGrid w:val="0"/>
        <w:spacing w:before="120" w:beforeLines="50" w:after="50"/>
        <w:jc w:val="center"/>
        <w:rPr>
          <w:rFonts w:hint="eastAsia" w:ascii="宋体" w:hAnsi="宋体" w:cs="宋体"/>
          <w:color w:val="auto"/>
          <w:sz w:val="84"/>
          <w:szCs w:val="84"/>
          <w:highlight w:val="none"/>
        </w:rPr>
      </w:pPr>
      <w:r>
        <w:rPr>
          <w:rFonts w:hint="eastAsia" w:ascii="宋体" w:hAnsi="宋体" w:cs="宋体"/>
          <w:color w:val="auto"/>
          <w:sz w:val="84"/>
          <w:szCs w:val="84"/>
          <w:highlight w:val="none"/>
        </w:rPr>
        <w:t>投  标  文  件</w:t>
      </w:r>
    </w:p>
    <w:p w14:paraId="20487D69">
      <w:pPr>
        <w:snapToGrid w:val="0"/>
        <w:spacing w:before="120" w:beforeLines="50" w:after="50"/>
        <w:rPr>
          <w:rFonts w:hint="eastAsia" w:ascii="宋体" w:hAnsi="宋体" w:cs="宋体"/>
          <w:color w:val="auto"/>
          <w:sz w:val="24"/>
          <w:szCs w:val="20"/>
          <w:highlight w:val="none"/>
        </w:rPr>
      </w:pPr>
    </w:p>
    <w:p w14:paraId="0ACA8F45">
      <w:pPr>
        <w:snapToGrid w:val="0"/>
        <w:spacing w:before="120" w:beforeLines="50" w:after="50"/>
        <w:rPr>
          <w:rFonts w:hint="eastAsia" w:ascii="宋体" w:hAnsi="宋体" w:cs="宋体"/>
          <w:color w:val="auto"/>
          <w:sz w:val="24"/>
          <w:szCs w:val="20"/>
          <w:highlight w:val="none"/>
        </w:rPr>
      </w:pPr>
    </w:p>
    <w:p w14:paraId="0E413A18">
      <w:pPr>
        <w:snapToGrid w:val="0"/>
        <w:spacing w:before="120" w:beforeLines="50" w:after="50"/>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技  术  文  件</w:t>
      </w:r>
    </w:p>
    <w:p w14:paraId="5DFD7F03">
      <w:pPr>
        <w:snapToGrid w:val="0"/>
        <w:spacing w:before="120" w:beforeLines="50" w:after="50"/>
        <w:rPr>
          <w:rFonts w:hint="eastAsia" w:ascii="宋体" w:hAnsi="宋体" w:cs="宋体"/>
          <w:bCs/>
          <w:color w:val="auto"/>
          <w:sz w:val="24"/>
          <w:szCs w:val="20"/>
          <w:highlight w:val="none"/>
        </w:rPr>
      </w:pPr>
    </w:p>
    <w:p w14:paraId="1504BCE9">
      <w:pPr>
        <w:snapToGrid w:val="0"/>
        <w:spacing w:before="120" w:beforeLines="50" w:after="50"/>
        <w:rPr>
          <w:rFonts w:hint="eastAsia" w:ascii="宋体" w:hAnsi="宋体" w:cs="宋体"/>
          <w:bCs/>
          <w:color w:val="auto"/>
          <w:sz w:val="24"/>
          <w:szCs w:val="20"/>
          <w:highlight w:val="none"/>
        </w:rPr>
      </w:pPr>
    </w:p>
    <w:p w14:paraId="36A34898">
      <w:pPr>
        <w:snapToGrid w:val="0"/>
        <w:spacing w:before="120" w:beforeLines="50" w:after="50" w:line="400" w:lineRule="exact"/>
        <w:ind w:firstLine="360" w:firstLineChars="150"/>
        <w:rPr>
          <w:rFonts w:hint="eastAsia" w:ascii="宋体" w:hAnsi="宋体" w:cs="宋体"/>
          <w:bCs/>
          <w:color w:val="auto"/>
          <w:sz w:val="24"/>
          <w:highlight w:val="none"/>
        </w:rPr>
      </w:pPr>
      <w:r>
        <w:rPr>
          <w:rFonts w:hint="eastAsia" w:ascii="宋体" w:hAnsi="宋体" w:cs="宋体"/>
          <w:bCs/>
          <w:color w:val="auto"/>
          <w:sz w:val="24"/>
          <w:highlight w:val="none"/>
        </w:rPr>
        <w:t xml:space="preserve">项目名称： </w:t>
      </w:r>
    </w:p>
    <w:p w14:paraId="1A0C4119">
      <w:pPr>
        <w:snapToGrid w:val="0"/>
        <w:spacing w:before="120" w:beforeLines="50" w:after="50" w:line="400" w:lineRule="exact"/>
        <w:ind w:firstLine="360" w:firstLineChars="150"/>
        <w:rPr>
          <w:rFonts w:hint="eastAsia" w:ascii="宋体" w:hAnsi="宋体" w:cs="宋体"/>
          <w:bCs/>
          <w:color w:val="auto"/>
          <w:sz w:val="24"/>
          <w:szCs w:val="20"/>
          <w:highlight w:val="none"/>
        </w:rPr>
      </w:pPr>
    </w:p>
    <w:p w14:paraId="77A0A5BA">
      <w:pPr>
        <w:snapToGrid w:val="0"/>
        <w:spacing w:before="120" w:beforeLines="50" w:after="50" w:line="400" w:lineRule="exact"/>
        <w:ind w:firstLine="360" w:firstLineChars="150"/>
        <w:rPr>
          <w:rFonts w:hint="eastAsia" w:ascii="宋体" w:hAnsi="宋体" w:cs="宋体"/>
          <w:bCs/>
          <w:color w:val="auto"/>
          <w:sz w:val="24"/>
          <w:highlight w:val="none"/>
        </w:rPr>
      </w:pPr>
      <w:r>
        <w:rPr>
          <w:rFonts w:hint="eastAsia" w:ascii="宋体" w:hAnsi="宋体" w:cs="宋体"/>
          <w:bCs/>
          <w:color w:val="auto"/>
          <w:sz w:val="24"/>
          <w:highlight w:val="none"/>
        </w:rPr>
        <w:t xml:space="preserve">项目编号： </w:t>
      </w:r>
    </w:p>
    <w:p w14:paraId="2D5343A4">
      <w:pPr>
        <w:snapToGrid w:val="0"/>
        <w:spacing w:before="120" w:beforeLines="50" w:after="50" w:line="400" w:lineRule="exact"/>
        <w:ind w:firstLine="360" w:firstLineChars="150"/>
        <w:rPr>
          <w:rFonts w:hint="eastAsia" w:ascii="宋体" w:hAnsi="宋体" w:cs="宋体"/>
          <w:bCs/>
          <w:color w:val="auto"/>
          <w:sz w:val="24"/>
          <w:highlight w:val="none"/>
        </w:rPr>
      </w:pPr>
    </w:p>
    <w:p w14:paraId="58CA7651">
      <w:pPr>
        <w:snapToGrid w:val="0"/>
        <w:spacing w:before="120" w:beforeLines="50" w:after="50" w:line="400" w:lineRule="exact"/>
        <w:ind w:firstLine="360" w:firstLineChars="150"/>
        <w:rPr>
          <w:rFonts w:hint="eastAsia" w:ascii="宋体" w:hAnsi="宋体" w:cs="宋体"/>
          <w:bCs/>
          <w:color w:val="auto"/>
          <w:sz w:val="24"/>
          <w:highlight w:val="none"/>
        </w:rPr>
      </w:pPr>
      <w:r>
        <w:rPr>
          <w:rFonts w:hint="eastAsia" w:ascii="宋体" w:hAnsi="宋体" w:cs="宋体"/>
          <w:bCs/>
          <w:color w:val="auto"/>
          <w:sz w:val="24"/>
          <w:highlight w:val="none"/>
        </w:rPr>
        <w:t>所投分标：</w:t>
      </w:r>
    </w:p>
    <w:p w14:paraId="6B6E0421">
      <w:pPr>
        <w:snapToGrid w:val="0"/>
        <w:spacing w:before="120" w:beforeLines="50" w:after="50" w:line="400" w:lineRule="exact"/>
        <w:ind w:firstLine="360" w:firstLineChars="150"/>
        <w:rPr>
          <w:rFonts w:hint="eastAsia" w:ascii="宋体" w:hAnsi="宋体" w:cs="宋体"/>
          <w:bCs/>
          <w:color w:val="auto"/>
          <w:sz w:val="24"/>
          <w:highlight w:val="none"/>
        </w:rPr>
      </w:pPr>
    </w:p>
    <w:p w14:paraId="0E43A9B4">
      <w:pPr>
        <w:snapToGrid w:val="0"/>
        <w:spacing w:before="120" w:beforeLines="50" w:after="50" w:line="400" w:lineRule="exact"/>
        <w:ind w:firstLine="360" w:firstLineChars="150"/>
        <w:rPr>
          <w:rFonts w:hint="eastAsia" w:ascii="宋体" w:hAnsi="宋体" w:cs="宋体"/>
          <w:bCs/>
          <w:color w:val="auto"/>
          <w:sz w:val="24"/>
          <w:highlight w:val="none"/>
        </w:rPr>
      </w:pPr>
      <w:r>
        <w:rPr>
          <w:rFonts w:hint="eastAsia" w:ascii="宋体" w:hAnsi="宋体" w:cs="宋体"/>
          <w:bCs/>
          <w:color w:val="auto"/>
          <w:sz w:val="24"/>
          <w:highlight w:val="none"/>
        </w:rPr>
        <w:t>投标人名称：</w:t>
      </w:r>
    </w:p>
    <w:p w14:paraId="20D982DC">
      <w:pPr>
        <w:snapToGrid w:val="0"/>
        <w:spacing w:before="120" w:beforeLines="50" w:after="50" w:line="400" w:lineRule="exact"/>
        <w:ind w:firstLine="360" w:firstLineChars="150"/>
        <w:rPr>
          <w:rFonts w:hint="eastAsia" w:ascii="宋体" w:hAnsi="宋体" w:cs="宋体"/>
          <w:bCs/>
          <w:color w:val="auto"/>
          <w:sz w:val="24"/>
          <w:highlight w:val="none"/>
        </w:rPr>
      </w:pPr>
    </w:p>
    <w:p w14:paraId="0A3B60F2">
      <w:pPr>
        <w:snapToGrid w:val="0"/>
        <w:spacing w:before="120" w:beforeLines="50" w:after="50" w:line="400" w:lineRule="exact"/>
        <w:ind w:firstLine="360" w:firstLineChars="150"/>
        <w:rPr>
          <w:rFonts w:hint="eastAsia" w:ascii="宋体" w:hAnsi="宋体" w:cs="宋体"/>
          <w:bCs/>
          <w:color w:val="auto"/>
          <w:sz w:val="24"/>
          <w:highlight w:val="none"/>
        </w:rPr>
      </w:pPr>
      <w:r>
        <w:rPr>
          <w:rFonts w:hint="eastAsia" w:ascii="宋体" w:hAnsi="宋体" w:cs="宋体"/>
          <w:bCs/>
          <w:color w:val="auto"/>
          <w:sz w:val="24"/>
          <w:highlight w:val="none"/>
        </w:rPr>
        <w:t>投标人地址：</w:t>
      </w:r>
    </w:p>
    <w:p w14:paraId="73C7B0EE">
      <w:pPr>
        <w:snapToGrid w:val="0"/>
        <w:spacing w:before="120" w:beforeLines="50" w:after="50" w:line="400" w:lineRule="exact"/>
        <w:ind w:firstLine="360" w:firstLineChars="150"/>
        <w:rPr>
          <w:rFonts w:hint="eastAsia" w:ascii="宋体" w:hAnsi="宋体" w:cs="宋体"/>
          <w:bCs/>
          <w:color w:val="auto"/>
          <w:sz w:val="24"/>
          <w:highlight w:val="none"/>
        </w:rPr>
      </w:pPr>
    </w:p>
    <w:p w14:paraId="640392B8">
      <w:pPr>
        <w:snapToGrid w:val="0"/>
        <w:spacing w:before="120" w:beforeLines="50" w:after="50"/>
        <w:ind w:firstLine="645"/>
        <w:jc w:val="center"/>
        <w:rPr>
          <w:rFonts w:hint="eastAsia" w:ascii="宋体" w:hAnsi="宋体" w:cs="宋体"/>
          <w:color w:val="auto"/>
          <w:sz w:val="24"/>
          <w:highlight w:val="none"/>
        </w:rPr>
      </w:pPr>
    </w:p>
    <w:p w14:paraId="6B0D89B3">
      <w:pPr>
        <w:snapToGrid w:val="0"/>
        <w:spacing w:before="120" w:beforeLines="50" w:after="50"/>
        <w:ind w:firstLine="645"/>
        <w:jc w:val="center"/>
        <w:rPr>
          <w:rFonts w:hint="eastAsia" w:ascii="宋体" w:hAnsi="宋体" w:cs="宋体"/>
          <w:color w:val="auto"/>
          <w:sz w:val="24"/>
          <w:highlight w:val="none"/>
        </w:rPr>
      </w:pPr>
    </w:p>
    <w:p w14:paraId="5A33B8AA">
      <w:pPr>
        <w:snapToGrid w:val="0"/>
        <w:spacing w:before="120" w:beforeLines="50" w:after="50"/>
        <w:ind w:firstLine="645"/>
        <w:jc w:val="center"/>
        <w:rPr>
          <w:rFonts w:hint="eastAsia" w:ascii="宋体" w:hAnsi="宋体" w:cs="宋体"/>
          <w:color w:val="auto"/>
          <w:sz w:val="24"/>
          <w:highlight w:val="none"/>
        </w:rPr>
      </w:pPr>
      <w:r>
        <w:rPr>
          <w:rFonts w:hint="eastAsia" w:ascii="宋体" w:hAnsi="宋体" w:cs="宋体"/>
          <w:color w:val="auto"/>
          <w:sz w:val="24"/>
          <w:highlight w:val="none"/>
        </w:rPr>
        <w:t>年    月    日</w:t>
      </w:r>
    </w:p>
    <w:p w14:paraId="5F8087F1">
      <w:pPr>
        <w:snapToGrid w:val="0"/>
        <w:spacing w:before="120" w:beforeLines="50" w:after="50"/>
        <w:ind w:firstLine="645"/>
        <w:jc w:val="center"/>
        <w:rPr>
          <w:rFonts w:hint="eastAsia" w:ascii="宋体" w:hAnsi="宋体" w:cs="宋体"/>
          <w:color w:val="auto"/>
          <w:sz w:val="24"/>
          <w:szCs w:val="20"/>
          <w:highlight w:val="none"/>
        </w:rPr>
      </w:pPr>
    </w:p>
    <w:p w14:paraId="5C086CCC">
      <w:pPr>
        <w:snapToGrid w:val="0"/>
        <w:spacing w:before="120" w:beforeLines="50" w:after="50"/>
        <w:ind w:left="142"/>
        <w:jc w:val="left"/>
        <w:rPr>
          <w:rFonts w:hint="eastAsia" w:ascii="宋体" w:hAnsi="宋体" w:cs="宋体"/>
          <w:b/>
          <w:bCs/>
          <w:color w:val="auto"/>
          <w:sz w:val="24"/>
          <w:highlight w:val="none"/>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2.技术文件目录</w:t>
      </w:r>
    </w:p>
    <w:p w14:paraId="3B039095">
      <w:pPr>
        <w:snapToGrid w:val="0"/>
        <w:spacing w:before="50" w:after="120" w:afterLines="5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根据招标文件规定及投标人提供的材料自行编写目录。</w:t>
      </w:r>
    </w:p>
    <w:p w14:paraId="6BEDEF69">
      <w:pPr>
        <w:snapToGrid w:val="0"/>
        <w:spacing w:before="120" w:beforeLines="50" w:after="50"/>
        <w:ind w:left="142"/>
        <w:jc w:val="left"/>
        <w:rPr>
          <w:rFonts w:hint="eastAsia" w:ascii="宋体" w:hAnsi="宋体" w:cs="宋体"/>
          <w:b/>
          <w:color w:val="auto"/>
          <w:sz w:val="24"/>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3.货物配置清单格式</w:t>
      </w:r>
    </w:p>
    <w:p w14:paraId="697A2182">
      <w:pPr>
        <w:snapToGrid w:val="0"/>
        <w:spacing w:before="120" w:beforeLines="50" w:after="50"/>
        <w:ind w:left="142"/>
        <w:jc w:val="left"/>
        <w:rPr>
          <w:rFonts w:hint="eastAsia" w:ascii="宋体" w:hAnsi="宋体" w:cs="宋体"/>
          <w:b/>
          <w:color w:val="auto"/>
          <w:sz w:val="24"/>
          <w:highlight w:val="none"/>
        </w:rPr>
      </w:pPr>
    </w:p>
    <w:p w14:paraId="50816BC8">
      <w:pPr>
        <w:snapToGrid w:val="0"/>
        <w:spacing w:before="120" w:beforeLines="50" w:after="50"/>
        <w:ind w:left="142"/>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货物配置清单</w:t>
      </w:r>
    </w:p>
    <w:p w14:paraId="1FE3B94E">
      <w:pPr>
        <w:pStyle w:val="25"/>
        <w:rPr>
          <w:rFonts w:hint="eastAsia" w:hAnsi="宋体" w:cs="宋体"/>
          <w:color w:val="auto"/>
          <w:sz w:val="24"/>
          <w:szCs w:val="24"/>
          <w:highlight w:val="none"/>
          <w:u w:val="single"/>
        </w:rPr>
      </w:pPr>
      <w:r>
        <w:rPr>
          <w:rFonts w:hint="eastAsia" w:hAnsi="宋体" w:cs="宋体"/>
          <w:color w:val="auto"/>
          <w:sz w:val="24"/>
          <w:szCs w:val="24"/>
          <w:highlight w:val="none"/>
        </w:rPr>
        <w:t>所投分标：</w:t>
      </w:r>
      <w:r>
        <w:rPr>
          <w:rFonts w:hint="eastAsia" w:hAnsi="宋体" w:cs="宋体"/>
          <w:color w:val="auto"/>
          <w:sz w:val="24"/>
          <w:szCs w:val="24"/>
          <w:highlight w:val="none"/>
          <w:u w:val="single"/>
        </w:rPr>
        <w:t xml:space="preserve">分标    </w:t>
      </w:r>
    </w:p>
    <w:tbl>
      <w:tblPr>
        <w:tblStyle w:val="48"/>
        <w:tblW w:w="53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821"/>
        <w:gridCol w:w="1388"/>
        <w:gridCol w:w="1064"/>
        <w:gridCol w:w="828"/>
        <w:gridCol w:w="1987"/>
        <w:gridCol w:w="1388"/>
        <w:gridCol w:w="822"/>
        <w:gridCol w:w="2262"/>
      </w:tblGrid>
      <w:tr w14:paraId="1EEE00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389" w:type="pct"/>
            <w:tcBorders>
              <w:top w:val="single" w:color="auto" w:sz="4" w:space="0"/>
              <w:left w:val="single" w:color="auto" w:sz="4" w:space="0"/>
              <w:bottom w:val="single" w:color="auto" w:sz="4" w:space="0"/>
              <w:right w:val="single" w:color="auto" w:sz="4" w:space="0"/>
            </w:tcBorders>
            <w:vAlign w:val="center"/>
          </w:tcPr>
          <w:p w14:paraId="00A328FC">
            <w:pPr>
              <w:snapToGrid w:val="0"/>
              <w:spacing w:before="50" w:after="50"/>
              <w:jc w:val="center"/>
              <w:rPr>
                <w:rFonts w:hint="eastAsia" w:ascii="宋体" w:hAnsi="宋体" w:cs="宋体"/>
                <w:color w:val="auto"/>
                <w:sz w:val="24"/>
                <w:highlight w:val="none"/>
              </w:rPr>
            </w:pPr>
            <w:r>
              <w:rPr>
                <w:rFonts w:hint="eastAsia" w:ascii="宋体" w:hAnsi="宋体" w:cs="宋体"/>
                <w:color w:val="auto"/>
                <w:sz w:val="24"/>
                <w:highlight w:val="none"/>
              </w:rPr>
              <w:t>序号</w:t>
            </w:r>
          </w:p>
        </w:tc>
        <w:tc>
          <w:tcPr>
            <w:tcW w:w="657" w:type="pct"/>
            <w:tcBorders>
              <w:top w:val="single" w:color="auto" w:sz="4" w:space="0"/>
              <w:left w:val="single" w:color="auto" w:sz="4" w:space="0"/>
              <w:bottom w:val="single" w:color="auto" w:sz="4" w:space="0"/>
              <w:right w:val="single" w:color="auto" w:sz="4" w:space="0"/>
            </w:tcBorders>
            <w:vAlign w:val="center"/>
          </w:tcPr>
          <w:p w14:paraId="1637899B">
            <w:pPr>
              <w:snapToGrid w:val="0"/>
              <w:spacing w:before="50" w:after="50"/>
              <w:jc w:val="center"/>
              <w:rPr>
                <w:rFonts w:hint="eastAsia" w:ascii="宋体" w:hAnsi="宋体" w:cs="宋体"/>
                <w:color w:val="auto"/>
                <w:sz w:val="24"/>
                <w:highlight w:val="none"/>
              </w:rPr>
            </w:pPr>
            <w:r>
              <w:rPr>
                <w:rFonts w:hint="eastAsia" w:ascii="宋体" w:hAnsi="宋体" w:cs="宋体"/>
                <w:color w:val="auto"/>
                <w:sz w:val="24"/>
                <w:highlight w:val="none"/>
              </w:rPr>
              <w:t>货物名称</w:t>
            </w:r>
          </w:p>
        </w:tc>
        <w:tc>
          <w:tcPr>
            <w:tcW w:w="504" w:type="pct"/>
            <w:tcBorders>
              <w:top w:val="single" w:color="auto" w:sz="4" w:space="0"/>
              <w:left w:val="single" w:color="auto" w:sz="4" w:space="0"/>
              <w:bottom w:val="single" w:color="auto" w:sz="4" w:space="0"/>
              <w:right w:val="single" w:color="auto" w:sz="4" w:space="0"/>
            </w:tcBorders>
            <w:vAlign w:val="center"/>
          </w:tcPr>
          <w:p w14:paraId="6A8CE8FD">
            <w:pPr>
              <w:snapToGrid w:val="0"/>
              <w:spacing w:before="50" w:after="50"/>
              <w:jc w:val="center"/>
              <w:rPr>
                <w:rFonts w:hint="eastAsia" w:ascii="宋体" w:hAnsi="宋体" w:cs="宋体"/>
                <w:color w:val="auto"/>
                <w:sz w:val="24"/>
                <w:highlight w:val="none"/>
              </w:rPr>
            </w:pPr>
            <w:r>
              <w:rPr>
                <w:rFonts w:hint="eastAsia" w:ascii="宋体" w:hAnsi="宋体" w:cs="宋体"/>
                <w:color w:val="auto"/>
                <w:sz w:val="24"/>
                <w:highlight w:val="none"/>
              </w:rPr>
              <w:t>数量及单位</w:t>
            </w:r>
          </w:p>
        </w:tc>
        <w:tc>
          <w:tcPr>
            <w:tcW w:w="392" w:type="pct"/>
            <w:tcBorders>
              <w:top w:val="single" w:color="auto" w:sz="4" w:space="0"/>
              <w:left w:val="single" w:color="auto" w:sz="4" w:space="0"/>
              <w:bottom w:val="single" w:color="auto" w:sz="4" w:space="0"/>
              <w:right w:val="single" w:color="auto" w:sz="4" w:space="0"/>
            </w:tcBorders>
            <w:vAlign w:val="center"/>
          </w:tcPr>
          <w:p w14:paraId="4394B7D4">
            <w:pPr>
              <w:snapToGrid w:val="0"/>
              <w:spacing w:before="50" w:after="50"/>
              <w:jc w:val="center"/>
              <w:rPr>
                <w:rFonts w:hint="eastAsia" w:ascii="宋体" w:hAnsi="宋体" w:cs="宋体"/>
                <w:color w:val="auto"/>
                <w:sz w:val="24"/>
                <w:highlight w:val="none"/>
              </w:rPr>
            </w:pPr>
            <w:r>
              <w:rPr>
                <w:rFonts w:hint="eastAsia" w:ascii="宋体" w:hAnsi="宋体" w:cs="宋体"/>
                <w:color w:val="auto"/>
                <w:sz w:val="24"/>
                <w:highlight w:val="none"/>
              </w:rPr>
              <w:t>品牌</w:t>
            </w:r>
          </w:p>
        </w:tc>
        <w:tc>
          <w:tcPr>
            <w:tcW w:w="941" w:type="pct"/>
            <w:tcBorders>
              <w:top w:val="single" w:color="auto" w:sz="4" w:space="0"/>
              <w:left w:val="single" w:color="auto" w:sz="4" w:space="0"/>
              <w:bottom w:val="single" w:color="auto" w:sz="4" w:space="0"/>
              <w:right w:val="single" w:color="auto" w:sz="4" w:space="0"/>
            </w:tcBorders>
          </w:tcPr>
          <w:p w14:paraId="4533AFE8">
            <w:pPr>
              <w:snapToGrid w:val="0"/>
              <w:spacing w:before="50" w:after="50"/>
              <w:jc w:val="center"/>
              <w:rPr>
                <w:rFonts w:hint="eastAsia" w:ascii="宋体" w:hAnsi="宋体" w:cs="宋体"/>
                <w:color w:val="auto"/>
                <w:sz w:val="24"/>
                <w:highlight w:val="none"/>
              </w:rPr>
            </w:pPr>
          </w:p>
          <w:p w14:paraId="6D6B5856">
            <w:pPr>
              <w:snapToGrid w:val="0"/>
              <w:spacing w:before="50" w:after="50"/>
              <w:jc w:val="center"/>
              <w:rPr>
                <w:rFonts w:hint="eastAsia" w:ascii="宋体" w:hAnsi="宋体" w:cs="宋体"/>
                <w:color w:val="auto"/>
                <w:sz w:val="24"/>
                <w:highlight w:val="none"/>
              </w:rPr>
            </w:pPr>
            <w:r>
              <w:rPr>
                <w:rFonts w:hint="eastAsia" w:ascii="宋体" w:hAnsi="宋体" w:cs="宋体"/>
                <w:color w:val="auto"/>
                <w:sz w:val="24"/>
                <w:highlight w:val="none"/>
              </w:rPr>
              <w:t>规格型号</w:t>
            </w:r>
          </w:p>
        </w:tc>
        <w:tc>
          <w:tcPr>
            <w:tcW w:w="657" w:type="pct"/>
            <w:tcBorders>
              <w:top w:val="single" w:color="auto" w:sz="4" w:space="0"/>
              <w:left w:val="single" w:color="auto" w:sz="4" w:space="0"/>
              <w:bottom w:val="single" w:color="auto" w:sz="4" w:space="0"/>
              <w:right w:val="single" w:color="auto" w:sz="4" w:space="0"/>
            </w:tcBorders>
            <w:vAlign w:val="center"/>
          </w:tcPr>
          <w:p w14:paraId="2375BF42">
            <w:pPr>
              <w:snapToGrid w:val="0"/>
              <w:spacing w:before="50" w:after="50"/>
              <w:jc w:val="center"/>
              <w:rPr>
                <w:rFonts w:hint="eastAsia" w:ascii="宋体" w:hAnsi="宋体" w:cs="宋体"/>
                <w:color w:val="auto"/>
                <w:sz w:val="24"/>
                <w:highlight w:val="none"/>
              </w:rPr>
            </w:pPr>
            <w:r>
              <w:rPr>
                <w:rFonts w:hint="eastAsia" w:ascii="宋体" w:hAnsi="宋体" w:cs="宋体"/>
                <w:color w:val="auto"/>
                <w:sz w:val="24"/>
                <w:highlight w:val="none"/>
              </w:rPr>
              <w:t>制造商</w:t>
            </w:r>
          </w:p>
        </w:tc>
        <w:tc>
          <w:tcPr>
            <w:tcW w:w="389" w:type="pct"/>
            <w:tcBorders>
              <w:top w:val="single" w:color="auto" w:sz="4" w:space="0"/>
              <w:left w:val="single" w:color="auto" w:sz="4" w:space="0"/>
              <w:bottom w:val="single" w:color="auto" w:sz="4" w:space="0"/>
              <w:right w:val="single" w:color="auto" w:sz="4" w:space="0"/>
            </w:tcBorders>
            <w:vAlign w:val="center"/>
          </w:tcPr>
          <w:p w14:paraId="5C369370">
            <w:pPr>
              <w:snapToGrid w:val="0"/>
              <w:spacing w:before="50" w:after="50"/>
              <w:jc w:val="center"/>
              <w:rPr>
                <w:rFonts w:hint="eastAsia" w:ascii="宋体" w:hAnsi="宋体" w:cs="宋体"/>
                <w:color w:val="auto"/>
                <w:sz w:val="24"/>
                <w:highlight w:val="none"/>
              </w:rPr>
            </w:pPr>
            <w:r>
              <w:rPr>
                <w:rFonts w:hint="eastAsia" w:ascii="宋体" w:hAnsi="宋体" w:cs="宋体"/>
                <w:color w:val="auto"/>
                <w:sz w:val="24"/>
                <w:highlight w:val="none"/>
              </w:rPr>
              <w:t>原产地</w:t>
            </w:r>
          </w:p>
        </w:tc>
        <w:tc>
          <w:tcPr>
            <w:tcW w:w="1071" w:type="pct"/>
            <w:tcBorders>
              <w:top w:val="single" w:color="auto" w:sz="4" w:space="0"/>
              <w:left w:val="single" w:color="auto" w:sz="4" w:space="0"/>
              <w:bottom w:val="single" w:color="auto" w:sz="4" w:space="0"/>
              <w:right w:val="single" w:color="auto" w:sz="4" w:space="0"/>
            </w:tcBorders>
            <w:vAlign w:val="center"/>
          </w:tcPr>
          <w:p w14:paraId="61BE2D4D">
            <w:pPr>
              <w:snapToGrid w:val="0"/>
              <w:spacing w:before="50" w:after="50"/>
              <w:jc w:val="center"/>
              <w:rPr>
                <w:rFonts w:hint="eastAsia" w:ascii="宋体" w:hAnsi="宋体" w:cs="宋体"/>
                <w:color w:val="auto"/>
                <w:sz w:val="24"/>
                <w:highlight w:val="none"/>
              </w:rPr>
            </w:pPr>
            <w:r>
              <w:rPr>
                <w:rFonts w:hint="eastAsia" w:ascii="宋体" w:hAnsi="宋体" w:cs="宋体"/>
                <w:color w:val="auto"/>
                <w:sz w:val="24"/>
                <w:highlight w:val="none"/>
              </w:rPr>
              <w:t>参数性能、指标及配置</w:t>
            </w:r>
          </w:p>
        </w:tc>
      </w:tr>
      <w:tr w14:paraId="1E4287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389" w:type="pct"/>
            <w:tcBorders>
              <w:top w:val="single" w:color="auto" w:sz="4" w:space="0"/>
              <w:left w:val="single" w:color="auto" w:sz="4" w:space="0"/>
              <w:bottom w:val="single" w:color="auto" w:sz="4" w:space="0"/>
              <w:right w:val="single" w:color="auto" w:sz="4" w:space="0"/>
            </w:tcBorders>
            <w:vAlign w:val="center"/>
          </w:tcPr>
          <w:p w14:paraId="3CE52702">
            <w:pPr>
              <w:snapToGrid w:val="0"/>
              <w:spacing w:before="50" w:after="50"/>
              <w:jc w:val="center"/>
              <w:rPr>
                <w:rFonts w:hint="eastAsia" w:ascii="宋体" w:hAnsi="宋体" w:cs="宋体"/>
                <w:color w:val="auto"/>
                <w:sz w:val="24"/>
                <w:highlight w:val="none"/>
              </w:rPr>
            </w:pPr>
          </w:p>
        </w:tc>
        <w:tc>
          <w:tcPr>
            <w:tcW w:w="657" w:type="pct"/>
            <w:tcBorders>
              <w:top w:val="single" w:color="auto" w:sz="4" w:space="0"/>
              <w:left w:val="single" w:color="auto" w:sz="4" w:space="0"/>
              <w:bottom w:val="single" w:color="auto" w:sz="4" w:space="0"/>
              <w:right w:val="single" w:color="auto" w:sz="4" w:space="0"/>
            </w:tcBorders>
            <w:vAlign w:val="center"/>
          </w:tcPr>
          <w:p w14:paraId="62D7F194">
            <w:pPr>
              <w:snapToGrid w:val="0"/>
              <w:spacing w:before="50" w:after="50"/>
              <w:jc w:val="center"/>
              <w:rPr>
                <w:rFonts w:hint="eastAsia" w:ascii="宋体" w:hAnsi="宋体" w:cs="宋体"/>
                <w:color w:val="auto"/>
                <w:sz w:val="24"/>
                <w:highlight w:val="none"/>
              </w:rPr>
            </w:pPr>
          </w:p>
        </w:tc>
        <w:tc>
          <w:tcPr>
            <w:tcW w:w="504" w:type="pct"/>
            <w:tcBorders>
              <w:top w:val="single" w:color="auto" w:sz="4" w:space="0"/>
              <w:left w:val="single" w:color="auto" w:sz="4" w:space="0"/>
              <w:bottom w:val="single" w:color="auto" w:sz="4" w:space="0"/>
              <w:right w:val="single" w:color="auto" w:sz="4" w:space="0"/>
            </w:tcBorders>
            <w:vAlign w:val="center"/>
          </w:tcPr>
          <w:p w14:paraId="1071E898">
            <w:pPr>
              <w:snapToGrid w:val="0"/>
              <w:spacing w:before="50" w:after="50"/>
              <w:jc w:val="center"/>
              <w:rPr>
                <w:rFonts w:hint="eastAsia" w:ascii="宋体" w:hAnsi="宋体" w:cs="宋体"/>
                <w:color w:val="auto"/>
                <w:sz w:val="24"/>
                <w:highlight w:val="none"/>
              </w:rPr>
            </w:pPr>
          </w:p>
        </w:tc>
        <w:tc>
          <w:tcPr>
            <w:tcW w:w="392" w:type="pct"/>
            <w:tcBorders>
              <w:top w:val="single" w:color="auto" w:sz="4" w:space="0"/>
              <w:left w:val="single" w:color="auto" w:sz="4" w:space="0"/>
              <w:bottom w:val="single" w:color="auto" w:sz="4" w:space="0"/>
              <w:right w:val="single" w:color="auto" w:sz="4" w:space="0"/>
            </w:tcBorders>
            <w:vAlign w:val="center"/>
          </w:tcPr>
          <w:p w14:paraId="3901511C">
            <w:pPr>
              <w:snapToGrid w:val="0"/>
              <w:spacing w:before="50" w:after="50"/>
              <w:jc w:val="center"/>
              <w:rPr>
                <w:rFonts w:hint="eastAsia" w:ascii="宋体" w:hAnsi="宋体" w:cs="宋体"/>
                <w:color w:val="auto"/>
                <w:sz w:val="24"/>
                <w:highlight w:val="none"/>
              </w:rPr>
            </w:pPr>
          </w:p>
        </w:tc>
        <w:tc>
          <w:tcPr>
            <w:tcW w:w="941" w:type="pct"/>
            <w:tcBorders>
              <w:top w:val="single" w:color="auto" w:sz="4" w:space="0"/>
              <w:left w:val="single" w:color="auto" w:sz="4" w:space="0"/>
              <w:bottom w:val="single" w:color="auto" w:sz="4" w:space="0"/>
              <w:right w:val="single" w:color="auto" w:sz="4" w:space="0"/>
            </w:tcBorders>
          </w:tcPr>
          <w:p w14:paraId="415324F6">
            <w:pPr>
              <w:snapToGrid w:val="0"/>
              <w:spacing w:before="50" w:after="50"/>
              <w:jc w:val="center"/>
              <w:rPr>
                <w:rFonts w:hint="eastAsia" w:ascii="宋体" w:hAnsi="宋体" w:cs="宋体"/>
                <w:color w:val="auto"/>
                <w:sz w:val="24"/>
                <w:highlight w:val="none"/>
              </w:rPr>
            </w:pPr>
          </w:p>
        </w:tc>
        <w:tc>
          <w:tcPr>
            <w:tcW w:w="657" w:type="pct"/>
            <w:tcBorders>
              <w:top w:val="single" w:color="auto" w:sz="4" w:space="0"/>
              <w:left w:val="single" w:color="auto" w:sz="4" w:space="0"/>
              <w:bottom w:val="single" w:color="auto" w:sz="4" w:space="0"/>
              <w:right w:val="single" w:color="auto" w:sz="4" w:space="0"/>
            </w:tcBorders>
            <w:vAlign w:val="center"/>
          </w:tcPr>
          <w:p w14:paraId="6DB5D8AE">
            <w:pPr>
              <w:snapToGrid w:val="0"/>
              <w:spacing w:before="50" w:after="50"/>
              <w:jc w:val="center"/>
              <w:rPr>
                <w:rFonts w:hint="eastAsia" w:ascii="宋体" w:hAnsi="宋体" w:cs="宋体"/>
                <w:color w:val="auto"/>
                <w:sz w:val="24"/>
                <w:highlight w:val="none"/>
              </w:rPr>
            </w:pPr>
          </w:p>
        </w:tc>
        <w:tc>
          <w:tcPr>
            <w:tcW w:w="389" w:type="pct"/>
            <w:tcBorders>
              <w:top w:val="single" w:color="auto" w:sz="4" w:space="0"/>
              <w:left w:val="single" w:color="auto" w:sz="4" w:space="0"/>
              <w:bottom w:val="single" w:color="auto" w:sz="4" w:space="0"/>
              <w:right w:val="single" w:color="auto" w:sz="4" w:space="0"/>
            </w:tcBorders>
            <w:vAlign w:val="center"/>
          </w:tcPr>
          <w:p w14:paraId="18BA395B">
            <w:pPr>
              <w:snapToGrid w:val="0"/>
              <w:spacing w:before="50" w:after="50"/>
              <w:jc w:val="center"/>
              <w:rPr>
                <w:rFonts w:hint="eastAsia" w:ascii="宋体" w:hAnsi="宋体" w:cs="宋体"/>
                <w:color w:val="auto"/>
                <w:sz w:val="24"/>
                <w:highlight w:val="none"/>
              </w:rPr>
            </w:pPr>
          </w:p>
        </w:tc>
        <w:tc>
          <w:tcPr>
            <w:tcW w:w="1071" w:type="pct"/>
            <w:tcBorders>
              <w:top w:val="single" w:color="auto" w:sz="4" w:space="0"/>
              <w:left w:val="single" w:color="auto" w:sz="4" w:space="0"/>
              <w:bottom w:val="single" w:color="auto" w:sz="4" w:space="0"/>
              <w:right w:val="single" w:color="auto" w:sz="4" w:space="0"/>
            </w:tcBorders>
            <w:vAlign w:val="center"/>
          </w:tcPr>
          <w:p w14:paraId="35822D5A">
            <w:pPr>
              <w:snapToGrid w:val="0"/>
              <w:spacing w:before="50" w:after="50"/>
              <w:jc w:val="center"/>
              <w:rPr>
                <w:rFonts w:hint="eastAsia" w:ascii="宋体" w:hAnsi="宋体" w:cs="宋体"/>
                <w:color w:val="auto"/>
                <w:sz w:val="24"/>
                <w:highlight w:val="none"/>
              </w:rPr>
            </w:pPr>
          </w:p>
        </w:tc>
      </w:tr>
      <w:tr w14:paraId="12784B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389" w:type="pct"/>
            <w:tcBorders>
              <w:top w:val="single" w:color="auto" w:sz="4" w:space="0"/>
              <w:left w:val="single" w:color="auto" w:sz="4" w:space="0"/>
              <w:bottom w:val="single" w:color="auto" w:sz="4" w:space="0"/>
              <w:right w:val="single" w:color="auto" w:sz="4" w:space="0"/>
            </w:tcBorders>
            <w:vAlign w:val="center"/>
          </w:tcPr>
          <w:p w14:paraId="452971C4">
            <w:pPr>
              <w:snapToGrid w:val="0"/>
              <w:spacing w:before="50" w:after="50"/>
              <w:jc w:val="center"/>
              <w:rPr>
                <w:rFonts w:hint="eastAsia" w:ascii="宋体" w:hAnsi="宋体" w:cs="宋体"/>
                <w:color w:val="auto"/>
                <w:sz w:val="24"/>
                <w:highlight w:val="none"/>
              </w:rPr>
            </w:pPr>
          </w:p>
        </w:tc>
        <w:tc>
          <w:tcPr>
            <w:tcW w:w="657" w:type="pct"/>
            <w:tcBorders>
              <w:top w:val="single" w:color="auto" w:sz="4" w:space="0"/>
              <w:left w:val="single" w:color="auto" w:sz="4" w:space="0"/>
              <w:bottom w:val="single" w:color="auto" w:sz="4" w:space="0"/>
              <w:right w:val="single" w:color="auto" w:sz="4" w:space="0"/>
            </w:tcBorders>
            <w:vAlign w:val="center"/>
          </w:tcPr>
          <w:p w14:paraId="18A3DF9A">
            <w:pPr>
              <w:snapToGrid w:val="0"/>
              <w:spacing w:before="50" w:after="50"/>
              <w:jc w:val="center"/>
              <w:rPr>
                <w:rFonts w:hint="eastAsia" w:ascii="宋体" w:hAnsi="宋体" w:cs="宋体"/>
                <w:color w:val="auto"/>
                <w:sz w:val="24"/>
                <w:highlight w:val="none"/>
              </w:rPr>
            </w:pPr>
          </w:p>
        </w:tc>
        <w:tc>
          <w:tcPr>
            <w:tcW w:w="504" w:type="pct"/>
            <w:tcBorders>
              <w:top w:val="single" w:color="auto" w:sz="4" w:space="0"/>
              <w:left w:val="single" w:color="auto" w:sz="4" w:space="0"/>
              <w:bottom w:val="single" w:color="auto" w:sz="4" w:space="0"/>
              <w:right w:val="single" w:color="auto" w:sz="4" w:space="0"/>
            </w:tcBorders>
            <w:vAlign w:val="center"/>
          </w:tcPr>
          <w:p w14:paraId="11987500">
            <w:pPr>
              <w:snapToGrid w:val="0"/>
              <w:spacing w:before="50" w:after="50"/>
              <w:jc w:val="center"/>
              <w:rPr>
                <w:rFonts w:hint="eastAsia" w:ascii="宋体" w:hAnsi="宋体" w:cs="宋体"/>
                <w:color w:val="auto"/>
                <w:sz w:val="24"/>
                <w:highlight w:val="none"/>
              </w:rPr>
            </w:pPr>
          </w:p>
        </w:tc>
        <w:tc>
          <w:tcPr>
            <w:tcW w:w="392" w:type="pct"/>
            <w:tcBorders>
              <w:top w:val="single" w:color="auto" w:sz="4" w:space="0"/>
              <w:left w:val="single" w:color="auto" w:sz="4" w:space="0"/>
              <w:bottom w:val="single" w:color="auto" w:sz="4" w:space="0"/>
              <w:right w:val="single" w:color="auto" w:sz="4" w:space="0"/>
            </w:tcBorders>
            <w:vAlign w:val="center"/>
          </w:tcPr>
          <w:p w14:paraId="37B17CCA">
            <w:pPr>
              <w:snapToGrid w:val="0"/>
              <w:spacing w:before="50" w:after="50"/>
              <w:jc w:val="center"/>
              <w:rPr>
                <w:rFonts w:hint="eastAsia" w:ascii="宋体" w:hAnsi="宋体" w:cs="宋体"/>
                <w:color w:val="auto"/>
                <w:sz w:val="24"/>
                <w:highlight w:val="none"/>
              </w:rPr>
            </w:pPr>
          </w:p>
        </w:tc>
        <w:tc>
          <w:tcPr>
            <w:tcW w:w="941" w:type="pct"/>
            <w:tcBorders>
              <w:top w:val="single" w:color="auto" w:sz="4" w:space="0"/>
              <w:left w:val="single" w:color="auto" w:sz="4" w:space="0"/>
              <w:bottom w:val="single" w:color="auto" w:sz="4" w:space="0"/>
              <w:right w:val="single" w:color="auto" w:sz="4" w:space="0"/>
            </w:tcBorders>
          </w:tcPr>
          <w:p w14:paraId="42EED980">
            <w:pPr>
              <w:snapToGrid w:val="0"/>
              <w:spacing w:before="50" w:after="50"/>
              <w:jc w:val="center"/>
              <w:rPr>
                <w:rFonts w:hint="eastAsia" w:ascii="宋体" w:hAnsi="宋体" w:cs="宋体"/>
                <w:color w:val="auto"/>
                <w:sz w:val="24"/>
                <w:highlight w:val="none"/>
              </w:rPr>
            </w:pPr>
          </w:p>
        </w:tc>
        <w:tc>
          <w:tcPr>
            <w:tcW w:w="657" w:type="pct"/>
            <w:tcBorders>
              <w:top w:val="single" w:color="auto" w:sz="4" w:space="0"/>
              <w:left w:val="single" w:color="auto" w:sz="4" w:space="0"/>
              <w:bottom w:val="single" w:color="auto" w:sz="4" w:space="0"/>
              <w:right w:val="single" w:color="auto" w:sz="4" w:space="0"/>
            </w:tcBorders>
            <w:vAlign w:val="center"/>
          </w:tcPr>
          <w:p w14:paraId="739C75AD">
            <w:pPr>
              <w:snapToGrid w:val="0"/>
              <w:spacing w:before="50" w:after="50"/>
              <w:jc w:val="center"/>
              <w:rPr>
                <w:rFonts w:hint="eastAsia" w:ascii="宋体" w:hAnsi="宋体" w:cs="宋体"/>
                <w:color w:val="auto"/>
                <w:sz w:val="24"/>
                <w:highlight w:val="none"/>
              </w:rPr>
            </w:pPr>
          </w:p>
        </w:tc>
        <w:tc>
          <w:tcPr>
            <w:tcW w:w="389" w:type="pct"/>
            <w:tcBorders>
              <w:top w:val="single" w:color="auto" w:sz="4" w:space="0"/>
              <w:left w:val="single" w:color="auto" w:sz="4" w:space="0"/>
              <w:bottom w:val="single" w:color="auto" w:sz="4" w:space="0"/>
              <w:right w:val="single" w:color="auto" w:sz="4" w:space="0"/>
            </w:tcBorders>
            <w:vAlign w:val="center"/>
          </w:tcPr>
          <w:p w14:paraId="59B706A7">
            <w:pPr>
              <w:snapToGrid w:val="0"/>
              <w:spacing w:before="50" w:after="50"/>
              <w:jc w:val="center"/>
              <w:rPr>
                <w:rFonts w:hint="eastAsia" w:ascii="宋体" w:hAnsi="宋体" w:cs="宋体"/>
                <w:color w:val="auto"/>
                <w:sz w:val="24"/>
                <w:highlight w:val="none"/>
              </w:rPr>
            </w:pPr>
          </w:p>
        </w:tc>
        <w:tc>
          <w:tcPr>
            <w:tcW w:w="1071" w:type="pct"/>
            <w:tcBorders>
              <w:top w:val="single" w:color="auto" w:sz="4" w:space="0"/>
              <w:left w:val="single" w:color="auto" w:sz="4" w:space="0"/>
              <w:bottom w:val="single" w:color="auto" w:sz="4" w:space="0"/>
              <w:right w:val="single" w:color="auto" w:sz="4" w:space="0"/>
            </w:tcBorders>
            <w:vAlign w:val="center"/>
          </w:tcPr>
          <w:p w14:paraId="6610F3B6">
            <w:pPr>
              <w:snapToGrid w:val="0"/>
              <w:spacing w:before="50" w:after="50"/>
              <w:jc w:val="center"/>
              <w:rPr>
                <w:rFonts w:hint="eastAsia" w:ascii="宋体" w:hAnsi="宋体" w:cs="宋体"/>
                <w:color w:val="auto"/>
                <w:sz w:val="24"/>
                <w:highlight w:val="none"/>
              </w:rPr>
            </w:pPr>
          </w:p>
        </w:tc>
      </w:tr>
      <w:tr w14:paraId="415038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389" w:type="pct"/>
            <w:tcBorders>
              <w:top w:val="single" w:color="auto" w:sz="4" w:space="0"/>
              <w:left w:val="single" w:color="auto" w:sz="4" w:space="0"/>
              <w:bottom w:val="single" w:color="auto" w:sz="4" w:space="0"/>
              <w:right w:val="single" w:color="auto" w:sz="4" w:space="0"/>
            </w:tcBorders>
            <w:vAlign w:val="center"/>
          </w:tcPr>
          <w:p w14:paraId="7365B0D9">
            <w:pPr>
              <w:snapToGrid w:val="0"/>
              <w:spacing w:before="50" w:after="50"/>
              <w:jc w:val="center"/>
              <w:rPr>
                <w:rFonts w:hint="eastAsia" w:ascii="宋体" w:hAnsi="宋体" w:cs="宋体"/>
                <w:color w:val="auto"/>
                <w:sz w:val="24"/>
                <w:highlight w:val="none"/>
              </w:rPr>
            </w:pPr>
          </w:p>
        </w:tc>
        <w:tc>
          <w:tcPr>
            <w:tcW w:w="657" w:type="pct"/>
            <w:tcBorders>
              <w:top w:val="single" w:color="auto" w:sz="4" w:space="0"/>
              <w:left w:val="single" w:color="auto" w:sz="4" w:space="0"/>
              <w:bottom w:val="single" w:color="auto" w:sz="4" w:space="0"/>
              <w:right w:val="single" w:color="auto" w:sz="4" w:space="0"/>
            </w:tcBorders>
            <w:vAlign w:val="center"/>
          </w:tcPr>
          <w:p w14:paraId="1104CB2C">
            <w:pPr>
              <w:snapToGrid w:val="0"/>
              <w:spacing w:before="50" w:after="50"/>
              <w:jc w:val="center"/>
              <w:rPr>
                <w:rFonts w:hint="eastAsia" w:ascii="宋体" w:hAnsi="宋体" w:cs="宋体"/>
                <w:color w:val="auto"/>
                <w:sz w:val="24"/>
                <w:highlight w:val="none"/>
              </w:rPr>
            </w:pPr>
          </w:p>
        </w:tc>
        <w:tc>
          <w:tcPr>
            <w:tcW w:w="504" w:type="pct"/>
            <w:tcBorders>
              <w:top w:val="single" w:color="auto" w:sz="4" w:space="0"/>
              <w:left w:val="single" w:color="auto" w:sz="4" w:space="0"/>
              <w:bottom w:val="single" w:color="auto" w:sz="4" w:space="0"/>
              <w:right w:val="single" w:color="auto" w:sz="4" w:space="0"/>
            </w:tcBorders>
            <w:vAlign w:val="center"/>
          </w:tcPr>
          <w:p w14:paraId="3DC8100F">
            <w:pPr>
              <w:snapToGrid w:val="0"/>
              <w:spacing w:before="50" w:after="50"/>
              <w:jc w:val="center"/>
              <w:rPr>
                <w:rFonts w:hint="eastAsia" w:ascii="宋体" w:hAnsi="宋体" w:cs="宋体"/>
                <w:color w:val="auto"/>
                <w:sz w:val="24"/>
                <w:highlight w:val="none"/>
              </w:rPr>
            </w:pPr>
          </w:p>
        </w:tc>
        <w:tc>
          <w:tcPr>
            <w:tcW w:w="392" w:type="pct"/>
            <w:tcBorders>
              <w:top w:val="single" w:color="auto" w:sz="4" w:space="0"/>
              <w:left w:val="single" w:color="auto" w:sz="4" w:space="0"/>
              <w:bottom w:val="single" w:color="auto" w:sz="4" w:space="0"/>
              <w:right w:val="single" w:color="auto" w:sz="4" w:space="0"/>
            </w:tcBorders>
            <w:vAlign w:val="center"/>
          </w:tcPr>
          <w:p w14:paraId="30A10018">
            <w:pPr>
              <w:snapToGrid w:val="0"/>
              <w:spacing w:before="50" w:after="50"/>
              <w:jc w:val="center"/>
              <w:rPr>
                <w:rFonts w:hint="eastAsia" w:ascii="宋体" w:hAnsi="宋体" w:cs="宋体"/>
                <w:color w:val="auto"/>
                <w:sz w:val="24"/>
                <w:highlight w:val="none"/>
              </w:rPr>
            </w:pPr>
          </w:p>
        </w:tc>
        <w:tc>
          <w:tcPr>
            <w:tcW w:w="941" w:type="pct"/>
            <w:tcBorders>
              <w:top w:val="single" w:color="auto" w:sz="4" w:space="0"/>
              <w:left w:val="single" w:color="auto" w:sz="4" w:space="0"/>
              <w:bottom w:val="single" w:color="auto" w:sz="4" w:space="0"/>
              <w:right w:val="single" w:color="auto" w:sz="4" w:space="0"/>
            </w:tcBorders>
          </w:tcPr>
          <w:p w14:paraId="0C326B4E">
            <w:pPr>
              <w:snapToGrid w:val="0"/>
              <w:spacing w:before="50" w:after="50"/>
              <w:jc w:val="center"/>
              <w:rPr>
                <w:rFonts w:hint="eastAsia" w:ascii="宋体" w:hAnsi="宋体" w:cs="宋体"/>
                <w:color w:val="auto"/>
                <w:sz w:val="24"/>
                <w:highlight w:val="none"/>
              </w:rPr>
            </w:pPr>
          </w:p>
        </w:tc>
        <w:tc>
          <w:tcPr>
            <w:tcW w:w="657" w:type="pct"/>
            <w:tcBorders>
              <w:top w:val="single" w:color="auto" w:sz="4" w:space="0"/>
              <w:left w:val="single" w:color="auto" w:sz="4" w:space="0"/>
              <w:bottom w:val="single" w:color="auto" w:sz="4" w:space="0"/>
              <w:right w:val="single" w:color="auto" w:sz="4" w:space="0"/>
            </w:tcBorders>
            <w:vAlign w:val="center"/>
          </w:tcPr>
          <w:p w14:paraId="6A750305">
            <w:pPr>
              <w:snapToGrid w:val="0"/>
              <w:spacing w:before="50" w:after="50"/>
              <w:jc w:val="center"/>
              <w:rPr>
                <w:rFonts w:hint="eastAsia" w:ascii="宋体" w:hAnsi="宋体" w:cs="宋体"/>
                <w:color w:val="auto"/>
                <w:sz w:val="24"/>
                <w:highlight w:val="none"/>
              </w:rPr>
            </w:pPr>
          </w:p>
        </w:tc>
        <w:tc>
          <w:tcPr>
            <w:tcW w:w="389" w:type="pct"/>
            <w:tcBorders>
              <w:top w:val="single" w:color="auto" w:sz="4" w:space="0"/>
              <w:left w:val="single" w:color="auto" w:sz="4" w:space="0"/>
              <w:bottom w:val="single" w:color="auto" w:sz="4" w:space="0"/>
              <w:right w:val="single" w:color="auto" w:sz="4" w:space="0"/>
            </w:tcBorders>
            <w:vAlign w:val="center"/>
          </w:tcPr>
          <w:p w14:paraId="5AC06F95">
            <w:pPr>
              <w:snapToGrid w:val="0"/>
              <w:spacing w:before="50" w:after="50"/>
              <w:jc w:val="center"/>
              <w:rPr>
                <w:rFonts w:hint="eastAsia" w:ascii="宋体" w:hAnsi="宋体" w:cs="宋体"/>
                <w:color w:val="auto"/>
                <w:sz w:val="24"/>
                <w:highlight w:val="none"/>
              </w:rPr>
            </w:pPr>
          </w:p>
        </w:tc>
        <w:tc>
          <w:tcPr>
            <w:tcW w:w="1071" w:type="pct"/>
            <w:tcBorders>
              <w:top w:val="single" w:color="auto" w:sz="4" w:space="0"/>
              <w:left w:val="single" w:color="auto" w:sz="4" w:space="0"/>
              <w:bottom w:val="single" w:color="auto" w:sz="4" w:space="0"/>
              <w:right w:val="single" w:color="auto" w:sz="4" w:space="0"/>
            </w:tcBorders>
            <w:vAlign w:val="center"/>
          </w:tcPr>
          <w:p w14:paraId="327B4698">
            <w:pPr>
              <w:snapToGrid w:val="0"/>
              <w:spacing w:before="50" w:after="50"/>
              <w:jc w:val="center"/>
              <w:rPr>
                <w:rFonts w:hint="eastAsia" w:ascii="宋体" w:hAnsi="宋体" w:cs="宋体"/>
                <w:color w:val="auto"/>
                <w:sz w:val="24"/>
                <w:highlight w:val="none"/>
              </w:rPr>
            </w:pPr>
          </w:p>
        </w:tc>
      </w:tr>
    </w:tbl>
    <w:p w14:paraId="1FD6DB4F">
      <w:pPr>
        <w:spacing w:line="360" w:lineRule="auto"/>
        <w:contextualSpacing/>
        <w:rPr>
          <w:rFonts w:hint="eastAsia" w:ascii="宋体" w:hAnsi="宋体" w:cs="宋体"/>
          <w:color w:val="auto"/>
          <w:sz w:val="24"/>
          <w:highlight w:val="none"/>
        </w:rPr>
      </w:pPr>
    </w:p>
    <w:p w14:paraId="622B5B21">
      <w:pPr>
        <w:spacing w:line="360" w:lineRule="auto"/>
        <w:contextualSpacing/>
        <w:rPr>
          <w:rFonts w:hint="eastAsia" w:ascii="宋体" w:hAnsi="宋体" w:cs="宋体"/>
          <w:color w:val="auto"/>
          <w:sz w:val="24"/>
          <w:highlight w:val="none"/>
        </w:rPr>
      </w:pPr>
    </w:p>
    <w:p w14:paraId="6BB0CFA8">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备注：</w:t>
      </w:r>
    </w:p>
    <w:p w14:paraId="659BB0E8">
      <w:pPr>
        <w:spacing w:line="360" w:lineRule="auto"/>
        <w:ind w:firstLine="480" w:firstLineChars="200"/>
        <w:contextualSpacing/>
        <w:rPr>
          <w:rFonts w:hint="eastAsia" w:ascii="宋体" w:hAnsi="宋体" w:cs="宋体"/>
          <w:b/>
          <w:color w:val="auto"/>
          <w:sz w:val="24"/>
          <w:highlight w:val="none"/>
        </w:rPr>
      </w:pPr>
      <w:r>
        <w:rPr>
          <w:rFonts w:hint="eastAsia" w:ascii="宋体" w:hAnsi="宋体" w:cs="宋体"/>
          <w:color w:val="auto"/>
          <w:sz w:val="24"/>
          <w:highlight w:val="none"/>
        </w:rPr>
        <w:t>以上货物配置清单中“货物名称、数量及单位、品牌、规格型号、制造商、原产地、参数性能、指标及配置”必须如实填写完整品牌、规格型号，没有则填无，填写有缺漏</w:t>
      </w:r>
      <w:r>
        <w:rPr>
          <w:rFonts w:hint="eastAsia" w:ascii="宋体" w:hAnsi="宋体" w:cs="宋体"/>
          <w:bCs/>
          <w:color w:val="auto"/>
          <w:sz w:val="24"/>
          <w:highlight w:val="none"/>
        </w:rPr>
        <w:t>的，</w:t>
      </w:r>
      <w:r>
        <w:rPr>
          <w:rFonts w:hint="eastAsia" w:ascii="宋体" w:hAnsi="宋体" w:cs="宋体"/>
          <w:b/>
          <w:color w:val="auto"/>
          <w:sz w:val="24"/>
          <w:highlight w:val="none"/>
        </w:rPr>
        <w:t>作无效投标处理。</w:t>
      </w:r>
      <w:r>
        <w:rPr>
          <w:rFonts w:hint="eastAsia" w:ascii="宋体" w:hAnsi="宋体" w:cs="宋体"/>
          <w:color w:val="auto"/>
          <w:sz w:val="24"/>
          <w:highlight w:val="none"/>
        </w:rPr>
        <w:t>货物名称、数量及单位、品牌必须与“开标一览表”一致，</w:t>
      </w:r>
      <w:r>
        <w:rPr>
          <w:rFonts w:hint="eastAsia" w:ascii="宋体" w:hAnsi="宋体" w:cs="宋体"/>
          <w:b/>
          <w:color w:val="auto"/>
          <w:sz w:val="24"/>
          <w:highlight w:val="none"/>
        </w:rPr>
        <w:t>否则按无效投标处理。</w:t>
      </w:r>
    </w:p>
    <w:p w14:paraId="6B3FB77C">
      <w:pPr>
        <w:spacing w:line="360" w:lineRule="auto"/>
        <w:ind w:firstLine="480" w:firstLineChars="200"/>
        <w:contextualSpacing/>
        <w:rPr>
          <w:rFonts w:hint="eastAsia" w:ascii="宋体" w:hAnsi="宋体" w:cs="宋体"/>
          <w:color w:val="auto"/>
          <w:sz w:val="24"/>
          <w:highlight w:val="none"/>
        </w:rPr>
      </w:pPr>
    </w:p>
    <w:p w14:paraId="0EEC1D46">
      <w:pPr>
        <w:spacing w:line="360" w:lineRule="auto"/>
        <w:contextualSpacing/>
        <w:rPr>
          <w:rFonts w:hint="eastAsia" w:ascii="宋体" w:hAnsi="宋体" w:cs="宋体"/>
          <w:color w:val="auto"/>
          <w:spacing w:val="20"/>
          <w:sz w:val="24"/>
          <w:highlight w:val="none"/>
          <w:u w:val="single"/>
        </w:rPr>
      </w:pPr>
      <w:r>
        <w:rPr>
          <w:rFonts w:hint="eastAsia" w:ascii="宋体" w:hAnsi="宋体" w:cs="宋体"/>
          <w:color w:val="auto"/>
          <w:sz w:val="24"/>
          <w:highlight w:val="none"/>
        </w:rPr>
        <w:t>法定代表人或者委托代理人</w:t>
      </w:r>
      <w:r>
        <w:rPr>
          <w:rFonts w:hint="eastAsia" w:ascii="宋体" w:hAnsi="宋体" w:cs="宋体"/>
          <w:color w:val="auto"/>
          <w:spacing w:val="20"/>
          <w:sz w:val="24"/>
          <w:highlight w:val="none"/>
        </w:rPr>
        <w:t>（签字）：</w:t>
      </w:r>
    </w:p>
    <w:p w14:paraId="1B1BCF31">
      <w:pPr>
        <w:spacing w:line="360" w:lineRule="auto"/>
        <w:contextualSpacing/>
        <w:rPr>
          <w:rFonts w:hint="eastAsia" w:ascii="宋体" w:hAnsi="宋体" w:cs="宋体"/>
          <w:color w:val="auto"/>
          <w:spacing w:val="20"/>
          <w:sz w:val="24"/>
          <w:highlight w:val="none"/>
        </w:rPr>
      </w:pPr>
      <w:r>
        <w:rPr>
          <w:rFonts w:hint="eastAsia" w:ascii="宋体" w:hAnsi="宋体" w:cs="宋体"/>
          <w:color w:val="auto"/>
          <w:spacing w:val="20"/>
          <w:sz w:val="24"/>
          <w:highlight w:val="none"/>
        </w:rPr>
        <w:t>投标人名称（盖公章）：</w:t>
      </w:r>
    </w:p>
    <w:p w14:paraId="2774ECBD">
      <w:pPr>
        <w:spacing w:line="360" w:lineRule="auto"/>
        <w:contextualSpacing/>
        <w:rPr>
          <w:rFonts w:hint="eastAsia" w:ascii="宋体" w:hAnsi="宋体" w:cs="宋体"/>
          <w:color w:val="auto"/>
          <w:sz w:val="24"/>
          <w:szCs w:val="20"/>
          <w:highlight w:val="none"/>
        </w:rPr>
      </w:pPr>
      <w:r>
        <w:rPr>
          <w:rFonts w:hint="eastAsia" w:ascii="宋体" w:hAnsi="宋体" w:cs="宋体"/>
          <w:color w:val="auto"/>
          <w:spacing w:val="20"/>
          <w:sz w:val="24"/>
          <w:highlight w:val="none"/>
        </w:rPr>
        <w:t>日  期：</w:t>
      </w:r>
    </w:p>
    <w:p w14:paraId="011CDD94">
      <w:pPr>
        <w:snapToGrid w:val="0"/>
        <w:spacing w:before="50" w:after="120" w:afterLines="50"/>
        <w:jc w:val="left"/>
        <w:rPr>
          <w:rFonts w:hint="eastAsia" w:ascii="宋体" w:hAnsi="宋体" w:cs="宋体"/>
          <w:color w:val="auto"/>
          <w:sz w:val="24"/>
          <w:szCs w:val="20"/>
          <w:highlight w:val="none"/>
        </w:rPr>
      </w:pPr>
    </w:p>
    <w:p w14:paraId="2266E38F">
      <w:pPr>
        <w:snapToGrid w:val="0"/>
        <w:spacing w:before="50" w:after="120" w:afterLines="50"/>
        <w:jc w:val="left"/>
        <w:rPr>
          <w:rFonts w:hint="eastAsia" w:ascii="宋体" w:hAnsi="宋体" w:cs="宋体"/>
          <w:color w:val="auto"/>
          <w:sz w:val="24"/>
          <w:szCs w:val="20"/>
          <w:highlight w:val="none"/>
        </w:rPr>
      </w:pPr>
    </w:p>
    <w:p w14:paraId="270B758D">
      <w:pPr>
        <w:snapToGrid w:val="0"/>
        <w:spacing w:before="120" w:beforeLines="50" w:after="50"/>
        <w:ind w:left="142"/>
        <w:jc w:val="left"/>
        <w:rPr>
          <w:rFonts w:hint="eastAsia" w:ascii="宋体" w:hAnsi="宋体" w:cs="宋体"/>
          <w:b/>
          <w:color w:val="auto"/>
          <w:sz w:val="24"/>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4.货物技术要求偏离表格式</w:t>
      </w:r>
    </w:p>
    <w:p w14:paraId="147754D5">
      <w:pPr>
        <w:snapToGrid w:val="0"/>
        <w:spacing w:before="120" w:beforeLines="50" w:after="50"/>
        <w:ind w:left="142"/>
        <w:jc w:val="left"/>
        <w:rPr>
          <w:rFonts w:hint="eastAsia" w:ascii="宋体" w:hAnsi="宋体" w:cs="宋体"/>
          <w:b/>
          <w:color w:val="auto"/>
          <w:sz w:val="24"/>
          <w:highlight w:val="none"/>
        </w:rPr>
      </w:pPr>
    </w:p>
    <w:p w14:paraId="2DF245F7">
      <w:pPr>
        <w:snapToGrid w:val="0"/>
        <w:spacing w:before="120" w:beforeLines="50" w:after="50"/>
        <w:ind w:left="142"/>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货物技术要求偏离表</w:t>
      </w:r>
    </w:p>
    <w:p w14:paraId="11022827">
      <w:pPr>
        <w:pStyle w:val="25"/>
        <w:rPr>
          <w:rFonts w:hint="eastAsia" w:hAnsi="宋体" w:cs="宋体"/>
          <w:color w:val="auto"/>
          <w:sz w:val="24"/>
          <w:szCs w:val="24"/>
          <w:highlight w:val="none"/>
          <w:u w:val="single"/>
        </w:rPr>
      </w:pPr>
      <w:r>
        <w:rPr>
          <w:rFonts w:hint="eastAsia" w:hAnsi="宋体" w:cs="宋体"/>
          <w:color w:val="auto"/>
          <w:sz w:val="24"/>
          <w:szCs w:val="24"/>
          <w:highlight w:val="none"/>
        </w:rPr>
        <w:t>所投分标：</w:t>
      </w:r>
      <w:r>
        <w:rPr>
          <w:rFonts w:hint="eastAsia" w:hAnsi="宋体" w:cs="宋体"/>
          <w:color w:val="auto"/>
          <w:sz w:val="24"/>
          <w:szCs w:val="24"/>
          <w:highlight w:val="none"/>
          <w:u w:val="single"/>
        </w:rPr>
        <w:t xml:space="preserve">分标   </w:t>
      </w:r>
    </w:p>
    <w:p w14:paraId="2DEE92E4">
      <w:pPr>
        <w:pStyle w:val="25"/>
        <w:rPr>
          <w:rFonts w:hint="eastAsia" w:hAnsi="宋体" w:cs="宋体"/>
          <w:color w:val="auto"/>
          <w:sz w:val="24"/>
          <w:szCs w:val="24"/>
          <w:highlight w:val="none"/>
        </w:rPr>
      </w:pP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4"/>
        <w:gridCol w:w="636"/>
        <w:gridCol w:w="513"/>
        <w:gridCol w:w="513"/>
        <w:gridCol w:w="1460"/>
        <w:gridCol w:w="1229"/>
        <w:gridCol w:w="636"/>
        <w:gridCol w:w="513"/>
        <w:gridCol w:w="513"/>
        <w:gridCol w:w="1460"/>
        <w:gridCol w:w="1229"/>
        <w:gridCol w:w="686"/>
      </w:tblGrid>
      <w:tr w14:paraId="55046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0" w:type="auto"/>
            <w:vMerge w:val="restart"/>
            <w:tcBorders>
              <w:top w:val="single" w:color="auto" w:sz="4" w:space="0"/>
              <w:left w:val="single" w:color="auto" w:sz="4" w:space="0"/>
              <w:bottom w:val="single" w:color="auto" w:sz="4" w:space="0"/>
              <w:right w:val="single" w:color="auto" w:sz="4" w:space="0"/>
            </w:tcBorders>
            <w:vAlign w:val="center"/>
          </w:tcPr>
          <w:p w14:paraId="4492D416">
            <w:pPr>
              <w:rPr>
                <w:rFonts w:hint="eastAsia" w:ascii="宋体" w:hAnsi="宋体" w:cs="宋体"/>
                <w:color w:val="auto"/>
                <w:szCs w:val="21"/>
                <w:highlight w:val="none"/>
              </w:rPr>
            </w:pPr>
            <w:r>
              <w:rPr>
                <w:rFonts w:hint="eastAsia" w:ascii="宋体" w:hAnsi="宋体" w:cs="宋体"/>
                <w:color w:val="auto"/>
                <w:szCs w:val="21"/>
                <w:highlight w:val="none"/>
              </w:rPr>
              <w:t>项号</w:t>
            </w:r>
          </w:p>
        </w:tc>
        <w:tc>
          <w:tcPr>
            <w:tcW w:w="0" w:type="auto"/>
            <w:gridSpan w:val="5"/>
            <w:tcBorders>
              <w:top w:val="single" w:color="auto" w:sz="4" w:space="0"/>
              <w:left w:val="single" w:color="auto" w:sz="4" w:space="0"/>
              <w:bottom w:val="single" w:color="auto" w:sz="4" w:space="0"/>
              <w:right w:val="single" w:color="auto" w:sz="4" w:space="0"/>
            </w:tcBorders>
            <w:vAlign w:val="center"/>
          </w:tcPr>
          <w:p w14:paraId="01766B30">
            <w:pPr>
              <w:jc w:val="center"/>
              <w:rPr>
                <w:rFonts w:hint="eastAsia" w:ascii="宋体" w:hAnsi="宋体" w:cs="宋体"/>
                <w:color w:val="auto"/>
                <w:szCs w:val="21"/>
                <w:highlight w:val="none"/>
              </w:rPr>
            </w:pPr>
            <w:r>
              <w:rPr>
                <w:rFonts w:hint="eastAsia" w:ascii="宋体" w:hAnsi="宋体" w:cs="宋体"/>
                <w:color w:val="auto"/>
                <w:szCs w:val="21"/>
                <w:highlight w:val="none"/>
              </w:rPr>
              <w:t>招标文件技术参数需求</w:t>
            </w:r>
          </w:p>
        </w:tc>
        <w:tc>
          <w:tcPr>
            <w:tcW w:w="0" w:type="auto"/>
            <w:gridSpan w:val="5"/>
            <w:tcBorders>
              <w:top w:val="single" w:color="auto" w:sz="4" w:space="0"/>
              <w:left w:val="single" w:color="auto" w:sz="4" w:space="0"/>
              <w:bottom w:val="single" w:color="auto" w:sz="4" w:space="0"/>
              <w:right w:val="single" w:color="auto" w:sz="4" w:space="0"/>
            </w:tcBorders>
            <w:vAlign w:val="center"/>
          </w:tcPr>
          <w:p w14:paraId="5C7B58EA">
            <w:pPr>
              <w:jc w:val="center"/>
              <w:rPr>
                <w:rFonts w:hint="eastAsia" w:ascii="宋体" w:hAnsi="宋体" w:cs="宋体"/>
                <w:color w:val="auto"/>
                <w:szCs w:val="21"/>
                <w:highlight w:val="none"/>
              </w:rPr>
            </w:pPr>
            <w:r>
              <w:rPr>
                <w:rFonts w:hint="eastAsia" w:ascii="宋体" w:hAnsi="宋体" w:cs="宋体"/>
                <w:color w:val="auto"/>
                <w:szCs w:val="21"/>
                <w:highlight w:val="none"/>
              </w:rPr>
              <w:t>投标文件技术参数承诺</w:t>
            </w:r>
          </w:p>
        </w:tc>
        <w:tc>
          <w:tcPr>
            <w:tcW w:w="0" w:type="auto"/>
            <w:tcBorders>
              <w:top w:val="single" w:color="auto" w:sz="4" w:space="0"/>
              <w:left w:val="single" w:color="auto" w:sz="4" w:space="0"/>
              <w:bottom w:val="single" w:color="auto" w:sz="4" w:space="0"/>
              <w:right w:val="single" w:color="auto" w:sz="4" w:space="0"/>
            </w:tcBorders>
            <w:vAlign w:val="center"/>
          </w:tcPr>
          <w:p w14:paraId="0E7D3537">
            <w:pPr>
              <w:jc w:val="center"/>
              <w:rPr>
                <w:rFonts w:hint="eastAsia" w:ascii="宋体" w:hAnsi="宋体" w:cs="宋体"/>
                <w:color w:val="auto"/>
                <w:szCs w:val="21"/>
                <w:highlight w:val="none"/>
              </w:rPr>
            </w:pPr>
            <w:r>
              <w:rPr>
                <w:rFonts w:hint="eastAsia" w:ascii="宋体" w:hAnsi="宋体" w:cs="宋体"/>
                <w:color w:val="auto"/>
                <w:szCs w:val="21"/>
                <w:highlight w:val="none"/>
              </w:rPr>
              <w:t>偏离说明</w:t>
            </w:r>
          </w:p>
        </w:tc>
      </w:tr>
      <w:tr w14:paraId="25A52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E294167">
            <w:pPr>
              <w:widowControl/>
              <w:jc w:val="left"/>
              <w:rPr>
                <w:rFonts w:hint="eastAsia" w:ascii="宋体" w:hAnsi="宋体" w:cs="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1B1DF574">
            <w:pPr>
              <w:jc w:val="center"/>
              <w:rPr>
                <w:rFonts w:hint="eastAsia" w:ascii="宋体" w:hAnsi="宋体" w:cs="宋体"/>
                <w:color w:val="auto"/>
                <w:szCs w:val="21"/>
                <w:highlight w:val="none"/>
              </w:rPr>
            </w:pPr>
            <w:r>
              <w:rPr>
                <w:rFonts w:hint="eastAsia" w:ascii="宋体" w:hAnsi="宋体" w:cs="宋体"/>
                <w:color w:val="auto"/>
                <w:szCs w:val="21"/>
                <w:highlight w:val="none"/>
              </w:rPr>
              <w:t>货物</w:t>
            </w:r>
          </w:p>
          <w:p w14:paraId="76243B58">
            <w:pPr>
              <w:jc w:val="center"/>
              <w:rPr>
                <w:rFonts w:hint="eastAsia" w:ascii="宋体" w:hAnsi="宋体" w:cs="宋体"/>
                <w:color w:val="auto"/>
                <w:szCs w:val="21"/>
                <w:highlight w:val="none"/>
              </w:rPr>
            </w:pPr>
            <w:r>
              <w:rPr>
                <w:rFonts w:hint="eastAsia" w:ascii="宋体" w:hAnsi="宋体" w:cs="宋体"/>
                <w:color w:val="auto"/>
                <w:szCs w:val="21"/>
                <w:highlight w:val="none"/>
              </w:rPr>
              <w:t>名称</w:t>
            </w:r>
          </w:p>
        </w:tc>
        <w:tc>
          <w:tcPr>
            <w:tcW w:w="0" w:type="auto"/>
            <w:tcBorders>
              <w:top w:val="single" w:color="auto" w:sz="4" w:space="0"/>
              <w:left w:val="single" w:color="auto" w:sz="4" w:space="0"/>
              <w:bottom w:val="single" w:color="auto" w:sz="4" w:space="0"/>
              <w:right w:val="single" w:color="auto" w:sz="4" w:space="0"/>
            </w:tcBorders>
            <w:vAlign w:val="center"/>
          </w:tcPr>
          <w:p w14:paraId="26E66606">
            <w:pPr>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0" w:type="auto"/>
            <w:tcBorders>
              <w:top w:val="single" w:color="auto" w:sz="4" w:space="0"/>
              <w:left w:val="single" w:color="auto" w:sz="4" w:space="0"/>
              <w:bottom w:val="single" w:color="auto" w:sz="4" w:space="0"/>
              <w:right w:val="single" w:color="auto" w:sz="4" w:space="0"/>
            </w:tcBorders>
            <w:vAlign w:val="center"/>
          </w:tcPr>
          <w:p w14:paraId="73169584">
            <w:pPr>
              <w:jc w:val="center"/>
              <w:rPr>
                <w:rFonts w:hint="eastAsia" w:ascii="宋体" w:hAnsi="宋体" w:cs="宋体"/>
                <w:color w:val="auto"/>
                <w:szCs w:val="21"/>
                <w:highlight w:val="none"/>
              </w:rPr>
            </w:pPr>
            <w:r>
              <w:rPr>
                <w:rFonts w:hint="eastAsia" w:ascii="宋体" w:hAnsi="宋体" w:cs="宋体"/>
                <w:color w:val="auto"/>
                <w:szCs w:val="21"/>
                <w:highlight w:val="none"/>
              </w:rPr>
              <w:t>单位</w:t>
            </w:r>
          </w:p>
        </w:tc>
        <w:tc>
          <w:tcPr>
            <w:tcW w:w="0" w:type="auto"/>
            <w:tcBorders>
              <w:top w:val="single" w:color="auto" w:sz="4" w:space="0"/>
              <w:left w:val="single" w:color="auto" w:sz="4" w:space="0"/>
              <w:bottom w:val="single" w:color="auto" w:sz="4" w:space="0"/>
              <w:right w:val="single" w:color="auto" w:sz="4" w:space="0"/>
            </w:tcBorders>
            <w:vAlign w:val="center"/>
          </w:tcPr>
          <w:p w14:paraId="4019448E">
            <w:pPr>
              <w:jc w:val="center"/>
              <w:rPr>
                <w:rFonts w:hint="eastAsia" w:ascii="宋体" w:hAnsi="宋体" w:cs="宋体"/>
                <w:color w:val="auto"/>
                <w:szCs w:val="21"/>
                <w:highlight w:val="none"/>
              </w:rPr>
            </w:pPr>
            <w:r>
              <w:rPr>
                <w:rFonts w:hint="eastAsia" w:ascii="宋体" w:hAnsi="宋体" w:cs="宋体"/>
                <w:color w:val="auto"/>
                <w:szCs w:val="21"/>
                <w:highlight w:val="none"/>
              </w:rPr>
              <w:t>单价最高限价（元/公斤）</w:t>
            </w:r>
          </w:p>
        </w:tc>
        <w:tc>
          <w:tcPr>
            <w:tcW w:w="0" w:type="auto"/>
            <w:tcBorders>
              <w:top w:val="single" w:color="auto" w:sz="4" w:space="0"/>
              <w:left w:val="single" w:color="auto" w:sz="4" w:space="0"/>
              <w:bottom w:val="single" w:color="auto" w:sz="4" w:space="0"/>
              <w:right w:val="single" w:color="auto" w:sz="4" w:space="0"/>
            </w:tcBorders>
            <w:vAlign w:val="center"/>
          </w:tcPr>
          <w:p w14:paraId="2C794A77">
            <w:pPr>
              <w:jc w:val="center"/>
              <w:rPr>
                <w:rFonts w:hint="eastAsia" w:ascii="宋体" w:hAnsi="宋体" w:cs="宋体"/>
                <w:color w:val="auto"/>
                <w:szCs w:val="21"/>
                <w:highlight w:val="none"/>
              </w:rPr>
            </w:pPr>
            <w:r>
              <w:rPr>
                <w:rFonts w:hint="eastAsia" w:ascii="宋体" w:hAnsi="宋体" w:cs="宋体"/>
                <w:color w:val="auto"/>
                <w:szCs w:val="21"/>
                <w:highlight w:val="none"/>
              </w:rPr>
              <w:t>货物参数要求</w:t>
            </w:r>
          </w:p>
        </w:tc>
        <w:tc>
          <w:tcPr>
            <w:tcW w:w="0" w:type="auto"/>
            <w:tcBorders>
              <w:top w:val="single" w:color="auto" w:sz="4" w:space="0"/>
              <w:left w:val="single" w:color="auto" w:sz="4" w:space="0"/>
              <w:bottom w:val="single" w:color="auto" w:sz="4" w:space="0"/>
              <w:right w:val="single" w:color="auto" w:sz="4" w:space="0"/>
            </w:tcBorders>
            <w:vAlign w:val="center"/>
          </w:tcPr>
          <w:p w14:paraId="182866CA">
            <w:pPr>
              <w:jc w:val="center"/>
              <w:rPr>
                <w:rFonts w:hint="eastAsia" w:ascii="宋体" w:hAnsi="宋体" w:cs="宋体"/>
                <w:color w:val="auto"/>
                <w:szCs w:val="21"/>
                <w:highlight w:val="none"/>
              </w:rPr>
            </w:pPr>
            <w:r>
              <w:rPr>
                <w:rFonts w:hint="eastAsia" w:ascii="宋体" w:hAnsi="宋体" w:cs="宋体"/>
                <w:color w:val="auto"/>
                <w:szCs w:val="21"/>
                <w:highlight w:val="none"/>
              </w:rPr>
              <w:t>货物</w:t>
            </w:r>
          </w:p>
          <w:p w14:paraId="399F75C1">
            <w:pPr>
              <w:jc w:val="center"/>
              <w:rPr>
                <w:rFonts w:hint="eastAsia" w:ascii="宋体" w:hAnsi="宋体" w:cs="宋体"/>
                <w:color w:val="auto"/>
                <w:szCs w:val="21"/>
                <w:highlight w:val="none"/>
              </w:rPr>
            </w:pPr>
            <w:r>
              <w:rPr>
                <w:rFonts w:hint="eastAsia" w:ascii="宋体" w:hAnsi="宋体" w:cs="宋体"/>
                <w:color w:val="auto"/>
                <w:szCs w:val="21"/>
                <w:highlight w:val="none"/>
              </w:rPr>
              <w:t>名称</w:t>
            </w:r>
          </w:p>
        </w:tc>
        <w:tc>
          <w:tcPr>
            <w:tcW w:w="0" w:type="auto"/>
            <w:tcBorders>
              <w:top w:val="single" w:color="auto" w:sz="4" w:space="0"/>
              <w:left w:val="single" w:color="auto" w:sz="4" w:space="0"/>
              <w:bottom w:val="single" w:color="auto" w:sz="4" w:space="0"/>
              <w:right w:val="single" w:color="auto" w:sz="4" w:space="0"/>
            </w:tcBorders>
            <w:vAlign w:val="center"/>
          </w:tcPr>
          <w:p w14:paraId="45B69C42">
            <w:pPr>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0" w:type="auto"/>
            <w:tcBorders>
              <w:top w:val="single" w:color="auto" w:sz="4" w:space="0"/>
              <w:left w:val="single" w:color="auto" w:sz="4" w:space="0"/>
              <w:bottom w:val="single" w:color="auto" w:sz="4" w:space="0"/>
              <w:right w:val="single" w:color="auto" w:sz="4" w:space="0"/>
            </w:tcBorders>
            <w:vAlign w:val="center"/>
          </w:tcPr>
          <w:p w14:paraId="3B0EC053">
            <w:pPr>
              <w:jc w:val="center"/>
              <w:rPr>
                <w:rFonts w:hint="eastAsia" w:ascii="宋体" w:hAnsi="宋体" w:cs="宋体"/>
                <w:color w:val="auto"/>
                <w:szCs w:val="21"/>
                <w:highlight w:val="none"/>
              </w:rPr>
            </w:pPr>
            <w:r>
              <w:rPr>
                <w:rFonts w:hint="eastAsia" w:ascii="宋体" w:hAnsi="宋体" w:cs="宋体"/>
                <w:color w:val="auto"/>
                <w:szCs w:val="21"/>
                <w:highlight w:val="none"/>
              </w:rPr>
              <w:t>单位</w:t>
            </w:r>
          </w:p>
        </w:tc>
        <w:tc>
          <w:tcPr>
            <w:tcW w:w="0" w:type="auto"/>
            <w:tcBorders>
              <w:top w:val="single" w:color="auto" w:sz="4" w:space="0"/>
              <w:left w:val="single" w:color="auto" w:sz="4" w:space="0"/>
              <w:bottom w:val="single" w:color="auto" w:sz="4" w:space="0"/>
              <w:right w:val="single" w:color="auto" w:sz="4" w:space="0"/>
            </w:tcBorders>
            <w:vAlign w:val="center"/>
          </w:tcPr>
          <w:p w14:paraId="0B1811E6">
            <w:pPr>
              <w:jc w:val="center"/>
              <w:rPr>
                <w:rFonts w:hint="eastAsia" w:ascii="宋体" w:hAnsi="宋体" w:cs="宋体"/>
                <w:color w:val="auto"/>
                <w:szCs w:val="21"/>
                <w:highlight w:val="none"/>
              </w:rPr>
            </w:pPr>
            <w:r>
              <w:rPr>
                <w:rFonts w:hint="eastAsia" w:ascii="宋体" w:hAnsi="宋体" w:cs="宋体"/>
                <w:color w:val="auto"/>
                <w:szCs w:val="21"/>
                <w:highlight w:val="none"/>
              </w:rPr>
              <w:t>单价最高限价（元/公斤）</w:t>
            </w:r>
          </w:p>
        </w:tc>
        <w:tc>
          <w:tcPr>
            <w:tcW w:w="0" w:type="auto"/>
            <w:tcBorders>
              <w:top w:val="single" w:color="auto" w:sz="4" w:space="0"/>
              <w:left w:val="single" w:color="auto" w:sz="4" w:space="0"/>
              <w:bottom w:val="single" w:color="auto" w:sz="4" w:space="0"/>
              <w:right w:val="single" w:color="auto" w:sz="4" w:space="0"/>
            </w:tcBorders>
            <w:vAlign w:val="center"/>
          </w:tcPr>
          <w:p w14:paraId="466FE31A">
            <w:pPr>
              <w:jc w:val="center"/>
              <w:rPr>
                <w:rFonts w:hint="eastAsia" w:ascii="宋体" w:hAnsi="宋体" w:cs="宋体"/>
                <w:color w:val="auto"/>
                <w:szCs w:val="21"/>
                <w:highlight w:val="none"/>
              </w:rPr>
            </w:pPr>
            <w:r>
              <w:rPr>
                <w:rFonts w:hint="eastAsia" w:ascii="宋体" w:hAnsi="宋体" w:cs="宋体"/>
                <w:color w:val="auto"/>
                <w:szCs w:val="21"/>
                <w:highlight w:val="none"/>
              </w:rPr>
              <w:t>货物承诺参数</w:t>
            </w:r>
          </w:p>
        </w:tc>
        <w:tc>
          <w:tcPr>
            <w:tcW w:w="0" w:type="auto"/>
            <w:tcBorders>
              <w:top w:val="single" w:color="auto" w:sz="4" w:space="0"/>
              <w:left w:val="single" w:color="auto" w:sz="4" w:space="0"/>
              <w:bottom w:val="single" w:color="auto" w:sz="4" w:space="0"/>
              <w:right w:val="single" w:color="auto" w:sz="4" w:space="0"/>
            </w:tcBorders>
            <w:vAlign w:val="center"/>
          </w:tcPr>
          <w:p w14:paraId="68F13CE9">
            <w:pPr>
              <w:widowControl/>
              <w:jc w:val="left"/>
              <w:rPr>
                <w:rFonts w:hint="eastAsia" w:ascii="宋体" w:hAnsi="宋体" w:cs="宋体"/>
                <w:color w:val="auto"/>
                <w:szCs w:val="21"/>
                <w:highlight w:val="none"/>
              </w:rPr>
            </w:pPr>
          </w:p>
        </w:tc>
      </w:tr>
      <w:tr w14:paraId="5037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22676E7A">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636" w:type="dxa"/>
            <w:tcBorders>
              <w:top w:val="single" w:color="auto" w:sz="4" w:space="0"/>
              <w:left w:val="single" w:color="auto" w:sz="4" w:space="0"/>
              <w:bottom w:val="single" w:color="auto" w:sz="4" w:space="0"/>
              <w:right w:val="single" w:color="auto" w:sz="4" w:space="0"/>
            </w:tcBorders>
            <w:vAlign w:val="center"/>
          </w:tcPr>
          <w:p w14:paraId="5D214690">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0" w:type="auto"/>
            <w:tcBorders>
              <w:top w:val="single" w:color="auto" w:sz="4" w:space="0"/>
              <w:left w:val="single" w:color="auto" w:sz="4" w:space="0"/>
              <w:bottom w:val="single" w:color="auto" w:sz="4" w:space="0"/>
              <w:right w:val="single" w:color="auto" w:sz="4" w:space="0"/>
            </w:tcBorders>
            <w:vAlign w:val="center"/>
          </w:tcPr>
          <w:p w14:paraId="436C44A2">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513" w:type="dxa"/>
            <w:tcBorders>
              <w:top w:val="single" w:color="auto" w:sz="4" w:space="0"/>
              <w:left w:val="single" w:color="auto" w:sz="4" w:space="0"/>
              <w:bottom w:val="single" w:color="auto" w:sz="4" w:space="0"/>
              <w:right w:val="single" w:color="auto" w:sz="4" w:space="0"/>
            </w:tcBorders>
            <w:vAlign w:val="center"/>
          </w:tcPr>
          <w:p w14:paraId="69281BF0">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0" w:type="auto"/>
            <w:tcBorders>
              <w:top w:val="single" w:color="auto" w:sz="4" w:space="0"/>
              <w:left w:val="single" w:color="auto" w:sz="4" w:space="0"/>
              <w:bottom w:val="single" w:color="auto" w:sz="4" w:space="0"/>
              <w:right w:val="single" w:color="auto" w:sz="4" w:space="0"/>
            </w:tcBorders>
            <w:vAlign w:val="center"/>
          </w:tcPr>
          <w:p w14:paraId="5219810C">
            <w:pPr>
              <w:rPr>
                <w:rFonts w:hint="eastAsia" w:ascii="宋体" w:hAnsi="宋体" w:cs="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38D7FB1A">
            <w:pPr>
              <w:rPr>
                <w:rFonts w:hint="eastAsia" w:ascii="宋体" w:hAnsi="宋体" w:cs="宋体"/>
                <w:color w:val="auto"/>
                <w:szCs w:val="21"/>
                <w:highlight w:val="none"/>
              </w:rPr>
            </w:pPr>
            <w:r>
              <w:rPr>
                <w:rFonts w:hint="eastAsia" w:ascii="宋体" w:hAnsi="宋体" w:cs="宋体"/>
                <w:color w:val="auto"/>
                <w:szCs w:val="21"/>
                <w:highlight w:val="none"/>
              </w:rPr>
              <w:t>1.  ……</w:t>
            </w:r>
          </w:p>
          <w:p w14:paraId="59A68B2A">
            <w:pPr>
              <w:rPr>
                <w:rFonts w:hint="eastAsia" w:ascii="宋体" w:hAnsi="宋体" w:cs="宋体"/>
                <w:color w:val="auto"/>
                <w:szCs w:val="21"/>
                <w:highlight w:val="none"/>
              </w:rPr>
            </w:pPr>
            <w:r>
              <w:rPr>
                <w:rFonts w:hint="eastAsia" w:ascii="宋体" w:hAnsi="宋体" w:cs="宋体"/>
                <w:color w:val="auto"/>
                <w:szCs w:val="21"/>
                <w:highlight w:val="none"/>
              </w:rPr>
              <w:t>2.  ……</w:t>
            </w:r>
          </w:p>
          <w:p w14:paraId="7FFFD21D">
            <w:pPr>
              <w:rPr>
                <w:rFonts w:hint="eastAsia" w:ascii="宋体" w:hAnsi="宋体" w:cs="宋体"/>
                <w:color w:val="auto"/>
                <w:szCs w:val="21"/>
                <w:highlight w:val="none"/>
              </w:rPr>
            </w:pPr>
            <w:r>
              <w:rPr>
                <w:rFonts w:hint="eastAsia" w:ascii="宋体" w:hAnsi="宋体" w:cs="宋体"/>
                <w:color w:val="auto"/>
                <w:szCs w:val="21"/>
                <w:highlight w:val="none"/>
              </w:rPr>
              <w:t>3.  ……</w:t>
            </w:r>
          </w:p>
          <w:p w14:paraId="785EBC6A">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636" w:type="dxa"/>
            <w:tcBorders>
              <w:top w:val="single" w:color="auto" w:sz="4" w:space="0"/>
              <w:left w:val="single" w:color="auto" w:sz="4" w:space="0"/>
              <w:bottom w:val="single" w:color="auto" w:sz="4" w:space="0"/>
              <w:right w:val="single" w:color="auto" w:sz="4" w:space="0"/>
            </w:tcBorders>
            <w:vAlign w:val="center"/>
          </w:tcPr>
          <w:p w14:paraId="28DF6224">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0" w:type="auto"/>
            <w:tcBorders>
              <w:top w:val="single" w:color="auto" w:sz="4" w:space="0"/>
              <w:left w:val="single" w:color="auto" w:sz="4" w:space="0"/>
              <w:bottom w:val="single" w:color="auto" w:sz="4" w:space="0"/>
              <w:right w:val="single" w:color="auto" w:sz="4" w:space="0"/>
            </w:tcBorders>
            <w:vAlign w:val="center"/>
          </w:tcPr>
          <w:p w14:paraId="5F445AE7">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513" w:type="dxa"/>
            <w:tcBorders>
              <w:top w:val="single" w:color="auto" w:sz="4" w:space="0"/>
              <w:left w:val="single" w:color="auto" w:sz="4" w:space="0"/>
              <w:bottom w:val="single" w:color="auto" w:sz="4" w:space="0"/>
              <w:right w:val="single" w:color="auto" w:sz="4" w:space="0"/>
            </w:tcBorders>
            <w:vAlign w:val="center"/>
          </w:tcPr>
          <w:p w14:paraId="7F691C10">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0" w:type="auto"/>
            <w:tcBorders>
              <w:top w:val="single" w:color="auto" w:sz="4" w:space="0"/>
              <w:left w:val="single" w:color="auto" w:sz="4" w:space="0"/>
              <w:bottom w:val="single" w:color="auto" w:sz="4" w:space="0"/>
              <w:right w:val="single" w:color="auto" w:sz="4" w:space="0"/>
            </w:tcBorders>
            <w:vAlign w:val="center"/>
          </w:tcPr>
          <w:p w14:paraId="381310A7">
            <w:pPr>
              <w:rPr>
                <w:rFonts w:hint="eastAsia" w:ascii="宋体" w:hAnsi="宋体" w:cs="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135037EC">
            <w:pPr>
              <w:rPr>
                <w:rFonts w:hint="eastAsia" w:ascii="宋体" w:hAnsi="宋体" w:cs="宋体"/>
                <w:color w:val="auto"/>
                <w:szCs w:val="21"/>
                <w:highlight w:val="none"/>
              </w:rPr>
            </w:pPr>
            <w:r>
              <w:rPr>
                <w:rFonts w:hint="eastAsia" w:ascii="宋体" w:hAnsi="宋体" w:cs="宋体"/>
                <w:color w:val="auto"/>
                <w:szCs w:val="21"/>
                <w:highlight w:val="none"/>
              </w:rPr>
              <w:t>1.  ……</w:t>
            </w:r>
          </w:p>
          <w:p w14:paraId="6BF6AE40">
            <w:pPr>
              <w:rPr>
                <w:rFonts w:hint="eastAsia" w:ascii="宋体" w:hAnsi="宋体" w:cs="宋体"/>
                <w:color w:val="auto"/>
                <w:szCs w:val="21"/>
                <w:highlight w:val="none"/>
              </w:rPr>
            </w:pPr>
            <w:r>
              <w:rPr>
                <w:rFonts w:hint="eastAsia" w:ascii="宋体" w:hAnsi="宋体" w:cs="宋体"/>
                <w:color w:val="auto"/>
                <w:szCs w:val="21"/>
                <w:highlight w:val="none"/>
              </w:rPr>
              <w:t>2.  ……</w:t>
            </w:r>
          </w:p>
          <w:p w14:paraId="58F6F086">
            <w:pPr>
              <w:rPr>
                <w:rFonts w:hint="eastAsia" w:ascii="宋体" w:hAnsi="宋体" w:cs="宋体"/>
                <w:color w:val="auto"/>
                <w:szCs w:val="21"/>
                <w:highlight w:val="none"/>
              </w:rPr>
            </w:pPr>
            <w:r>
              <w:rPr>
                <w:rFonts w:hint="eastAsia" w:ascii="宋体" w:hAnsi="宋体" w:cs="宋体"/>
                <w:color w:val="auto"/>
                <w:szCs w:val="21"/>
                <w:highlight w:val="none"/>
              </w:rPr>
              <w:t>3.  ……</w:t>
            </w:r>
          </w:p>
          <w:p w14:paraId="7E3AA450">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0" w:type="auto"/>
            <w:tcBorders>
              <w:top w:val="single" w:color="auto" w:sz="4" w:space="0"/>
              <w:left w:val="single" w:color="auto" w:sz="4" w:space="0"/>
              <w:bottom w:val="single" w:color="auto" w:sz="4" w:space="0"/>
              <w:right w:val="single" w:color="auto" w:sz="4" w:space="0"/>
            </w:tcBorders>
            <w:vAlign w:val="center"/>
          </w:tcPr>
          <w:p w14:paraId="5ED5451D">
            <w:pPr>
              <w:rPr>
                <w:rFonts w:hint="eastAsia" w:ascii="宋体" w:hAnsi="宋体" w:cs="宋体"/>
                <w:color w:val="auto"/>
                <w:szCs w:val="21"/>
                <w:highlight w:val="none"/>
              </w:rPr>
            </w:pPr>
          </w:p>
        </w:tc>
      </w:tr>
      <w:tr w14:paraId="14CCF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017235B6">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636" w:type="dxa"/>
            <w:tcBorders>
              <w:top w:val="single" w:color="auto" w:sz="4" w:space="0"/>
              <w:left w:val="single" w:color="auto" w:sz="4" w:space="0"/>
              <w:bottom w:val="single" w:color="auto" w:sz="4" w:space="0"/>
              <w:right w:val="single" w:color="auto" w:sz="4" w:space="0"/>
            </w:tcBorders>
            <w:vAlign w:val="center"/>
          </w:tcPr>
          <w:p w14:paraId="69AC93B0">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0" w:type="auto"/>
            <w:tcBorders>
              <w:top w:val="single" w:color="auto" w:sz="4" w:space="0"/>
              <w:left w:val="single" w:color="auto" w:sz="4" w:space="0"/>
              <w:bottom w:val="single" w:color="auto" w:sz="4" w:space="0"/>
              <w:right w:val="single" w:color="auto" w:sz="4" w:space="0"/>
            </w:tcBorders>
            <w:vAlign w:val="center"/>
          </w:tcPr>
          <w:p w14:paraId="1553EF85">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513" w:type="dxa"/>
            <w:tcBorders>
              <w:top w:val="single" w:color="auto" w:sz="4" w:space="0"/>
              <w:left w:val="single" w:color="auto" w:sz="4" w:space="0"/>
              <w:bottom w:val="single" w:color="auto" w:sz="4" w:space="0"/>
              <w:right w:val="single" w:color="auto" w:sz="4" w:space="0"/>
            </w:tcBorders>
            <w:vAlign w:val="center"/>
          </w:tcPr>
          <w:p w14:paraId="26742C27">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0" w:type="auto"/>
            <w:tcBorders>
              <w:top w:val="single" w:color="auto" w:sz="4" w:space="0"/>
              <w:left w:val="single" w:color="auto" w:sz="4" w:space="0"/>
              <w:bottom w:val="single" w:color="auto" w:sz="4" w:space="0"/>
              <w:right w:val="single" w:color="auto" w:sz="4" w:space="0"/>
            </w:tcBorders>
            <w:vAlign w:val="center"/>
          </w:tcPr>
          <w:p w14:paraId="64EA5966">
            <w:pPr>
              <w:rPr>
                <w:rFonts w:hint="eastAsia" w:ascii="宋体" w:hAnsi="宋体" w:cs="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36692CD4">
            <w:pPr>
              <w:rPr>
                <w:rFonts w:hint="eastAsia" w:ascii="宋体" w:hAnsi="宋体" w:cs="宋体"/>
                <w:color w:val="auto"/>
                <w:szCs w:val="21"/>
                <w:highlight w:val="none"/>
              </w:rPr>
            </w:pPr>
            <w:r>
              <w:rPr>
                <w:rFonts w:hint="eastAsia" w:ascii="宋体" w:hAnsi="宋体" w:cs="宋体"/>
                <w:color w:val="auto"/>
                <w:szCs w:val="21"/>
                <w:highlight w:val="none"/>
              </w:rPr>
              <w:t>1.  ……</w:t>
            </w:r>
          </w:p>
          <w:p w14:paraId="42E1530F">
            <w:pPr>
              <w:rPr>
                <w:rFonts w:hint="eastAsia" w:ascii="宋体" w:hAnsi="宋体" w:cs="宋体"/>
                <w:color w:val="auto"/>
                <w:szCs w:val="21"/>
                <w:highlight w:val="none"/>
              </w:rPr>
            </w:pPr>
            <w:r>
              <w:rPr>
                <w:rFonts w:hint="eastAsia" w:ascii="宋体" w:hAnsi="宋体" w:cs="宋体"/>
                <w:color w:val="auto"/>
                <w:szCs w:val="21"/>
                <w:highlight w:val="none"/>
              </w:rPr>
              <w:t>2.  ……</w:t>
            </w:r>
          </w:p>
          <w:p w14:paraId="762186F5">
            <w:pPr>
              <w:rPr>
                <w:rFonts w:hint="eastAsia" w:ascii="宋体" w:hAnsi="宋体" w:cs="宋体"/>
                <w:color w:val="auto"/>
                <w:szCs w:val="21"/>
                <w:highlight w:val="none"/>
              </w:rPr>
            </w:pPr>
            <w:r>
              <w:rPr>
                <w:rFonts w:hint="eastAsia" w:ascii="宋体" w:hAnsi="宋体" w:cs="宋体"/>
                <w:color w:val="auto"/>
                <w:szCs w:val="21"/>
                <w:highlight w:val="none"/>
              </w:rPr>
              <w:t>3.  ……</w:t>
            </w:r>
          </w:p>
          <w:p w14:paraId="496C1451">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636" w:type="dxa"/>
            <w:tcBorders>
              <w:top w:val="single" w:color="auto" w:sz="4" w:space="0"/>
              <w:left w:val="single" w:color="auto" w:sz="4" w:space="0"/>
              <w:bottom w:val="single" w:color="auto" w:sz="4" w:space="0"/>
              <w:right w:val="single" w:color="auto" w:sz="4" w:space="0"/>
            </w:tcBorders>
            <w:vAlign w:val="center"/>
          </w:tcPr>
          <w:p w14:paraId="771B6885">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0" w:type="auto"/>
            <w:tcBorders>
              <w:top w:val="single" w:color="auto" w:sz="4" w:space="0"/>
              <w:left w:val="single" w:color="auto" w:sz="4" w:space="0"/>
              <w:bottom w:val="single" w:color="auto" w:sz="4" w:space="0"/>
              <w:right w:val="single" w:color="auto" w:sz="4" w:space="0"/>
            </w:tcBorders>
            <w:vAlign w:val="center"/>
          </w:tcPr>
          <w:p w14:paraId="02A4F32A">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513" w:type="dxa"/>
            <w:tcBorders>
              <w:top w:val="single" w:color="auto" w:sz="4" w:space="0"/>
              <w:left w:val="single" w:color="auto" w:sz="4" w:space="0"/>
              <w:bottom w:val="single" w:color="auto" w:sz="4" w:space="0"/>
              <w:right w:val="single" w:color="auto" w:sz="4" w:space="0"/>
            </w:tcBorders>
            <w:vAlign w:val="center"/>
          </w:tcPr>
          <w:p w14:paraId="7A26AB7E">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0" w:type="auto"/>
            <w:tcBorders>
              <w:top w:val="single" w:color="auto" w:sz="4" w:space="0"/>
              <w:left w:val="single" w:color="auto" w:sz="4" w:space="0"/>
              <w:bottom w:val="single" w:color="auto" w:sz="4" w:space="0"/>
              <w:right w:val="single" w:color="auto" w:sz="4" w:space="0"/>
            </w:tcBorders>
            <w:vAlign w:val="center"/>
          </w:tcPr>
          <w:p w14:paraId="4CD3D968">
            <w:pPr>
              <w:rPr>
                <w:rFonts w:hint="eastAsia" w:ascii="宋体" w:hAnsi="宋体" w:cs="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214E382">
            <w:pPr>
              <w:rPr>
                <w:rFonts w:hint="eastAsia" w:ascii="宋体" w:hAnsi="宋体" w:cs="宋体"/>
                <w:color w:val="auto"/>
                <w:szCs w:val="21"/>
                <w:highlight w:val="none"/>
              </w:rPr>
            </w:pPr>
            <w:r>
              <w:rPr>
                <w:rFonts w:hint="eastAsia" w:ascii="宋体" w:hAnsi="宋体" w:cs="宋体"/>
                <w:color w:val="auto"/>
                <w:szCs w:val="21"/>
                <w:highlight w:val="none"/>
              </w:rPr>
              <w:t>1.  ……</w:t>
            </w:r>
          </w:p>
          <w:p w14:paraId="4564ECD7">
            <w:pPr>
              <w:rPr>
                <w:rFonts w:hint="eastAsia" w:ascii="宋体" w:hAnsi="宋体" w:cs="宋体"/>
                <w:color w:val="auto"/>
                <w:szCs w:val="21"/>
                <w:highlight w:val="none"/>
              </w:rPr>
            </w:pPr>
            <w:r>
              <w:rPr>
                <w:rFonts w:hint="eastAsia" w:ascii="宋体" w:hAnsi="宋体" w:cs="宋体"/>
                <w:color w:val="auto"/>
                <w:szCs w:val="21"/>
                <w:highlight w:val="none"/>
              </w:rPr>
              <w:t>2.  ……</w:t>
            </w:r>
          </w:p>
          <w:p w14:paraId="0C18F219">
            <w:pPr>
              <w:rPr>
                <w:rFonts w:hint="eastAsia" w:ascii="宋体" w:hAnsi="宋体" w:cs="宋体"/>
                <w:color w:val="auto"/>
                <w:szCs w:val="21"/>
                <w:highlight w:val="none"/>
              </w:rPr>
            </w:pPr>
            <w:r>
              <w:rPr>
                <w:rFonts w:hint="eastAsia" w:ascii="宋体" w:hAnsi="宋体" w:cs="宋体"/>
                <w:color w:val="auto"/>
                <w:szCs w:val="21"/>
                <w:highlight w:val="none"/>
              </w:rPr>
              <w:t>3.  ……</w:t>
            </w:r>
          </w:p>
          <w:p w14:paraId="1DDF9E10">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0" w:type="auto"/>
            <w:tcBorders>
              <w:top w:val="single" w:color="auto" w:sz="4" w:space="0"/>
              <w:left w:val="single" w:color="auto" w:sz="4" w:space="0"/>
              <w:bottom w:val="single" w:color="auto" w:sz="4" w:space="0"/>
              <w:right w:val="single" w:color="auto" w:sz="4" w:space="0"/>
            </w:tcBorders>
            <w:vAlign w:val="center"/>
          </w:tcPr>
          <w:p w14:paraId="188ADEC5">
            <w:pPr>
              <w:rPr>
                <w:rFonts w:hint="eastAsia" w:ascii="宋体" w:hAnsi="宋体" w:cs="宋体"/>
                <w:color w:val="auto"/>
                <w:szCs w:val="21"/>
                <w:highlight w:val="none"/>
              </w:rPr>
            </w:pPr>
          </w:p>
        </w:tc>
      </w:tr>
      <w:tr w14:paraId="0B5CA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6EA0A677">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0" w:type="auto"/>
            <w:tcBorders>
              <w:top w:val="single" w:color="auto" w:sz="4" w:space="0"/>
              <w:left w:val="single" w:color="auto" w:sz="4" w:space="0"/>
              <w:bottom w:val="single" w:color="auto" w:sz="4" w:space="0"/>
              <w:right w:val="single" w:color="auto" w:sz="4" w:space="0"/>
            </w:tcBorders>
            <w:vAlign w:val="center"/>
          </w:tcPr>
          <w:p w14:paraId="4E0F73C6">
            <w:pPr>
              <w:rPr>
                <w:rFonts w:hint="eastAsia" w:ascii="宋体" w:hAnsi="宋体" w:cs="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EE77C8F">
            <w:pPr>
              <w:rPr>
                <w:rFonts w:hint="eastAsia" w:ascii="宋体" w:hAnsi="宋体" w:cs="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033CC72">
            <w:pPr>
              <w:rPr>
                <w:rFonts w:hint="eastAsia" w:ascii="宋体" w:hAnsi="宋体" w:cs="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721EFD42">
            <w:pPr>
              <w:rPr>
                <w:rFonts w:hint="eastAsia" w:ascii="宋体" w:hAnsi="宋体" w:cs="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635918D3">
            <w:pPr>
              <w:rPr>
                <w:rFonts w:hint="eastAsia" w:ascii="宋体" w:hAnsi="宋体" w:cs="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57790DED">
            <w:pPr>
              <w:rPr>
                <w:rFonts w:hint="eastAsia" w:ascii="宋体" w:hAnsi="宋体" w:cs="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123B6F94">
            <w:pPr>
              <w:rPr>
                <w:rFonts w:hint="eastAsia" w:ascii="宋体" w:hAnsi="宋体" w:cs="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5D96F96A">
            <w:pPr>
              <w:rPr>
                <w:rFonts w:hint="eastAsia" w:ascii="宋体" w:hAnsi="宋体" w:cs="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31E2160">
            <w:pPr>
              <w:rPr>
                <w:rFonts w:hint="eastAsia" w:ascii="宋体" w:hAnsi="宋体" w:cs="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1CFAC3CC">
            <w:pPr>
              <w:rPr>
                <w:rFonts w:hint="eastAsia" w:ascii="宋体" w:hAnsi="宋体" w:cs="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732736BC">
            <w:pPr>
              <w:rPr>
                <w:rFonts w:hint="eastAsia" w:ascii="宋体" w:hAnsi="宋体" w:cs="宋体"/>
                <w:color w:val="auto"/>
                <w:szCs w:val="21"/>
                <w:highlight w:val="none"/>
              </w:rPr>
            </w:pPr>
          </w:p>
        </w:tc>
      </w:tr>
    </w:tbl>
    <w:p w14:paraId="2136BCDA">
      <w:pPr>
        <w:pStyle w:val="25"/>
        <w:rPr>
          <w:rFonts w:hint="eastAsia" w:hAnsi="宋体" w:cs="宋体"/>
          <w:color w:val="auto"/>
          <w:sz w:val="24"/>
          <w:szCs w:val="24"/>
          <w:highlight w:val="none"/>
        </w:rPr>
      </w:pPr>
    </w:p>
    <w:p w14:paraId="75D234E3">
      <w:pPr>
        <w:pStyle w:val="19"/>
        <w:rPr>
          <w:rFonts w:hint="eastAsia" w:ascii="宋体" w:hAnsi="宋体" w:cs="宋体"/>
          <w:color w:val="auto"/>
          <w:highlight w:val="none"/>
        </w:rPr>
      </w:pPr>
      <w:r>
        <w:rPr>
          <w:rFonts w:hint="eastAsia" w:ascii="宋体" w:hAnsi="宋体" w:cs="宋体"/>
          <w:color w:val="auto"/>
          <w:highlight w:val="none"/>
        </w:rPr>
        <w:t>注：</w:t>
      </w:r>
    </w:p>
    <w:p w14:paraId="252814C3">
      <w:pPr>
        <w:pStyle w:val="20"/>
        <w:spacing w:line="360" w:lineRule="auto"/>
        <w:ind w:firstLine="0" w:firstLineChars="0"/>
        <w:rPr>
          <w:rFonts w:hint="eastAsia" w:ascii="宋体" w:hAnsi="宋体" w:eastAsia="宋体" w:cs="宋体"/>
          <w:color w:val="auto"/>
          <w:szCs w:val="32"/>
          <w:highlight w:val="none"/>
        </w:rPr>
      </w:pPr>
      <w:r>
        <w:rPr>
          <w:rFonts w:hint="eastAsia" w:ascii="宋体" w:hAnsi="宋体" w:eastAsia="宋体" w:cs="宋体"/>
          <w:color w:val="auto"/>
          <w:sz w:val="24"/>
          <w:szCs w:val="24"/>
          <w:highlight w:val="none"/>
        </w:rPr>
        <w:t>1.说明：应对照招标文件“第二章 采购需求”中的“技术参数及质量（配置）要求”逐条作明确的投标响应，并作出偏离说明。</w:t>
      </w:r>
    </w:p>
    <w:p w14:paraId="2EC2EB24">
      <w:pPr>
        <w:pStyle w:val="19"/>
        <w:spacing w:line="360" w:lineRule="auto"/>
        <w:rPr>
          <w:rFonts w:hint="eastAsia" w:ascii="宋体" w:hAnsi="宋体" w:cs="宋体"/>
          <w:b w:val="0"/>
          <w:bCs w:val="0"/>
          <w:color w:val="auto"/>
          <w:highlight w:val="none"/>
        </w:rPr>
      </w:pPr>
      <w:r>
        <w:rPr>
          <w:rFonts w:hint="eastAsia" w:ascii="宋体" w:hAnsi="宋体" w:cs="宋体"/>
          <w:b w:val="0"/>
          <w:bCs w:val="0"/>
          <w:color w:val="auto"/>
          <w:highlight w:val="none"/>
        </w:rPr>
        <w:t>2.投标人根据投标货物的性能指标，对照招标文件技术要求，在“偏离说明”中注明“</w:t>
      </w:r>
      <w:r>
        <w:rPr>
          <w:rFonts w:hint="eastAsia" w:ascii="宋体" w:hAnsi="宋体" w:cs="宋体"/>
          <w:color w:val="auto"/>
          <w:highlight w:val="none"/>
        </w:rPr>
        <w:t>正偏离</w:t>
      </w:r>
      <w:r>
        <w:rPr>
          <w:rFonts w:hint="eastAsia" w:ascii="宋体" w:hAnsi="宋体" w:cs="宋体"/>
          <w:b w:val="0"/>
          <w:bCs w:val="0"/>
          <w:color w:val="auto"/>
          <w:highlight w:val="none"/>
        </w:rPr>
        <w:t>”、“</w:t>
      </w:r>
      <w:r>
        <w:rPr>
          <w:rFonts w:hint="eastAsia" w:ascii="宋体" w:hAnsi="宋体" w:cs="宋体"/>
          <w:color w:val="auto"/>
          <w:highlight w:val="none"/>
        </w:rPr>
        <w:t>负偏离</w:t>
      </w:r>
      <w:r>
        <w:rPr>
          <w:rFonts w:hint="eastAsia" w:ascii="宋体" w:hAnsi="宋体" w:cs="宋体"/>
          <w:b w:val="0"/>
          <w:bCs w:val="0"/>
          <w:color w:val="auto"/>
          <w:highlight w:val="none"/>
        </w:rPr>
        <w:t>”或者“</w:t>
      </w:r>
      <w:r>
        <w:rPr>
          <w:rFonts w:hint="eastAsia" w:ascii="宋体" w:hAnsi="宋体" w:cs="宋体"/>
          <w:color w:val="auto"/>
          <w:highlight w:val="none"/>
        </w:rPr>
        <w:t>无偏离</w:t>
      </w:r>
      <w:r>
        <w:rPr>
          <w:rFonts w:hint="eastAsia" w:ascii="宋体" w:hAnsi="宋体" w:cs="宋体"/>
          <w:b w:val="0"/>
          <w:bCs w:val="0"/>
          <w:color w:val="auto"/>
          <w:highlight w:val="none"/>
        </w:rPr>
        <w:t>”。既不属于“</w:t>
      </w:r>
      <w:r>
        <w:rPr>
          <w:rFonts w:hint="eastAsia" w:ascii="宋体" w:hAnsi="宋体" w:cs="宋体"/>
          <w:color w:val="auto"/>
          <w:highlight w:val="none"/>
        </w:rPr>
        <w:t>正偏离</w:t>
      </w:r>
      <w:r>
        <w:rPr>
          <w:rFonts w:hint="eastAsia" w:ascii="宋体" w:hAnsi="宋体" w:cs="宋体"/>
          <w:b w:val="0"/>
          <w:bCs w:val="0"/>
          <w:color w:val="auto"/>
          <w:highlight w:val="none"/>
        </w:rPr>
        <w:t>”也不属于“</w:t>
      </w:r>
      <w:r>
        <w:rPr>
          <w:rFonts w:hint="eastAsia" w:ascii="宋体" w:hAnsi="宋体" w:cs="宋体"/>
          <w:color w:val="auto"/>
          <w:highlight w:val="none"/>
        </w:rPr>
        <w:t>负偏离</w:t>
      </w:r>
      <w:r>
        <w:rPr>
          <w:rFonts w:hint="eastAsia" w:ascii="宋体" w:hAnsi="宋体" w:cs="宋体"/>
          <w:b w:val="0"/>
          <w:bCs w:val="0"/>
          <w:color w:val="auto"/>
          <w:highlight w:val="none"/>
        </w:rPr>
        <w:t>”即为“</w:t>
      </w:r>
      <w:r>
        <w:rPr>
          <w:rFonts w:hint="eastAsia" w:ascii="宋体" w:hAnsi="宋体" w:cs="宋体"/>
          <w:color w:val="auto"/>
          <w:highlight w:val="none"/>
        </w:rPr>
        <w:t>无偏离</w:t>
      </w:r>
      <w:r>
        <w:rPr>
          <w:rFonts w:hint="eastAsia" w:ascii="宋体" w:hAnsi="宋体" w:cs="宋体"/>
          <w:b w:val="0"/>
          <w:bCs w:val="0"/>
          <w:color w:val="auto"/>
          <w:highlight w:val="none"/>
        </w:rPr>
        <w:t>”。</w:t>
      </w:r>
    </w:p>
    <w:p w14:paraId="06B4AB44">
      <w:pPr>
        <w:pStyle w:val="20"/>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3.如技术要求偏离表中的投标响应与佐证材料不一致的</w:t>
      </w:r>
      <w:r>
        <w:rPr>
          <w:rFonts w:hint="eastAsia" w:ascii="宋体" w:hAnsi="宋体" w:eastAsia="宋体" w:cs="宋体"/>
          <w:b/>
          <w:bCs/>
          <w:color w:val="auto"/>
          <w:sz w:val="24"/>
          <w:szCs w:val="24"/>
          <w:highlight w:val="none"/>
        </w:rPr>
        <w:t>，按无效投标处理</w:t>
      </w:r>
      <w:r>
        <w:rPr>
          <w:rFonts w:hint="eastAsia" w:ascii="宋体" w:hAnsi="宋体" w:eastAsia="宋体" w:cs="宋体"/>
          <w:color w:val="auto"/>
          <w:sz w:val="24"/>
          <w:szCs w:val="24"/>
          <w:highlight w:val="none"/>
        </w:rPr>
        <w:t>。</w:t>
      </w:r>
    </w:p>
    <w:p w14:paraId="40F350BF">
      <w:pPr>
        <w:snapToGrid w:val="0"/>
        <w:spacing w:before="50" w:after="50" w:line="360" w:lineRule="auto"/>
        <w:rPr>
          <w:rFonts w:hint="eastAsia" w:ascii="宋体" w:hAnsi="宋体" w:cs="宋体"/>
          <w:color w:val="auto"/>
          <w:sz w:val="24"/>
          <w:highlight w:val="none"/>
        </w:rPr>
      </w:pPr>
    </w:p>
    <w:p w14:paraId="27F37C1F">
      <w:pPr>
        <w:snapToGrid w:val="0"/>
        <w:spacing w:before="50" w:after="50" w:line="360" w:lineRule="auto"/>
        <w:rPr>
          <w:rFonts w:hint="eastAsia" w:ascii="宋体" w:hAnsi="宋体" w:cs="宋体"/>
          <w:color w:val="auto"/>
          <w:spacing w:val="20"/>
          <w:sz w:val="24"/>
          <w:highlight w:val="none"/>
          <w:u w:val="single"/>
        </w:rPr>
      </w:pPr>
      <w:r>
        <w:rPr>
          <w:rFonts w:hint="eastAsia" w:ascii="宋体" w:hAnsi="宋体" w:cs="宋体"/>
          <w:color w:val="auto"/>
          <w:sz w:val="24"/>
          <w:highlight w:val="none"/>
        </w:rPr>
        <w:t>法定代表人或者委托代理人</w:t>
      </w:r>
      <w:r>
        <w:rPr>
          <w:rFonts w:hint="eastAsia" w:ascii="宋体" w:hAnsi="宋体" w:cs="宋体"/>
          <w:color w:val="auto"/>
          <w:spacing w:val="20"/>
          <w:sz w:val="24"/>
          <w:highlight w:val="none"/>
        </w:rPr>
        <w:t>（签字）：</w:t>
      </w:r>
    </w:p>
    <w:p w14:paraId="13F6A8D3">
      <w:pPr>
        <w:snapToGrid w:val="0"/>
        <w:spacing w:before="50" w:after="50" w:line="360" w:lineRule="auto"/>
        <w:rPr>
          <w:rFonts w:hint="eastAsia" w:ascii="宋体" w:hAnsi="宋体" w:cs="宋体"/>
          <w:color w:val="auto"/>
          <w:spacing w:val="20"/>
          <w:sz w:val="24"/>
          <w:highlight w:val="none"/>
        </w:rPr>
      </w:pPr>
      <w:r>
        <w:rPr>
          <w:rFonts w:hint="eastAsia" w:ascii="宋体" w:hAnsi="宋体" w:cs="宋体"/>
          <w:color w:val="auto"/>
          <w:spacing w:val="20"/>
          <w:sz w:val="24"/>
          <w:highlight w:val="none"/>
        </w:rPr>
        <w:t>投标人名称（盖公章）：</w:t>
      </w:r>
    </w:p>
    <w:p w14:paraId="73EFDC28">
      <w:pPr>
        <w:snapToGrid w:val="0"/>
        <w:spacing w:before="50" w:after="50" w:line="360" w:lineRule="auto"/>
        <w:rPr>
          <w:rFonts w:hint="eastAsia" w:ascii="宋体" w:hAnsi="宋体" w:cs="宋体"/>
          <w:color w:val="auto"/>
          <w:spacing w:val="20"/>
          <w:sz w:val="24"/>
          <w:highlight w:val="none"/>
        </w:rPr>
      </w:pPr>
      <w:r>
        <w:rPr>
          <w:rFonts w:hint="eastAsia" w:ascii="宋体" w:hAnsi="宋体" w:cs="宋体"/>
          <w:color w:val="auto"/>
          <w:spacing w:val="20"/>
          <w:sz w:val="24"/>
          <w:highlight w:val="none"/>
        </w:rPr>
        <w:t>日 期：</w:t>
      </w:r>
    </w:p>
    <w:p w14:paraId="531CE70B">
      <w:pPr>
        <w:pStyle w:val="3"/>
        <w:rPr>
          <w:rFonts w:hint="eastAsia" w:ascii="宋体" w:hAnsi="宋体" w:cs="宋体"/>
          <w:color w:val="auto"/>
          <w:highlight w:val="none"/>
        </w:rPr>
      </w:pPr>
    </w:p>
    <w:p w14:paraId="45E4B10D">
      <w:pPr>
        <w:pStyle w:val="3"/>
        <w:rPr>
          <w:rFonts w:hint="eastAsia" w:ascii="宋体" w:hAnsi="宋体" w:cs="宋体"/>
          <w:color w:val="auto"/>
          <w:highlight w:val="none"/>
        </w:rPr>
      </w:pPr>
    </w:p>
    <w:p w14:paraId="7B706978">
      <w:pPr>
        <w:pStyle w:val="3"/>
        <w:rPr>
          <w:rFonts w:hint="eastAsia" w:ascii="宋体" w:hAnsi="宋体" w:cs="宋体"/>
          <w:color w:val="auto"/>
          <w:highlight w:val="none"/>
        </w:rPr>
      </w:pPr>
    </w:p>
    <w:p w14:paraId="549E2F88">
      <w:pPr>
        <w:pStyle w:val="3"/>
        <w:rPr>
          <w:rFonts w:hint="eastAsia" w:ascii="宋体" w:hAnsi="宋体" w:cs="宋体"/>
          <w:color w:val="auto"/>
          <w:highlight w:val="none"/>
        </w:rPr>
      </w:pPr>
    </w:p>
    <w:p w14:paraId="659F0DB1">
      <w:pPr>
        <w:snapToGrid w:val="0"/>
        <w:spacing w:before="120" w:beforeLines="50" w:after="50"/>
        <w:ind w:left="142"/>
        <w:jc w:val="left"/>
        <w:rPr>
          <w:rFonts w:hint="eastAsia" w:ascii="宋体" w:hAnsi="宋体" w:cs="宋体"/>
          <w:b/>
          <w:color w:val="auto"/>
          <w:sz w:val="24"/>
          <w:highlight w:val="none"/>
        </w:rPr>
      </w:pPr>
    </w:p>
    <w:p w14:paraId="7F8902EC">
      <w:pPr>
        <w:snapToGrid w:val="0"/>
        <w:spacing w:before="120" w:beforeLines="50" w:after="50"/>
        <w:ind w:left="142"/>
        <w:jc w:val="left"/>
        <w:rPr>
          <w:rFonts w:hint="eastAsia" w:ascii="宋体" w:hAnsi="宋体" w:cs="宋体"/>
          <w:b/>
          <w:color w:val="auto"/>
          <w:sz w:val="24"/>
          <w:highlight w:val="none"/>
        </w:rPr>
      </w:pPr>
      <w:r>
        <w:rPr>
          <w:rFonts w:hint="eastAsia" w:ascii="宋体" w:hAnsi="宋体" w:cs="宋体"/>
          <w:b/>
          <w:color w:val="auto"/>
          <w:sz w:val="24"/>
          <w:highlight w:val="none"/>
        </w:rPr>
        <w:t>5.项目实施人员一览表格式</w:t>
      </w:r>
    </w:p>
    <w:p w14:paraId="5CFEC0CC">
      <w:pPr>
        <w:snapToGrid w:val="0"/>
        <w:spacing w:before="120" w:beforeLines="50" w:after="50"/>
        <w:ind w:left="142"/>
        <w:jc w:val="left"/>
        <w:rPr>
          <w:rFonts w:hint="eastAsia" w:ascii="宋体" w:hAnsi="宋体" w:cs="宋体"/>
          <w:b/>
          <w:color w:val="auto"/>
          <w:sz w:val="24"/>
          <w:highlight w:val="none"/>
        </w:rPr>
      </w:pPr>
    </w:p>
    <w:p w14:paraId="582B080F">
      <w:pPr>
        <w:snapToGrid w:val="0"/>
        <w:spacing w:before="120" w:beforeLines="50" w:after="50"/>
        <w:ind w:left="142"/>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项目实施人员一览表</w:t>
      </w:r>
    </w:p>
    <w:p w14:paraId="6FFC1BA6">
      <w:pPr>
        <w:pStyle w:val="25"/>
        <w:rPr>
          <w:rFonts w:hint="eastAsia" w:hAnsi="宋体" w:cs="宋体"/>
          <w:color w:val="auto"/>
          <w:sz w:val="24"/>
          <w:szCs w:val="24"/>
          <w:highlight w:val="none"/>
          <w:u w:val="single"/>
        </w:rPr>
      </w:pPr>
      <w:r>
        <w:rPr>
          <w:rFonts w:hint="eastAsia" w:hAnsi="宋体" w:cs="宋体"/>
          <w:color w:val="auto"/>
          <w:sz w:val="24"/>
          <w:szCs w:val="24"/>
          <w:highlight w:val="none"/>
        </w:rPr>
        <w:t>所投分标：</w:t>
      </w:r>
      <w:r>
        <w:rPr>
          <w:rFonts w:hint="eastAsia" w:hAnsi="宋体" w:cs="宋体"/>
          <w:color w:val="auto"/>
          <w:sz w:val="24"/>
          <w:szCs w:val="24"/>
          <w:highlight w:val="none"/>
          <w:u w:val="single"/>
        </w:rPr>
        <w:t xml:space="preserve">分标    </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17"/>
        <w:gridCol w:w="709"/>
        <w:gridCol w:w="1984"/>
        <w:gridCol w:w="1418"/>
        <w:gridCol w:w="1417"/>
        <w:gridCol w:w="1843"/>
      </w:tblGrid>
      <w:tr w14:paraId="039EC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523B658E">
            <w:pPr>
              <w:snapToGrid w:val="0"/>
              <w:spacing w:before="50" w:after="120" w:afterLines="50"/>
              <w:jc w:val="center"/>
              <w:rPr>
                <w:rFonts w:hint="eastAsia" w:ascii="宋体" w:hAnsi="宋体" w:cs="宋体"/>
                <w:color w:val="auto"/>
                <w:sz w:val="24"/>
                <w:szCs w:val="20"/>
                <w:highlight w:val="none"/>
              </w:rPr>
            </w:pPr>
            <w:r>
              <w:rPr>
                <w:rFonts w:hint="eastAsia" w:ascii="宋体" w:hAnsi="宋体" w:cs="宋体"/>
                <w:color w:val="auto"/>
                <w:sz w:val="24"/>
                <w:szCs w:val="20"/>
                <w:highlight w:val="none"/>
              </w:rPr>
              <w:t>序号</w:t>
            </w:r>
          </w:p>
        </w:tc>
        <w:tc>
          <w:tcPr>
            <w:tcW w:w="817" w:type="dxa"/>
            <w:vAlign w:val="center"/>
          </w:tcPr>
          <w:p w14:paraId="74E86BFD">
            <w:pPr>
              <w:snapToGrid w:val="0"/>
              <w:spacing w:before="50" w:after="120" w:afterLines="50"/>
              <w:jc w:val="center"/>
              <w:rPr>
                <w:rFonts w:hint="eastAsia" w:ascii="宋体" w:hAnsi="宋体" w:cs="宋体"/>
                <w:color w:val="auto"/>
                <w:sz w:val="24"/>
                <w:szCs w:val="20"/>
                <w:highlight w:val="none"/>
              </w:rPr>
            </w:pPr>
            <w:r>
              <w:rPr>
                <w:rFonts w:hint="eastAsia" w:ascii="宋体" w:hAnsi="宋体" w:cs="宋体"/>
                <w:color w:val="auto"/>
                <w:sz w:val="24"/>
                <w:szCs w:val="20"/>
                <w:highlight w:val="none"/>
              </w:rPr>
              <w:t>姓名</w:t>
            </w:r>
          </w:p>
        </w:tc>
        <w:tc>
          <w:tcPr>
            <w:tcW w:w="709" w:type="dxa"/>
            <w:vAlign w:val="center"/>
          </w:tcPr>
          <w:p w14:paraId="298109CD">
            <w:pPr>
              <w:snapToGrid w:val="0"/>
              <w:spacing w:before="50" w:after="120" w:afterLines="50"/>
              <w:jc w:val="center"/>
              <w:rPr>
                <w:rFonts w:hint="eastAsia" w:ascii="宋体" w:hAnsi="宋体" w:cs="宋体"/>
                <w:color w:val="auto"/>
                <w:sz w:val="24"/>
                <w:szCs w:val="20"/>
                <w:highlight w:val="none"/>
              </w:rPr>
            </w:pPr>
            <w:r>
              <w:rPr>
                <w:rFonts w:hint="eastAsia" w:ascii="宋体" w:hAnsi="宋体" w:cs="宋体"/>
                <w:color w:val="auto"/>
                <w:sz w:val="24"/>
                <w:szCs w:val="20"/>
                <w:highlight w:val="none"/>
              </w:rPr>
              <w:t>职务</w:t>
            </w:r>
          </w:p>
        </w:tc>
        <w:tc>
          <w:tcPr>
            <w:tcW w:w="1984" w:type="dxa"/>
            <w:vAlign w:val="center"/>
          </w:tcPr>
          <w:p w14:paraId="78C9F4D5">
            <w:pPr>
              <w:snapToGrid w:val="0"/>
              <w:spacing w:before="50" w:after="120" w:afterLines="50"/>
              <w:jc w:val="center"/>
              <w:rPr>
                <w:rFonts w:hint="eastAsia" w:ascii="宋体" w:hAnsi="宋体" w:cs="宋体"/>
                <w:color w:val="auto"/>
                <w:sz w:val="24"/>
                <w:szCs w:val="20"/>
                <w:highlight w:val="none"/>
              </w:rPr>
            </w:pPr>
            <w:r>
              <w:rPr>
                <w:rFonts w:hint="eastAsia" w:ascii="宋体" w:hAnsi="宋体" w:cs="宋体"/>
                <w:color w:val="auto"/>
                <w:sz w:val="24"/>
                <w:szCs w:val="20"/>
                <w:highlight w:val="none"/>
              </w:rPr>
              <w:t>专业技术资格（职称）或者职业资格或者执业资格证或者其他证书</w:t>
            </w:r>
          </w:p>
        </w:tc>
        <w:tc>
          <w:tcPr>
            <w:tcW w:w="1418" w:type="dxa"/>
            <w:vAlign w:val="center"/>
          </w:tcPr>
          <w:p w14:paraId="70B9EB97">
            <w:pPr>
              <w:snapToGrid w:val="0"/>
              <w:spacing w:before="50" w:after="120" w:afterLines="50"/>
              <w:jc w:val="center"/>
              <w:rPr>
                <w:rFonts w:hint="eastAsia" w:ascii="宋体" w:hAnsi="宋体" w:cs="宋体"/>
                <w:color w:val="auto"/>
                <w:sz w:val="24"/>
                <w:szCs w:val="20"/>
                <w:highlight w:val="none"/>
              </w:rPr>
            </w:pPr>
            <w:r>
              <w:rPr>
                <w:rFonts w:hint="eastAsia" w:ascii="宋体" w:hAnsi="宋体" w:cs="宋体"/>
                <w:color w:val="auto"/>
                <w:sz w:val="24"/>
                <w:szCs w:val="20"/>
                <w:highlight w:val="none"/>
              </w:rPr>
              <w:t>证书编号</w:t>
            </w:r>
          </w:p>
        </w:tc>
        <w:tc>
          <w:tcPr>
            <w:tcW w:w="1417" w:type="dxa"/>
            <w:vAlign w:val="center"/>
          </w:tcPr>
          <w:p w14:paraId="46324AE9">
            <w:pPr>
              <w:snapToGrid w:val="0"/>
              <w:spacing w:before="50" w:after="120" w:afterLines="50"/>
              <w:jc w:val="center"/>
              <w:rPr>
                <w:rFonts w:hint="eastAsia" w:ascii="宋体" w:hAnsi="宋体" w:cs="宋体"/>
                <w:color w:val="auto"/>
                <w:sz w:val="24"/>
                <w:szCs w:val="20"/>
                <w:highlight w:val="none"/>
              </w:rPr>
            </w:pPr>
            <w:r>
              <w:rPr>
                <w:rFonts w:hint="eastAsia" w:ascii="宋体" w:hAnsi="宋体" w:cs="宋体"/>
                <w:color w:val="auto"/>
                <w:sz w:val="24"/>
                <w:szCs w:val="20"/>
                <w:highlight w:val="none"/>
              </w:rPr>
              <w:t>参加本单位</w:t>
            </w:r>
          </w:p>
          <w:p w14:paraId="6494E63E">
            <w:pPr>
              <w:snapToGrid w:val="0"/>
              <w:spacing w:before="50" w:after="120" w:afterLines="50"/>
              <w:jc w:val="center"/>
              <w:rPr>
                <w:rFonts w:hint="eastAsia" w:ascii="宋体" w:hAnsi="宋体" w:cs="宋体"/>
                <w:color w:val="auto"/>
                <w:sz w:val="24"/>
                <w:szCs w:val="20"/>
                <w:highlight w:val="none"/>
              </w:rPr>
            </w:pPr>
            <w:r>
              <w:rPr>
                <w:rFonts w:hint="eastAsia" w:ascii="宋体" w:hAnsi="宋体" w:cs="宋体"/>
                <w:color w:val="auto"/>
                <w:sz w:val="24"/>
                <w:szCs w:val="20"/>
                <w:highlight w:val="none"/>
              </w:rPr>
              <w:t>工作时间</w:t>
            </w:r>
          </w:p>
        </w:tc>
        <w:tc>
          <w:tcPr>
            <w:tcW w:w="1843" w:type="dxa"/>
            <w:vAlign w:val="center"/>
          </w:tcPr>
          <w:p w14:paraId="7A8B7A88">
            <w:pPr>
              <w:snapToGrid w:val="0"/>
              <w:spacing w:before="50" w:after="120" w:afterLines="50"/>
              <w:jc w:val="center"/>
              <w:rPr>
                <w:rFonts w:hint="eastAsia" w:ascii="宋体" w:hAnsi="宋体" w:cs="宋体"/>
                <w:color w:val="auto"/>
                <w:sz w:val="24"/>
                <w:szCs w:val="20"/>
                <w:highlight w:val="none"/>
              </w:rPr>
            </w:pPr>
            <w:r>
              <w:rPr>
                <w:rFonts w:hint="eastAsia" w:ascii="宋体" w:hAnsi="宋体" w:cs="宋体"/>
                <w:color w:val="auto"/>
                <w:sz w:val="24"/>
                <w:szCs w:val="20"/>
                <w:highlight w:val="none"/>
              </w:rPr>
              <w:t>劳动合同编号</w:t>
            </w:r>
          </w:p>
        </w:tc>
      </w:tr>
      <w:tr w14:paraId="6354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53EB4DFB">
            <w:pPr>
              <w:snapToGrid w:val="0"/>
              <w:spacing w:before="50" w:after="120" w:afterLines="50"/>
              <w:jc w:val="center"/>
              <w:rPr>
                <w:rFonts w:hint="eastAsia" w:ascii="宋体" w:hAnsi="宋体" w:cs="宋体"/>
                <w:color w:val="auto"/>
                <w:sz w:val="24"/>
                <w:szCs w:val="20"/>
                <w:highlight w:val="none"/>
              </w:rPr>
            </w:pPr>
          </w:p>
        </w:tc>
        <w:tc>
          <w:tcPr>
            <w:tcW w:w="817" w:type="dxa"/>
            <w:vAlign w:val="center"/>
          </w:tcPr>
          <w:p w14:paraId="7024053E">
            <w:pPr>
              <w:snapToGrid w:val="0"/>
              <w:spacing w:before="50" w:after="120" w:afterLines="50"/>
              <w:jc w:val="center"/>
              <w:rPr>
                <w:rFonts w:hint="eastAsia" w:ascii="宋体" w:hAnsi="宋体" w:cs="宋体"/>
                <w:color w:val="auto"/>
                <w:sz w:val="24"/>
                <w:szCs w:val="20"/>
                <w:highlight w:val="none"/>
              </w:rPr>
            </w:pPr>
          </w:p>
        </w:tc>
        <w:tc>
          <w:tcPr>
            <w:tcW w:w="709" w:type="dxa"/>
            <w:vAlign w:val="center"/>
          </w:tcPr>
          <w:p w14:paraId="7C1AC9F2">
            <w:pPr>
              <w:snapToGrid w:val="0"/>
              <w:spacing w:before="50" w:after="120" w:afterLines="50"/>
              <w:jc w:val="center"/>
              <w:rPr>
                <w:rFonts w:hint="eastAsia" w:ascii="宋体" w:hAnsi="宋体" w:cs="宋体"/>
                <w:color w:val="auto"/>
                <w:sz w:val="24"/>
                <w:szCs w:val="20"/>
                <w:highlight w:val="none"/>
              </w:rPr>
            </w:pPr>
          </w:p>
        </w:tc>
        <w:tc>
          <w:tcPr>
            <w:tcW w:w="1984" w:type="dxa"/>
            <w:vAlign w:val="center"/>
          </w:tcPr>
          <w:p w14:paraId="0F26045D">
            <w:pPr>
              <w:snapToGrid w:val="0"/>
              <w:spacing w:before="50" w:after="120" w:afterLines="50"/>
              <w:jc w:val="center"/>
              <w:rPr>
                <w:rFonts w:hint="eastAsia" w:ascii="宋体" w:hAnsi="宋体" w:cs="宋体"/>
                <w:color w:val="auto"/>
                <w:sz w:val="24"/>
                <w:szCs w:val="20"/>
                <w:highlight w:val="none"/>
              </w:rPr>
            </w:pPr>
          </w:p>
        </w:tc>
        <w:tc>
          <w:tcPr>
            <w:tcW w:w="1418" w:type="dxa"/>
            <w:vAlign w:val="center"/>
          </w:tcPr>
          <w:p w14:paraId="4C020931">
            <w:pPr>
              <w:snapToGrid w:val="0"/>
              <w:spacing w:before="50" w:after="120" w:afterLines="50"/>
              <w:jc w:val="center"/>
              <w:rPr>
                <w:rFonts w:hint="eastAsia" w:ascii="宋体" w:hAnsi="宋体" w:cs="宋体"/>
                <w:color w:val="auto"/>
                <w:sz w:val="24"/>
                <w:szCs w:val="20"/>
                <w:highlight w:val="none"/>
              </w:rPr>
            </w:pPr>
          </w:p>
        </w:tc>
        <w:tc>
          <w:tcPr>
            <w:tcW w:w="1417" w:type="dxa"/>
            <w:vAlign w:val="center"/>
          </w:tcPr>
          <w:p w14:paraId="5646A6F6">
            <w:pPr>
              <w:snapToGrid w:val="0"/>
              <w:spacing w:before="50" w:after="120" w:afterLines="50"/>
              <w:jc w:val="center"/>
              <w:rPr>
                <w:rFonts w:hint="eastAsia" w:ascii="宋体" w:hAnsi="宋体" w:cs="宋体"/>
                <w:color w:val="auto"/>
                <w:sz w:val="24"/>
                <w:szCs w:val="20"/>
                <w:highlight w:val="none"/>
              </w:rPr>
            </w:pPr>
          </w:p>
        </w:tc>
        <w:tc>
          <w:tcPr>
            <w:tcW w:w="1843" w:type="dxa"/>
            <w:vAlign w:val="center"/>
          </w:tcPr>
          <w:p w14:paraId="7E138FE3">
            <w:pPr>
              <w:snapToGrid w:val="0"/>
              <w:spacing w:before="50" w:after="120" w:afterLines="50"/>
              <w:jc w:val="center"/>
              <w:rPr>
                <w:rFonts w:hint="eastAsia" w:ascii="宋体" w:hAnsi="宋体" w:cs="宋体"/>
                <w:color w:val="auto"/>
                <w:sz w:val="24"/>
                <w:szCs w:val="20"/>
                <w:highlight w:val="none"/>
              </w:rPr>
            </w:pPr>
          </w:p>
        </w:tc>
      </w:tr>
      <w:tr w14:paraId="660D0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50AB0FCA">
            <w:pPr>
              <w:snapToGrid w:val="0"/>
              <w:spacing w:before="50" w:after="120" w:afterLines="50"/>
              <w:jc w:val="center"/>
              <w:rPr>
                <w:rFonts w:hint="eastAsia" w:ascii="宋体" w:hAnsi="宋体" w:cs="宋体"/>
                <w:color w:val="auto"/>
                <w:sz w:val="24"/>
                <w:szCs w:val="20"/>
                <w:highlight w:val="none"/>
              </w:rPr>
            </w:pPr>
          </w:p>
        </w:tc>
        <w:tc>
          <w:tcPr>
            <w:tcW w:w="817" w:type="dxa"/>
            <w:vAlign w:val="center"/>
          </w:tcPr>
          <w:p w14:paraId="4465B63A">
            <w:pPr>
              <w:snapToGrid w:val="0"/>
              <w:spacing w:before="50" w:after="120" w:afterLines="50"/>
              <w:jc w:val="center"/>
              <w:rPr>
                <w:rFonts w:hint="eastAsia" w:ascii="宋体" w:hAnsi="宋体" w:cs="宋体"/>
                <w:color w:val="auto"/>
                <w:sz w:val="24"/>
                <w:szCs w:val="20"/>
                <w:highlight w:val="none"/>
              </w:rPr>
            </w:pPr>
          </w:p>
        </w:tc>
        <w:tc>
          <w:tcPr>
            <w:tcW w:w="709" w:type="dxa"/>
            <w:vAlign w:val="center"/>
          </w:tcPr>
          <w:p w14:paraId="2646B894">
            <w:pPr>
              <w:snapToGrid w:val="0"/>
              <w:spacing w:before="50" w:after="120" w:afterLines="50"/>
              <w:jc w:val="center"/>
              <w:rPr>
                <w:rFonts w:hint="eastAsia" w:ascii="宋体" w:hAnsi="宋体" w:cs="宋体"/>
                <w:color w:val="auto"/>
                <w:sz w:val="24"/>
                <w:szCs w:val="20"/>
                <w:highlight w:val="none"/>
              </w:rPr>
            </w:pPr>
          </w:p>
        </w:tc>
        <w:tc>
          <w:tcPr>
            <w:tcW w:w="1984" w:type="dxa"/>
            <w:vAlign w:val="center"/>
          </w:tcPr>
          <w:p w14:paraId="652187D4">
            <w:pPr>
              <w:snapToGrid w:val="0"/>
              <w:spacing w:before="50" w:after="120" w:afterLines="50"/>
              <w:jc w:val="center"/>
              <w:rPr>
                <w:rFonts w:hint="eastAsia" w:ascii="宋体" w:hAnsi="宋体" w:cs="宋体"/>
                <w:color w:val="auto"/>
                <w:sz w:val="24"/>
                <w:szCs w:val="20"/>
                <w:highlight w:val="none"/>
              </w:rPr>
            </w:pPr>
          </w:p>
        </w:tc>
        <w:tc>
          <w:tcPr>
            <w:tcW w:w="1418" w:type="dxa"/>
            <w:vAlign w:val="center"/>
          </w:tcPr>
          <w:p w14:paraId="3D5FA0E4">
            <w:pPr>
              <w:snapToGrid w:val="0"/>
              <w:spacing w:before="50" w:after="120" w:afterLines="50"/>
              <w:jc w:val="center"/>
              <w:rPr>
                <w:rFonts w:hint="eastAsia" w:ascii="宋体" w:hAnsi="宋体" w:cs="宋体"/>
                <w:color w:val="auto"/>
                <w:sz w:val="24"/>
                <w:szCs w:val="20"/>
                <w:highlight w:val="none"/>
              </w:rPr>
            </w:pPr>
          </w:p>
        </w:tc>
        <w:tc>
          <w:tcPr>
            <w:tcW w:w="1417" w:type="dxa"/>
            <w:vAlign w:val="center"/>
          </w:tcPr>
          <w:p w14:paraId="14D25D9A">
            <w:pPr>
              <w:snapToGrid w:val="0"/>
              <w:spacing w:before="50" w:after="120" w:afterLines="50"/>
              <w:jc w:val="center"/>
              <w:rPr>
                <w:rFonts w:hint="eastAsia" w:ascii="宋体" w:hAnsi="宋体" w:cs="宋体"/>
                <w:color w:val="auto"/>
                <w:sz w:val="24"/>
                <w:szCs w:val="20"/>
                <w:highlight w:val="none"/>
              </w:rPr>
            </w:pPr>
          </w:p>
        </w:tc>
        <w:tc>
          <w:tcPr>
            <w:tcW w:w="1843" w:type="dxa"/>
            <w:vAlign w:val="center"/>
          </w:tcPr>
          <w:p w14:paraId="71A0DCC7">
            <w:pPr>
              <w:snapToGrid w:val="0"/>
              <w:spacing w:before="50" w:after="120" w:afterLines="50"/>
              <w:jc w:val="center"/>
              <w:rPr>
                <w:rFonts w:hint="eastAsia" w:ascii="宋体" w:hAnsi="宋体" w:cs="宋体"/>
                <w:color w:val="auto"/>
                <w:sz w:val="24"/>
                <w:szCs w:val="20"/>
                <w:highlight w:val="none"/>
              </w:rPr>
            </w:pPr>
          </w:p>
        </w:tc>
      </w:tr>
      <w:tr w14:paraId="66452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2A459B11">
            <w:pPr>
              <w:snapToGrid w:val="0"/>
              <w:spacing w:before="50" w:after="120" w:afterLines="50"/>
              <w:jc w:val="center"/>
              <w:rPr>
                <w:rFonts w:hint="eastAsia" w:ascii="宋体" w:hAnsi="宋体" w:cs="宋体"/>
                <w:color w:val="auto"/>
                <w:sz w:val="24"/>
                <w:szCs w:val="20"/>
                <w:highlight w:val="none"/>
              </w:rPr>
            </w:pPr>
          </w:p>
        </w:tc>
        <w:tc>
          <w:tcPr>
            <w:tcW w:w="817" w:type="dxa"/>
            <w:vAlign w:val="center"/>
          </w:tcPr>
          <w:p w14:paraId="564C4E0C">
            <w:pPr>
              <w:snapToGrid w:val="0"/>
              <w:spacing w:before="50" w:after="120" w:afterLines="50"/>
              <w:jc w:val="center"/>
              <w:rPr>
                <w:rFonts w:hint="eastAsia" w:ascii="宋体" w:hAnsi="宋体" w:cs="宋体"/>
                <w:color w:val="auto"/>
                <w:sz w:val="24"/>
                <w:szCs w:val="20"/>
                <w:highlight w:val="none"/>
              </w:rPr>
            </w:pPr>
          </w:p>
        </w:tc>
        <w:tc>
          <w:tcPr>
            <w:tcW w:w="709" w:type="dxa"/>
            <w:vAlign w:val="center"/>
          </w:tcPr>
          <w:p w14:paraId="1E74FF90">
            <w:pPr>
              <w:snapToGrid w:val="0"/>
              <w:spacing w:before="50" w:after="120" w:afterLines="50"/>
              <w:jc w:val="center"/>
              <w:rPr>
                <w:rFonts w:hint="eastAsia" w:ascii="宋体" w:hAnsi="宋体" w:cs="宋体"/>
                <w:color w:val="auto"/>
                <w:sz w:val="24"/>
                <w:szCs w:val="20"/>
                <w:highlight w:val="none"/>
              </w:rPr>
            </w:pPr>
          </w:p>
        </w:tc>
        <w:tc>
          <w:tcPr>
            <w:tcW w:w="1984" w:type="dxa"/>
            <w:vAlign w:val="center"/>
          </w:tcPr>
          <w:p w14:paraId="01B192C2">
            <w:pPr>
              <w:snapToGrid w:val="0"/>
              <w:spacing w:before="50" w:after="120" w:afterLines="50"/>
              <w:jc w:val="center"/>
              <w:rPr>
                <w:rFonts w:hint="eastAsia" w:ascii="宋体" w:hAnsi="宋体" w:cs="宋体"/>
                <w:color w:val="auto"/>
                <w:sz w:val="24"/>
                <w:szCs w:val="20"/>
                <w:highlight w:val="none"/>
              </w:rPr>
            </w:pPr>
          </w:p>
        </w:tc>
        <w:tc>
          <w:tcPr>
            <w:tcW w:w="1418" w:type="dxa"/>
            <w:vAlign w:val="center"/>
          </w:tcPr>
          <w:p w14:paraId="5FFE3DDB">
            <w:pPr>
              <w:snapToGrid w:val="0"/>
              <w:spacing w:before="50" w:after="120" w:afterLines="50"/>
              <w:jc w:val="center"/>
              <w:rPr>
                <w:rFonts w:hint="eastAsia" w:ascii="宋体" w:hAnsi="宋体" w:cs="宋体"/>
                <w:color w:val="auto"/>
                <w:sz w:val="24"/>
                <w:szCs w:val="20"/>
                <w:highlight w:val="none"/>
              </w:rPr>
            </w:pPr>
          </w:p>
        </w:tc>
        <w:tc>
          <w:tcPr>
            <w:tcW w:w="1417" w:type="dxa"/>
            <w:vAlign w:val="center"/>
          </w:tcPr>
          <w:p w14:paraId="07479A11">
            <w:pPr>
              <w:snapToGrid w:val="0"/>
              <w:spacing w:before="50" w:after="120" w:afterLines="50"/>
              <w:jc w:val="center"/>
              <w:rPr>
                <w:rFonts w:hint="eastAsia" w:ascii="宋体" w:hAnsi="宋体" w:cs="宋体"/>
                <w:color w:val="auto"/>
                <w:sz w:val="24"/>
                <w:szCs w:val="20"/>
                <w:highlight w:val="none"/>
              </w:rPr>
            </w:pPr>
          </w:p>
        </w:tc>
        <w:tc>
          <w:tcPr>
            <w:tcW w:w="1843" w:type="dxa"/>
            <w:vAlign w:val="center"/>
          </w:tcPr>
          <w:p w14:paraId="35C1A1C6">
            <w:pPr>
              <w:snapToGrid w:val="0"/>
              <w:spacing w:before="50" w:after="120" w:afterLines="50"/>
              <w:jc w:val="center"/>
              <w:rPr>
                <w:rFonts w:hint="eastAsia" w:ascii="宋体" w:hAnsi="宋体" w:cs="宋体"/>
                <w:color w:val="auto"/>
                <w:sz w:val="24"/>
                <w:szCs w:val="20"/>
                <w:highlight w:val="none"/>
              </w:rPr>
            </w:pPr>
          </w:p>
        </w:tc>
      </w:tr>
    </w:tbl>
    <w:p w14:paraId="10EAAD45">
      <w:pPr>
        <w:snapToGrid w:val="0"/>
        <w:spacing w:before="50" w:after="120" w:afterLines="50"/>
        <w:jc w:val="left"/>
        <w:rPr>
          <w:rFonts w:hint="eastAsia" w:ascii="宋体" w:hAnsi="宋体" w:cs="宋体"/>
          <w:color w:val="auto"/>
          <w:sz w:val="24"/>
          <w:szCs w:val="20"/>
          <w:highlight w:val="none"/>
        </w:rPr>
      </w:pPr>
    </w:p>
    <w:p w14:paraId="6898060C">
      <w:pPr>
        <w:spacing w:line="360" w:lineRule="auto"/>
        <w:contextualSpacing/>
        <w:jc w:val="left"/>
        <w:rPr>
          <w:rFonts w:hint="eastAsia" w:ascii="宋体" w:hAnsi="宋体" w:cs="宋体"/>
          <w:color w:val="auto"/>
          <w:sz w:val="24"/>
          <w:szCs w:val="20"/>
          <w:highlight w:val="none"/>
        </w:rPr>
      </w:pPr>
      <w:r>
        <w:rPr>
          <w:rFonts w:hint="eastAsia" w:ascii="宋体" w:hAnsi="宋体" w:cs="宋体"/>
          <w:color w:val="auto"/>
          <w:sz w:val="24"/>
          <w:szCs w:val="20"/>
          <w:highlight w:val="none"/>
        </w:rPr>
        <w:t>注：</w:t>
      </w:r>
    </w:p>
    <w:p w14:paraId="490786A4">
      <w:pPr>
        <w:spacing w:line="360" w:lineRule="auto"/>
        <w:contextualSpacing/>
        <w:jc w:val="left"/>
        <w:rPr>
          <w:rFonts w:hint="eastAsia" w:ascii="宋体" w:hAnsi="宋体" w:cs="宋体"/>
          <w:color w:val="auto"/>
          <w:sz w:val="24"/>
          <w:szCs w:val="20"/>
          <w:highlight w:val="none"/>
        </w:rPr>
      </w:pPr>
      <w:r>
        <w:rPr>
          <w:rFonts w:hint="eastAsia" w:ascii="宋体" w:hAnsi="宋体" w:cs="宋体"/>
          <w:color w:val="auto"/>
          <w:sz w:val="24"/>
          <w:szCs w:val="20"/>
          <w:highlight w:val="none"/>
        </w:rPr>
        <w:t>1.在填写时，如本表格不适合投标单位的实际情况，可根据本表格式自行制表填写。</w:t>
      </w:r>
    </w:p>
    <w:p w14:paraId="0FF614CD">
      <w:pPr>
        <w:spacing w:line="360" w:lineRule="auto"/>
        <w:contextualSpacing/>
        <w:jc w:val="left"/>
        <w:rPr>
          <w:rFonts w:hint="eastAsia" w:ascii="宋体" w:hAnsi="宋体" w:cs="宋体"/>
          <w:color w:val="auto"/>
          <w:sz w:val="24"/>
          <w:szCs w:val="20"/>
          <w:highlight w:val="none"/>
        </w:rPr>
      </w:pPr>
      <w:r>
        <w:rPr>
          <w:rFonts w:hint="eastAsia" w:ascii="宋体" w:hAnsi="宋体" w:cs="宋体"/>
          <w:color w:val="auto"/>
          <w:sz w:val="24"/>
          <w:szCs w:val="20"/>
          <w:highlight w:val="none"/>
        </w:rPr>
        <w:t>2.投标人应当附本表所列证书的复印件并加盖投标人公章。</w:t>
      </w:r>
    </w:p>
    <w:p w14:paraId="58BE5955">
      <w:pPr>
        <w:spacing w:line="360" w:lineRule="auto"/>
        <w:contextualSpacing/>
        <w:rPr>
          <w:rFonts w:hint="eastAsia" w:ascii="宋体" w:hAnsi="宋体" w:cs="宋体"/>
          <w:color w:val="auto"/>
          <w:sz w:val="24"/>
          <w:highlight w:val="none"/>
        </w:rPr>
      </w:pPr>
    </w:p>
    <w:p w14:paraId="0DD2D697">
      <w:pPr>
        <w:spacing w:line="360" w:lineRule="auto"/>
        <w:contextualSpacing/>
        <w:rPr>
          <w:rFonts w:hint="eastAsia" w:ascii="宋体" w:hAnsi="宋体" w:cs="宋体"/>
          <w:color w:val="auto"/>
          <w:sz w:val="24"/>
          <w:highlight w:val="none"/>
        </w:rPr>
      </w:pPr>
    </w:p>
    <w:p w14:paraId="20EB81DF">
      <w:pPr>
        <w:spacing w:line="360" w:lineRule="auto"/>
        <w:contextualSpacing/>
        <w:rPr>
          <w:rFonts w:hint="eastAsia" w:ascii="宋体" w:hAnsi="宋体" w:cs="宋体"/>
          <w:color w:val="auto"/>
          <w:spacing w:val="20"/>
          <w:sz w:val="24"/>
          <w:szCs w:val="20"/>
          <w:highlight w:val="none"/>
          <w:u w:val="single"/>
        </w:rPr>
      </w:pPr>
      <w:r>
        <w:rPr>
          <w:rFonts w:hint="eastAsia" w:ascii="宋体" w:hAnsi="宋体" w:cs="宋体"/>
          <w:color w:val="auto"/>
          <w:sz w:val="24"/>
          <w:highlight w:val="none"/>
        </w:rPr>
        <w:t>法定代表人或者委托代理人</w:t>
      </w:r>
      <w:r>
        <w:rPr>
          <w:rFonts w:hint="eastAsia" w:ascii="宋体" w:hAnsi="宋体" w:cs="宋体"/>
          <w:color w:val="auto"/>
          <w:spacing w:val="20"/>
          <w:sz w:val="24"/>
          <w:highlight w:val="none"/>
        </w:rPr>
        <w:t>（签字）：</w:t>
      </w:r>
    </w:p>
    <w:p w14:paraId="7F893175">
      <w:pPr>
        <w:spacing w:line="360" w:lineRule="auto"/>
        <w:contextualSpacing/>
        <w:jc w:val="left"/>
        <w:rPr>
          <w:rFonts w:hint="eastAsia" w:ascii="宋体" w:hAnsi="宋体" w:cs="宋体"/>
          <w:color w:val="auto"/>
          <w:spacing w:val="20"/>
          <w:sz w:val="24"/>
          <w:highlight w:val="none"/>
        </w:rPr>
      </w:pPr>
      <w:r>
        <w:rPr>
          <w:rFonts w:hint="eastAsia" w:ascii="宋体" w:hAnsi="宋体" w:cs="宋体"/>
          <w:color w:val="auto"/>
          <w:spacing w:val="20"/>
          <w:sz w:val="24"/>
          <w:highlight w:val="none"/>
        </w:rPr>
        <w:t>投标人名称（盖公章）：</w:t>
      </w:r>
    </w:p>
    <w:p w14:paraId="2ED6773F">
      <w:pPr>
        <w:spacing w:line="360" w:lineRule="auto"/>
        <w:contextualSpacing/>
        <w:jc w:val="left"/>
        <w:rPr>
          <w:rFonts w:hint="eastAsia" w:ascii="宋体" w:hAnsi="宋体" w:cs="宋体"/>
          <w:color w:val="auto"/>
          <w:sz w:val="24"/>
          <w:szCs w:val="20"/>
          <w:highlight w:val="none"/>
        </w:rPr>
      </w:pPr>
      <w:r>
        <w:rPr>
          <w:rFonts w:hint="eastAsia" w:ascii="宋体" w:hAnsi="宋体" w:cs="宋体"/>
          <w:color w:val="auto"/>
          <w:spacing w:val="20"/>
          <w:sz w:val="24"/>
          <w:highlight w:val="none"/>
        </w:rPr>
        <w:t>日 期：</w:t>
      </w:r>
    </w:p>
    <w:p w14:paraId="4DF5ABA9">
      <w:pPr>
        <w:snapToGrid w:val="0"/>
        <w:spacing w:before="50" w:after="120" w:afterLines="50"/>
        <w:jc w:val="left"/>
        <w:rPr>
          <w:rFonts w:hint="eastAsia" w:ascii="宋体" w:hAnsi="宋体" w:cs="宋体"/>
          <w:color w:val="auto"/>
          <w:sz w:val="24"/>
          <w:szCs w:val="20"/>
          <w:highlight w:val="none"/>
        </w:rPr>
      </w:pPr>
    </w:p>
    <w:p w14:paraId="7CB83464">
      <w:pPr>
        <w:snapToGrid w:val="0"/>
        <w:spacing w:before="120" w:beforeLines="50" w:after="50"/>
        <w:ind w:left="142"/>
        <w:jc w:val="left"/>
        <w:rPr>
          <w:rFonts w:hint="eastAsia" w:ascii="宋体" w:hAnsi="宋体" w:cs="宋体"/>
          <w:b/>
          <w:color w:val="auto"/>
          <w:sz w:val="24"/>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6.选配件、专用耗材、售后服务优惠表格式（注：按项目需求表具体项目修改）</w:t>
      </w:r>
    </w:p>
    <w:p w14:paraId="0C84BFB9">
      <w:pPr>
        <w:snapToGrid w:val="0"/>
        <w:spacing w:before="120" w:beforeLines="50" w:after="50"/>
        <w:ind w:left="142"/>
        <w:jc w:val="left"/>
        <w:rPr>
          <w:rFonts w:hint="eastAsia" w:ascii="宋体" w:hAnsi="宋体" w:cs="宋体"/>
          <w:b/>
          <w:color w:val="auto"/>
          <w:sz w:val="24"/>
          <w:highlight w:val="none"/>
        </w:rPr>
      </w:pPr>
    </w:p>
    <w:p w14:paraId="7917D6A1">
      <w:pPr>
        <w:snapToGrid w:val="0"/>
        <w:spacing w:before="120" w:beforeLines="50" w:after="50"/>
        <w:ind w:left="142"/>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选配件、专用耗材、售后服务优惠表</w:t>
      </w:r>
    </w:p>
    <w:p w14:paraId="162F80F1">
      <w:pPr>
        <w:pStyle w:val="25"/>
        <w:rPr>
          <w:rFonts w:hint="eastAsia" w:hAnsi="宋体" w:cs="宋体"/>
          <w:color w:val="auto"/>
          <w:sz w:val="24"/>
          <w:szCs w:val="24"/>
          <w:highlight w:val="none"/>
        </w:rPr>
      </w:pPr>
      <w:r>
        <w:rPr>
          <w:rFonts w:hint="eastAsia" w:hAnsi="宋体" w:cs="宋体"/>
          <w:color w:val="auto"/>
          <w:sz w:val="24"/>
          <w:szCs w:val="24"/>
          <w:highlight w:val="none"/>
        </w:rPr>
        <w:t>所投分标：</w:t>
      </w:r>
      <w:r>
        <w:rPr>
          <w:rFonts w:hint="eastAsia" w:hAnsi="宋体" w:cs="宋体"/>
          <w:color w:val="auto"/>
          <w:sz w:val="24"/>
          <w:szCs w:val="24"/>
          <w:highlight w:val="none"/>
          <w:u w:val="single"/>
        </w:rPr>
        <w:t xml:space="preserve">分标   </w:t>
      </w:r>
    </w:p>
    <w:tbl>
      <w:tblPr>
        <w:tblStyle w:val="48"/>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35"/>
        <w:gridCol w:w="2700"/>
        <w:gridCol w:w="1440"/>
        <w:gridCol w:w="1440"/>
        <w:gridCol w:w="2340"/>
      </w:tblGrid>
      <w:tr w14:paraId="033C46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1" w:hRule="atLeast"/>
        </w:trPr>
        <w:tc>
          <w:tcPr>
            <w:tcW w:w="7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D1B4140">
            <w:pPr>
              <w:pStyle w:val="25"/>
              <w:snapToGrid w:val="0"/>
              <w:spacing w:before="295" w:after="295"/>
              <w:jc w:val="center"/>
              <w:rPr>
                <w:rFonts w:hint="eastAsia" w:hAnsi="宋体" w:cs="宋体"/>
                <w:color w:val="auto"/>
                <w:kern w:val="2"/>
                <w:sz w:val="24"/>
                <w:szCs w:val="24"/>
                <w:highlight w:val="none"/>
              </w:rPr>
            </w:pPr>
            <w:r>
              <w:rPr>
                <w:rFonts w:hint="eastAsia" w:hAnsi="宋体" w:cs="宋体"/>
                <w:color w:val="auto"/>
                <w:kern w:val="2"/>
                <w:sz w:val="24"/>
                <w:szCs w:val="24"/>
                <w:highlight w:val="none"/>
              </w:rPr>
              <w:t>序号</w:t>
            </w:r>
          </w:p>
        </w:tc>
        <w:tc>
          <w:tcPr>
            <w:tcW w:w="2700" w:type="dxa"/>
            <w:tcBorders>
              <w:top w:val="single" w:color="auto" w:sz="4" w:space="0"/>
              <w:left w:val="single" w:color="auto" w:sz="4" w:space="0"/>
              <w:bottom w:val="single" w:color="auto" w:sz="2" w:space="0"/>
              <w:right w:val="single" w:color="auto" w:sz="4" w:space="0"/>
            </w:tcBorders>
            <w:vAlign w:val="center"/>
          </w:tcPr>
          <w:p w14:paraId="67000B28">
            <w:pPr>
              <w:pStyle w:val="25"/>
              <w:snapToGrid w:val="0"/>
              <w:spacing w:before="295" w:after="295"/>
              <w:jc w:val="center"/>
              <w:rPr>
                <w:rFonts w:hint="eastAsia" w:hAnsi="宋体" w:cs="宋体"/>
                <w:color w:val="auto"/>
                <w:kern w:val="2"/>
                <w:sz w:val="24"/>
                <w:szCs w:val="24"/>
                <w:highlight w:val="none"/>
              </w:rPr>
            </w:pPr>
            <w:r>
              <w:rPr>
                <w:rFonts w:hint="eastAsia" w:hAnsi="宋体" w:cs="宋体"/>
                <w:color w:val="auto"/>
                <w:kern w:val="2"/>
                <w:sz w:val="24"/>
                <w:szCs w:val="24"/>
                <w:highlight w:val="none"/>
              </w:rPr>
              <w:t>优惠内容</w:t>
            </w:r>
          </w:p>
        </w:tc>
        <w:tc>
          <w:tcPr>
            <w:tcW w:w="1440" w:type="dxa"/>
            <w:tcBorders>
              <w:top w:val="single" w:color="auto" w:sz="4" w:space="0"/>
              <w:left w:val="single" w:color="auto" w:sz="4" w:space="0"/>
              <w:bottom w:val="single" w:color="auto" w:sz="2" w:space="0"/>
              <w:right w:val="single" w:color="auto" w:sz="4" w:space="0"/>
            </w:tcBorders>
            <w:vAlign w:val="center"/>
          </w:tcPr>
          <w:p w14:paraId="725B5B96">
            <w:pPr>
              <w:pStyle w:val="25"/>
              <w:snapToGrid w:val="0"/>
              <w:spacing w:before="295" w:after="295"/>
              <w:jc w:val="center"/>
              <w:rPr>
                <w:rFonts w:hint="eastAsia" w:hAnsi="宋体" w:cs="宋体"/>
                <w:color w:val="auto"/>
                <w:kern w:val="2"/>
                <w:sz w:val="24"/>
                <w:szCs w:val="24"/>
                <w:highlight w:val="none"/>
              </w:rPr>
            </w:pPr>
            <w:r>
              <w:rPr>
                <w:rFonts w:hint="eastAsia" w:hAnsi="宋体" w:cs="宋体"/>
                <w:color w:val="auto"/>
                <w:kern w:val="2"/>
                <w:sz w:val="24"/>
                <w:szCs w:val="24"/>
                <w:highlight w:val="none"/>
              </w:rPr>
              <w:t>适用机型</w:t>
            </w:r>
          </w:p>
        </w:tc>
        <w:tc>
          <w:tcPr>
            <w:tcW w:w="1440" w:type="dxa"/>
            <w:tcBorders>
              <w:top w:val="single" w:color="auto" w:sz="4" w:space="0"/>
              <w:left w:val="single" w:color="auto" w:sz="4" w:space="0"/>
              <w:bottom w:val="single" w:color="auto" w:sz="2" w:space="0"/>
              <w:right w:val="single" w:color="auto" w:sz="4" w:space="0"/>
            </w:tcBorders>
            <w:tcMar>
              <w:top w:w="15" w:type="dxa"/>
              <w:left w:w="15" w:type="dxa"/>
              <w:bottom w:w="0" w:type="dxa"/>
              <w:right w:w="15" w:type="dxa"/>
            </w:tcMar>
            <w:vAlign w:val="center"/>
          </w:tcPr>
          <w:p w14:paraId="18A6CB9B">
            <w:pPr>
              <w:pStyle w:val="25"/>
              <w:snapToGrid w:val="0"/>
              <w:spacing w:before="295" w:after="295"/>
              <w:jc w:val="center"/>
              <w:rPr>
                <w:rFonts w:hint="eastAsia" w:hAnsi="宋体" w:cs="宋体"/>
                <w:color w:val="auto"/>
                <w:kern w:val="2"/>
                <w:sz w:val="24"/>
                <w:szCs w:val="24"/>
                <w:highlight w:val="none"/>
              </w:rPr>
            </w:pPr>
            <w:r>
              <w:rPr>
                <w:rFonts w:hint="eastAsia" w:hAnsi="宋体" w:cs="宋体"/>
                <w:color w:val="auto"/>
                <w:kern w:val="2"/>
                <w:sz w:val="24"/>
                <w:szCs w:val="24"/>
                <w:highlight w:val="none"/>
              </w:rPr>
              <w:t>单价</w:t>
            </w:r>
          </w:p>
        </w:tc>
        <w:tc>
          <w:tcPr>
            <w:tcW w:w="2340" w:type="dxa"/>
            <w:tcBorders>
              <w:top w:val="single" w:color="auto" w:sz="4" w:space="0"/>
              <w:left w:val="single" w:color="auto" w:sz="4" w:space="0"/>
              <w:bottom w:val="single" w:color="auto" w:sz="2" w:space="0"/>
              <w:right w:val="single" w:color="auto" w:sz="4" w:space="0"/>
            </w:tcBorders>
            <w:vAlign w:val="center"/>
          </w:tcPr>
          <w:p w14:paraId="4AB007F2">
            <w:pPr>
              <w:pStyle w:val="25"/>
              <w:snapToGrid w:val="0"/>
              <w:spacing w:before="295" w:after="295"/>
              <w:jc w:val="center"/>
              <w:rPr>
                <w:rFonts w:hint="eastAsia" w:hAnsi="宋体" w:cs="宋体"/>
                <w:color w:val="auto"/>
                <w:kern w:val="2"/>
                <w:sz w:val="24"/>
                <w:szCs w:val="24"/>
                <w:highlight w:val="none"/>
              </w:rPr>
            </w:pPr>
            <w:r>
              <w:rPr>
                <w:rFonts w:hint="eastAsia" w:hAnsi="宋体" w:cs="宋体"/>
                <w:color w:val="auto"/>
                <w:kern w:val="2"/>
                <w:sz w:val="24"/>
                <w:szCs w:val="24"/>
                <w:highlight w:val="none"/>
              </w:rPr>
              <w:t>比市场价优惠率</w:t>
            </w:r>
          </w:p>
        </w:tc>
      </w:tr>
      <w:tr w14:paraId="4EEB43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4"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0704AF1C">
            <w:pPr>
              <w:pStyle w:val="25"/>
              <w:snapToGrid w:val="0"/>
              <w:spacing w:before="295" w:after="295"/>
              <w:jc w:val="center"/>
              <w:rPr>
                <w:rFonts w:hint="eastAsia" w:hAnsi="宋体" w:cs="宋体"/>
                <w:color w:val="auto"/>
                <w:kern w:val="2"/>
                <w:sz w:val="24"/>
                <w:szCs w:val="24"/>
                <w:highlight w:val="none"/>
              </w:rPr>
            </w:pPr>
            <w:r>
              <w:rPr>
                <w:rFonts w:hint="eastAsia" w:hAnsi="宋体" w:cs="宋体"/>
                <w:color w:val="auto"/>
                <w:kern w:val="2"/>
                <w:sz w:val="24"/>
                <w:szCs w:val="24"/>
                <w:highlight w:val="none"/>
              </w:rPr>
              <w:t>1</w:t>
            </w:r>
          </w:p>
        </w:tc>
        <w:tc>
          <w:tcPr>
            <w:tcW w:w="2700" w:type="dxa"/>
            <w:tcBorders>
              <w:top w:val="single" w:color="auto" w:sz="2" w:space="0"/>
              <w:left w:val="single" w:color="auto" w:sz="2" w:space="0"/>
              <w:bottom w:val="single" w:color="auto" w:sz="6" w:space="0"/>
              <w:right w:val="single" w:color="auto" w:sz="4" w:space="0"/>
            </w:tcBorders>
            <w:vAlign w:val="center"/>
          </w:tcPr>
          <w:p w14:paraId="7EC05244">
            <w:pPr>
              <w:pStyle w:val="25"/>
              <w:snapToGrid w:val="0"/>
              <w:spacing w:before="295" w:after="295"/>
              <w:jc w:val="center"/>
              <w:rPr>
                <w:rFonts w:hint="eastAsia" w:hAnsi="宋体" w:cs="宋体"/>
                <w:color w:val="auto"/>
                <w:kern w:val="2"/>
                <w:sz w:val="24"/>
                <w:szCs w:val="24"/>
                <w:highlight w:val="none"/>
              </w:rPr>
            </w:pPr>
          </w:p>
        </w:tc>
        <w:tc>
          <w:tcPr>
            <w:tcW w:w="1440" w:type="dxa"/>
            <w:tcBorders>
              <w:top w:val="single" w:color="auto" w:sz="2" w:space="0"/>
              <w:left w:val="single" w:color="auto" w:sz="4" w:space="0"/>
              <w:bottom w:val="single" w:color="auto" w:sz="6" w:space="0"/>
              <w:right w:val="single" w:color="auto" w:sz="6" w:space="0"/>
            </w:tcBorders>
            <w:vAlign w:val="center"/>
          </w:tcPr>
          <w:p w14:paraId="0F2FA601">
            <w:pPr>
              <w:pStyle w:val="25"/>
              <w:snapToGrid w:val="0"/>
              <w:spacing w:before="295" w:after="295"/>
              <w:jc w:val="center"/>
              <w:rPr>
                <w:rFonts w:hint="eastAsia" w:hAnsi="宋体" w:cs="宋体"/>
                <w:color w:val="auto"/>
                <w:kern w:val="2"/>
                <w:sz w:val="24"/>
                <w:szCs w:val="24"/>
                <w:highlight w:val="none"/>
              </w:rPr>
            </w:pPr>
          </w:p>
        </w:tc>
        <w:tc>
          <w:tcPr>
            <w:tcW w:w="1440" w:type="dxa"/>
            <w:tcBorders>
              <w:top w:val="single" w:color="auto" w:sz="2" w:space="0"/>
              <w:left w:val="single" w:color="auto" w:sz="6" w:space="0"/>
              <w:bottom w:val="single" w:color="auto" w:sz="6" w:space="0"/>
              <w:right w:val="single" w:color="auto" w:sz="6" w:space="0"/>
            </w:tcBorders>
            <w:tcMar>
              <w:top w:w="15" w:type="dxa"/>
              <w:left w:w="15" w:type="dxa"/>
              <w:bottom w:w="0" w:type="dxa"/>
              <w:right w:w="15" w:type="dxa"/>
            </w:tcMar>
            <w:vAlign w:val="center"/>
          </w:tcPr>
          <w:p w14:paraId="64D2E59B">
            <w:pPr>
              <w:pStyle w:val="25"/>
              <w:snapToGrid w:val="0"/>
              <w:spacing w:before="295" w:after="295"/>
              <w:jc w:val="center"/>
              <w:rPr>
                <w:rFonts w:hint="eastAsia" w:hAnsi="宋体" w:cs="宋体"/>
                <w:color w:val="auto"/>
                <w:kern w:val="2"/>
                <w:sz w:val="24"/>
                <w:szCs w:val="24"/>
                <w:highlight w:val="none"/>
              </w:rPr>
            </w:pPr>
          </w:p>
        </w:tc>
        <w:tc>
          <w:tcPr>
            <w:tcW w:w="2340" w:type="dxa"/>
            <w:tcBorders>
              <w:top w:val="single" w:color="auto" w:sz="2" w:space="0"/>
              <w:left w:val="single" w:color="auto" w:sz="6" w:space="0"/>
              <w:bottom w:val="single" w:color="auto" w:sz="6" w:space="0"/>
              <w:right w:val="single" w:color="auto" w:sz="2" w:space="0"/>
            </w:tcBorders>
            <w:vAlign w:val="center"/>
          </w:tcPr>
          <w:p w14:paraId="00261ECD">
            <w:pPr>
              <w:pStyle w:val="25"/>
              <w:snapToGrid w:val="0"/>
              <w:spacing w:before="295" w:after="295"/>
              <w:jc w:val="center"/>
              <w:rPr>
                <w:rFonts w:hint="eastAsia" w:hAnsi="宋体" w:cs="宋体"/>
                <w:color w:val="auto"/>
                <w:kern w:val="2"/>
                <w:sz w:val="24"/>
                <w:szCs w:val="24"/>
                <w:highlight w:val="none"/>
              </w:rPr>
            </w:pPr>
            <w:r>
              <w:rPr>
                <w:rFonts w:hint="eastAsia" w:hAnsi="宋体" w:cs="宋体"/>
                <w:color w:val="auto"/>
                <w:kern w:val="2"/>
                <w:sz w:val="24"/>
                <w:szCs w:val="24"/>
                <w:highlight w:val="none"/>
                <w:u w:val="single"/>
              </w:rPr>
              <w:t xml:space="preserve">      </w:t>
            </w:r>
            <w:r>
              <w:rPr>
                <w:rFonts w:hint="eastAsia" w:hAnsi="宋体" w:cs="宋体"/>
                <w:color w:val="auto"/>
                <w:kern w:val="2"/>
                <w:sz w:val="24"/>
                <w:szCs w:val="24"/>
                <w:highlight w:val="none"/>
              </w:rPr>
              <w:t>%</w:t>
            </w:r>
          </w:p>
        </w:tc>
      </w:tr>
      <w:tr w14:paraId="714E4C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4"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35C43A1B">
            <w:pPr>
              <w:pStyle w:val="25"/>
              <w:snapToGrid w:val="0"/>
              <w:spacing w:before="295" w:after="295"/>
              <w:jc w:val="center"/>
              <w:rPr>
                <w:rFonts w:hint="eastAsia" w:hAnsi="宋体" w:cs="宋体"/>
                <w:color w:val="auto"/>
                <w:kern w:val="2"/>
                <w:sz w:val="24"/>
                <w:szCs w:val="24"/>
                <w:highlight w:val="none"/>
              </w:rPr>
            </w:pPr>
            <w:r>
              <w:rPr>
                <w:rFonts w:hint="eastAsia" w:hAnsi="宋体" w:cs="宋体"/>
                <w:color w:val="auto"/>
                <w:kern w:val="2"/>
                <w:sz w:val="24"/>
                <w:szCs w:val="24"/>
                <w:highlight w:val="none"/>
              </w:rPr>
              <w:t>2</w:t>
            </w:r>
          </w:p>
        </w:tc>
        <w:tc>
          <w:tcPr>
            <w:tcW w:w="2700" w:type="dxa"/>
            <w:tcBorders>
              <w:top w:val="single" w:color="auto" w:sz="6" w:space="0"/>
              <w:left w:val="single" w:color="auto" w:sz="2" w:space="0"/>
              <w:bottom w:val="single" w:color="auto" w:sz="6" w:space="0"/>
              <w:right w:val="single" w:color="auto" w:sz="4" w:space="0"/>
            </w:tcBorders>
            <w:vAlign w:val="center"/>
          </w:tcPr>
          <w:p w14:paraId="1409C06E">
            <w:pPr>
              <w:pStyle w:val="25"/>
              <w:snapToGrid w:val="0"/>
              <w:spacing w:before="295" w:after="295"/>
              <w:jc w:val="center"/>
              <w:rPr>
                <w:rFonts w:hint="eastAsia" w:hAnsi="宋体" w:cs="宋体"/>
                <w:color w:val="auto"/>
                <w:kern w:val="2"/>
                <w:sz w:val="24"/>
                <w:szCs w:val="24"/>
                <w:highlight w:val="none"/>
              </w:rPr>
            </w:pPr>
          </w:p>
        </w:tc>
        <w:tc>
          <w:tcPr>
            <w:tcW w:w="1440" w:type="dxa"/>
            <w:tcBorders>
              <w:top w:val="single" w:color="auto" w:sz="6" w:space="0"/>
              <w:left w:val="single" w:color="auto" w:sz="4" w:space="0"/>
              <w:bottom w:val="single" w:color="auto" w:sz="6" w:space="0"/>
              <w:right w:val="single" w:color="auto" w:sz="6" w:space="0"/>
            </w:tcBorders>
            <w:vAlign w:val="center"/>
          </w:tcPr>
          <w:p w14:paraId="6DE40B57">
            <w:pPr>
              <w:pStyle w:val="25"/>
              <w:snapToGrid w:val="0"/>
              <w:spacing w:before="295" w:after="295"/>
              <w:jc w:val="center"/>
              <w:rPr>
                <w:rFonts w:hint="eastAsia" w:hAnsi="宋体" w:cs="宋体"/>
                <w:color w:val="auto"/>
                <w:kern w:val="2"/>
                <w:sz w:val="24"/>
                <w:szCs w:val="24"/>
                <w:highlight w:val="none"/>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6BC6F8A0">
            <w:pPr>
              <w:pStyle w:val="25"/>
              <w:snapToGrid w:val="0"/>
              <w:spacing w:before="295" w:after="295"/>
              <w:jc w:val="center"/>
              <w:rPr>
                <w:rFonts w:hint="eastAsia" w:hAnsi="宋体" w:cs="宋体"/>
                <w:color w:val="auto"/>
                <w:kern w:val="2"/>
                <w:sz w:val="24"/>
                <w:szCs w:val="24"/>
                <w:highlight w:val="none"/>
              </w:rPr>
            </w:pPr>
          </w:p>
        </w:tc>
        <w:tc>
          <w:tcPr>
            <w:tcW w:w="2340" w:type="dxa"/>
            <w:tcBorders>
              <w:top w:val="single" w:color="auto" w:sz="6" w:space="0"/>
              <w:left w:val="single" w:color="auto" w:sz="6" w:space="0"/>
              <w:bottom w:val="single" w:color="auto" w:sz="6" w:space="0"/>
              <w:right w:val="single" w:color="auto" w:sz="2" w:space="0"/>
            </w:tcBorders>
            <w:vAlign w:val="center"/>
          </w:tcPr>
          <w:p w14:paraId="4D22C39F">
            <w:pPr>
              <w:pStyle w:val="25"/>
              <w:snapToGrid w:val="0"/>
              <w:spacing w:before="295" w:after="295"/>
              <w:jc w:val="center"/>
              <w:rPr>
                <w:rFonts w:hint="eastAsia" w:hAnsi="宋体" w:cs="宋体"/>
                <w:color w:val="auto"/>
                <w:kern w:val="2"/>
                <w:sz w:val="24"/>
                <w:szCs w:val="24"/>
                <w:highlight w:val="none"/>
              </w:rPr>
            </w:pPr>
            <w:r>
              <w:rPr>
                <w:rFonts w:hint="eastAsia" w:hAnsi="宋体" w:cs="宋体"/>
                <w:color w:val="auto"/>
                <w:kern w:val="2"/>
                <w:sz w:val="24"/>
                <w:szCs w:val="24"/>
                <w:highlight w:val="none"/>
                <w:u w:val="single"/>
              </w:rPr>
              <w:t xml:space="preserve">      </w:t>
            </w:r>
            <w:r>
              <w:rPr>
                <w:rFonts w:hint="eastAsia" w:hAnsi="宋体" w:cs="宋体"/>
                <w:color w:val="auto"/>
                <w:kern w:val="2"/>
                <w:sz w:val="24"/>
                <w:szCs w:val="24"/>
                <w:highlight w:val="none"/>
              </w:rPr>
              <w:t>%</w:t>
            </w:r>
          </w:p>
        </w:tc>
      </w:tr>
      <w:tr w14:paraId="391A1E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4"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25531D61">
            <w:pPr>
              <w:pStyle w:val="25"/>
              <w:snapToGrid w:val="0"/>
              <w:spacing w:before="295" w:after="295"/>
              <w:jc w:val="center"/>
              <w:rPr>
                <w:rFonts w:hint="eastAsia" w:hAnsi="宋体" w:cs="宋体"/>
                <w:color w:val="auto"/>
                <w:kern w:val="2"/>
                <w:sz w:val="24"/>
                <w:szCs w:val="24"/>
                <w:highlight w:val="none"/>
              </w:rPr>
            </w:pPr>
            <w:r>
              <w:rPr>
                <w:rFonts w:hint="eastAsia" w:hAnsi="宋体" w:cs="宋体"/>
                <w:color w:val="auto"/>
                <w:kern w:val="2"/>
                <w:sz w:val="24"/>
                <w:szCs w:val="24"/>
                <w:highlight w:val="none"/>
              </w:rPr>
              <w:t>3</w:t>
            </w:r>
          </w:p>
        </w:tc>
        <w:tc>
          <w:tcPr>
            <w:tcW w:w="2700" w:type="dxa"/>
            <w:tcBorders>
              <w:top w:val="single" w:color="auto" w:sz="6" w:space="0"/>
              <w:left w:val="single" w:color="auto" w:sz="2" w:space="0"/>
              <w:bottom w:val="single" w:color="auto" w:sz="6" w:space="0"/>
              <w:right w:val="single" w:color="auto" w:sz="4" w:space="0"/>
            </w:tcBorders>
            <w:vAlign w:val="center"/>
          </w:tcPr>
          <w:p w14:paraId="5945AB68">
            <w:pPr>
              <w:pStyle w:val="25"/>
              <w:snapToGrid w:val="0"/>
              <w:spacing w:before="295" w:after="295"/>
              <w:jc w:val="center"/>
              <w:rPr>
                <w:rFonts w:hint="eastAsia" w:hAnsi="宋体" w:cs="宋体"/>
                <w:color w:val="auto"/>
                <w:kern w:val="2"/>
                <w:sz w:val="24"/>
                <w:szCs w:val="24"/>
                <w:highlight w:val="none"/>
              </w:rPr>
            </w:pPr>
          </w:p>
        </w:tc>
        <w:tc>
          <w:tcPr>
            <w:tcW w:w="1440" w:type="dxa"/>
            <w:tcBorders>
              <w:top w:val="single" w:color="auto" w:sz="6" w:space="0"/>
              <w:left w:val="single" w:color="auto" w:sz="4" w:space="0"/>
              <w:bottom w:val="single" w:color="auto" w:sz="6" w:space="0"/>
              <w:right w:val="single" w:color="auto" w:sz="6" w:space="0"/>
            </w:tcBorders>
            <w:vAlign w:val="center"/>
          </w:tcPr>
          <w:p w14:paraId="1DEF2265">
            <w:pPr>
              <w:pStyle w:val="25"/>
              <w:snapToGrid w:val="0"/>
              <w:spacing w:before="295" w:after="295"/>
              <w:jc w:val="center"/>
              <w:rPr>
                <w:rFonts w:hint="eastAsia" w:hAnsi="宋体" w:cs="宋体"/>
                <w:color w:val="auto"/>
                <w:kern w:val="2"/>
                <w:sz w:val="24"/>
                <w:szCs w:val="24"/>
                <w:highlight w:val="none"/>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3D08819A">
            <w:pPr>
              <w:pStyle w:val="25"/>
              <w:snapToGrid w:val="0"/>
              <w:spacing w:before="295" w:after="295"/>
              <w:jc w:val="center"/>
              <w:rPr>
                <w:rFonts w:hint="eastAsia" w:hAnsi="宋体" w:cs="宋体"/>
                <w:color w:val="auto"/>
                <w:kern w:val="2"/>
                <w:sz w:val="24"/>
                <w:szCs w:val="24"/>
                <w:highlight w:val="none"/>
              </w:rPr>
            </w:pPr>
          </w:p>
        </w:tc>
        <w:tc>
          <w:tcPr>
            <w:tcW w:w="2340" w:type="dxa"/>
            <w:tcBorders>
              <w:top w:val="single" w:color="auto" w:sz="6" w:space="0"/>
              <w:left w:val="single" w:color="auto" w:sz="6" w:space="0"/>
              <w:bottom w:val="single" w:color="auto" w:sz="6" w:space="0"/>
              <w:right w:val="single" w:color="auto" w:sz="2" w:space="0"/>
            </w:tcBorders>
            <w:vAlign w:val="center"/>
          </w:tcPr>
          <w:p w14:paraId="2CC82D70">
            <w:pPr>
              <w:pStyle w:val="25"/>
              <w:snapToGrid w:val="0"/>
              <w:spacing w:before="295" w:after="295"/>
              <w:jc w:val="center"/>
              <w:rPr>
                <w:rFonts w:hint="eastAsia" w:hAnsi="宋体" w:cs="宋体"/>
                <w:color w:val="auto"/>
                <w:kern w:val="2"/>
                <w:sz w:val="24"/>
                <w:szCs w:val="24"/>
                <w:highlight w:val="none"/>
              </w:rPr>
            </w:pPr>
            <w:r>
              <w:rPr>
                <w:rFonts w:hint="eastAsia" w:hAnsi="宋体" w:cs="宋体"/>
                <w:color w:val="auto"/>
                <w:kern w:val="2"/>
                <w:sz w:val="24"/>
                <w:szCs w:val="24"/>
                <w:highlight w:val="none"/>
                <w:u w:val="single"/>
              </w:rPr>
              <w:t xml:space="preserve">      </w:t>
            </w:r>
            <w:r>
              <w:rPr>
                <w:rFonts w:hint="eastAsia" w:hAnsi="宋体" w:cs="宋体"/>
                <w:color w:val="auto"/>
                <w:kern w:val="2"/>
                <w:sz w:val="24"/>
                <w:szCs w:val="24"/>
                <w:highlight w:val="none"/>
              </w:rPr>
              <w:t>%</w:t>
            </w:r>
          </w:p>
        </w:tc>
      </w:tr>
    </w:tbl>
    <w:p w14:paraId="0E6810FD">
      <w:pPr>
        <w:spacing w:line="360" w:lineRule="auto"/>
        <w:contextualSpacing/>
        <w:rPr>
          <w:rFonts w:hint="eastAsia" w:ascii="宋体" w:hAnsi="宋体" w:cs="宋体"/>
          <w:color w:val="auto"/>
          <w:sz w:val="24"/>
          <w:highlight w:val="none"/>
        </w:rPr>
      </w:pPr>
    </w:p>
    <w:p w14:paraId="08D1B29B">
      <w:pPr>
        <w:spacing w:line="360" w:lineRule="auto"/>
        <w:contextualSpacing/>
        <w:rPr>
          <w:rFonts w:hint="eastAsia" w:ascii="宋体" w:hAnsi="宋体" w:cs="宋体"/>
          <w:color w:val="auto"/>
          <w:sz w:val="24"/>
          <w:highlight w:val="none"/>
        </w:rPr>
      </w:pPr>
    </w:p>
    <w:p w14:paraId="55C5FD0A">
      <w:pPr>
        <w:spacing w:line="360" w:lineRule="auto"/>
        <w:contextualSpacing/>
        <w:rPr>
          <w:rFonts w:hint="eastAsia" w:ascii="宋体" w:hAnsi="宋体" w:cs="宋体"/>
          <w:color w:val="auto"/>
          <w:sz w:val="24"/>
          <w:highlight w:val="none"/>
        </w:rPr>
      </w:pPr>
    </w:p>
    <w:p w14:paraId="2F30E6A2">
      <w:pPr>
        <w:spacing w:line="360" w:lineRule="auto"/>
        <w:contextualSpacing/>
        <w:rPr>
          <w:rFonts w:hint="eastAsia" w:ascii="宋体" w:hAnsi="宋体" w:cs="宋体"/>
          <w:color w:val="auto"/>
          <w:spacing w:val="20"/>
          <w:sz w:val="24"/>
          <w:highlight w:val="none"/>
          <w:u w:val="single"/>
        </w:rPr>
      </w:pPr>
      <w:r>
        <w:rPr>
          <w:rFonts w:hint="eastAsia" w:ascii="宋体" w:hAnsi="宋体" w:cs="宋体"/>
          <w:color w:val="auto"/>
          <w:sz w:val="24"/>
          <w:highlight w:val="none"/>
        </w:rPr>
        <w:t>法定代表人或者委托代理人</w:t>
      </w:r>
      <w:r>
        <w:rPr>
          <w:rFonts w:hint="eastAsia" w:ascii="宋体" w:hAnsi="宋体" w:cs="宋体"/>
          <w:color w:val="auto"/>
          <w:spacing w:val="20"/>
          <w:sz w:val="24"/>
          <w:highlight w:val="none"/>
        </w:rPr>
        <w:t>（签字）：</w:t>
      </w:r>
    </w:p>
    <w:p w14:paraId="2327DC74">
      <w:pPr>
        <w:spacing w:line="360" w:lineRule="auto"/>
        <w:contextualSpacing/>
        <w:rPr>
          <w:rFonts w:hint="eastAsia" w:ascii="宋体" w:hAnsi="宋体" w:cs="宋体"/>
          <w:color w:val="auto"/>
          <w:spacing w:val="20"/>
          <w:sz w:val="24"/>
          <w:highlight w:val="none"/>
        </w:rPr>
      </w:pPr>
      <w:r>
        <w:rPr>
          <w:rFonts w:hint="eastAsia" w:ascii="宋体" w:hAnsi="宋体" w:cs="宋体"/>
          <w:color w:val="auto"/>
          <w:spacing w:val="20"/>
          <w:sz w:val="24"/>
          <w:highlight w:val="none"/>
        </w:rPr>
        <w:t>投标人名称（盖公章）：</w:t>
      </w:r>
    </w:p>
    <w:p w14:paraId="5FADE7CE">
      <w:pPr>
        <w:spacing w:line="360" w:lineRule="auto"/>
        <w:contextualSpacing/>
        <w:rPr>
          <w:rFonts w:hint="eastAsia" w:ascii="宋体" w:hAnsi="宋体" w:cs="宋体"/>
          <w:color w:val="auto"/>
          <w:sz w:val="24"/>
          <w:szCs w:val="20"/>
          <w:highlight w:val="none"/>
        </w:rPr>
      </w:pPr>
      <w:r>
        <w:rPr>
          <w:rFonts w:hint="eastAsia" w:ascii="宋体" w:hAnsi="宋体" w:cs="宋体"/>
          <w:color w:val="auto"/>
          <w:spacing w:val="20"/>
          <w:sz w:val="24"/>
          <w:highlight w:val="none"/>
        </w:rPr>
        <w:t>日 期：</w:t>
      </w:r>
    </w:p>
    <w:p w14:paraId="0E508615">
      <w:pPr>
        <w:snapToGrid w:val="0"/>
        <w:spacing w:before="50" w:after="120" w:afterLines="50"/>
        <w:jc w:val="left"/>
        <w:rPr>
          <w:rFonts w:hint="eastAsia" w:ascii="宋体" w:hAnsi="宋体" w:cs="宋体"/>
          <w:color w:val="auto"/>
          <w:sz w:val="24"/>
          <w:szCs w:val="20"/>
          <w:highlight w:val="none"/>
        </w:rPr>
      </w:pPr>
    </w:p>
    <w:p w14:paraId="5156AA84">
      <w:pPr>
        <w:rPr>
          <w:rFonts w:hint="eastAsia" w:ascii="宋体" w:hAnsi="宋体" w:cs="宋体"/>
          <w:b/>
          <w:color w:val="auto"/>
          <w:sz w:val="28"/>
          <w:szCs w:val="28"/>
          <w:highlight w:val="none"/>
        </w:rPr>
      </w:pPr>
      <w:r>
        <w:rPr>
          <w:rFonts w:hint="eastAsia" w:ascii="宋体" w:hAnsi="宋体" w:cs="宋体"/>
          <w:b/>
          <w:bCs/>
          <w:color w:val="auto"/>
          <w:sz w:val="24"/>
          <w:highlight w:val="none"/>
        </w:rPr>
        <w:br w:type="page"/>
      </w:r>
      <w:r>
        <w:rPr>
          <w:rFonts w:hint="eastAsia" w:ascii="宋体" w:hAnsi="宋体" w:cs="宋体"/>
          <w:b/>
          <w:color w:val="auto"/>
          <w:sz w:val="28"/>
          <w:szCs w:val="28"/>
          <w:highlight w:val="none"/>
        </w:rPr>
        <w:t>五、其他文书、文件格式</w:t>
      </w:r>
    </w:p>
    <w:p w14:paraId="76887D0C">
      <w:pPr>
        <w:snapToGrid w:val="0"/>
        <w:spacing w:before="120" w:beforeLines="50" w:after="50"/>
        <w:ind w:left="142"/>
        <w:jc w:val="left"/>
        <w:rPr>
          <w:rFonts w:hint="eastAsia" w:ascii="宋体" w:hAnsi="宋体" w:cs="宋体"/>
          <w:b/>
          <w:color w:val="auto"/>
          <w:spacing w:val="20"/>
          <w:sz w:val="24"/>
          <w:highlight w:val="none"/>
        </w:rPr>
      </w:pPr>
      <w:r>
        <w:rPr>
          <w:rFonts w:hint="eastAsia" w:ascii="宋体" w:hAnsi="宋体" w:cs="宋体"/>
          <w:b/>
          <w:color w:val="auto"/>
          <w:spacing w:val="20"/>
          <w:sz w:val="24"/>
          <w:highlight w:val="none"/>
        </w:rPr>
        <w:t>1.联合投标协议书格式</w:t>
      </w:r>
    </w:p>
    <w:p w14:paraId="1F2CDEE0">
      <w:pPr>
        <w:snapToGrid w:val="0"/>
        <w:spacing w:before="120" w:beforeLines="50" w:after="50"/>
        <w:ind w:left="142"/>
        <w:jc w:val="left"/>
        <w:rPr>
          <w:rFonts w:hint="eastAsia" w:ascii="宋体" w:hAnsi="宋体" w:cs="宋体"/>
          <w:b/>
          <w:color w:val="auto"/>
          <w:spacing w:val="20"/>
          <w:sz w:val="24"/>
          <w:highlight w:val="none"/>
        </w:rPr>
      </w:pPr>
    </w:p>
    <w:p w14:paraId="3259318D">
      <w:pPr>
        <w:pStyle w:val="11"/>
        <w:overflowPunct w:val="0"/>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联合体协议书</w:t>
      </w:r>
    </w:p>
    <w:p w14:paraId="10D568D9">
      <w:pPr>
        <w:pStyle w:val="11"/>
        <w:overflowPunct w:val="0"/>
        <w:rPr>
          <w:rFonts w:hint="eastAsia" w:ascii="宋体" w:hAnsi="宋体" w:cs="宋体"/>
          <w:color w:val="auto"/>
          <w:sz w:val="24"/>
          <w:highlight w:val="none"/>
        </w:rPr>
      </w:pPr>
    </w:p>
    <w:p w14:paraId="6099621B">
      <w:pPr>
        <w:pStyle w:val="11"/>
        <w:overflowPunct w:val="0"/>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u w:val="single"/>
        </w:rPr>
        <w:tab/>
      </w:r>
      <w:r>
        <w:rPr>
          <w:rFonts w:hint="eastAsia" w:ascii="宋体" w:hAnsi="宋体" w:cs="宋体"/>
          <w:color w:val="auto"/>
          <w:sz w:val="24"/>
          <w:highlight w:val="none"/>
        </w:rPr>
        <w:t>（所有成员单位名称）自愿组成</w:t>
      </w:r>
      <w:r>
        <w:rPr>
          <w:rFonts w:hint="eastAsia" w:ascii="宋体" w:hAnsi="宋体" w:cs="宋体"/>
          <w:color w:val="auto"/>
          <w:sz w:val="24"/>
          <w:highlight w:val="none"/>
          <w:u w:val="single"/>
        </w:rPr>
        <w:tab/>
      </w:r>
      <w:r>
        <w:rPr>
          <w:rFonts w:hint="eastAsia" w:ascii="宋体" w:hAnsi="宋体" w:cs="宋体"/>
          <w:color w:val="auto"/>
          <w:sz w:val="24"/>
          <w:highlight w:val="none"/>
        </w:rPr>
        <w:t>（联合体名称）联合体，共同参加</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（项目名称）</w:t>
      </w:r>
      <w:r>
        <w:rPr>
          <w:rFonts w:hint="eastAsia" w:ascii="宋体" w:hAnsi="宋体" w:cs="宋体"/>
          <w:color w:val="auto"/>
          <w:sz w:val="24"/>
          <w:highlight w:val="none"/>
        </w:rPr>
        <w:t>采购招标项目投标。现就联合体投标事宜订立如下协议。</w:t>
      </w:r>
    </w:p>
    <w:p w14:paraId="185C99E7">
      <w:pPr>
        <w:pStyle w:val="11"/>
        <w:overflowPunct w:val="0"/>
        <w:spacing w:line="360" w:lineRule="auto"/>
        <w:ind w:firstLineChars="175"/>
        <w:contextualSpacing/>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z w:val="24"/>
          <w:highlight w:val="none"/>
        </w:rPr>
        <w:t>（某成员单位名称）为</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（联合体名称）</w:t>
      </w:r>
      <w:r>
        <w:rPr>
          <w:rFonts w:hint="eastAsia" w:ascii="宋体" w:hAnsi="宋体" w:cs="宋体"/>
          <w:color w:val="auto"/>
          <w:sz w:val="24"/>
          <w:highlight w:val="none"/>
        </w:rPr>
        <w:t>牵头人。</w:t>
      </w:r>
    </w:p>
    <w:p w14:paraId="736892B4">
      <w:pPr>
        <w:pStyle w:val="11"/>
        <w:overflowPunct w:val="0"/>
        <w:spacing w:line="360" w:lineRule="auto"/>
        <w:ind w:firstLineChars="175"/>
        <w:contextualSpacing/>
        <w:rPr>
          <w:rFonts w:hint="eastAsia" w:ascii="宋体" w:hAnsi="宋体" w:cs="宋体"/>
          <w:color w:val="auto"/>
          <w:sz w:val="24"/>
          <w:highlight w:val="none"/>
        </w:rPr>
      </w:pPr>
      <w:r>
        <w:rPr>
          <w:rFonts w:hint="eastAsia" w:ascii="宋体" w:hAnsi="宋体" w:cs="宋体"/>
          <w:color w:val="auto"/>
          <w:sz w:val="24"/>
          <w:highlight w:val="none"/>
        </w:rPr>
        <w:t>2.联合体各成员授权牵头人代表联合体参加投标活动，签署文件及对文件的盖章，提交和接收相关的资料、信息及指示，进行合同谈判活动，负责合同实施阶段的组织和协调工作，以及处理与本招标项目有关的一切事宜。</w:t>
      </w:r>
    </w:p>
    <w:p w14:paraId="0DDBD4F5">
      <w:pPr>
        <w:pStyle w:val="11"/>
        <w:overflowPunct w:val="0"/>
        <w:spacing w:line="360" w:lineRule="auto"/>
        <w:ind w:firstLineChars="175"/>
        <w:contextualSpacing/>
        <w:rPr>
          <w:rFonts w:hint="eastAsia" w:ascii="宋体" w:hAnsi="宋体" w:cs="宋体"/>
          <w:color w:val="auto"/>
          <w:sz w:val="24"/>
          <w:highlight w:val="none"/>
        </w:rPr>
      </w:pPr>
      <w:r>
        <w:rPr>
          <w:rFonts w:hint="eastAsia" w:ascii="宋体" w:hAnsi="宋体" w:cs="宋体"/>
          <w:color w:val="auto"/>
          <w:sz w:val="24"/>
          <w:highlight w:val="none"/>
        </w:rPr>
        <w:t>3.联合体牵头人在本项目中签署和盖章的一切文件和处理的一切事宜，联合体各成员均予以承认。联合体各成员将严格按照招标文件、投标文件和合同的要求全面履行义务，并向招标人承担连带责任。</w:t>
      </w:r>
    </w:p>
    <w:p w14:paraId="2B2ECF47">
      <w:pPr>
        <w:pStyle w:val="11"/>
        <w:overflowPunct w:val="0"/>
        <w:spacing w:line="360" w:lineRule="auto"/>
        <w:ind w:firstLineChars="175"/>
        <w:contextualSpacing/>
        <w:rPr>
          <w:rFonts w:hint="eastAsia" w:ascii="宋体" w:hAnsi="宋体" w:cs="宋体"/>
          <w:color w:val="auto"/>
          <w:sz w:val="24"/>
          <w:highlight w:val="none"/>
        </w:rPr>
      </w:pPr>
      <w:r>
        <w:rPr>
          <w:rFonts w:hint="eastAsia" w:ascii="宋体" w:hAnsi="宋体" w:cs="宋体"/>
          <w:color w:val="auto"/>
          <w:sz w:val="24"/>
          <w:highlight w:val="none"/>
        </w:rPr>
        <w:t>4.联合体各成员单位内部的职责分工如下：</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0BE05390">
      <w:pPr>
        <w:pStyle w:val="11"/>
        <w:overflowPunct w:val="0"/>
        <w:spacing w:line="360" w:lineRule="auto"/>
        <w:ind w:firstLineChars="175"/>
        <w:contextualSpacing/>
        <w:rPr>
          <w:rFonts w:hint="eastAsia" w:ascii="宋体" w:hAnsi="宋体" w:cs="宋体"/>
          <w:color w:val="auto"/>
          <w:sz w:val="24"/>
          <w:highlight w:val="none"/>
        </w:rPr>
      </w:pPr>
      <w:r>
        <w:rPr>
          <w:rFonts w:hint="eastAsia" w:ascii="宋体" w:hAnsi="宋体" w:cs="宋体"/>
          <w:color w:val="auto"/>
          <w:sz w:val="24"/>
          <w:highlight w:val="none"/>
        </w:rPr>
        <w:t>5.本协议书自所有成员单位法定代表人或者其委托代理人签字或者盖公章之日起生效，合同履行完毕后自动失效。</w:t>
      </w:r>
    </w:p>
    <w:p w14:paraId="32637B9B">
      <w:pPr>
        <w:pStyle w:val="11"/>
        <w:overflowPunct w:val="0"/>
        <w:spacing w:line="360" w:lineRule="auto"/>
        <w:ind w:firstLineChars="175"/>
        <w:contextualSpacing/>
        <w:rPr>
          <w:rFonts w:hint="eastAsia" w:ascii="宋体" w:hAnsi="宋体" w:cs="宋体"/>
          <w:color w:val="auto"/>
          <w:sz w:val="24"/>
          <w:highlight w:val="none"/>
        </w:rPr>
      </w:pPr>
      <w:r>
        <w:rPr>
          <w:rFonts w:hint="eastAsia" w:ascii="宋体" w:hAnsi="宋体" w:cs="宋体"/>
          <w:color w:val="auto"/>
          <w:sz w:val="24"/>
          <w:highlight w:val="none"/>
        </w:rPr>
        <w:t>6.本协议书一式</w:t>
      </w:r>
      <w:r>
        <w:rPr>
          <w:rFonts w:hint="eastAsia" w:ascii="宋体" w:hAnsi="宋体" w:cs="宋体"/>
          <w:color w:val="auto"/>
          <w:sz w:val="24"/>
          <w:highlight w:val="none"/>
          <w:u w:val="single"/>
        </w:rPr>
        <w:tab/>
      </w:r>
      <w:r>
        <w:rPr>
          <w:rFonts w:hint="eastAsia" w:ascii="宋体" w:hAnsi="宋体" w:cs="宋体"/>
          <w:color w:val="auto"/>
          <w:sz w:val="24"/>
          <w:highlight w:val="none"/>
        </w:rPr>
        <w:t>份，联合体成员和招标人各执一份。</w:t>
      </w:r>
    </w:p>
    <w:p w14:paraId="4AD2A5AE">
      <w:pPr>
        <w:pStyle w:val="11"/>
        <w:overflowPunct w:val="0"/>
        <w:spacing w:line="360" w:lineRule="auto"/>
        <w:ind w:firstLineChars="175"/>
        <w:contextualSpacing/>
        <w:rPr>
          <w:rFonts w:hint="eastAsia" w:ascii="宋体" w:hAnsi="宋体" w:cs="宋体"/>
          <w:color w:val="auto"/>
          <w:sz w:val="24"/>
          <w:highlight w:val="none"/>
        </w:rPr>
      </w:pPr>
      <w:r>
        <w:rPr>
          <w:rFonts w:hint="eastAsia" w:ascii="宋体" w:hAnsi="宋体" w:cs="宋体"/>
          <w:color w:val="auto"/>
          <w:sz w:val="24"/>
          <w:highlight w:val="none"/>
        </w:rPr>
        <w:t>注：本协议书由法定代表人签字的，应附法定代表人身份证明；由委托代理人签字的，应附授权委托书。</w:t>
      </w:r>
    </w:p>
    <w:p w14:paraId="4DA004B9">
      <w:pPr>
        <w:pStyle w:val="11"/>
        <w:overflowPunct w:val="0"/>
        <w:spacing w:line="360" w:lineRule="auto"/>
        <w:ind w:firstLineChars="175"/>
        <w:contextualSpacing/>
        <w:rPr>
          <w:rFonts w:hint="eastAsia" w:ascii="宋体" w:hAnsi="宋体" w:cs="宋体"/>
          <w:color w:val="auto"/>
          <w:sz w:val="24"/>
          <w:highlight w:val="none"/>
        </w:rPr>
      </w:pPr>
      <w:r>
        <w:rPr>
          <w:rFonts w:hint="eastAsia" w:ascii="宋体" w:hAnsi="宋体" w:cs="宋体"/>
          <w:color w:val="auto"/>
          <w:sz w:val="24"/>
          <w:highlight w:val="none"/>
        </w:rPr>
        <w:t>联合体牵头人名称（盖公章）：</w:t>
      </w:r>
    </w:p>
    <w:p w14:paraId="2A54C280">
      <w:pPr>
        <w:pStyle w:val="11"/>
        <w:overflowPunct w:val="0"/>
        <w:spacing w:line="360" w:lineRule="auto"/>
        <w:ind w:firstLineChars="175"/>
        <w:contextualSpacing/>
        <w:rPr>
          <w:rFonts w:hint="eastAsia" w:ascii="宋体" w:hAnsi="宋体" w:cs="宋体"/>
          <w:color w:val="auto"/>
          <w:sz w:val="24"/>
          <w:highlight w:val="none"/>
        </w:rPr>
      </w:pPr>
      <w:r>
        <w:rPr>
          <w:rFonts w:hint="eastAsia" w:ascii="宋体" w:hAnsi="宋体" w:cs="宋体"/>
          <w:color w:val="auto"/>
          <w:sz w:val="24"/>
          <w:highlight w:val="none"/>
        </w:rPr>
        <w:t>法定代表人或者其委托代理人：</w:t>
      </w:r>
      <w:r>
        <w:rPr>
          <w:rFonts w:hint="eastAsia" w:ascii="宋体" w:hAnsi="宋体" w:cs="宋体"/>
          <w:color w:val="auto"/>
          <w:sz w:val="24"/>
          <w:highlight w:val="none"/>
        </w:rPr>
        <w:tab/>
      </w:r>
      <w:r>
        <w:rPr>
          <w:rFonts w:hint="eastAsia" w:ascii="宋体" w:hAnsi="宋体" w:cs="宋体"/>
          <w:color w:val="auto"/>
          <w:sz w:val="24"/>
          <w:highlight w:val="none"/>
        </w:rPr>
        <w:t>（签字）</w:t>
      </w:r>
    </w:p>
    <w:p w14:paraId="57047B86">
      <w:pPr>
        <w:pStyle w:val="11"/>
        <w:overflowPunct w:val="0"/>
        <w:spacing w:line="360" w:lineRule="auto"/>
        <w:ind w:firstLineChars="175"/>
        <w:contextualSpacing/>
        <w:rPr>
          <w:rFonts w:hint="eastAsia" w:ascii="宋体" w:hAnsi="宋体" w:cs="宋体"/>
          <w:color w:val="auto"/>
          <w:sz w:val="24"/>
          <w:highlight w:val="none"/>
        </w:rPr>
      </w:pPr>
    </w:p>
    <w:p w14:paraId="27218CCD">
      <w:pPr>
        <w:pStyle w:val="11"/>
        <w:overflowPunct w:val="0"/>
        <w:spacing w:line="360" w:lineRule="auto"/>
        <w:ind w:firstLineChars="175"/>
        <w:contextualSpacing/>
        <w:rPr>
          <w:rFonts w:hint="eastAsia" w:ascii="宋体" w:hAnsi="宋体" w:cs="宋体"/>
          <w:color w:val="auto"/>
          <w:sz w:val="24"/>
          <w:highlight w:val="none"/>
        </w:rPr>
      </w:pPr>
      <w:r>
        <w:rPr>
          <w:rFonts w:hint="eastAsia" w:ascii="宋体" w:hAnsi="宋体" w:cs="宋体"/>
          <w:color w:val="auto"/>
          <w:sz w:val="24"/>
          <w:highlight w:val="none"/>
        </w:rPr>
        <w:t>联合体成员名称（盖公章）：</w:t>
      </w:r>
    </w:p>
    <w:p w14:paraId="753A34EB">
      <w:pPr>
        <w:pStyle w:val="11"/>
        <w:overflowPunct w:val="0"/>
        <w:spacing w:line="360" w:lineRule="auto"/>
        <w:ind w:firstLineChars="175"/>
        <w:contextualSpacing/>
        <w:rPr>
          <w:rFonts w:hint="eastAsia" w:ascii="宋体" w:hAnsi="宋体" w:cs="宋体"/>
          <w:color w:val="auto"/>
          <w:sz w:val="24"/>
          <w:highlight w:val="none"/>
        </w:rPr>
      </w:pPr>
      <w:r>
        <w:rPr>
          <w:rFonts w:hint="eastAsia" w:ascii="宋体" w:hAnsi="宋体" w:cs="宋体"/>
          <w:color w:val="auto"/>
          <w:sz w:val="24"/>
          <w:highlight w:val="none"/>
        </w:rPr>
        <w:t>法定代表人或者其委托代理人：</w:t>
      </w:r>
      <w:r>
        <w:rPr>
          <w:rFonts w:hint="eastAsia" w:ascii="宋体" w:hAnsi="宋体" w:cs="宋体"/>
          <w:color w:val="auto"/>
          <w:sz w:val="24"/>
          <w:highlight w:val="none"/>
        </w:rPr>
        <w:tab/>
      </w:r>
      <w:r>
        <w:rPr>
          <w:rFonts w:hint="eastAsia" w:ascii="宋体" w:hAnsi="宋体" w:cs="宋体"/>
          <w:color w:val="auto"/>
          <w:sz w:val="24"/>
          <w:highlight w:val="none"/>
        </w:rPr>
        <w:t>（签字）</w:t>
      </w:r>
    </w:p>
    <w:p w14:paraId="6C511D90">
      <w:pPr>
        <w:pStyle w:val="11"/>
        <w:overflowPunct w:val="0"/>
        <w:spacing w:line="360" w:lineRule="auto"/>
        <w:ind w:firstLineChars="175"/>
        <w:contextualSpacing/>
        <w:rPr>
          <w:rFonts w:hint="eastAsia" w:ascii="宋体" w:hAnsi="宋体" w:cs="宋体"/>
          <w:color w:val="auto"/>
          <w:sz w:val="24"/>
          <w:highlight w:val="none"/>
        </w:rPr>
      </w:pPr>
      <w:r>
        <w:rPr>
          <w:rFonts w:hint="eastAsia" w:ascii="宋体" w:hAnsi="宋体" w:cs="宋体"/>
          <w:color w:val="auto"/>
          <w:sz w:val="24"/>
          <w:highlight w:val="none"/>
        </w:rPr>
        <w:t>……</w:t>
      </w:r>
    </w:p>
    <w:p w14:paraId="7DDCFB94">
      <w:pPr>
        <w:pStyle w:val="11"/>
        <w:overflowPunct w:val="0"/>
        <w:spacing w:line="360" w:lineRule="auto"/>
        <w:ind w:firstLineChars="175"/>
        <w:contextualSpacing/>
        <w:rPr>
          <w:rFonts w:hint="eastAsia" w:ascii="宋体" w:hAnsi="宋体" w:cs="宋体"/>
          <w:color w:val="auto"/>
          <w:sz w:val="24"/>
          <w:highlight w:val="none"/>
        </w:rPr>
      </w:pPr>
    </w:p>
    <w:p w14:paraId="28615530">
      <w:pPr>
        <w:pStyle w:val="11"/>
        <w:overflowPunct w:val="0"/>
        <w:spacing w:line="360" w:lineRule="auto"/>
        <w:ind w:firstLineChars="175"/>
        <w:contextualSpacing/>
        <w:jc w:val="right"/>
        <w:rPr>
          <w:rFonts w:hint="eastAsia" w:ascii="宋体" w:hAnsi="宋体" w:cs="宋体"/>
          <w:b/>
          <w:color w:val="auto"/>
          <w:sz w:val="24"/>
          <w:highlight w:val="none"/>
        </w:rPr>
      </w:pPr>
      <w:r>
        <w:rPr>
          <w:rFonts w:hint="eastAsia" w:ascii="宋体" w:hAnsi="宋体" w:cs="宋体"/>
          <w:color w:val="auto"/>
          <w:sz w:val="24"/>
          <w:highlight w:val="none"/>
        </w:rPr>
        <w:tab/>
      </w:r>
      <w:r>
        <w:rPr>
          <w:rFonts w:hint="eastAsia" w:ascii="宋体" w:hAnsi="宋体" w:cs="宋体"/>
          <w:color w:val="auto"/>
          <w:sz w:val="24"/>
          <w:highlight w:val="none"/>
        </w:rPr>
        <w:t>年</w:t>
      </w:r>
      <w:r>
        <w:rPr>
          <w:rFonts w:hint="eastAsia" w:ascii="宋体" w:hAnsi="宋体" w:cs="宋体"/>
          <w:color w:val="auto"/>
          <w:sz w:val="24"/>
          <w:highlight w:val="none"/>
        </w:rPr>
        <w:tab/>
      </w:r>
      <w:r>
        <w:rPr>
          <w:rFonts w:hint="eastAsia" w:ascii="宋体" w:hAnsi="宋体" w:cs="宋体"/>
          <w:color w:val="auto"/>
          <w:sz w:val="24"/>
          <w:highlight w:val="none"/>
        </w:rPr>
        <w:t>月</w:t>
      </w:r>
      <w:r>
        <w:rPr>
          <w:rFonts w:hint="eastAsia" w:ascii="宋体" w:hAnsi="宋体" w:cs="宋体"/>
          <w:color w:val="auto"/>
          <w:sz w:val="24"/>
          <w:highlight w:val="none"/>
        </w:rPr>
        <w:tab/>
      </w:r>
      <w:r>
        <w:rPr>
          <w:rFonts w:hint="eastAsia" w:ascii="宋体" w:hAnsi="宋体" w:cs="宋体"/>
          <w:color w:val="auto"/>
          <w:sz w:val="24"/>
          <w:highlight w:val="none"/>
        </w:rPr>
        <w:t>日</w:t>
      </w:r>
    </w:p>
    <w:p w14:paraId="392DC6B7">
      <w:pPr>
        <w:snapToGrid w:val="0"/>
        <w:spacing w:before="120" w:beforeLines="50" w:after="50"/>
        <w:jc w:val="left"/>
        <w:rPr>
          <w:rFonts w:hint="eastAsia" w:ascii="宋体" w:hAnsi="宋体" w:cs="宋体"/>
          <w:b/>
          <w:color w:val="auto"/>
          <w:sz w:val="24"/>
          <w:highlight w:val="none"/>
        </w:rPr>
      </w:pPr>
    </w:p>
    <w:p w14:paraId="23ABC4F2">
      <w:pPr>
        <w:snapToGrid w:val="0"/>
        <w:spacing w:before="120" w:beforeLines="50" w:after="50"/>
        <w:jc w:val="left"/>
        <w:rPr>
          <w:rFonts w:hint="eastAsia" w:ascii="宋体" w:hAnsi="宋体" w:cs="宋体"/>
          <w:color w:val="auto"/>
          <w:highlight w:val="none"/>
        </w:rPr>
      </w:pPr>
      <w:r>
        <w:rPr>
          <w:rFonts w:hint="eastAsia" w:ascii="宋体" w:hAnsi="宋体" w:cs="宋体"/>
          <w:b/>
          <w:color w:val="auto"/>
          <w:sz w:val="24"/>
          <w:highlight w:val="none"/>
        </w:rPr>
        <w:t>2.中小企业声明函格式</w:t>
      </w:r>
    </w:p>
    <w:p w14:paraId="507FFDC2">
      <w:pPr>
        <w:rPr>
          <w:rFonts w:hint="eastAsia" w:ascii="宋体" w:hAnsi="宋体" w:cs="宋体"/>
          <w:color w:val="auto"/>
          <w:highlight w:val="none"/>
        </w:rPr>
      </w:pPr>
    </w:p>
    <w:p w14:paraId="7B7671DC">
      <w:pPr>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中小企业声明函（货物）</w:t>
      </w:r>
    </w:p>
    <w:p w14:paraId="6B005532">
      <w:pPr>
        <w:spacing w:before="2" w:line="500" w:lineRule="exact"/>
        <w:rPr>
          <w:rFonts w:hint="eastAsia" w:ascii="宋体" w:hAnsi="宋体" w:cs="宋体"/>
          <w:b/>
          <w:bCs/>
          <w:color w:val="auto"/>
          <w:sz w:val="27"/>
          <w:szCs w:val="27"/>
          <w:highlight w:val="none"/>
        </w:rPr>
      </w:pPr>
    </w:p>
    <w:p w14:paraId="40DA4F49">
      <w:pPr>
        <w:pStyle w:val="3"/>
        <w:spacing w:line="360" w:lineRule="auto"/>
        <w:ind w:left="-426" w:leftChars="-203" w:right="142" w:firstLine="480" w:firstLineChars="200"/>
        <w:contextualSpacing/>
        <w:rPr>
          <w:rFonts w:hint="eastAsia" w:ascii="宋体" w:hAnsi="宋体" w:cs="宋体"/>
          <w:color w:val="auto"/>
          <w:kern w:val="24"/>
          <w:highlight w:val="none"/>
        </w:rPr>
      </w:pPr>
      <w:r>
        <w:rPr>
          <w:rFonts w:hint="eastAsia" w:ascii="宋体" w:hAnsi="宋体" w:cs="宋体"/>
          <w:color w:val="auto"/>
          <w:kern w:val="24"/>
          <w:highlight w:val="none"/>
        </w:rPr>
        <w:t>本公司（联合体）郑重声明，根据《政府采购促进中小企业发展管理办法》（财库﹝2020﹞46号）的规定，本公司（联合体）参加</w:t>
      </w:r>
      <w:r>
        <w:rPr>
          <w:rFonts w:hint="eastAsia" w:ascii="宋体" w:hAnsi="宋体" w:cs="宋体"/>
          <w:color w:val="auto"/>
          <w:kern w:val="24"/>
          <w:highlight w:val="none"/>
          <w:u w:val="single"/>
        </w:rPr>
        <w:t>（单位名称）</w:t>
      </w:r>
      <w:r>
        <w:rPr>
          <w:rFonts w:hint="eastAsia" w:ascii="宋体" w:hAnsi="宋体" w:cs="宋体"/>
          <w:color w:val="auto"/>
          <w:kern w:val="24"/>
          <w:highlight w:val="none"/>
        </w:rPr>
        <w:t>的</w:t>
      </w:r>
      <w:r>
        <w:rPr>
          <w:rFonts w:hint="eastAsia" w:ascii="宋体" w:hAnsi="宋体" w:cs="宋体"/>
          <w:color w:val="auto"/>
          <w:kern w:val="24"/>
          <w:highlight w:val="none"/>
          <w:u w:val="single"/>
        </w:rPr>
        <w:t>（项目名称）</w:t>
      </w:r>
      <w:r>
        <w:rPr>
          <w:rFonts w:hint="eastAsia" w:ascii="宋体" w:hAnsi="宋体" w:cs="宋体"/>
          <w:color w:val="auto"/>
          <w:kern w:val="24"/>
          <w:highlight w:val="none"/>
        </w:rPr>
        <w:t>采购活动，提供的货物全部由符合政策要求的中小企业制造。相关企业（含联合体中的中小企业、签订分包意向协议的中小企业）的具体情况如下：</w:t>
      </w:r>
    </w:p>
    <w:p w14:paraId="6C906D62">
      <w:pPr>
        <w:tabs>
          <w:tab w:val="left" w:pos="1384"/>
          <w:tab w:val="left" w:pos="4562"/>
          <w:tab w:val="left" w:pos="6803"/>
        </w:tabs>
        <w:spacing w:line="360" w:lineRule="auto"/>
        <w:ind w:left="-426" w:right="-58" w:firstLine="655"/>
        <w:contextualSpacing/>
        <w:rPr>
          <w:rFonts w:hint="eastAsia" w:ascii="宋体" w:hAnsi="宋体" w:cs="宋体"/>
          <w:color w:val="auto"/>
          <w:kern w:val="24"/>
          <w:sz w:val="24"/>
          <w:highlight w:val="none"/>
        </w:rPr>
      </w:pPr>
      <w:r>
        <w:rPr>
          <w:rFonts w:hint="eastAsia" w:ascii="宋体" w:hAnsi="宋体" w:cs="宋体"/>
          <w:color w:val="auto"/>
          <w:kern w:val="24"/>
          <w:sz w:val="24"/>
          <w:highlight w:val="none"/>
        </w:rPr>
        <w:t>1.</w:t>
      </w:r>
      <w:r>
        <w:rPr>
          <w:rFonts w:hint="eastAsia" w:ascii="宋体" w:hAnsi="宋体" w:cs="宋体"/>
          <w:color w:val="auto"/>
          <w:kern w:val="24"/>
          <w:sz w:val="24"/>
          <w:highlight w:val="none"/>
          <w:u w:val="single"/>
        </w:rPr>
        <w:t>（标的名称）</w:t>
      </w:r>
      <w:r>
        <w:rPr>
          <w:rFonts w:hint="eastAsia" w:ascii="宋体" w:hAnsi="宋体" w:cs="宋体"/>
          <w:color w:val="auto"/>
          <w:kern w:val="24"/>
          <w:sz w:val="24"/>
          <w:highlight w:val="none"/>
        </w:rPr>
        <w:t>，属于</w:t>
      </w:r>
      <w:r>
        <w:rPr>
          <w:rFonts w:hint="eastAsia" w:ascii="宋体" w:hAnsi="宋体" w:cs="宋体"/>
          <w:color w:val="auto"/>
          <w:kern w:val="24"/>
          <w:sz w:val="24"/>
          <w:highlight w:val="none"/>
          <w:u w:val="single"/>
        </w:rPr>
        <w:t>（采购文件中明确的所属行业）</w:t>
      </w:r>
      <w:r>
        <w:rPr>
          <w:rFonts w:hint="eastAsia" w:ascii="宋体" w:hAnsi="宋体" w:cs="宋体"/>
          <w:color w:val="auto"/>
          <w:kern w:val="24"/>
          <w:sz w:val="24"/>
          <w:highlight w:val="none"/>
        </w:rPr>
        <w:t>行业；制造商为</w:t>
      </w:r>
      <w:r>
        <w:rPr>
          <w:rFonts w:hint="eastAsia" w:ascii="宋体" w:hAnsi="宋体" w:cs="宋体"/>
          <w:color w:val="auto"/>
          <w:kern w:val="24"/>
          <w:sz w:val="24"/>
          <w:highlight w:val="none"/>
          <w:u w:val="single"/>
        </w:rPr>
        <w:t>（企业名称）</w:t>
      </w:r>
      <w:r>
        <w:rPr>
          <w:rFonts w:hint="eastAsia" w:ascii="宋体" w:hAnsi="宋体" w:cs="宋体"/>
          <w:color w:val="auto"/>
          <w:kern w:val="24"/>
          <w:sz w:val="24"/>
          <w:highlight w:val="none"/>
        </w:rPr>
        <w:t>，从业人员</w:t>
      </w:r>
      <w:r>
        <w:rPr>
          <w:rFonts w:hint="eastAsia" w:ascii="宋体" w:hAnsi="宋体" w:cs="宋体"/>
          <w:color w:val="auto"/>
          <w:kern w:val="24"/>
          <w:sz w:val="24"/>
          <w:highlight w:val="none"/>
          <w:u w:val="single"/>
        </w:rPr>
        <w:t xml:space="preserve">    </w:t>
      </w:r>
      <w:r>
        <w:rPr>
          <w:rFonts w:hint="eastAsia" w:ascii="宋体" w:hAnsi="宋体" w:cs="宋体"/>
          <w:color w:val="auto"/>
          <w:kern w:val="24"/>
          <w:sz w:val="24"/>
          <w:highlight w:val="none"/>
        </w:rPr>
        <w:t>人，营业收入为</w:t>
      </w:r>
      <w:r>
        <w:rPr>
          <w:rFonts w:hint="eastAsia" w:ascii="宋体" w:hAnsi="宋体" w:cs="宋体"/>
          <w:color w:val="auto"/>
          <w:kern w:val="24"/>
          <w:sz w:val="24"/>
          <w:highlight w:val="none"/>
          <w:u w:val="single"/>
        </w:rPr>
        <w:t xml:space="preserve">    </w:t>
      </w:r>
      <w:r>
        <w:rPr>
          <w:rFonts w:hint="eastAsia" w:ascii="宋体" w:hAnsi="宋体" w:cs="宋体"/>
          <w:color w:val="auto"/>
          <w:kern w:val="24"/>
          <w:sz w:val="24"/>
          <w:highlight w:val="none"/>
        </w:rPr>
        <w:t>万元，资产总额为</w:t>
      </w:r>
      <w:r>
        <w:rPr>
          <w:rFonts w:hint="eastAsia" w:ascii="宋体" w:hAnsi="宋体" w:cs="宋体"/>
          <w:color w:val="auto"/>
          <w:kern w:val="24"/>
          <w:sz w:val="24"/>
          <w:highlight w:val="none"/>
          <w:u w:val="single"/>
        </w:rPr>
        <w:t xml:space="preserve">    </w:t>
      </w:r>
      <w:r>
        <w:rPr>
          <w:rFonts w:hint="eastAsia" w:ascii="宋体" w:hAnsi="宋体" w:cs="宋体"/>
          <w:color w:val="auto"/>
          <w:kern w:val="24"/>
          <w:sz w:val="24"/>
          <w:highlight w:val="none"/>
        </w:rPr>
        <w:t>万元，属于</w:t>
      </w:r>
      <w:r>
        <w:rPr>
          <w:rFonts w:hint="eastAsia" w:ascii="宋体" w:hAnsi="宋体" w:cs="宋体"/>
          <w:color w:val="auto"/>
          <w:kern w:val="24"/>
          <w:sz w:val="24"/>
          <w:highlight w:val="none"/>
          <w:u w:val="single"/>
        </w:rPr>
        <w:t>（中型企业、小型企业、微型企业）</w:t>
      </w:r>
      <w:r>
        <w:rPr>
          <w:rFonts w:hint="eastAsia" w:ascii="宋体" w:hAnsi="宋体" w:cs="宋体"/>
          <w:color w:val="auto"/>
          <w:kern w:val="24"/>
          <w:sz w:val="24"/>
          <w:highlight w:val="none"/>
        </w:rPr>
        <w:t>；</w:t>
      </w:r>
    </w:p>
    <w:p w14:paraId="57C76A03">
      <w:pPr>
        <w:tabs>
          <w:tab w:val="left" w:pos="1065"/>
          <w:tab w:val="left" w:pos="6477"/>
        </w:tabs>
        <w:spacing w:line="360" w:lineRule="auto"/>
        <w:ind w:left="-426" w:right="-58" w:firstLine="655"/>
        <w:contextualSpacing/>
        <w:rPr>
          <w:rFonts w:hint="eastAsia" w:ascii="宋体" w:hAnsi="宋体" w:cs="宋体"/>
          <w:color w:val="auto"/>
          <w:kern w:val="24"/>
          <w:sz w:val="24"/>
          <w:highlight w:val="none"/>
        </w:rPr>
      </w:pPr>
      <w:r>
        <w:rPr>
          <w:rFonts w:hint="eastAsia" w:ascii="宋体" w:hAnsi="宋体" w:cs="宋体"/>
          <w:color w:val="auto"/>
          <w:kern w:val="24"/>
          <w:sz w:val="24"/>
          <w:highlight w:val="none"/>
        </w:rPr>
        <w:t>2.</w:t>
      </w:r>
      <w:r>
        <w:rPr>
          <w:rFonts w:hint="eastAsia" w:ascii="宋体" w:hAnsi="宋体" w:cs="宋体"/>
          <w:color w:val="auto"/>
          <w:kern w:val="24"/>
          <w:sz w:val="24"/>
          <w:highlight w:val="none"/>
          <w:u w:val="single"/>
        </w:rPr>
        <w:t>（标的名称）</w:t>
      </w:r>
      <w:r>
        <w:rPr>
          <w:rFonts w:hint="eastAsia" w:ascii="宋体" w:hAnsi="宋体" w:cs="宋体"/>
          <w:color w:val="auto"/>
          <w:kern w:val="24"/>
          <w:sz w:val="24"/>
          <w:highlight w:val="none"/>
        </w:rPr>
        <w:t>，属于</w:t>
      </w:r>
      <w:r>
        <w:rPr>
          <w:rFonts w:hint="eastAsia" w:ascii="宋体" w:hAnsi="宋体" w:cs="宋体"/>
          <w:color w:val="auto"/>
          <w:kern w:val="24"/>
          <w:sz w:val="24"/>
          <w:highlight w:val="none"/>
          <w:u w:val="single"/>
        </w:rPr>
        <w:t>（采购文件中明确的所属行业）</w:t>
      </w:r>
      <w:r>
        <w:rPr>
          <w:rFonts w:hint="eastAsia" w:ascii="宋体" w:hAnsi="宋体" w:cs="宋体"/>
          <w:color w:val="auto"/>
          <w:kern w:val="24"/>
          <w:sz w:val="24"/>
          <w:highlight w:val="none"/>
        </w:rPr>
        <w:t>行业；制造商为</w:t>
      </w:r>
      <w:r>
        <w:rPr>
          <w:rFonts w:hint="eastAsia" w:ascii="宋体" w:hAnsi="宋体" w:cs="宋体"/>
          <w:color w:val="auto"/>
          <w:kern w:val="24"/>
          <w:sz w:val="24"/>
          <w:highlight w:val="none"/>
          <w:u w:val="single"/>
        </w:rPr>
        <w:t>（企业名称）</w:t>
      </w:r>
      <w:r>
        <w:rPr>
          <w:rFonts w:hint="eastAsia" w:ascii="宋体" w:hAnsi="宋体" w:cs="宋体"/>
          <w:color w:val="auto"/>
          <w:kern w:val="24"/>
          <w:sz w:val="24"/>
          <w:highlight w:val="none"/>
        </w:rPr>
        <w:t>，从业人员</w:t>
      </w:r>
      <w:r>
        <w:rPr>
          <w:rFonts w:hint="eastAsia" w:ascii="宋体" w:hAnsi="宋体" w:cs="宋体"/>
          <w:color w:val="auto"/>
          <w:kern w:val="24"/>
          <w:sz w:val="24"/>
          <w:highlight w:val="none"/>
          <w:u w:val="single"/>
        </w:rPr>
        <w:t xml:space="preserve">    </w:t>
      </w:r>
      <w:r>
        <w:rPr>
          <w:rFonts w:hint="eastAsia" w:ascii="宋体" w:hAnsi="宋体" w:cs="宋体"/>
          <w:color w:val="auto"/>
          <w:kern w:val="24"/>
          <w:sz w:val="24"/>
          <w:highlight w:val="none"/>
        </w:rPr>
        <w:t>人，营业收入为</w:t>
      </w:r>
      <w:r>
        <w:rPr>
          <w:rFonts w:hint="eastAsia" w:ascii="宋体" w:hAnsi="宋体" w:cs="宋体"/>
          <w:color w:val="auto"/>
          <w:kern w:val="24"/>
          <w:sz w:val="24"/>
          <w:highlight w:val="none"/>
          <w:u w:val="single"/>
        </w:rPr>
        <w:t xml:space="preserve">    </w:t>
      </w:r>
      <w:r>
        <w:rPr>
          <w:rFonts w:hint="eastAsia" w:ascii="宋体" w:hAnsi="宋体" w:cs="宋体"/>
          <w:color w:val="auto"/>
          <w:kern w:val="24"/>
          <w:sz w:val="24"/>
          <w:highlight w:val="none"/>
        </w:rPr>
        <w:t>万元，资产总额为</w:t>
      </w:r>
      <w:r>
        <w:rPr>
          <w:rFonts w:hint="eastAsia" w:ascii="宋体" w:hAnsi="宋体" w:cs="宋体"/>
          <w:color w:val="auto"/>
          <w:kern w:val="24"/>
          <w:sz w:val="24"/>
          <w:highlight w:val="none"/>
          <w:u w:val="single"/>
        </w:rPr>
        <w:t xml:space="preserve">    </w:t>
      </w:r>
      <w:r>
        <w:rPr>
          <w:rFonts w:hint="eastAsia" w:ascii="宋体" w:hAnsi="宋体" w:cs="宋体"/>
          <w:color w:val="auto"/>
          <w:kern w:val="24"/>
          <w:sz w:val="24"/>
          <w:highlight w:val="none"/>
        </w:rPr>
        <w:t>万元，属于</w:t>
      </w:r>
      <w:r>
        <w:rPr>
          <w:rFonts w:hint="eastAsia" w:ascii="宋体" w:hAnsi="宋体" w:cs="宋体"/>
          <w:color w:val="auto"/>
          <w:kern w:val="24"/>
          <w:sz w:val="24"/>
          <w:highlight w:val="none"/>
          <w:u w:val="single"/>
        </w:rPr>
        <w:t>（中型企业、小型企业、微型企业）</w:t>
      </w:r>
      <w:r>
        <w:rPr>
          <w:rFonts w:hint="eastAsia" w:ascii="宋体" w:hAnsi="宋体" w:cs="宋体"/>
          <w:color w:val="auto"/>
          <w:kern w:val="24"/>
          <w:sz w:val="24"/>
          <w:highlight w:val="none"/>
        </w:rPr>
        <w:t>；</w:t>
      </w:r>
    </w:p>
    <w:p w14:paraId="47EE0036">
      <w:pPr>
        <w:pStyle w:val="3"/>
        <w:spacing w:line="360" w:lineRule="auto"/>
        <w:ind w:left="142" w:right="142"/>
        <w:contextualSpacing/>
        <w:rPr>
          <w:rFonts w:hint="eastAsia" w:ascii="宋体" w:hAnsi="宋体" w:cs="宋体"/>
          <w:color w:val="auto"/>
          <w:kern w:val="24"/>
          <w:highlight w:val="none"/>
        </w:rPr>
      </w:pPr>
      <w:r>
        <w:rPr>
          <w:rFonts w:hint="eastAsia" w:ascii="宋体" w:hAnsi="宋体" w:cs="宋体"/>
          <w:color w:val="auto"/>
          <w:kern w:val="24"/>
          <w:highlight w:val="none"/>
        </w:rPr>
        <w:t xml:space="preserve">…… </w:t>
      </w:r>
    </w:p>
    <w:p w14:paraId="4BE60E45">
      <w:pPr>
        <w:pStyle w:val="3"/>
        <w:spacing w:line="360" w:lineRule="auto"/>
        <w:ind w:left="-405" w:leftChars="-193" w:right="142" w:firstLine="453" w:firstLineChars="189"/>
        <w:contextualSpacing/>
        <w:rPr>
          <w:rFonts w:hint="eastAsia" w:ascii="宋体" w:hAnsi="宋体" w:cs="宋体"/>
          <w:color w:val="auto"/>
          <w:kern w:val="24"/>
          <w:highlight w:val="none"/>
        </w:rPr>
      </w:pPr>
      <w:r>
        <w:rPr>
          <w:rFonts w:hint="eastAsia" w:ascii="宋体" w:hAnsi="宋体" w:cs="宋体"/>
          <w:color w:val="auto"/>
          <w:kern w:val="24"/>
          <w:highlight w:val="none"/>
        </w:rPr>
        <w:t>以上企业，不属于大企业的分支机构，不存在控股股东为大企业的情形，也不存在与大企业的负责人为同一人的情形。</w:t>
      </w:r>
    </w:p>
    <w:p w14:paraId="0BBDC074">
      <w:pPr>
        <w:pStyle w:val="3"/>
        <w:spacing w:line="360" w:lineRule="auto"/>
        <w:ind w:left="-426" w:right="142" w:firstLine="567"/>
        <w:contextualSpacing/>
        <w:rPr>
          <w:rFonts w:hint="eastAsia" w:ascii="宋体" w:hAnsi="宋体" w:cs="宋体"/>
          <w:color w:val="auto"/>
          <w:kern w:val="24"/>
          <w:highlight w:val="none"/>
        </w:rPr>
      </w:pPr>
      <w:r>
        <w:rPr>
          <w:rFonts w:hint="eastAsia" w:ascii="宋体" w:hAnsi="宋体" w:cs="宋体"/>
          <w:color w:val="auto"/>
          <w:kern w:val="24"/>
          <w:highlight w:val="none"/>
        </w:rPr>
        <w:t>本企业对上述声明内容的真实性负责。如有虚假，将依法承担相应责任。</w:t>
      </w:r>
    </w:p>
    <w:p w14:paraId="37075619">
      <w:pPr>
        <w:pStyle w:val="3"/>
        <w:spacing w:line="360" w:lineRule="auto"/>
        <w:ind w:left="3960" w:right="1808"/>
        <w:contextualSpacing/>
        <w:rPr>
          <w:rFonts w:hint="eastAsia" w:ascii="宋体" w:hAnsi="宋体" w:cs="宋体"/>
          <w:color w:val="auto"/>
          <w:kern w:val="24"/>
          <w:highlight w:val="none"/>
        </w:rPr>
      </w:pPr>
    </w:p>
    <w:p w14:paraId="39011686">
      <w:pPr>
        <w:pStyle w:val="3"/>
        <w:spacing w:line="360" w:lineRule="auto"/>
        <w:ind w:left="3960" w:right="1808"/>
        <w:contextualSpacing/>
        <w:rPr>
          <w:rFonts w:hint="eastAsia" w:ascii="宋体" w:hAnsi="宋体" w:cs="宋体"/>
          <w:color w:val="auto"/>
          <w:kern w:val="24"/>
          <w:highlight w:val="none"/>
        </w:rPr>
      </w:pPr>
      <w:r>
        <w:rPr>
          <w:rFonts w:hint="eastAsia" w:ascii="宋体" w:hAnsi="宋体" w:cs="宋体"/>
          <w:color w:val="auto"/>
          <w:kern w:val="24"/>
          <w:highlight w:val="none"/>
        </w:rPr>
        <w:t xml:space="preserve">企业名称（盖公章）： </w:t>
      </w:r>
    </w:p>
    <w:p w14:paraId="2F7FA01E">
      <w:pPr>
        <w:pStyle w:val="3"/>
        <w:spacing w:line="360" w:lineRule="auto"/>
        <w:ind w:left="3960" w:right="1808"/>
        <w:contextualSpacing/>
        <w:rPr>
          <w:rFonts w:hint="eastAsia" w:ascii="宋体" w:hAnsi="宋体" w:cs="宋体"/>
          <w:color w:val="auto"/>
          <w:kern w:val="24"/>
          <w:highlight w:val="none"/>
        </w:rPr>
      </w:pPr>
      <w:r>
        <w:rPr>
          <w:rFonts w:hint="eastAsia" w:ascii="宋体" w:hAnsi="宋体" w:cs="宋体"/>
          <w:color w:val="auto"/>
          <w:kern w:val="24"/>
          <w:highlight w:val="none"/>
        </w:rPr>
        <w:t>日期：</w:t>
      </w:r>
    </w:p>
    <w:p w14:paraId="5542FE06">
      <w:pPr>
        <w:pStyle w:val="3"/>
        <w:spacing w:line="360" w:lineRule="auto"/>
        <w:ind w:left="3960" w:right="1808"/>
        <w:contextualSpacing/>
        <w:rPr>
          <w:rFonts w:hint="eastAsia" w:ascii="宋体" w:hAnsi="宋体" w:cs="宋体"/>
          <w:color w:val="auto"/>
          <w:kern w:val="24"/>
          <w:highlight w:val="none"/>
        </w:rPr>
      </w:pPr>
    </w:p>
    <w:p w14:paraId="60338E02">
      <w:pPr>
        <w:pStyle w:val="3"/>
        <w:spacing w:line="360" w:lineRule="auto"/>
        <w:ind w:left="3960" w:right="1808"/>
        <w:contextualSpacing/>
        <w:rPr>
          <w:rFonts w:hint="eastAsia" w:ascii="宋体" w:hAnsi="宋体" w:cs="宋体"/>
          <w:color w:val="auto"/>
          <w:kern w:val="24"/>
          <w:highlight w:val="none"/>
        </w:rPr>
      </w:pPr>
    </w:p>
    <w:p w14:paraId="02A77680">
      <w:pPr>
        <w:pStyle w:val="3"/>
        <w:spacing w:line="360" w:lineRule="auto"/>
        <w:ind w:left="-426" w:right="142" w:firstLine="567"/>
        <w:contextualSpacing/>
        <w:rPr>
          <w:rFonts w:hint="eastAsia" w:ascii="宋体" w:hAnsi="宋体" w:cs="宋体"/>
          <w:color w:val="auto"/>
          <w:kern w:val="24"/>
          <w:highlight w:val="none"/>
        </w:rPr>
      </w:pPr>
      <w:r>
        <w:rPr>
          <w:rFonts w:hint="eastAsia" w:ascii="宋体" w:hAnsi="宋体" w:cs="宋体"/>
          <w:color w:val="auto"/>
          <w:kern w:val="24"/>
          <w:highlight w:val="none"/>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p>
    <w:p w14:paraId="519DF9EA">
      <w:pPr>
        <w:snapToGrid w:val="0"/>
        <w:spacing w:before="120" w:beforeLines="50" w:after="50"/>
        <w:ind w:left="142"/>
        <w:jc w:val="left"/>
        <w:rPr>
          <w:rFonts w:hint="eastAsia" w:ascii="宋体" w:hAnsi="宋体" w:cs="宋体"/>
          <w:b/>
          <w:color w:val="auto"/>
          <w:sz w:val="24"/>
          <w:highlight w:val="none"/>
        </w:rPr>
      </w:pPr>
    </w:p>
    <w:p w14:paraId="6F797E6A">
      <w:pPr>
        <w:rPr>
          <w:rFonts w:hint="eastAsia" w:ascii="宋体" w:hAnsi="宋体" w:cs="宋体"/>
          <w:color w:val="auto"/>
          <w:sz w:val="32"/>
          <w:szCs w:val="32"/>
          <w:highlight w:val="none"/>
        </w:rPr>
      </w:pPr>
      <w:r>
        <w:rPr>
          <w:rFonts w:hint="eastAsia" w:ascii="宋体" w:hAnsi="宋体" w:cs="宋体"/>
          <w:color w:val="auto"/>
          <w:sz w:val="32"/>
          <w:szCs w:val="32"/>
          <w:highlight w:val="none"/>
        </w:rPr>
        <w:br w:type="page"/>
      </w:r>
    </w:p>
    <w:p w14:paraId="6D326A56">
      <w:pPr>
        <w:pStyle w:val="25"/>
        <w:jc w:val="left"/>
        <w:rPr>
          <w:rFonts w:hint="eastAsia" w:hAnsi="宋体" w:cs="宋体"/>
          <w:color w:val="auto"/>
          <w:sz w:val="32"/>
          <w:szCs w:val="32"/>
          <w:highlight w:val="none"/>
        </w:rPr>
      </w:pPr>
      <w:r>
        <w:rPr>
          <w:rFonts w:hint="eastAsia" w:hAnsi="宋体" w:cs="宋体"/>
          <w:color w:val="auto"/>
          <w:sz w:val="32"/>
          <w:szCs w:val="32"/>
          <w:highlight w:val="none"/>
        </w:rPr>
        <w:t>附：</w:t>
      </w:r>
    </w:p>
    <w:p w14:paraId="6E3468B9">
      <w:pPr>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中小微企业划型标准</w:t>
      </w:r>
    </w:p>
    <w:p w14:paraId="7AA62A77">
      <w:pPr>
        <w:ind w:left="1871"/>
        <w:rPr>
          <w:rFonts w:hint="eastAsia" w:ascii="宋体" w:hAnsi="宋体" w:cs="宋体"/>
          <w:color w:val="auto"/>
          <w:szCs w:val="21"/>
          <w:highlight w:val="none"/>
        </w:rPr>
      </w:pPr>
    </w:p>
    <w:tbl>
      <w:tblPr>
        <w:tblStyle w:val="48"/>
        <w:tblW w:w="4998" w:type="pct"/>
        <w:jc w:val="center"/>
        <w:tblLayout w:type="autofit"/>
        <w:tblCellMar>
          <w:top w:w="0" w:type="dxa"/>
          <w:left w:w="108" w:type="dxa"/>
          <w:bottom w:w="0" w:type="dxa"/>
          <w:right w:w="108" w:type="dxa"/>
        </w:tblCellMar>
      </w:tblPr>
      <w:tblGrid>
        <w:gridCol w:w="2121"/>
        <w:gridCol w:w="1728"/>
        <w:gridCol w:w="1138"/>
        <w:gridCol w:w="2021"/>
        <w:gridCol w:w="1796"/>
        <w:gridCol w:w="1154"/>
      </w:tblGrid>
      <w:tr w14:paraId="474C5FE0">
        <w:tblPrEx>
          <w:tblCellMar>
            <w:top w:w="0" w:type="dxa"/>
            <w:left w:w="108" w:type="dxa"/>
            <w:bottom w:w="0" w:type="dxa"/>
            <w:right w:w="108" w:type="dxa"/>
          </w:tblCellMar>
        </w:tblPrEx>
        <w:trPr>
          <w:trHeight w:val="285" w:hRule="atLeast"/>
          <w:jc w:val="center"/>
        </w:trPr>
        <w:tc>
          <w:tcPr>
            <w:tcW w:w="1065" w:type="pct"/>
            <w:tcBorders>
              <w:top w:val="single" w:color="auto" w:sz="4" w:space="0"/>
              <w:left w:val="single" w:color="auto" w:sz="4" w:space="0"/>
              <w:bottom w:val="single" w:color="auto" w:sz="4" w:space="0"/>
              <w:right w:val="single" w:color="auto" w:sz="4" w:space="0"/>
            </w:tcBorders>
            <w:vAlign w:val="center"/>
          </w:tcPr>
          <w:p w14:paraId="6D7D1A0A">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行业名称</w:t>
            </w:r>
          </w:p>
        </w:tc>
        <w:tc>
          <w:tcPr>
            <w:tcW w:w="867" w:type="pct"/>
            <w:tcBorders>
              <w:top w:val="single" w:color="auto" w:sz="4" w:space="0"/>
              <w:left w:val="nil"/>
              <w:bottom w:val="single" w:color="auto" w:sz="4" w:space="0"/>
              <w:right w:val="single" w:color="auto" w:sz="4" w:space="0"/>
            </w:tcBorders>
            <w:vAlign w:val="center"/>
          </w:tcPr>
          <w:p w14:paraId="3811734E">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指标名称</w:t>
            </w:r>
          </w:p>
        </w:tc>
        <w:tc>
          <w:tcPr>
            <w:tcW w:w="571" w:type="pct"/>
            <w:tcBorders>
              <w:top w:val="single" w:color="auto" w:sz="4" w:space="0"/>
              <w:left w:val="nil"/>
              <w:bottom w:val="single" w:color="auto" w:sz="4" w:space="0"/>
              <w:right w:val="single" w:color="auto" w:sz="4" w:space="0"/>
            </w:tcBorders>
            <w:vAlign w:val="center"/>
          </w:tcPr>
          <w:p w14:paraId="0946A48D">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计量单位</w:t>
            </w:r>
          </w:p>
        </w:tc>
        <w:tc>
          <w:tcPr>
            <w:tcW w:w="1014" w:type="pct"/>
            <w:tcBorders>
              <w:top w:val="single" w:color="auto" w:sz="4" w:space="0"/>
              <w:left w:val="nil"/>
              <w:bottom w:val="single" w:color="auto" w:sz="4" w:space="0"/>
              <w:right w:val="single" w:color="auto" w:sz="4" w:space="0"/>
            </w:tcBorders>
            <w:vAlign w:val="center"/>
          </w:tcPr>
          <w:p w14:paraId="230AB1F7">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中型</w:t>
            </w:r>
          </w:p>
        </w:tc>
        <w:tc>
          <w:tcPr>
            <w:tcW w:w="901" w:type="pct"/>
            <w:tcBorders>
              <w:top w:val="single" w:color="auto" w:sz="4" w:space="0"/>
              <w:left w:val="nil"/>
              <w:bottom w:val="single" w:color="auto" w:sz="4" w:space="0"/>
              <w:right w:val="single" w:color="auto" w:sz="4" w:space="0"/>
            </w:tcBorders>
            <w:vAlign w:val="center"/>
          </w:tcPr>
          <w:p w14:paraId="79FA8D6D">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小型</w:t>
            </w:r>
          </w:p>
        </w:tc>
        <w:tc>
          <w:tcPr>
            <w:tcW w:w="579" w:type="pct"/>
            <w:tcBorders>
              <w:top w:val="single" w:color="auto" w:sz="4" w:space="0"/>
              <w:left w:val="nil"/>
              <w:bottom w:val="single" w:color="auto" w:sz="4" w:space="0"/>
              <w:right w:val="single" w:color="auto" w:sz="4" w:space="0"/>
            </w:tcBorders>
            <w:vAlign w:val="center"/>
          </w:tcPr>
          <w:p w14:paraId="4AF0B4DC">
            <w:pPr>
              <w:widowControl/>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微型</w:t>
            </w:r>
          </w:p>
        </w:tc>
      </w:tr>
      <w:tr w14:paraId="2A07D4DE">
        <w:tblPrEx>
          <w:tblCellMar>
            <w:top w:w="0" w:type="dxa"/>
            <w:left w:w="108" w:type="dxa"/>
            <w:bottom w:w="0" w:type="dxa"/>
            <w:right w:w="108" w:type="dxa"/>
          </w:tblCellMar>
        </w:tblPrEx>
        <w:trPr>
          <w:trHeight w:val="225" w:hRule="atLeast"/>
          <w:jc w:val="center"/>
        </w:trPr>
        <w:tc>
          <w:tcPr>
            <w:tcW w:w="1065" w:type="pct"/>
            <w:tcBorders>
              <w:top w:val="nil"/>
              <w:left w:val="single" w:color="auto" w:sz="4" w:space="0"/>
              <w:bottom w:val="single" w:color="auto" w:sz="4" w:space="0"/>
              <w:right w:val="single" w:color="auto" w:sz="4" w:space="0"/>
            </w:tcBorders>
            <w:vAlign w:val="bottom"/>
          </w:tcPr>
          <w:p w14:paraId="6836F5D4">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农、林、牧、渔</w:t>
            </w:r>
          </w:p>
        </w:tc>
        <w:tc>
          <w:tcPr>
            <w:tcW w:w="867" w:type="pct"/>
            <w:tcBorders>
              <w:top w:val="nil"/>
              <w:left w:val="nil"/>
              <w:bottom w:val="single" w:color="auto" w:sz="4" w:space="0"/>
              <w:right w:val="single" w:color="auto" w:sz="4" w:space="0"/>
            </w:tcBorders>
            <w:vAlign w:val="center"/>
          </w:tcPr>
          <w:p w14:paraId="41D1B9A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571" w:type="pct"/>
            <w:tcBorders>
              <w:top w:val="nil"/>
              <w:left w:val="nil"/>
              <w:bottom w:val="single" w:color="auto" w:sz="4" w:space="0"/>
              <w:right w:val="single" w:color="auto" w:sz="4" w:space="0"/>
            </w:tcBorders>
            <w:vAlign w:val="center"/>
          </w:tcPr>
          <w:p w14:paraId="212D9C2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014" w:type="pct"/>
            <w:tcBorders>
              <w:top w:val="nil"/>
              <w:left w:val="nil"/>
              <w:bottom w:val="single" w:color="auto" w:sz="4" w:space="0"/>
              <w:right w:val="single" w:color="auto" w:sz="4" w:space="0"/>
            </w:tcBorders>
            <w:vAlign w:val="center"/>
          </w:tcPr>
          <w:p w14:paraId="37600C1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901" w:type="pct"/>
            <w:tcBorders>
              <w:top w:val="nil"/>
              <w:left w:val="nil"/>
              <w:bottom w:val="single" w:color="auto" w:sz="4" w:space="0"/>
              <w:right w:val="single" w:color="auto" w:sz="4" w:space="0"/>
            </w:tcBorders>
            <w:vAlign w:val="center"/>
          </w:tcPr>
          <w:p w14:paraId="0D32B4E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50≤Y＜500</w:t>
            </w:r>
          </w:p>
        </w:tc>
        <w:tc>
          <w:tcPr>
            <w:tcW w:w="579" w:type="pct"/>
            <w:tcBorders>
              <w:top w:val="nil"/>
              <w:left w:val="nil"/>
              <w:bottom w:val="single" w:color="auto" w:sz="4" w:space="0"/>
              <w:right w:val="single" w:color="auto" w:sz="4" w:space="0"/>
            </w:tcBorders>
            <w:vAlign w:val="center"/>
          </w:tcPr>
          <w:p w14:paraId="6120D3A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136CC047">
        <w:tblPrEx>
          <w:tblCellMar>
            <w:top w:w="0" w:type="dxa"/>
            <w:left w:w="108" w:type="dxa"/>
            <w:bottom w:w="0" w:type="dxa"/>
            <w:right w:w="108" w:type="dxa"/>
          </w:tblCellMar>
        </w:tblPrEx>
        <w:trPr>
          <w:trHeight w:val="225" w:hRule="atLeast"/>
          <w:jc w:val="center"/>
        </w:trPr>
        <w:tc>
          <w:tcPr>
            <w:tcW w:w="1065" w:type="pct"/>
            <w:vMerge w:val="restart"/>
            <w:tcBorders>
              <w:top w:val="nil"/>
              <w:left w:val="single" w:color="auto" w:sz="4" w:space="0"/>
              <w:bottom w:val="single" w:color="auto" w:sz="4" w:space="0"/>
              <w:right w:val="single" w:color="auto" w:sz="4" w:space="0"/>
            </w:tcBorders>
            <w:vAlign w:val="bottom"/>
          </w:tcPr>
          <w:p w14:paraId="03B4B3D7">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工业</w:t>
            </w:r>
          </w:p>
        </w:tc>
        <w:tc>
          <w:tcPr>
            <w:tcW w:w="867" w:type="pct"/>
            <w:tcBorders>
              <w:top w:val="nil"/>
              <w:left w:val="nil"/>
              <w:bottom w:val="single" w:color="auto" w:sz="4" w:space="0"/>
              <w:right w:val="single" w:color="auto" w:sz="4" w:space="0"/>
            </w:tcBorders>
            <w:vAlign w:val="center"/>
          </w:tcPr>
          <w:p w14:paraId="76C1B07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571" w:type="pct"/>
            <w:tcBorders>
              <w:top w:val="nil"/>
              <w:left w:val="nil"/>
              <w:bottom w:val="single" w:color="auto" w:sz="4" w:space="0"/>
              <w:right w:val="single" w:color="auto" w:sz="4" w:space="0"/>
            </w:tcBorders>
            <w:vAlign w:val="center"/>
          </w:tcPr>
          <w:p w14:paraId="1D47421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014" w:type="pct"/>
            <w:tcBorders>
              <w:top w:val="nil"/>
              <w:left w:val="nil"/>
              <w:bottom w:val="single" w:color="auto" w:sz="4" w:space="0"/>
              <w:right w:val="single" w:color="auto" w:sz="4" w:space="0"/>
            </w:tcBorders>
            <w:vAlign w:val="center"/>
          </w:tcPr>
          <w:p w14:paraId="1F71507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901" w:type="pct"/>
            <w:tcBorders>
              <w:top w:val="nil"/>
              <w:left w:val="nil"/>
              <w:bottom w:val="single" w:color="auto" w:sz="4" w:space="0"/>
              <w:right w:val="single" w:color="auto" w:sz="4" w:space="0"/>
            </w:tcBorders>
            <w:vAlign w:val="center"/>
          </w:tcPr>
          <w:p w14:paraId="13B8D19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579" w:type="pct"/>
            <w:tcBorders>
              <w:top w:val="nil"/>
              <w:left w:val="nil"/>
              <w:bottom w:val="single" w:color="auto" w:sz="4" w:space="0"/>
              <w:right w:val="single" w:color="auto" w:sz="4" w:space="0"/>
            </w:tcBorders>
            <w:vAlign w:val="center"/>
          </w:tcPr>
          <w:p w14:paraId="0D94B76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2716B0DA">
        <w:tblPrEx>
          <w:tblCellMar>
            <w:top w:w="0" w:type="dxa"/>
            <w:left w:w="108" w:type="dxa"/>
            <w:bottom w:w="0" w:type="dxa"/>
            <w:right w:w="108" w:type="dxa"/>
          </w:tblCellMar>
        </w:tblPrEx>
        <w:trPr>
          <w:trHeight w:val="225" w:hRule="atLeast"/>
          <w:jc w:val="center"/>
        </w:trPr>
        <w:tc>
          <w:tcPr>
            <w:tcW w:w="1065" w:type="pct"/>
            <w:vMerge w:val="continue"/>
            <w:tcBorders>
              <w:top w:val="nil"/>
              <w:left w:val="single" w:color="auto" w:sz="4" w:space="0"/>
              <w:bottom w:val="single" w:color="auto" w:sz="4" w:space="0"/>
              <w:right w:val="single" w:color="auto" w:sz="4" w:space="0"/>
            </w:tcBorders>
            <w:vAlign w:val="center"/>
          </w:tcPr>
          <w:p w14:paraId="1D221C78">
            <w:pPr>
              <w:widowControl/>
              <w:jc w:val="left"/>
              <w:rPr>
                <w:rFonts w:hint="eastAsia" w:ascii="宋体" w:hAnsi="宋体" w:cs="宋体"/>
                <w:b/>
                <w:bCs/>
                <w:color w:val="auto"/>
                <w:kern w:val="0"/>
                <w:sz w:val="18"/>
                <w:szCs w:val="18"/>
                <w:highlight w:val="none"/>
              </w:rPr>
            </w:pPr>
          </w:p>
        </w:tc>
        <w:tc>
          <w:tcPr>
            <w:tcW w:w="867" w:type="pct"/>
            <w:tcBorders>
              <w:top w:val="nil"/>
              <w:left w:val="nil"/>
              <w:bottom w:val="single" w:color="auto" w:sz="4" w:space="0"/>
              <w:right w:val="single" w:color="auto" w:sz="4" w:space="0"/>
            </w:tcBorders>
            <w:vAlign w:val="center"/>
          </w:tcPr>
          <w:p w14:paraId="0D2AF13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571" w:type="pct"/>
            <w:tcBorders>
              <w:top w:val="nil"/>
              <w:left w:val="nil"/>
              <w:bottom w:val="single" w:color="auto" w:sz="4" w:space="0"/>
              <w:right w:val="single" w:color="auto" w:sz="4" w:space="0"/>
            </w:tcBorders>
            <w:vAlign w:val="center"/>
          </w:tcPr>
          <w:p w14:paraId="6C865E2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014" w:type="pct"/>
            <w:tcBorders>
              <w:top w:val="nil"/>
              <w:left w:val="nil"/>
              <w:bottom w:val="single" w:color="auto" w:sz="4" w:space="0"/>
              <w:right w:val="single" w:color="auto" w:sz="4" w:space="0"/>
            </w:tcBorders>
            <w:vAlign w:val="center"/>
          </w:tcPr>
          <w:p w14:paraId="6C951FE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2000≤Y＜40000</w:t>
            </w:r>
          </w:p>
        </w:tc>
        <w:tc>
          <w:tcPr>
            <w:tcW w:w="901" w:type="pct"/>
            <w:tcBorders>
              <w:top w:val="nil"/>
              <w:left w:val="nil"/>
              <w:bottom w:val="single" w:color="auto" w:sz="4" w:space="0"/>
              <w:right w:val="single" w:color="auto" w:sz="4" w:space="0"/>
            </w:tcBorders>
            <w:vAlign w:val="center"/>
          </w:tcPr>
          <w:p w14:paraId="158FB1D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300≤Y＜2000</w:t>
            </w:r>
          </w:p>
        </w:tc>
        <w:tc>
          <w:tcPr>
            <w:tcW w:w="579" w:type="pct"/>
            <w:tcBorders>
              <w:top w:val="nil"/>
              <w:left w:val="nil"/>
              <w:bottom w:val="single" w:color="auto" w:sz="4" w:space="0"/>
              <w:right w:val="single" w:color="auto" w:sz="4" w:space="0"/>
            </w:tcBorders>
            <w:vAlign w:val="center"/>
          </w:tcPr>
          <w:p w14:paraId="6515B4D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0CFED9FD">
        <w:tblPrEx>
          <w:tblCellMar>
            <w:top w:w="0" w:type="dxa"/>
            <w:left w:w="108" w:type="dxa"/>
            <w:bottom w:w="0" w:type="dxa"/>
            <w:right w:w="108" w:type="dxa"/>
          </w:tblCellMar>
        </w:tblPrEx>
        <w:trPr>
          <w:trHeight w:val="225" w:hRule="atLeast"/>
          <w:jc w:val="center"/>
        </w:trPr>
        <w:tc>
          <w:tcPr>
            <w:tcW w:w="1065" w:type="pct"/>
            <w:vMerge w:val="restart"/>
            <w:tcBorders>
              <w:top w:val="nil"/>
              <w:left w:val="single" w:color="auto" w:sz="4" w:space="0"/>
              <w:bottom w:val="single" w:color="auto" w:sz="4" w:space="0"/>
              <w:right w:val="single" w:color="auto" w:sz="4" w:space="0"/>
            </w:tcBorders>
            <w:vAlign w:val="bottom"/>
          </w:tcPr>
          <w:p w14:paraId="21FEAF0D">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建筑业</w:t>
            </w:r>
          </w:p>
        </w:tc>
        <w:tc>
          <w:tcPr>
            <w:tcW w:w="867" w:type="pct"/>
            <w:tcBorders>
              <w:top w:val="nil"/>
              <w:left w:val="nil"/>
              <w:bottom w:val="single" w:color="auto" w:sz="4" w:space="0"/>
              <w:right w:val="single" w:color="auto" w:sz="4" w:space="0"/>
            </w:tcBorders>
            <w:vAlign w:val="center"/>
          </w:tcPr>
          <w:p w14:paraId="6D28811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571" w:type="pct"/>
            <w:tcBorders>
              <w:top w:val="nil"/>
              <w:left w:val="nil"/>
              <w:bottom w:val="single" w:color="auto" w:sz="4" w:space="0"/>
              <w:right w:val="single" w:color="auto" w:sz="4" w:space="0"/>
            </w:tcBorders>
            <w:vAlign w:val="center"/>
          </w:tcPr>
          <w:p w14:paraId="610D7AF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014" w:type="pct"/>
            <w:tcBorders>
              <w:top w:val="nil"/>
              <w:left w:val="nil"/>
              <w:bottom w:val="single" w:color="auto" w:sz="4" w:space="0"/>
              <w:right w:val="single" w:color="auto" w:sz="4" w:space="0"/>
            </w:tcBorders>
            <w:vAlign w:val="center"/>
          </w:tcPr>
          <w:p w14:paraId="620152D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6000≤Y＜80000</w:t>
            </w:r>
          </w:p>
        </w:tc>
        <w:tc>
          <w:tcPr>
            <w:tcW w:w="901" w:type="pct"/>
            <w:tcBorders>
              <w:top w:val="nil"/>
              <w:left w:val="nil"/>
              <w:bottom w:val="single" w:color="auto" w:sz="4" w:space="0"/>
              <w:right w:val="single" w:color="auto" w:sz="4" w:space="0"/>
            </w:tcBorders>
            <w:vAlign w:val="center"/>
          </w:tcPr>
          <w:p w14:paraId="3AACF8E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300≤Y＜6000</w:t>
            </w:r>
          </w:p>
        </w:tc>
        <w:tc>
          <w:tcPr>
            <w:tcW w:w="579" w:type="pct"/>
            <w:tcBorders>
              <w:top w:val="nil"/>
              <w:left w:val="nil"/>
              <w:bottom w:val="single" w:color="auto" w:sz="4" w:space="0"/>
              <w:right w:val="single" w:color="auto" w:sz="4" w:space="0"/>
            </w:tcBorders>
            <w:vAlign w:val="center"/>
          </w:tcPr>
          <w:p w14:paraId="3C5A638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436C7526">
        <w:tblPrEx>
          <w:tblCellMar>
            <w:top w:w="0" w:type="dxa"/>
            <w:left w:w="108" w:type="dxa"/>
            <w:bottom w:w="0" w:type="dxa"/>
            <w:right w:w="108" w:type="dxa"/>
          </w:tblCellMar>
        </w:tblPrEx>
        <w:trPr>
          <w:trHeight w:val="225" w:hRule="atLeast"/>
          <w:jc w:val="center"/>
        </w:trPr>
        <w:tc>
          <w:tcPr>
            <w:tcW w:w="1065" w:type="pct"/>
            <w:vMerge w:val="continue"/>
            <w:tcBorders>
              <w:top w:val="nil"/>
              <w:left w:val="single" w:color="auto" w:sz="4" w:space="0"/>
              <w:bottom w:val="single" w:color="auto" w:sz="4" w:space="0"/>
              <w:right w:val="single" w:color="auto" w:sz="4" w:space="0"/>
            </w:tcBorders>
            <w:vAlign w:val="center"/>
          </w:tcPr>
          <w:p w14:paraId="347F114C">
            <w:pPr>
              <w:widowControl/>
              <w:jc w:val="left"/>
              <w:rPr>
                <w:rFonts w:hint="eastAsia" w:ascii="宋体" w:hAnsi="宋体" w:cs="宋体"/>
                <w:b/>
                <w:bCs/>
                <w:color w:val="auto"/>
                <w:kern w:val="0"/>
                <w:sz w:val="18"/>
                <w:szCs w:val="18"/>
                <w:highlight w:val="none"/>
              </w:rPr>
            </w:pPr>
          </w:p>
        </w:tc>
        <w:tc>
          <w:tcPr>
            <w:tcW w:w="867" w:type="pct"/>
            <w:tcBorders>
              <w:top w:val="nil"/>
              <w:left w:val="nil"/>
              <w:bottom w:val="single" w:color="auto" w:sz="4" w:space="0"/>
              <w:right w:val="single" w:color="auto" w:sz="4" w:space="0"/>
            </w:tcBorders>
            <w:vAlign w:val="center"/>
          </w:tcPr>
          <w:p w14:paraId="78475BA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571" w:type="pct"/>
            <w:tcBorders>
              <w:top w:val="nil"/>
              <w:left w:val="nil"/>
              <w:bottom w:val="single" w:color="auto" w:sz="4" w:space="0"/>
              <w:right w:val="single" w:color="auto" w:sz="4" w:space="0"/>
            </w:tcBorders>
            <w:vAlign w:val="center"/>
          </w:tcPr>
          <w:p w14:paraId="4D7FF0B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014" w:type="pct"/>
            <w:tcBorders>
              <w:top w:val="nil"/>
              <w:left w:val="nil"/>
              <w:bottom w:val="single" w:color="auto" w:sz="4" w:space="0"/>
              <w:right w:val="single" w:color="auto" w:sz="4" w:space="0"/>
            </w:tcBorders>
            <w:vAlign w:val="center"/>
          </w:tcPr>
          <w:p w14:paraId="75BEAE3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5000≤Z＜80000</w:t>
            </w:r>
          </w:p>
        </w:tc>
        <w:tc>
          <w:tcPr>
            <w:tcW w:w="901" w:type="pct"/>
            <w:tcBorders>
              <w:top w:val="nil"/>
              <w:left w:val="nil"/>
              <w:bottom w:val="single" w:color="auto" w:sz="4" w:space="0"/>
              <w:right w:val="single" w:color="auto" w:sz="4" w:space="0"/>
            </w:tcBorders>
            <w:vAlign w:val="center"/>
          </w:tcPr>
          <w:p w14:paraId="5742EFB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300≤Z＜5000</w:t>
            </w:r>
          </w:p>
        </w:tc>
        <w:tc>
          <w:tcPr>
            <w:tcW w:w="579" w:type="pct"/>
            <w:tcBorders>
              <w:top w:val="nil"/>
              <w:left w:val="nil"/>
              <w:bottom w:val="single" w:color="auto" w:sz="4" w:space="0"/>
              <w:right w:val="single" w:color="auto" w:sz="4" w:space="0"/>
            </w:tcBorders>
            <w:vAlign w:val="center"/>
          </w:tcPr>
          <w:p w14:paraId="1744931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Z＜300</w:t>
            </w:r>
          </w:p>
        </w:tc>
      </w:tr>
      <w:tr w14:paraId="51AD77B4">
        <w:tblPrEx>
          <w:tblCellMar>
            <w:top w:w="0" w:type="dxa"/>
            <w:left w:w="108" w:type="dxa"/>
            <w:bottom w:w="0" w:type="dxa"/>
            <w:right w:w="108" w:type="dxa"/>
          </w:tblCellMar>
        </w:tblPrEx>
        <w:trPr>
          <w:trHeight w:val="225" w:hRule="atLeast"/>
          <w:jc w:val="center"/>
        </w:trPr>
        <w:tc>
          <w:tcPr>
            <w:tcW w:w="1065" w:type="pct"/>
            <w:vMerge w:val="restart"/>
            <w:tcBorders>
              <w:top w:val="nil"/>
              <w:left w:val="single" w:color="auto" w:sz="4" w:space="0"/>
              <w:bottom w:val="single" w:color="auto" w:sz="4" w:space="0"/>
              <w:right w:val="single" w:color="auto" w:sz="4" w:space="0"/>
            </w:tcBorders>
            <w:vAlign w:val="bottom"/>
          </w:tcPr>
          <w:p w14:paraId="14AB309B">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批发业</w:t>
            </w:r>
          </w:p>
        </w:tc>
        <w:tc>
          <w:tcPr>
            <w:tcW w:w="867" w:type="pct"/>
            <w:tcBorders>
              <w:top w:val="nil"/>
              <w:left w:val="nil"/>
              <w:bottom w:val="single" w:color="auto" w:sz="4" w:space="0"/>
              <w:right w:val="single" w:color="auto" w:sz="4" w:space="0"/>
            </w:tcBorders>
            <w:vAlign w:val="center"/>
          </w:tcPr>
          <w:p w14:paraId="71D1A7A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571" w:type="pct"/>
            <w:tcBorders>
              <w:top w:val="nil"/>
              <w:left w:val="nil"/>
              <w:bottom w:val="single" w:color="auto" w:sz="4" w:space="0"/>
              <w:right w:val="single" w:color="auto" w:sz="4" w:space="0"/>
            </w:tcBorders>
            <w:vAlign w:val="center"/>
          </w:tcPr>
          <w:p w14:paraId="49081C8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014" w:type="pct"/>
            <w:tcBorders>
              <w:top w:val="nil"/>
              <w:left w:val="nil"/>
              <w:bottom w:val="single" w:color="auto" w:sz="4" w:space="0"/>
              <w:right w:val="single" w:color="auto" w:sz="4" w:space="0"/>
            </w:tcBorders>
            <w:vAlign w:val="center"/>
          </w:tcPr>
          <w:p w14:paraId="7A78936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20≤X＜200</w:t>
            </w:r>
          </w:p>
        </w:tc>
        <w:tc>
          <w:tcPr>
            <w:tcW w:w="901" w:type="pct"/>
            <w:tcBorders>
              <w:top w:val="nil"/>
              <w:left w:val="nil"/>
              <w:bottom w:val="single" w:color="auto" w:sz="4" w:space="0"/>
              <w:right w:val="single" w:color="auto" w:sz="4" w:space="0"/>
            </w:tcBorders>
            <w:vAlign w:val="center"/>
          </w:tcPr>
          <w:p w14:paraId="1F8BAE7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5≤X＜20</w:t>
            </w:r>
          </w:p>
        </w:tc>
        <w:tc>
          <w:tcPr>
            <w:tcW w:w="579" w:type="pct"/>
            <w:tcBorders>
              <w:top w:val="nil"/>
              <w:left w:val="nil"/>
              <w:bottom w:val="single" w:color="auto" w:sz="4" w:space="0"/>
              <w:right w:val="single" w:color="auto" w:sz="4" w:space="0"/>
            </w:tcBorders>
            <w:vAlign w:val="center"/>
          </w:tcPr>
          <w:p w14:paraId="2F211D3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X＜5</w:t>
            </w:r>
          </w:p>
        </w:tc>
      </w:tr>
      <w:tr w14:paraId="7E6F2B04">
        <w:tblPrEx>
          <w:tblCellMar>
            <w:top w:w="0" w:type="dxa"/>
            <w:left w:w="108" w:type="dxa"/>
            <w:bottom w:w="0" w:type="dxa"/>
            <w:right w:w="108" w:type="dxa"/>
          </w:tblCellMar>
        </w:tblPrEx>
        <w:trPr>
          <w:trHeight w:val="225" w:hRule="atLeast"/>
          <w:jc w:val="center"/>
        </w:trPr>
        <w:tc>
          <w:tcPr>
            <w:tcW w:w="1065" w:type="pct"/>
            <w:vMerge w:val="continue"/>
            <w:tcBorders>
              <w:top w:val="nil"/>
              <w:left w:val="single" w:color="auto" w:sz="4" w:space="0"/>
              <w:bottom w:val="single" w:color="auto" w:sz="4" w:space="0"/>
              <w:right w:val="single" w:color="auto" w:sz="4" w:space="0"/>
            </w:tcBorders>
            <w:vAlign w:val="center"/>
          </w:tcPr>
          <w:p w14:paraId="6DD43D9F">
            <w:pPr>
              <w:widowControl/>
              <w:jc w:val="left"/>
              <w:rPr>
                <w:rFonts w:hint="eastAsia" w:ascii="宋体" w:hAnsi="宋体" w:cs="宋体"/>
                <w:b/>
                <w:bCs/>
                <w:color w:val="auto"/>
                <w:kern w:val="0"/>
                <w:sz w:val="18"/>
                <w:szCs w:val="18"/>
                <w:highlight w:val="none"/>
              </w:rPr>
            </w:pPr>
          </w:p>
        </w:tc>
        <w:tc>
          <w:tcPr>
            <w:tcW w:w="867" w:type="pct"/>
            <w:tcBorders>
              <w:top w:val="nil"/>
              <w:left w:val="nil"/>
              <w:bottom w:val="single" w:color="auto" w:sz="4" w:space="0"/>
              <w:right w:val="single" w:color="auto" w:sz="4" w:space="0"/>
            </w:tcBorders>
            <w:vAlign w:val="center"/>
          </w:tcPr>
          <w:p w14:paraId="1A96790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571" w:type="pct"/>
            <w:tcBorders>
              <w:top w:val="nil"/>
              <w:left w:val="nil"/>
              <w:bottom w:val="single" w:color="auto" w:sz="4" w:space="0"/>
              <w:right w:val="single" w:color="auto" w:sz="4" w:space="0"/>
            </w:tcBorders>
            <w:vAlign w:val="center"/>
          </w:tcPr>
          <w:p w14:paraId="7A4D75B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014" w:type="pct"/>
            <w:tcBorders>
              <w:top w:val="nil"/>
              <w:left w:val="nil"/>
              <w:bottom w:val="single" w:color="auto" w:sz="4" w:space="0"/>
              <w:right w:val="single" w:color="auto" w:sz="4" w:space="0"/>
            </w:tcBorders>
            <w:vAlign w:val="center"/>
          </w:tcPr>
          <w:p w14:paraId="5D48244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5000≤Y＜40000</w:t>
            </w:r>
          </w:p>
        </w:tc>
        <w:tc>
          <w:tcPr>
            <w:tcW w:w="901" w:type="pct"/>
            <w:tcBorders>
              <w:top w:val="nil"/>
              <w:left w:val="nil"/>
              <w:bottom w:val="single" w:color="auto" w:sz="4" w:space="0"/>
              <w:right w:val="single" w:color="auto" w:sz="4" w:space="0"/>
            </w:tcBorders>
            <w:vAlign w:val="center"/>
          </w:tcPr>
          <w:p w14:paraId="2042F0B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579" w:type="pct"/>
            <w:tcBorders>
              <w:top w:val="nil"/>
              <w:left w:val="nil"/>
              <w:bottom w:val="single" w:color="auto" w:sz="4" w:space="0"/>
              <w:right w:val="single" w:color="auto" w:sz="4" w:space="0"/>
            </w:tcBorders>
            <w:vAlign w:val="center"/>
          </w:tcPr>
          <w:p w14:paraId="689AD0C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w:t>
            </w:r>
          </w:p>
        </w:tc>
      </w:tr>
      <w:tr w14:paraId="78987783">
        <w:tblPrEx>
          <w:tblCellMar>
            <w:top w:w="0" w:type="dxa"/>
            <w:left w:w="108" w:type="dxa"/>
            <w:bottom w:w="0" w:type="dxa"/>
            <w:right w:w="108" w:type="dxa"/>
          </w:tblCellMar>
        </w:tblPrEx>
        <w:trPr>
          <w:trHeight w:val="225" w:hRule="atLeast"/>
          <w:jc w:val="center"/>
        </w:trPr>
        <w:tc>
          <w:tcPr>
            <w:tcW w:w="1065" w:type="pct"/>
            <w:vMerge w:val="restart"/>
            <w:tcBorders>
              <w:top w:val="nil"/>
              <w:left w:val="single" w:color="auto" w:sz="4" w:space="0"/>
              <w:bottom w:val="single" w:color="auto" w:sz="4" w:space="0"/>
              <w:right w:val="single" w:color="auto" w:sz="4" w:space="0"/>
            </w:tcBorders>
            <w:vAlign w:val="bottom"/>
          </w:tcPr>
          <w:p w14:paraId="5F706579">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零售业</w:t>
            </w:r>
          </w:p>
        </w:tc>
        <w:tc>
          <w:tcPr>
            <w:tcW w:w="867" w:type="pct"/>
            <w:tcBorders>
              <w:top w:val="nil"/>
              <w:left w:val="nil"/>
              <w:bottom w:val="single" w:color="auto" w:sz="4" w:space="0"/>
              <w:right w:val="single" w:color="auto" w:sz="4" w:space="0"/>
            </w:tcBorders>
            <w:vAlign w:val="center"/>
          </w:tcPr>
          <w:p w14:paraId="25048E1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571" w:type="pct"/>
            <w:tcBorders>
              <w:top w:val="nil"/>
              <w:left w:val="nil"/>
              <w:bottom w:val="single" w:color="auto" w:sz="4" w:space="0"/>
              <w:right w:val="single" w:color="auto" w:sz="4" w:space="0"/>
            </w:tcBorders>
            <w:vAlign w:val="center"/>
          </w:tcPr>
          <w:p w14:paraId="51EDCB1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014" w:type="pct"/>
            <w:tcBorders>
              <w:top w:val="nil"/>
              <w:left w:val="nil"/>
              <w:bottom w:val="single" w:color="auto" w:sz="4" w:space="0"/>
              <w:right w:val="single" w:color="auto" w:sz="4" w:space="0"/>
            </w:tcBorders>
            <w:vAlign w:val="center"/>
          </w:tcPr>
          <w:p w14:paraId="201EFD0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50≤X＜300</w:t>
            </w:r>
          </w:p>
        </w:tc>
        <w:tc>
          <w:tcPr>
            <w:tcW w:w="901" w:type="pct"/>
            <w:tcBorders>
              <w:top w:val="nil"/>
              <w:left w:val="nil"/>
              <w:bottom w:val="single" w:color="auto" w:sz="4" w:space="0"/>
              <w:right w:val="single" w:color="auto" w:sz="4" w:space="0"/>
            </w:tcBorders>
            <w:vAlign w:val="center"/>
          </w:tcPr>
          <w:p w14:paraId="2F156D7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10≤X＜50</w:t>
            </w:r>
          </w:p>
        </w:tc>
        <w:tc>
          <w:tcPr>
            <w:tcW w:w="579" w:type="pct"/>
            <w:tcBorders>
              <w:top w:val="nil"/>
              <w:left w:val="nil"/>
              <w:bottom w:val="single" w:color="auto" w:sz="4" w:space="0"/>
              <w:right w:val="single" w:color="auto" w:sz="4" w:space="0"/>
            </w:tcBorders>
            <w:vAlign w:val="center"/>
          </w:tcPr>
          <w:p w14:paraId="612B59C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1CE560B5">
        <w:tblPrEx>
          <w:tblCellMar>
            <w:top w:w="0" w:type="dxa"/>
            <w:left w:w="108" w:type="dxa"/>
            <w:bottom w:w="0" w:type="dxa"/>
            <w:right w:w="108" w:type="dxa"/>
          </w:tblCellMar>
        </w:tblPrEx>
        <w:trPr>
          <w:trHeight w:val="225" w:hRule="atLeast"/>
          <w:jc w:val="center"/>
        </w:trPr>
        <w:tc>
          <w:tcPr>
            <w:tcW w:w="1065" w:type="pct"/>
            <w:vMerge w:val="continue"/>
            <w:tcBorders>
              <w:top w:val="nil"/>
              <w:left w:val="single" w:color="auto" w:sz="4" w:space="0"/>
              <w:bottom w:val="single" w:color="auto" w:sz="4" w:space="0"/>
              <w:right w:val="single" w:color="auto" w:sz="4" w:space="0"/>
            </w:tcBorders>
            <w:vAlign w:val="center"/>
          </w:tcPr>
          <w:p w14:paraId="27036A4A">
            <w:pPr>
              <w:widowControl/>
              <w:jc w:val="left"/>
              <w:rPr>
                <w:rFonts w:hint="eastAsia" w:ascii="宋体" w:hAnsi="宋体" w:cs="宋体"/>
                <w:b/>
                <w:bCs/>
                <w:color w:val="auto"/>
                <w:kern w:val="0"/>
                <w:sz w:val="18"/>
                <w:szCs w:val="18"/>
                <w:highlight w:val="none"/>
              </w:rPr>
            </w:pPr>
          </w:p>
        </w:tc>
        <w:tc>
          <w:tcPr>
            <w:tcW w:w="867" w:type="pct"/>
            <w:tcBorders>
              <w:top w:val="nil"/>
              <w:left w:val="nil"/>
              <w:bottom w:val="single" w:color="auto" w:sz="4" w:space="0"/>
              <w:right w:val="single" w:color="auto" w:sz="4" w:space="0"/>
            </w:tcBorders>
            <w:vAlign w:val="center"/>
          </w:tcPr>
          <w:p w14:paraId="6414769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571" w:type="pct"/>
            <w:tcBorders>
              <w:top w:val="nil"/>
              <w:left w:val="nil"/>
              <w:bottom w:val="single" w:color="auto" w:sz="4" w:space="0"/>
              <w:right w:val="single" w:color="auto" w:sz="4" w:space="0"/>
            </w:tcBorders>
            <w:vAlign w:val="center"/>
          </w:tcPr>
          <w:p w14:paraId="7E5D9B6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014" w:type="pct"/>
            <w:tcBorders>
              <w:top w:val="nil"/>
              <w:left w:val="nil"/>
              <w:bottom w:val="single" w:color="auto" w:sz="4" w:space="0"/>
              <w:right w:val="single" w:color="auto" w:sz="4" w:space="0"/>
            </w:tcBorders>
            <w:vAlign w:val="center"/>
          </w:tcPr>
          <w:p w14:paraId="301AF2D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901" w:type="pct"/>
            <w:tcBorders>
              <w:top w:val="nil"/>
              <w:left w:val="nil"/>
              <w:bottom w:val="single" w:color="auto" w:sz="4" w:space="0"/>
              <w:right w:val="single" w:color="auto" w:sz="4" w:space="0"/>
            </w:tcBorders>
            <w:vAlign w:val="center"/>
          </w:tcPr>
          <w:p w14:paraId="4D21282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100≤Y＜500</w:t>
            </w:r>
          </w:p>
        </w:tc>
        <w:tc>
          <w:tcPr>
            <w:tcW w:w="579" w:type="pct"/>
            <w:tcBorders>
              <w:top w:val="nil"/>
              <w:left w:val="nil"/>
              <w:bottom w:val="single" w:color="auto" w:sz="4" w:space="0"/>
              <w:right w:val="single" w:color="auto" w:sz="4" w:space="0"/>
            </w:tcBorders>
            <w:vAlign w:val="center"/>
          </w:tcPr>
          <w:p w14:paraId="2366F2F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19E8D943">
        <w:tblPrEx>
          <w:tblCellMar>
            <w:top w:w="0" w:type="dxa"/>
            <w:left w:w="108" w:type="dxa"/>
            <w:bottom w:w="0" w:type="dxa"/>
            <w:right w:w="108" w:type="dxa"/>
          </w:tblCellMar>
        </w:tblPrEx>
        <w:trPr>
          <w:trHeight w:val="225" w:hRule="atLeast"/>
          <w:jc w:val="center"/>
        </w:trPr>
        <w:tc>
          <w:tcPr>
            <w:tcW w:w="1065" w:type="pct"/>
            <w:vMerge w:val="restart"/>
            <w:tcBorders>
              <w:top w:val="nil"/>
              <w:left w:val="single" w:color="auto" w:sz="4" w:space="0"/>
              <w:bottom w:val="single" w:color="auto" w:sz="4" w:space="0"/>
              <w:right w:val="single" w:color="auto" w:sz="4" w:space="0"/>
            </w:tcBorders>
            <w:vAlign w:val="bottom"/>
          </w:tcPr>
          <w:p w14:paraId="762A93C5">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交通运输业</w:t>
            </w:r>
          </w:p>
        </w:tc>
        <w:tc>
          <w:tcPr>
            <w:tcW w:w="867" w:type="pct"/>
            <w:tcBorders>
              <w:top w:val="nil"/>
              <w:left w:val="nil"/>
              <w:bottom w:val="single" w:color="auto" w:sz="4" w:space="0"/>
              <w:right w:val="single" w:color="auto" w:sz="4" w:space="0"/>
            </w:tcBorders>
            <w:vAlign w:val="center"/>
          </w:tcPr>
          <w:p w14:paraId="475C4A1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571" w:type="pct"/>
            <w:tcBorders>
              <w:top w:val="nil"/>
              <w:left w:val="nil"/>
              <w:bottom w:val="single" w:color="auto" w:sz="4" w:space="0"/>
              <w:right w:val="single" w:color="auto" w:sz="4" w:space="0"/>
            </w:tcBorders>
            <w:vAlign w:val="center"/>
          </w:tcPr>
          <w:p w14:paraId="4C34204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014" w:type="pct"/>
            <w:tcBorders>
              <w:top w:val="nil"/>
              <w:left w:val="nil"/>
              <w:bottom w:val="single" w:color="auto" w:sz="4" w:space="0"/>
              <w:right w:val="single" w:color="auto" w:sz="4" w:space="0"/>
            </w:tcBorders>
            <w:vAlign w:val="center"/>
          </w:tcPr>
          <w:p w14:paraId="0CDE3CF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901" w:type="pct"/>
            <w:tcBorders>
              <w:top w:val="nil"/>
              <w:left w:val="nil"/>
              <w:bottom w:val="single" w:color="auto" w:sz="4" w:space="0"/>
              <w:right w:val="single" w:color="auto" w:sz="4" w:space="0"/>
            </w:tcBorders>
            <w:vAlign w:val="center"/>
          </w:tcPr>
          <w:p w14:paraId="1935FE2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579" w:type="pct"/>
            <w:tcBorders>
              <w:top w:val="nil"/>
              <w:left w:val="nil"/>
              <w:bottom w:val="single" w:color="auto" w:sz="4" w:space="0"/>
              <w:right w:val="single" w:color="auto" w:sz="4" w:space="0"/>
            </w:tcBorders>
            <w:vAlign w:val="center"/>
          </w:tcPr>
          <w:p w14:paraId="384EA6D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4752B168">
        <w:tblPrEx>
          <w:tblCellMar>
            <w:top w:w="0" w:type="dxa"/>
            <w:left w:w="108" w:type="dxa"/>
            <w:bottom w:w="0" w:type="dxa"/>
            <w:right w:w="108" w:type="dxa"/>
          </w:tblCellMar>
        </w:tblPrEx>
        <w:trPr>
          <w:trHeight w:val="225" w:hRule="atLeast"/>
          <w:jc w:val="center"/>
        </w:trPr>
        <w:tc>
          <w:tcPr>
            <w:tcW w:w="1065" w:type="pct"/>
            <w:vMerge w:val="continue"/>
            <w:tcBorders>
              <w:top w:val="nil"/>
              <w:left w:val="single" w:color="auto" w:sz="4" w:space="0"/>
              <w:bottom w:val="single" w:color="auto" w:sz="4" w:space="0"/>
              <w:right w:val="single" w:color="auto" w:sz="4" w:space="0"/>
            </w:tcBorders>
            <w:vAlign w:val="center"/>
          </w:tcPr>
          <w:p w14:paraId="50EC82F8">
            <w:pPr>
              <w:widowControl/>
              <w:jc w:val="left"/>
              <w:rPr>
                <w:rFonts w:hint="eastAsia" w:ascii="宋体" w:hAnsi="宋体" w:cs="宋体"/>
                <w:b/>
                <w:bCs/>
                <w:color w:val="auto"/>
                <w:kern w:val="0"/>
                <w:sz w:val="18"/>
                <w:szCs w:val="18"/>
                <w:highlight w:val="none"/>
              </w:rPr>
            </w:pPr>
          </w:p>
        </w:tc>
        <w:tc>
          <w:tcPr>
            <w:tcW w:w="867" w:type="pct"/>
            <w:tcBorders>
              <w:top w:val="nil"/>
              <w:left w:val="nil"/>
              <w:bottom w:val="single" w:color="auto" w:sz="4" w:space="0"/>
              <w:right w:val="single" w:color="auto" w:sz="4" w:space="0"/>
            </w:tcBorders>
            <w:vAlign w:val="center"/>
          </w:tcPr>
          <w:p w14:paraId="44E3042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571" w:type="pct"/>
            <w:tcBorders>
              <w:top w:val="nil"/>
              <w:left w:val="nil"/>
              <w:bottom w:val="single" w:color="auto" w:sz="4" w:space="0"/>
              <w:right w:val="single" w:color="auto" w:sz="4" w:space="0"/>
            </w:tcBorders>
            <w:vAlign w:val="center"/>
          </w:tcPr>
          <w:p w14:paraId="0274A56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014" w:type="pct"/>
            <w:tcBorders>
              <w:top w:val="nil"/>
              <w:left w:val="nil"/>
              <w:bottom w:val="single" w:color="auto" w:sz="4" w:space="0"/>
              <w:right w:val="single" w:color="auto" w:sz="4" w:space="0"/>
            </w:tcBorders>
            <w:vAlign w:val="center"/>
          </w:tcPr>
          <w:p w14:paraId="6D517D9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3000≤Y＜30000</w:t>
            </w:r>
          </w:p>
        </w:tc>
        <w:tc>
          <w:tcPr>
            <w:tcW w:w="901" w:type="pct"/>
            <w:tcBorders>
              <w:top w:val="nil"/>
              <w:left w:val="nil"/>
              <w:bottom w:val="single" w:color="auto" w:sz="4" w:space="0"/>
              <w:right w:val="single" w:color="auto" w:sz="4" w:space="0"/>
            </w:tcBorders>
            <w:vAlign w:val="center"/>
          </w:tcPr>
          <w:p w14:paraId="34864BE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200≤Y＜3000</w:t>
            </w:r>
          </w:p>
        </w:tc>
        <w:tc>
          <w:tcPr>
            <w:tcW w:w="579" w:type="pct"/>
            <w:tcBorders>
              <w:top w:val="nil"/>
              <w:left w:val="nil"/>
              <w:bottom w:val="single" w:color="auto" w:sz="4" w:space="0"/>
              <w:right w:val="single" w:color="auto" w:sz="4" w:space="0"/>
            </w:tcBorders>
            <w:vAlign w:val="center"/>
          </w:tcPr>
          <w:p w14:paraId="42A6DF9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w:t>
            </w:r>
          </w:p>
        </w:tc>
      </w:tr>
      <w:tr w14:paraId="0D5CE29F">
        <w:tblPrEx>
          <w:tblCellMar>
            <w:top w:w="0" w:type="dxa"/>
            <w:left w:w="108" w:type="dxa"/>
            <w:bottom w:w="0" w:type="dxa"/>
            <w:right w:w="108" w:type="dxa"/>
          </w:tblCellMar>
        </w:tblPrEx>
        <w:trPr>
          <w:trHeight w:val="225" w:hRule="atLeast"/>
          <w:jc w:val="center"/>
        </w:trPr>
        <w:tc>
          <w:tcPr>
            <w:tcW w:w="1065" w:type="pct"/>
            <w:vMerge w:val="restart"/>
            <w:tcBorders>
              <w:top w:val="nil"/>
              <w:left w:val="single" w:color="auto" w:sz="4" w:space="0"/>
              <w:bottom w:val="single" w:color="auto" w:sz="4" w:space="0"/>
              <w:right w:val="single" w:color="auto" w:sz="4" w:space="0"/>
            </w:tcBorders>
            <w:vAlign w:val="bottom"/>
          </w:tcPr>
          <w:p w14:paraId="6C497338">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仓储业</w:t>
            </w:r>
          </w:p>
        </w:tc>
        <w:tc>
          <w:tcPr>
            <w:tcW w:w="867" w:type="pct"/>
            <w:tcBorders>
              <w:top w:val="nil"/>
              <w:left w:val="nil"/>
              <w:bottom w:val="single" w:color="auto" w:sz="4" w:space="0"/>
              <w:right w:val="single" w:color="auto" w:sz="4" w:space="0"/>
            </w:tcBorders>
            <w:vAlign w:val="center"/>
          </w:tcPr>
          <w:p w14:paraId="528ED0B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571" w:type="pct"/>
            <w:tcBorders>
              <w:top w:val="nil"/>
              <w:left w:val="nil"/>
              <w:bottom w:val="single" w:color="auto" w:sz="4" w:space="0"/>
              <w:right w:val="single" w:color="auto" w:sz="4" w:space="0"/>
            </w:tcBorders>
            <w:vAlign w:val="center"/>
          </w:tcPr>
          <w:p w14:paraId="220389D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014" w:type="pct"/>
            <w:tcBorders>
              <w:top w:val="nil"/>
              <w:left w:val="nil"/>
              <w:bottom w:val="single" w:color="auto" w:sz="4" w:space="0"/>
              <w:right w:val="single" w:color="auto" w:sz="4" w:space="0"/>
            </w:tcBorders>
            <w:vAlign w:val="center"/>
          </w:tcPr>
          <w:p w14:paraId="56E97AD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w:t>
            </w:r>
          </w:p>
        </w:tc>
        <w:tc>
          <w:tcPr>
            <w:tcW w:w="901" w:type="pct"/>
            <w:tcBorders>
              <w:top w:val="nil"/>
              <w:left w:val="nil"/>
              <w:bottom w:val="single" w:color="auto" w:sz="4" w:space="0"/>
              <w:right w:val="single" w:color="auto" w:sz="4" w:space="0"/>
            </w:tcBorders>
            <w:vAlign w:val="center"/>
          </w:tcPr>
          <w:p w14:paraId="3A1305F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20≤X＜100</w:t>
            </w:r>
          </w:p>
        </w:tc>
        <w:tc>
          <w:tcPr>
            <w:tcW w:w="579" w:type="pct"/>
            <w:tcBorders>
              <w:top w:val="nil"/>
              <w:left w:val="nil"/>
              <w:bottom w:val="single" w:color="auto" w:sz="4" w:space="0"/>
              <w:right w:val="single" w:color="auto" w:sz="4" w:space="0"/>
            </w:tcBorders>
            <w:vAlign w:val="center"/>
          </w:tcPr>
          <w:p w14:paraId="142AA54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631A7053">
        <w:tblPrEx>
          <w:tblCellMar>
            <w:top w:w="0" w:type="dxa"/>
            <w:left w:w="108" w:type="dxa"/>
            <w:bottom w:w="0" w:type="dxa"/>
            <w:right w:w="108" w:type="dxa"/>
          </w:tblCellMar>
        </w:tblPrEx>
        <w:trPr>
          <w:trHeight w:val="225" w:hRule="atLeast"/>
          <w:jc w:val="center"/>
        </w:trPr>
        <w:tc>
          <w:tcPr>
            <w:tcW w:w="1065" w:type="pct"/>
            <w:vMerge w:val="continue"/>
            <w:tcBorders>
              <w:top w:val="nil"/>
              <w:left w:val="single" w:color="auto" w:sz="4" w:space="0"/>
              <w:bottom w:val="single" w:color="auto" w:sz="4" w:space="0"/>
              <w:right w:val="single" w:color="auto" w:sz="4" w:space="0"/>
            </w:tcBorders>
            <w:vAlign w:val="center"/>
          </w:tcPr>
          <w:p w14:paraId="17D91033">
            <w:pPr>
              <w:widowControl/>
              <w:jc w:val="left"/>
              <w:rPr>
                <w:rFonts w:hint="eastAsia" w:ascii="宋体" w:hAnsi="宋体" w:cs="宋体"/>
                <w:b/>
                <w:bCs/>
                <w:color w:val="auto"/>
                <w:kern w:val="0"/>
                <w:sz w:val="18"/>
                <w:szCs w:val="18"/>
                <w:highlight w:val="none"/>
              </w:rPr>
            </w:pPr>
          </w:p>
        </w:tc>
        <w:tc>
          <w:tcPr>
            <w:tcW w:w="867" w:type="pct"/>
            <w:tcBorders>
              <w:top w:val="nil"/>
              <w:left w:val="nil"/>
              <w:bottom w:val="single" w:color="auto" w:sz="4" w:space="0"/>
              <w:right w:val="single" w:color="auto" w:sz="4" w:space="0"/>
            </w:tcBorders>
            <w:vAlign w:val="center"/>
          </w:tcPr>
          <w:p w14:paraId="328EBB6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571" w:type="pct"/>
            <w:tcBorders>
              <w:top w:val="nil"/>
              <w:left w:val="nil"/>
              <w:bottom w:val="single" w:color="auto" w:sz="4" w:space="0"/>
              <w:right w:val="single" w:color="auto" w:sz="4" w:space="0"/>
            </w:tcBorders>
            <w:vAlign w:val="center"/>
          </w:tcPr>
          <w:p w14:paraId="3CABDEA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014" w:type="pct"/>
            <w:tcBorders>
              <w:top w:val="nil"/>
              <w:left w:val="nil"/>
              <w:bottom w:val="single" w:color="auto" w:sz="4" w:space="0"/>
              <w:right w:val="single" w:color="auto" w:sz="4" w:space="0"/>
            </w:tcBorders>
            <w:vAlign w:val="center"/>
          </w:tcPr>
          <w:p w14:paraId="4AFAA38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1000≤Y＜30000</w:t>
            </w:r>
          </w:p>
        </w:tc>
        <w:tc>
          <w:tcPr>
            <w:tcW w:w="901" w:type="pct"/>
            <w:tcBorders>
              <w:top w:val="nil"/>
              <w:left w:val="nil"/>
              <w:bottom w:val="single" w:color="auto" w:sz="4" w:space="0"/>
              <w:right w:val="single" w:color="auto" w:sz="4" w:space="0"/>
            </w:tcBorders>
            <w:vAlign w:val="center"/>
          </w:tcPr>
          <w:p w14:paraId="0B4AD52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579" w:type="pct"/>
            <w:tcBorders>
              <w:top w:val="nil"/>
              <w:left w:val="nil"/>
              <w:bottom w:val="single" w:color="auto" w:sz="4" w:space="0"/>
              <w:right w:val="single" w:color="auto" w:sz="4" w:space="0"/>
            </w:tcBorders>
            <w:vAlign w:val="center"/>
          </w:tcPr>
          <w:p w14:paraId="13B405F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01B8BEC3">
        <w:tblPrEx>
          <w:tblCellMar>
            <w:top w:w="0" w:type="dxa"/>
            <w:left w:w="108" w:type="dxa"/>
            <w:bottom w:w="0" w:type="dxa"/>
            <w:right w:w="108" w:type="dxa"/>
          </w:tblCellMar>
        </w:tblPrEx>
        <w:trPr>
          <w:trHeight w:val="225" w:hRule="atLeast"/>
          <w:jc w:val="center"/>
        </w:trPr>
        <w:tc>
          <w:tcPr>
            <w:tcW w:w="1065" w:type="pct"/>
            <w:vMerge w:val="restart"/>
            <w:tcBorders>
              <w:top w:val="nil"/>
              <w:left w:val="single" w:color="auto" w:sz="4" w:space="0"/>
              <w:bottom w:val="single" w:color="auto" w:sz="4" w:space="0"/>
              <w:right w:val="single" w:color="auto" w:sz="4" w:space="0"/>
            </w:tcBorders>
            <w:vAlign w:val="bottom"/>
          </w:tcPr>
          <w:p w14:paraId="30F9910A">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邮政业</w:t>
            </w:r>
          </w:p>
        </w:tc>
        <w:tc>
          <w:tcPr>
            <w:tcW w:w="867" w:type="pct"/>
            <w:tcBorders>
              <w:top w:val="nil"/>
              <w:left w:val="nil"/>
              <w:bottom w:val="single" w:color="auto" w:sz="4" w:space="0"/>
              <w:right w:val="single" w:color="auto" w:sz="4" w:space="0"/>
            </w:tcBorders>
            <w:vAlign w:val="center"/>
          </w:tcPr>
          <w:p w14:paraId="0B879DE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571" w:type="pct"/>
            <w:tcBorders>
              <w:top w:val="nil"/>
              <w:left w:val="nil"/>
              <w:bottom w:val="single" w:color="auto" w:sz="4" w:space="0"/>
              <w:right w:val="single" w:color="auto" w:sz="4" w:space="0"/>
            </w:tcBorders>
            <w:vAlign w:val="center"/>
          </w:tcPr>
          <w:p w14:paraId="49864C7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014" w:type="pct"/>
            <w:tcBorders>
              <w:top w:val="nil"/>
              <w:left w:val="nil"/>
              <w:bottom w:val="single" w:color="auto" w:sz="4" w:space="0"/>
              <w:right w:val="single" w:color="auto" w:sz="4" w:space="0"/>
            </w:tcBorders>
            <w:vAlign w:val="center"/>
          </w:tcPr>
          <w:p w14:paraId="32CB115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901" w:type="pct"/>
            <w:tcBorders>
              <w:top w:val="nil"/>
              <w:left w:val="nil"/>
              <w:bottom w:val="single" w:color="auto" w:sz="4" w:space="0"/>
              <w:right w:val="single" w:color="auto" w:sz="4" w:space="0"/>
            </w:tcBorders>
            <w:vAlign w:val="center"/>
          </w:tcPr>
          <w:p w14:paraId="67AB310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579" w:type="pct"/>
            <w:tcBorders>
              <w:top w:val="nil"/>
              <w:left w:val="nil"/>
              <w:bottom w:val="single" w:color="auto" w:sz="4" w:space="0"/>
              <w:right w:val="single" w:color="auto" w:sz="4" w:space="0"/>
            </w:tcBorders>
            <w:vAlign w:val="center"/>
          </w:tcPr>
          <w:p w14:paraId="184AF6A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34095B3F">
        <w:tblPrEx>
          <w:tblCellMar>
            <w:top w:w="0" w:type="dxa"/>
            <w:left w:w="108" w:type="dxa"/>
            <w:bottom w:w="0" w:type="dxa"/>
            <w:right w:w="108" w:type="dxa"/>
          </w:tblCellMar>
        </w:tblPrEx>
        <w:trPr>
          <w:trHeight w:val="225" w:hRule="atLeast"/>
          <w:jc w:val="center"/>
        </w:trPr>
        <w:tc>
          <w:tcPr>
            <w:tcW w:w="1065" w:type="pct"/>
            <w:vMerge w:val="continue"/>
            <w:tcBorders>
              <w:top w:val="nil"/>
              <w:left w:val="single" w:color="auto" w:sz="4" w:space="0"/>
              <w:bottom w:val="single" w:color="auto" w:sz="4" w:space="0"/>
              <w:right w:val="single" w:color="auto" w:sz="4" w:space="0"/>
            </w:tcBorders>
            <w:vAlign w:val="center"/>
          </w:tcPr>
          <w:p w14:paraId="1135E644">
            <w:pPr>
              <w:widowControl/>
              <w:jc w:val="left"/>
              <w:rPr>
                <w:rFonts w:hint="eastAsia" w:ascii="宋体" w:hAnsi="宋体" w:cs="宋体"/>
                <w:b/>
                <w:bCs/>
                <w:color w:val="auto"/>
                <w:kern w:val="0"/>
                <w:sz w:val="18"/>
                <w:szCs w:val="18"/>
                <w:highlight w:val="none"/>
              </w:rPr>
            </w:pPr>
          </w:p>
        </w:tc>
        <w:tc>
          <w:tcPr>
            <w:tcW w:w="867" w:type="pct"/>
            <w:tcBorders>
              <w:top w:val="nil"/>
              <w:left w:val="nil"/>
              <w:bottom w:val="single" w:color="auto" w:sz="4" w:space="0"/>
              <w:right w:val="single" w:color="auto" w:sz="4" w:space="0"/>
            </w:tcBorders>
            <w:vAlign w:val="center"/>
          </w:tcPr>
          <w:p w14:paraId="7D17805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571" w:type="pct"/>
            <w:tcBorders>
              <w:top w:val="nil"/>
              <w:left w:val="nil"/>
              <w:bottom w:val="single" w:color="auto" w:sz="4" w:space="0"/>
              <w:right w:val="single" w:color="auto" w:sz="4" w:space="0"/>
            </w:tcBorders>
            <w:vAlign w:val="center"/>
          </w:tcPr>
          <w:p w14:paraId="2BC00E4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014" w:type="pct"/>
            <w:tcBorders>
              <w:top w:val="nil"/>
              <w:left w:val="nil"/>
              <w:bottom w:val="single" w:color="auto" w:sz="4" w:space="0"/>
              <w:right w:val="single" w:color="auto" w:sz="4" w:space="0"/>
            </w:tcBorders>
            <w:vAlign w:val="center"/>
          </w:tcPr>
          <w:p w14:paraId="08BC67D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2000≤Y＜30000</w:t>
            </w:r>
          </w:p>
        </w:tc>
        <w:tc>
          <w:tcPr>
            <w:tcW w:w="901" w:type="pct"/>
            <w:tcBorders>
              <w:top w:val="nil"/>
              <w:left w:val="nil"/>
              <w:bottom w:val="single" w:color="auto" w:sz="4" w:space="0"/>
              <w:right w:val="single" w:color="auto" w:sz="4" w:space="0"/>
            </w:tcBorders>
            <w:vAlign w:val="center"/>
          </w:tcPr>
          <w:p w14:paraId="5F66678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579" w:type="pct"/>
            <w:tcBorders>
              <w:top w:val="nil"/>
              <w:left w:val="nil"/>
              <w:bottom w:val="single" w:color="auto" w:sz="4" w:space="0"/>
              <w:right w:val="single" w:color="auto" w:sz="4" w:space="0"/>
            </w:tcBorders>
            <w:vAlign w:val="center"/>
          </w:tcPr>
          <w:p w14:paraId="6C49FF7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0093E6DA">
        <w:tblPrEx>
          <w:tblCellMar>
            <w:top w:w="0" w:type="dxa"/>
            <w:left w:w="108" w:type="dxa"/>
            <w:bottom w:w="0" w:type="dxa"/>
            <w:right w:w="108" w:type="dxa"/>
          </w:tblCellMar>
        </w:tblPrEx>
        <w:trPr>
          <w:trHeight w:val="225" w:hRule="atLeast"/>
          <w:jc w:val="center"/>
        </w:trPr>
        <w:tc>
          <w:tcPr>
            <w:tcW w:w="1065" w:type="pct"/>
            <w:vMerge w:val="restart"/>
            <w:tcBorders>
              <w:top w:val="nil"/>
              <w:left w:val="single" w:color="auto" w:sz="4" w:space="0"/>
              <w:bottom w:val="single" w:color="auto" w:sz="4" w:space="0"/>
              <w:right w:val="single" w:color="auto" w:sz="4" w:space="0"/>
            </w:tcBorders>
            <w:vAlign w:val="bottom"/>
          </w:tcPr>
          <w:p w14:paraId="25D0CBE0">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住宿业</w:t>
            </w:r>
          </w:p>
        </w:tc>
        <w:tc>
          <w:tcPr>
            <w:tcW w:w="867" w:type="pct"/>
            <w:tcBorders>
              <w:top w:val="nil"/>
              <w:left w:val="nil"/>
              <w:bottom w:val="single" w:color="auto" w:sz="4" w:space="0"/>
              <w:right w:val="single" w:color="auto" w:sz="4" w:space="0"/>
            </w:tcBorders>
            <w:vAlign w:val="center"/>
          </w:tcPr>
          <w:p w14:paraId="4F44579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571" w:type="pct"/>
            <w:tcBorders>
              <w:top w:val="nil"/>
              <w:left w:val="nil"/>
              <w:bottom w:val="single" w:color="auto" w:sz="4" w:space="0"/>
              <w:right w:val="single" w:color="auto" w:sz="4" w:space="0"/>
            </w:tcBorders>
            <w:vAlign w:val="center"/>
          </w:tcPr>
          <w:p w14:paraId="5227300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014" w:type="pct"/>
            <w:tcBorders>
              <w:top w:val="nil"/>
              <w:left w:val="nil"/>
              <w:bottom w:val="single" w:color="auto" w:sz="4" w:space="0"/>
              <w:right w:val="single" w:color="auto" w:sz="4" w:space="0"/>
            </w:tcBorders>
            <w:vAlign w:val="center"/>
          </w:tcPr>
          <w:p w14:paraId="48CE9C9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901" w:type="pct"/>
            <w:tcBorders>
              <w:top w:val="nil"/>
              <w:left w:val="nil"/>
              <w:bottom w:val="single" w:color="auto" w:sz="4" w:space="0"/>
              <w:right w:val="single" w:color="auto" w:sz="4" w:space="0"/>
            </w:tcBorders>
            <w:vAlign w:val="center"/>
          </w:tcPr>
          <w:p w14:paraId="671FA04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579" w:type="pct"/>
            <w:tcBorders>
              <w:top w:val="nil"/>
              <w:left w:val="nil"/>
              <w:bottom w:val="single" w:color="auto" w:sz="4" w:space="0"/>
              <w:right w:val="single" w:color="auto" w:sz="4" w:space="0"/>
            </w:tcBorders>
            <w:vAlign w:val="center"/>
          </w:tcPr>
          <w:p w14:paraId="4E1E445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315C4CB2">
        <w:tblPrEx>
          <w:tblCellMar>
            <w:top w:w="0" w:type="dxa"/>
            <w:left w:w="108" w:type="dxa"/>
            <w:bottom w:w="0" w:type="dxa"/>
            <w:right w:w="108" w:type="dxa"/>
          </w:tblCellMar>
        </w:tblPrEx>
        <w:trPr>
          <w:trHeight w:val="225" w:hRule="atLeast"/>
          <w:jc w:val="center"/>
        </w:trPr>
        <w:tc>
          <w:tcPr>
            <w:tcW w:w="1065" w:type="pct"/>
            <w:vMerge w:val="continue"/>
            <w:tcBorders>
              <w:top w:val="nil"/>
              <w:left w:val="single" w:color="auto" w:sz="4" w:space="0"/>
              <w:bottom w:val="single" w:color="auto" w:sz="4" w:space="0"/>
              <w:right w:val="single" w:color="auto" w:sz="4" w:space="0"/>
            </w:tcBorders>
            <w:vAlign w:val="center"/>
          </w:tcPr>
          <w:p w14:paraId="4BD4F800">
            <w:pPr>
              <w:widowControl/>
              <w:jc w:val="left"/>
              <w:rPr>
                <w:rFonts w:hint="eastAsia" w:ascii="宋体" w:hAnsi="宋体" w:cs="宋体"/>
                <w:b/>
                <w:bCs/>
                <w:color w:val="auto"/>
                <w:kern w:val="0"/>
                <w:sz w:val="18"/>
                <w:szCs w:val="18"/>
                <w:highlight w:val="none"/>
              </w:rPr>
            </w:pPr>
          </w:p>
        </w:tc>
        <w:tc>
          <w:tcPr>
            <w:tcW w:w="867" w:type="pct"/>
            <w:tcBorders>
              <w:top w:val="nil"/>
              <w:left w:val="nil"/>
              <w:bottom w:val="single" w:color="auto" w:sz="4" w:space="0"/>
              <w:right w:val="single" w:color="auto" w:sz="4" w:space="0"/>
            </w:tcBorders>
            <w:vAlign w:val="center"/>
          </w:tcPr>
          <w:p w14:paraId="7E231B7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571" w:type="pct"/>
            <w:tcBorders>
              <w:top w:val="nil"/>
              <w:left w:val="nil"/>
              <w:bottom w:val="single" w:color="auto" w:sz="4" w:space="0"/>
              <w:right w:val="single" w:color="auto" w:sz="4" w:space="0"/>
            </w:tcBorders>
            <w:vAlign w:val="center"/>
          </w:tcPr>
          <w:p w14:paraId="552B03F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014" w:type="pct"/>
            <w:tcBorders>
              <w:top w:val="nil"/>
              <w:left w:val="nil"/>
              <w:bottom w:val="single" w:color="auto" w:sz="4" w:space="0"/>
              <w:right w:val="single" w:color="auto" w:sz="4" w:space="0"/>
            </w:tcBorders>
            <w:vAlign w:val="center"/>
          </w:tcPr>
          <w:p w14:paraId="6521D42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901" w:type="pct"/>
            <w:tcBorders>
              <w:top w:val="nil"/>
              <w:left w:val="nil"/>
              <w:bottom w:val="single" w:color="auto" w:sz="4" w:space="0"/>
              <w:right w:val="single" w:color="auto" w:sz="4" w:space="0"/>
            </w:tcBorders>
            <w:vAlign w:val="center"/>
          </w:tcPr>
          <w:p w14:paraId="32B5520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579" w:type="pct"/>
            <w:tcBorders>
              <w:top w:val="nil"/>
              <w:left w:val="nil"/>
              <w:bottom w:val="single" w:color="auto" w:sz="4" w:space="0"/>
              <w:right w:val="single" w:color="auto" w:sz="4" w:space="0"/>
            </w:tcBorders>
            <w:vAlign w:val="center"/>
          </w:tcPr>
          <w:p w14:paraId="7B9DAC2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400091C1">
        <w:tblPrEx>
          <w:tblCellMar>
            <w:top w:w="0" w:type="dxa"/>
            <w:left w:w="108" w:type="dxa"/>
            <w:bottom w:w="0" w:type="dxa"/>
            <w:right w:w="108" w:type="dxa"/>
          </w:tblCellMar>
        </w:tblPrEx>
        <w:trPr>
          <w:trHeight w:val="225" w:hRule="atLeast"/>
          <w:jc w:val="center"/>
        </w:trPr>
        <w:tc>
          <w:tcPr>
            <w:tcW w:w="1065" w:type="pct"/>
            <w:vMerge w:val="restart"/>
            <w:tcBorders>
              <w:top w:val="nil"/>
              <w:left w:val="single" w:color="auto" w:sz="4" w:space="0"/>
              <w:bottom w:val="single" w:color="auto" w:sz="4" w:space="0"/>
              <w:right w:val="single" w:color="auto" w:sz="4" w:space="0"/>
            </w:tcBorders>
            <w:vAlign w:val="bottom"/>
          </w:tcPr>
          <w:p w14:paraId="0942F3F6">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餐饮业</w:t>
            </w:r>
          </w:p>
        </w:tc>
        <w:tc>
          <w:tcPr>
            <w:tcW w:w="867" w:type="pct"/>
            <w:tcBorders>
              <w:top w:val="nil"/>
              <w:left w:val="nil"/>
              <w:bottom w:val="single" w:color="auto" w:sz="4" w:space="0"/>
              <w:right w:val="single" w:color="auto" w:sz="4" w:space="0"/>
            </w:tcBorders>
            <w:vAlign w:val="center"/>
          </w:tcPr>
          <w:p w14:paraId="250A1AF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571" w:type="pct"/>
            <w:tcBorders>
              <w:top w:val="nil"/>
              <w:left w:val="nil"/>
              <w:bottom w:val="single" w:color="auto" w:sz="4" w:space="0"/>
              <w:right w:val="single" w:color="auto" w:sz="4" w:space="0"/>
            </w:tcBorders>
            <w:vAlign w:val="center"/>
          </w:tcPr>
          <w:p w14:paraId="356DA68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014" w:type="pct"/>
            <w:tcBorders>
              <w:top w:val="nil"/>
              <w:left w:val="nil"/>
              <w:bottom w:val="single" w:color="auto" w:sz="4" w:space="0"/>
              <w:right w:val="single" w:color="auto" w:sz="4" w:space="0"/>
            </w:tcBorders>
            <w:vAlign w:val="center"/>
          </w:tcPr>
          <w:p w14:paraId="781CAC8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901" w:type="pct"/>
            <w:tcBorders>
              <w:top w:val="nil"/>
              <w:left w:val="nil"/>
              <w:bottom w:val="single" w:color="auto" w:sz="4" w:space="0"/>
              <w:right w:val="single" w:color="auto" w:sz="4" w:space="0"/>
            </w:tcBorders>
            <w:vAlign w:val="center"/>
          </w:tcPr>
          <w:p w14:paraId="2D34664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579" w:type="pct"/>
            <w:tcBorders>
              <w:top w:val="nil"/>
              <w:left w:val="nil"/>
              <w:bottom w:val="single" w:color="auto" w:sz="4" w:space="0"/>
              <w:right w:val="single" w:color="auto" w:sz="4" w:space="0"/>
            </w:tcBorders>
            <w:vAlign w:val="center"/>
          </w:tcPr>
          <w:p w14:paraId="2541EC0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594533C1">
        <w:tblPrEx>
          <w:tblCellMar>
            <w:top w:w="0" w:type="dxa"/>
            <w:left w:w="108" w:type="dxa"/>
            <w:bottom w:w="0" w:type="dxa"/>
            <w:right w:w="108" w:type="dxa"/>
          </w:tblCellMar>
        </w:tblPrEx>
        <w:trPr>
          <w:trHeight w:val="225" w:hRule="atLeast"/>
          <w:jc w:val="center"/>
        </w:trPr>
        <w:tc>
          <w:tcPr>
            <w:tcW w:w="1065" w:type="pct"/>
            <w:vMerge w:val="continue"/>
            <w:tcBorders>
              <w:top w:val="nil"/>
              <w:left w:val="single" w:color="auto" w:sz="4" w:space="0"/>
              <w:bottom w:val="single" w:color="auto" w:sz="4" w:space="0"/>
              <w:right w:val="single" w:color="auto" w:sz="4" w:space="0"/>
            </w:tcBorders>
            <w:vAlign w:val="center"/>
          </w:tcPr>
          <w:p w14:paraId="226EC3ED">
            <w:pPr>
              <w:widowControl/>
              <w:jc w:val="left"/>
              <w:rPr>
                <w:rFonts w:hint="eastAsia" w:ascii="宋体" w:hAnsi="宋体" w:cs="宋体"/>
                <w:b/>
                <w:bCs/>
                <w:color w:val="auto"/>
                <w:kern w:val="0"/>
                <w:sz w:val="18"/>
                <w:szCs w:val="18"/>
                <w:highlight w:val="none"/>
              </w:rPr>
            </w:pPr>
          </w:p>
        </w:tc>
        <w:tc>
          <w:tcPr>
            <w:tcW w:w="867" w:type="pct"/>
            <w:tcBorders>
              <w:top w:val="nil"/>
              <w:left w:val="nil"/>
              <w:bottom w:val="single" w:color="auto" w:sz="4" w:space="0"/>
              <w:right w:val="single" w:color="auto" w:sz="4" w:space="0"/>
            </w:tcBorders>
            <w:vAlign w:val="center"/>
          </w:tcPr>
          <w:p w14:paraId="5A01A72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571" w:type="pct"/>
            <w:tcBorders>
              <w:top w:val="nil"/>
              <w:left w:val="nil"/>
              <w:bottom w:val="single" w:color="auto" w:sz="4" w:space="0"/>
              <w:right w:val="single" w:color="auto" w:sz="4" w:space="0"/>
            </w:tcBorders>
            <w:vAlign w:val="center"/>
          </w:tcPr>
          <w:p w14:paraId="5C9EC80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014" w:type="pct"/>
            <w:tcBorders>
              <w:top w:val="nil"/>
              <w:left w:val="nil"/>
              <w:bottom w:val="single" w:color="auto" w:sz="4" w:space="0"/>
              <w:right w:val="single" w:color="auto" w:sz="4" w:space="0"/>
            </w:tcBorders>
            <w:vAlign w:val="center"/>
          </w:tcPr>
          <w:p w14:paraId="119BEC3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901" w:type="pct"/>
            <w:tcBorders>
              <w:top w:val="nil"/>
              <w:left w:val="nil"/>
              <w:bottom w:val="single" w:color="auto" w:sz="4" w:space="0"/>
              <w:right w:val="single" w:color="auto" w:sz="4" w:space="0"/>
            </w:tcBorders>
            <w:vAlign w:val="center"/>
          </w:tcPr>
          <w:p w14:paraId="0B8DFF5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579" w:type="pct"/>
            <w:tcBorders>
              <w:top w:val="nil"/>
              <w:left w:val="nil"/>
              <w:bottom w:val="single" w:color="auto" w:sz="4" w:space="0"/>
              <w:right w:val="single" w:color="auto" w:sz="4" w:space="0"/>
            </w:tcBorders>
            <w:vAlign w:val="center"/>
          </w:tcPr>
          <w:p w14:paraId="615BC35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27183F7B">
        <w:tblPrEx>
          <w:tblCellMar>
            <w:top w:w="0" w:type="dxa"/>
            <w:left w:w="108" w:type="dxa"/>
            <w:bottom w:w="0" w:type="dxa"/>
            <w:right w:w="108" w:type="dxa"/>
          </w:tblCellMar>
        </w:tblPrEx>
        <w:trPr>
          <w:trHeight w:val="225" w:hRule="atLeast"/>
          <w:jc w:val="center"/>
        </w:trPr>
        <w:tc>
          <w:tcPr>
            <w:tcW w:w="1065" w:type="pct"/>
            <w:vMerge w:val="restart"/>
            <w:tcBorders>
              <w:top w:val="nil"/>
              <w:left w:val="single" w:color="auto" w:sz="4" w:space="0"/>
              <w:bottom w:val="single" w:color="auto" w:sz="4" w:space="0"/>
              <w:right w:val="single" w:color="auto" w:sz="4" w:space="0"/>
            </w:tcBorders>
            <w:vAlign w:val="bottom"/>
          </w:tcPr>
          <w:p w14:paraId="22ED15A5">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信息传输业</w:t>
            </w:r>
          </w:p>
        </w:tc>
        <w:tc>
          <w:tcPr>
            <w:tcW w:w="867" w:type="pct"/>
            <w:tcBorders>
              <w:top w:val="nil"/>
              <w:left w:val="nil"/>
              <w:bottom w:val="single" w:color="auto" w:sz="4" w:space="0"/>
              <w:right w:val="single" w:color="auto" w:sz="4" w:space="0"/>
            </w:tcBorders>
            <w:vAlign w:val="center"/>
          </w:tcPr>
          <w:p w14:paraId="1717732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571" w:type="pct"/>
            <w:tcBorders>
              <w:top w:val="nil"/>
              <w:left w:val="nil"/>
              <w:bottom w:val="single" w:color="auto" w:sz="4" w:space="0"/>
              <w:right w:val="single" w:color="auto" w:sz="4" w:space="0"/>
            </w:tcBorders>
            <w:vAlign w:val="center"/>
          </w:tcPr>
          <w:p w14:paraId="3F34EE1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014" w:type="pct"/>
            <w:tcBorders>
              <w:top w:val="nil"/>
              <w:left w:val="nil"/>
              <w:bottom w:val="single" w:color="auto" w:sz="4" w:space="0"/>
              <w:right w:val="single" w:color="auto" w:sz="4" w:space="0"/>
            </w:tcBorders>
            <w:vAlign w:val="center"/>
          </w:tcPr>
          <w:p w14:paraId="24D8026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100≤X＜2000</w:t>
            </w:r>
          </w:p>
        </w:tc>
        <w:tc>
          <w:tcPr>
            <w:tcW w:w="901" w:type="pct"/>
            <w:tcBorders>
              <w:top w:val="nil"/>
              <w:left w:val="nil"/>
              <w:bottom w:val="single" w:color="auto" w:sz="4" w:space="0"/>
              <w:right w:val="single" w:color="auto" w:sz="4" w:space="0"/>
            </w:tcBorders>
            <w:vAlign w:val="center"/>
          </w:tcPr>
          <w:p w14:paraId="3DB4CFE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579" w:type="pct"/>
            <w:tcBorders>
              <w:top w:val="nil"/>
              <w:left w:val="nil"/>
              <w:bottom w:val="single" w:color="auto" w:sz="4" w:space="0"/>
              <w:right w:val="single" w:color="auto" w:sz="4" w:space="0"/>
            </w:tcBorders>
            <w:vAlign w:val="center"/>
          </w:tcPr>
          <w:p w14:paraId="58BD0B2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24975EE6">
        <w:tblPrEx>
          <w:tblCellMar>
            <w:top w:w="0" w:type="dxa"/>
            <w:left w:w="108" w:type="dxa"/>
            <w:bottom w:w="0" w:type="dxa"/>
            <w:right w:w="108" w:type="dxa"/>
          </w:tblCellMar>
        </w:tblPrEx>
        <w:trPr>
          <w:trHeight w:val="225" w:hRule="atLeast"/>
          <w:jc w:val="center"/>
        </w:trPr>
        <w:tc>
          <w:tcPr>
            <w:tcW w:w="1065" w:type="pct"/>
            <w:vMerge w:val="continue"/>
            <w:tcBorders>
              <w:top w:val="nil"/>
              <w:left w:val="single" w:color="auto" w:sz="4" w:space="0"/>
              <w:bottom w:val="single" w:color="auto" w:sz="4" w:space="0"/>
              <w:right w:val="single" w:color="auto" w:sz="4" w:space="0"/>
            </w:tcBorders>
            <w:vAlign w:val="center"/>
          </w:tcPr>
          <w:p w14:paraId="6B4BBFA0">
            <w:pPr>
              <w:widowControl/>
              <w:jc w:val="left"/>
              <w:rPr>
                <w:rFonts w:hint="eastAsia" w:ascii="宋体" w:hAnsi="宋体" w:cs="宋体"/>
                <w:b/>
                <w:bCs/>
                <w:color w:val="auto"/>
                <w:kern w:val="0"/>
                <w:sz w:val="18"/>
                <w:szCs w:val="18"/>
                <w:highlight w:val="none"/>
              </w:rPr>
            </w:pPr>
          </w:p>
        </w:tc>
        <w:tc>
          <w:tcPr>
            <w:tcW w:w="867" w:type="pct"/>
            <w:tcBorders>
              <w:top w:val="nil"/>
              <w:left w:val="nil"/>
              <w:bottom w:val="single" w:color="auto" w:sz="4" w:space="0"/>
              <w:right w:val="single" w:color="auto" w:sz="4" w:space="0"/>
            </w:tcBorders>
            <w:vAlign w:val="center"/>
          </w:tcPr>
          <w:p w14:paraId="1C218B0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571" w:type="pct"/>
            <w:tcBorders>
              <w:top w:val="nil"/>
              <w:left w:val="nil"/>
              <w:bottom w:val="single" w:color="auto" w:sz="4" w:space="0"/>
              <w:right w:val="single" w:color="auto" w:sz="4" w:space="0"/>
            </w:tcBorders>
            <w:vAlign w:val="center"/>
          </w:tcPr>
          <w:p w14:paraId="39016A5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014" w:type="pct"/>
            <w:tcBorders>
              <w:top w:val="nil"/>
              <w:left w:val="nil"/>
              <w:bottom w:val="single" w:color="auto" w:sz="4" w:space="0"/>
              <w:right w:val="single" w:color="auto" w:sz="4" w:space="0"/>
            </w:tcBorders>
            <w:vAlign w:val="center"/>
          </w:tcPr>
          <w:p w14:paraId="4B17405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1000≤Y＜100000</w:t>
            </w:r>
          </w:p>
        </w:tc>
        <w:tc>
          <w:tcPr>
            <w:tcW w:w="901" w:type="pct"/>
            <w:tcBorders>
              <w:top w:val="nil"/>
              <w:left w:val="nil"/>
              <w:bottom w:val="single" w:color="auto" w:sz="4" w:space="0"/>
              <w:right w:val="single" w:color="auto" w:sz="4" w:space="0"/>
            </w:tcBorders>
            <w:vAlign w:val="center"/>
          </w:tcPr>
          <w:p w14:paraId="0BC8F1D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579" w:type="pct"/>
            <w:tcBorders>
              <w:top w:val="nil"/>
              <w:left w:val="nil"/>
              <w:bottom w:val="single" w:color="auto" w:sz="4" w:space="0"/>
              <w:right w:val="single" w:color="auto" w:sz="4" w:space="0"/>
            </w:tcBorders>
            <w:vAlign w:val="center"/>
          </w:tcPr>
          <w:p w14:paraId="29AD68A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556A1883">
        <w:tblPrEx>
          <w:tblCellMar>
            <w:top w:w="0" w:type="dxa"/>
            <w:left w:w="108" w:type="dxa"/>
            <w:bottom w:w="0" w:type="dxa"/>
            <w:right w:w="108" w:type="dxa"/>
          </w:tblCellMar>
        </w:tblPrEx>
        <w:trPr>
          <w:trHeight w:val="225" w:hRule="atLeast"/>
          <w:jc w:val="center"/>
        </w:trPr>
        <w:tc>
          <w:tcPr>
            <w:tcW w:w="1065" w:type="pct"/>
            <w:vMerge w:val="restart"/>
            <w:tcBorders>
              <w:top w:val="nil"/>
              <w:left w:val="single" w:color="auto" w:sz="4" w:space="0"/>
              <w:bottom w:val="single" w:color="auto" w:sz="4" w:space="0"/>
              <w:right w:val="single" w:color="auto" w:sz="4" w:space="0"/>
            </w:tcBorders>
            <w:vAlign w:val="bottom"/>
          </w:tcPr>
          <w:p w14:paraId="6C5029F7">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软件和信息技术服务业</w:t>
            </w:r>
          </w:p>
        </w:tc>
        <w:tc>
          <w:tcPr>
            <w:tcW w:w="867" w:type="pct"/>
            <w:tcBorders>
              <w:top w:val="nil"/>
              <w:left w:val="nil"/>
              <w:bottom w:val="single" w:color="auto" w:sz="4" w:space="0"/>
              <w:right w:val="single" w:color="auto" w:sz="4" w:space="0"/>
            </w:tcBorders>
            <w:vAlign w:val="center"/>
          </w:tcPr>
          <w:p w14:paraId="6B87FB3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571" w:type="pct"/>
            <w:tcBorders>
              <w:top w:val="nil"/>
              <w:left w:val="nil"/>
              <w:bottom w:val="single" w:color="auto" w:sz="4" w:space="0"/>
              <w:right w:val="single" w:color="auto" w:sz="4" w:space="0"/>
            </w:tcBorders>
            <w:vAlign w:val="center"/>
          </w:tcPr>
          <w:p w14:paraId="5A38CB6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014" w:type="pct"/>
            <w:tcBorders>
              <w:top w:val="nil"/>
              <w:left w:val="nil"/>
              <w:bottom w:val="single" w:color="auto" w:sz="4" w:space="0"/>
              <w:right w:val="single" w:color="auto" w:sz="4" w:space="0"/>
            </w:tcBorders>
            <w:vAlign w:val="center"/>
          </w:tcPr>
          <w:p w14:paraId="21C4BFD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901" w:type="pct"/>
            <w:tcBorders>
              <w:top w:val="nil"/>
              <w:left w:val="nil"/>
              <w:bottom w:val="single" w:color="auto" w:sz="4" w:space="0"/>
              <w:right w:val="single" w:color="auto" w:sz="4" w:space="0"/>
            </w:tcBorders>
            <w:vAlign w:val="center"/>
          </w:tcPr>
          <w:p w14:paraId="3AB582F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579" w:type="pct"/>
            <w:tcBorders>
              <w:top w:val="nil"/>
              <w:left w:val="nil"/>
              <w:bottom w:val="single" w:color="auto" w:sz="4" w:space="0"/>
              <w:right w:val="single" w:color="auto" w:sz="4" w:space="0"/>
            </w:tcBorders>
            <w:vAlign w:val="center"/>
          </w:tcPr>
          <w:p w14:paraId="2D08540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04F7275E">
        <w:tblPrEx>
          <w:tblCellMar>
            <w:top w:w="0" w:type="dxa"/>
            <w:left w:w="108" w:type="dxa"/>
            <w:bottom w:w="0" w:type="dxa"/>
            <w:right w:w="108" w:type="dxa"/>
          </w:tblCellMar>
        </w:tblPrEx>
        <w:trPr>
          <w:trHeight w:val="225" w:hRule="atLeast"/>
          <w:jc w:val="center"/>
        </w:trPr>
        <w:tc>
          <w:tcPr>
            <w:tcW w:w="1065" w:type="pct"/>
            <w:vMerge w:val="continue"/>
            <w:tcBorders>
              <w:top w:val="nil"/>
              <w:left w:val="single" w:color="auto" w:sz="4" w:space="0"/>
              <w:bottom w:val="single" w:color="auto" w:sz="4" w:space="0"/>
              <w:right w:val="single" w:color="auto" w:sz="4" w:space="0"/>
            </w:tcBorders>
            <w:vAlign w:val="center"/>
          </w:tcPr>
          <w:p w14:paraId="61F3C1E0">
            <w:pPr>
              <w:widowControl/>
              <w:jc w:val="left"/>
              <w:rPr>
                <w:rFonts w:hint="eastAsia" w:ascii="宋体" w:hAnsi="宋体" w:cs="宋体"/>
                <w:b/>
                <w:bCs/>
                <w:color w:val="auto"/>
                <w:kern w:val="0"/>
                <w:sz w:val="18"/>
                <w:szCs w:val="18"/>
                <w:highlight w:val="none"/>
              </w:rPr>
            </w:pPr>
          </w:p>
        </w:tc>
        <w:tc>
          <w:tcPr>
            <w:tcW w:w="867" w:type="pct"/>
            <w:tcBorders>
              <w:top w:val="nil"/>
              <w:left w:val="nil"/>
              <w:bottom w:val="single" w:color="auto" w:sz="4" w:space="0"/>
              <w:right w:val="single" w:color="auto" w:sz="4" w:space="0"/>
            </w:tcBorders>
            <w:vAlign w:val="center"/>
          </w:tcPr>
          <w:p w14:paraId="64E3CB4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571" w:type="pct"/>
            <w:tcBorders>
              <w:top w:val="nil"/>
              <w:left w:val="nil"/>
              <w:bottom w:val="single" w:color="auto" w:sz="4" w:space="0"/>
              <w:right w:val="single" w:color="auto" w:sz="4" w:space="0"/>
            </w:tcBorders>
            <w:vAlign w:val="center"/>
          </w:tcPr>
          <w:p w14:paraId="17B04A1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014" w:type="pct"/>
            <w:tcBorders>
              <w:top w:val="nil"/>
              <w:left w:val="nil"/>
              <w:bottom w:val="single" w:color="auto" w:sz="4" w:space="0"/>
              <w:right w:val="single" w:color="auto" w:sz="4" w:space="0"/>
            </w:tcBorders>
            <w:vAlign w:val="center"/>
          </w:tcPr>
          <w:p w14:paraId="6AC791D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w:t>
            </w:r>
          </w:p>
        </w:tc>
        <w:tc>
          <w:tcPr>
            <w:tcW w:w="901" w:type="pct"/>
            <w:tcBorders>
              <w:top w:val="nil"/>
              <w:left w:val="nil"/>
              <w:bottom w:val="single" w:color="auto" w:sz="4" w:space="0"/>
              <w:right w:val="single" w:color="auto" w:sz="4" w:space="0"/>
            </w:tcBorders>
            <w:vAlign w:val="center"/>
          </w:tcPr>
          <w:p w14:paraId="68232A9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50≤Y＜1000</w:t>
            </w:r>
          </w:p>
        </w:tc>
        <w:tc>
          <w:tcPr>
            <w:tcW w:w="579" w:type="pct"/>
            <w:tcBorders>
              <w:top w:val="nil"/>
              <w:left w:val="nil"/>
              <w:bottom w:val="single" w:color="auto" w:sz="4" w:space="0"/>
              <w:right w:val="single" w:color="auto" w:sz="4" w:space="0"/>
            </w:tcBorders>
            <w:vAlign w:val="center"/>
          </w:tcPr>
          <w:p w14:paraId="77B2644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37C197C7">
        <w:tblPrEx>
          <w:tblCellMar>
            <w:top w:w="0" w:type="dxa"/>
            <w:left w:w="108" w:type="dxa"/>
            <w:bottom w:w="0" w:type="dxa"/>
            <w:right w:w="108" w:type="dxa"/>
          </w:tblCellMar>
        </w:tblPrEx>
        <w:trPr>
          <w:trHeight w:val="225" w:hRule="atLeast"/>
          <w:jc w:val="center"/>
        </w:trPr>
        <w:tc>
          <w:tcPr>
            <w:tcW w:w="1065" w:type="pct"/>
            <w:vMerge w:val="restart"/>
            <w:tcBorders>
              <w:top w:val="nil"/>
              <w:left w:val="single" w:color="auto" w:sz="4" w:space="0"/>
              <w:bottom w:val="single" w:color="auto" w:sz="4" w:space="0"/>
              <w:right w:val="single" w:color="auto" w:sz="4" w:space="0"/>
            </w:tcBorders>
            <w:vAlign w:val="bottom"/>
          </w:tcPr>
          <w:p w14:paraId="7F5DA378">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房地产开发经营</w:t>
            </w:r>
          </w:p>
        </w:tc>
        <w:tc>
          <w:tcPr>
            <w:tcW w:w="867" w:type="pct"/>
            <w:tcBorders>
              <w:top w:val="nil"/>
              <w:left w:val="nil"/>
              <w:bottom w:val="single" w:color="auto" w:sz="4" w:space="0"/>
              <w:right w:val="single" w:color="auto" w:sz="4" w:space="0"/>
            </w:tcBorders>
            <w:vAlign w:val="center"/>
          </w:tcPr>
          <w:p w14:paraId="7DFEADD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571" w:type="pct"/>
            <w:tcBorders>
              <w:top w:val="nil"/>
              <w:left w:val="nil"/>
              <w:bottom w:val="single" w:color="auto" w:sz="4" w:space="0"/>
              <w:right w:val="single" w:color="auto" w:sz="4" w:space="0"/>
            </w:tcBorders>
            <w:vAlign w:val="center"/>
          </w:tcPr>
          <w:p w14:paraId="0D515B5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014" w:type="pct"/>
            <w:tcBorders>
              <w:top w:val="nil"/>
              <w:left w:val="nil"/>
              <w:bottom w:val="single" w:color="auto" w:sz="4" w:space="0"/>
              <w:right w:val="single" w:color="auto" w:sz="4" w:space="0"/>
            </w:tcBorders>
            <w:vAlign w:val="center"/>
          </w:tcPr>
          <w:p w14:paraId="38BE5B3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1000≤Y＜200000</w:t>
            </w:r>
          </w:p>
        </w:tc>
        <w:tc>
          <w:tcPr>
            <w:tcW w:w="901" w:type="pct"/>
            <w:tcBorders>
              <w:top w:val="nil"/>
              <w:left w:val="nil"/>
              <w:bottom w:val="single" w:color="auto" w:sz="4" w:space="0"/>
              <w:right w:val="single" w:color="auto" w:sz="4" w:space="0"/>
            </w:tcBorders>
            <w:vAlign w:val="center"/>
          </w:tcPr>
          <w:p w14:paraId="19D927D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100≤X＜1000</w:t>
            </w:r>
          </w:p>
        </w:tc>
        <w:tc>
          <w:tcPr>
            <w:tcW w:w="579" w:type="pct"/>
            <w:tcBorders>
              <w:top w:val="nil"/>
              <w:left w:val="nil"/>
              <w:bottom w:val="single" w:color="auto" w:sz="4" w:space="0"/>
              <w:right w:val="single" w:color="auto" w:sz="4" w:space="0"/>
            </w:tcBorders>
            <w:vAlign w:val="center"/>
          </w:tcPr>
          <w:p w14:paraId="4026AB2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56669474">
        <w:tblPrEx>
          <w:tblCellMar>
            <w:top w:w="0" w:type="dxa"/>
            <w:left w:w="108" w:type="dxa"/>
            <w:bottom w:w="0" w:type="dxa"/>
            <w:right w:w="108" w:type="dxa"/>
          </w:tblCellMar>
        </w:tblPrEx>
        <w:trPr>
          <w:trHeight w:val="225" w:hRule="atLeast"/>
          <w:jc w:val="center"/>
        </w:trPr>
        <w:tc>
          <w:tcPr>
            <w:tcW w:w="1065" w:type="pct"/>
            <w:vMerge w:val="continue"/>
            <w:tcBorders>
              <w:top w:val="nil"/>
              <w:left w:val="single" w:color="auto" w:sz="4" w:space="0"/>
              <w:bottom w:val="single" w:color="auto" w:sz="4" w:space="0"/>
              <w:right w:val="single" w:color="auto" w:sz="4" w:space="0"/>
            </w:tcBorders>
            <w:vAlign w:val="center"/>
          </w:tcPr>
          <w:p w14:paraId="772056AB">
            <w:pPr>
              <w:widowControl/>
              <w:jc w:val="left"/>
              <w:rPr>
                <w:rFonts w:hint="eastAsia" w:ascii="宋体" w:hAnsi="宋体" w:cs="宋体"/>
                <w:b/>
                <w:bCs/>
                <w:color w:val="auto"/>
                <w:kern w:val="0"/>
                <w:sz w:val="18"/>
                <w:szCs w:val="18"/>
                <w:highlight w:val="none"/>
              </w:rPr>
            </w:pPr>
          </w:p>
        </w:tc>
        <w:tc>
          <w:tcPr>
            <w:tcW w:w="867" w:type="pct"/>
            <w:tcBorders>
              <w:top w:val="nil"/>
              <w:left w:val="nil"/>
              <w:bottom w:val="single" w:color="auto" w:sz="4" w:space="0"/>
              <w:right w:val="single" w:color="auto" w:sz="4" w:space="0"/>
            </w:tcBorders>
            <w:vAlign w:val="center"/>
          </w:tcPr>
          <w:p w14:paraId="08C8B5B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571" w:type="pct"/>
            <w:tcBorders>
              <w:top w:val="nil"/>
              <w:left w:val="nil"/>
              <w:bottom w:val="single" w:color="auto" w:sz="4" w:space="0"/>
              <w:right w:val="single" w:color="auto" w:sz="4" w:space="0"/>
            </w:tcBorders>
            <w:vAlign w:val="center"/>
          </w:tcPr>
          <w:p w14:paraId="6A6BB26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014" w:type="pct"/>
            <w:tcBorders>
              <w:top w:val="nil"/>
              <w:left w:val="nil"/>
              <w:bottom w:val="single" w:color="auto" w:sz="4" w:space="0"/>
              <w:right w:val="single" w:color="auto" w:sz="4" w:space="0"/>
            </w:tcBorders>
            <w:vAlign w:val="center"/>
          </w:tcPr>
          <w:p w14:paraId="174A647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5000≤Z＜10000</w:t>
            </w:r>
          </w:p>
        </w:tc>
        <w:tc>
          <w:tcPr>
            <w:tcW w:w="901" w:type="pct"/>
            <w:tcBorders>
              <w:top w:val="nil"/>
              <w:left w:val="nil"/>
              <w:bottom w:val="single" w:color="auto" w:sz="4" w:space="0"/>
              <w:right w:val="single" w:color="auto" w:sz="4" w:space="0"/>
            </w:tcBorders>
            <w:vAlign w:val="center"/>
          </w:tcPr>
          <w:p w14:paraId="36A2F43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2000≤Y＜5000</w:t>
            </w:r>
          </w:p>
        </w:tc>
        <w:tc>
          <w:tcPr>
            <w:tcW w:w="579" w:type="pct"/>
            <w:tcBorders>
              <w:top w:val="nil"/>
              <w:left w:val="nil"/>
              <w:bottom w:val="single" w:color="auto" w:sz="4" w:space="0"/>
              <w:right w:val="single" w:color="auto" w:sz="4" w:space="0"/>
            </w:tcBorders>
            <w:vAlign w:val="center"/>
          </w:tcPr>
          <w:p w14:paraId="76A7FDE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w:t>
            </w:r>
          </w:p>
        </w:tc>
      </w:tr>
      <w:tr w14:paraId="229DEF76">
        <w:tblPrEx>
          <w:tblCellMar>
            <w:top w:w="0" w:type="dxa"/>
            <w:left w:w="108" w:type="dxa"/>
            <w:bottom w:w="0" w:type="dxa"/>
            <w:right w:w="108" w:type="dxa"/>
          </w:tblCellMar>
        </w:tblPrEx>
        <w:trPr>
          <w:trHeight w:val="225" w:hRule="atLeast"/>
          <w:jc w:val="center"/>
        </w:trPr>
        <w:tc>
          <w:tcPr>
            <w:tcW w:w="1065" w:type="pct"/>
            <w:vMerge w:val="restart"/>
            <w:tcBorders>
              <w:top w:val="nil"/>
              <w:left w:val="single" w:color="auto" w:sz="4" w:space="0"/>
              <w:bottom w:val="single" w:color="auto" w:sz="4" w:space="0"/>
              <w:right w:val="single" w:color="auto" w:sz="4" w:space="0"/>
            </w:tcBorders>
            <w:vAlign w:val="bottom"/>
          </w:tcPr>
          <w:p w14:paraId="627F68D3">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物业管理</w:t>
            </w:r>
          </w:p>
        </w:tc>
        <w:tc>
          <w:tcPr>
            <w:tcW w:w="867" w:type="pct"/>
            <w:tcBorders>
              <w:top w:val="nil"/>
              <w:left w:val="nil"/>
              <w:bottom w:val="single" w:color="auto" w:sz="4" w:space="0"/>
              <w:right w:val="single" w:color="auto" w:sz="4" w:space="0"/>
            </w:tcBorders>
            <w:vAlign w:val="center"/>
          </w:tcPr>
          <w:p w14:paraId="2682A23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571" w:type="pct"/>
            <w:tcBorders>
              <w:top w:val="nil"/>
              <w:left w:val="nil"/>
              <w:bottom w:val="single" w:color="auto" w:sz="4" w:space="0"/>
              <w:right w:val="single" w:color="auto" w:sz="4" w:space="0"/>
            </w:tcBorders>
            <w:vAlign w:val="center"/>
          </w:tcPr>
          <w:p w14:paraId="5D12FE0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014" w:type="pct"/>
            <w:tcBorders>
              <w:top w:val="nil"/>
              <w:left w:val="nil"/>
              <w:bottom w:val="single" w:color="auto" w:sz="4" w:space="0"/>
              <w:right w:val="single" w:color="auto" w:sz="4" w:space="0"/>
            </w:tcBorders>
            <w:vAlign w:val="center"/>
          </w:tcPr>
          <w:p w14:paraId="0978496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901" w:type="pct"/>
            <w:tcBorders>
              <w:top w:val="nil"/>
              <w:left w:val="nil"/>
              <w:bottom w:val="single" w:color="auto" w:sz="4" w:space="0"/>
              <w:right w:val="single" w:color="auto" w:sz="4" w:space="0"/>
            </w:tcBorders>
            <w:vAlign w:val="center"/>
          </w:tcPr>
          <w:p w14:paraId="3D5CAD8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579" w:type="pct"/>
            <w:tcBorders>
              <w:top w:val="nil"/>
              <w:left w:val="nil"/>
              <w:bottom w:val="single" w:color="auto" w:sz="4" w:space="0"/>
              <w:right w:val="single" w:color="auto" w:sz="4" w:space="0"/>
            </w:tcBorders>
            <w:vAlign w:val="center"/>
          </w:tcPr>
          <w:p w14:paraId="14FEB69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1D6C291C">
        <w:tblPrEx>
          <w:tblCellMar>
            <w:top w:w="0" w:type="dxa"/>
            <w:left w:w="108" w:type="dxa"/>
            <w:bottom w:w="0" w:type="dxa"/>
            <w:right w:w="108" w:type="dxa"/>
          </w:tblCellMar>
        </w:tblPrEx>
        <w:trPr>
          <w:trHeight w:val="225" w:hRule="atLeast"/>
          <w:jc w:val="center"/>
        </w:trPr>
        <w:tc>
          <w:tcPr>
            <w:tcW w:w="1065" w:type="pct"/>
            <w:vMerge w:val="continue"/>
            <w:tcBorders>
              <w:top w:val="nil"/>
              <w:left w:val="single" w:color="auto" w:sz="4" w:space="0"/>
              <w:bottom w:val="single" w:color="auto" w:sz="4" w:space="0"/>
              <w:right w:val="single" w:color="auto" w:sz="4" w:space="0"/>
            </w:tcBorders>
            <w:vAlign w:val="center"/>
          </w:tcPr>
          <w:p w14:paraId="3522F6BB">
            <w:pPr>
              <w:widowControl/>
              <w:jc w:val="left"/>
              <w:rPr>
                <w:rFonts w:hint="eastAsia" w:ascii="宋体" w:hAnsi="宋体" w:cs="宋体"/>
                <w:b/>
                <w:bCs/>
                <w:color w:val="auto"/>
                <w:kern w:val="0"/>
                <w:sz w:val="18"/>
                <w:szCs w:val="18"/>
                <w:highlight w:val="none"/>
              </w:rPr>
            </w:pPr>
          </w:p>
        </w:tc>
        <w:tc>
          <w:tcPr>
            <w:tcW w:w="867" w:type="pct"/>
            <w:tcBorders>
              <w:top w:val="nil"/>
              <w:left w:val="nil"/>
              <w:bottom w:val="single" w:color="auto" w:sz="4" w:space="0"/>
              <w:right w:val="single" w:color="auto" w:sz="4" w:space="0"/>
            </w:tcBorders>
            <w:vAlign w:val="center"/>
          </w:tcPr>
          <w:p w14:paraId="0FF2180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571" w:type="pct"/>
            <w:tcBorders>
              <w:top w:val="nil"/>
              <w:left w:val="nil"/>
              <w:bottom w:val="single" w:color="auto" w:sz="4" w:space="0"/>
              <w:right w:val="single" w:color="auto" w:sz="4" w:space="0"/>
            </w:tcBorders>
            <w:vAlign w:val="center"/>
          </w:tcPr>
          <w:p w14:paraId="4B25C35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014" w:type="pct"/>
            <w:tcBorders>
              <w:top w:val="nil"/>
              <w:left w:val="nil"/>
              <w:bottom w:val="single" w:color="auto" w:sz="4" w:space="0"/>
              <w:right w:val="single" w:color="auto" w:sz="4" w:space="0"/>
            </w:tcBorders>
            <w:vAlign w:val="center"/>
          </w:tcPr>
          <w:p w14:paraId="5336DE0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901" w:type="pct"/>
            <w:tcBorders>
              <w:top w:val="nil"/>
              <w:left w:val="nil"/>
              <w:bottom w:val="single" w:color="auto" w:sz="4" w:space="0"/>
              <w:right w:val="single" w:color="auto" w:sz="4" w:space="0"/>
            </w:tcBorders>
            <w:vAlign w:val="center"/>
          </w:tcPr>
          <w:p w14:paraId="34F86F3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500≤Y＜1000</w:t>
            </w:r>
          </w:p>
        </w:tc>
        <w:tc>
          <w:tcPr>
            <w:tcW w:w="579" w:type="pct"/>
            <w:tcBorders>
              <w:top w:val="nil"/>
              <w:left w:val="nil"/>
              <w:bottom w:val="single" w:color="auto" w:sz="4" w:space="0"/>
              <w:right w:val="single" w:color="auto" w:sz="4" w:space="0"/>
            </w:tcBorders>
            <w:vAlign w:val="center"/>
          </w:tcPr>
          <w:p w14:paraId="4D83B7C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Y＜500</w:t>
            </w:r>
          </w:p>
        </w:tc>
      </w:tr>
      <w:tr w14:paraId="73D15267">
        <w:tblPrEx>
          <w:tblCellMar>
            <w:top w:w="0" w:type="dxa"/>
            <w:left w:w="108" w:type="dxa"/>
            <w:bottom w:w="0" w:type="dxa"/>
            <w:right w:w="108" w:type="dxa"/>
          </w:tblCellMar>
        </w:tblPrEx>
        <w:trPr>
          <w:trHeight w:val="225" w:hRule="atLeast"/>
          <w:jc w:val="center"/>
        </w:trPr>
        <w:tc>
          <w:tcPr>
            <w:tcW w:w="1065" w:type="pct"/>
            <w:vMerge w:val="restart"/>
            <w:tcBorders>
              <w:top w:val="nil"/>
              <w:left w:val="single" w:color="auto" w:sz="4" w:space="0"/>
              <w:bottom w:val="single" w:color="auto" w:sz="4" w:space="0"/>
              <w:right w:val="single" w:color="auto" w:sz="4" w:space="0"/>
            </w:tcBorders>
            <w:vAlign w:val="bottom"/>
          </w:tcPr>
          <w:p w14:paraId="23D63B4B">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租赁和商务服务业</w:t>
            </w:r>
          </w:p>
        </w:tc>
        <w:tc>
          <w:tcPr>
            <w:tcW w:w="867" w:type="pct"/>
            <w:tcBorders>
              <w:top w:val="nil"/>
              <w:left w:val="nil"/>
              <w:bottom w:val="single" w:color="auto" w:sz="4" w:space="0"/>
              <w:right w:val="single" w:color="auto" w:sz="4" w:space="0"/>
            </w:tcBorders>
            <w:vAlign w:val="center"/>
          </w:tcPr>
          <w:p w14:paraId="6F24E77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571" w:type="pct"/>
            <w:tcBorders>
              <w:top w:val="nil"/>
              <w:left w:val="nil"/>
              <w:bottom w:val="single" w:color="auto" w:sz="4" w:space="0"/>
              <w:right w:val="single" w:color="auto" w:sz="4" w:space="0"/>
            </w:tcBorders>
            <w:vAlign w:val="center"/>
          </w:tcPr>
          <w:p w14:paraId="5CE6E44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014" w:type="pct"/>
            <w:tcBorders>
              <w:top w:val="nil"/>
              <w:left w:val="nil"/>
              <w:bottom w:val="single" w:color="auto" w:sz="4" w:space="0"/>
              <w:right w:val="single" w:color="auto" w:sz="4" w:space="0"/>
            </w:tcBorders>
            <w:vAlign w:val="center"/>
          </w:tcPr>
          <w:p w14:paraId="190A59B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901" w:type="pct"/>
            <w:tcBorders>
              <w:top w:val="nil"/>
              <w:left w:val="nil"/>
              <w:bottom w:val="single" w:color="auto" w:sz="4" w:space="0"/>
              <w:right w:val="single" w:color="auto" w:sz="4" w:space="0"/>
            </w:tcBorders>
            <w:vAlign w:val="center"/>
          </w:tcPr>
          <w:p w14:paraId="76DFAE8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579" w:type="pct"/>
            <w:tcBorders>
              <w:top w:val="nil"/>
              <w:left w:val="nil"/>
              <w:bottom w:val="single" w:color="auto" w:sz="4" w:space="0"/>
              <w:right w:val="single" w:color="auto" w:sz="4" w:space="0"/>
            </w:tcBorders>
            <w:vAlign w:val="center"/>
          </w:tcPr>
          <w:p w14:paraId="2126265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704B9FFD">
        <w:tblPrEx>
          <w:tblCellMar>
            <w:top w:w="0" w:type="dxa"/>
            <w:left w:w="108" w:type="dxa"/>
            <w:bottom w:w="0" w:type="dxa"/>
            <w:right w:w="108" w:type="dxa"/>
          </w:tblCellMar>
        </w:tblPrEx>
        <w:trPr>
          <w:trHeight w:val="225" w:hRule="atLeast"/>
          <w:jc w:val="center"/>
        </w:trPr>
        <w:tc>
          <w:tcPr>
            <w:tcW w:w="1065" w:type="pct"/>
            <w:vMerge w:val="continue"/>
            <w:tcBorders>
              <w:top w:val="nil"/>
              <w:left w:val="single" w:color="auto" w:sz="4" w:space="0"/>
              <w:bottom w:val="single" w:color="auto" w:sz="4" w:space="0"/>
              <w:right w:val="single" w:color="auto" w:sz="4" w:space="0"/>
            </w:tcBorders>
            <w:vAlign w:val="center"/>
          </w:tcPr>
          <w:p w14:paraId="789F0B31">
            <w:pPr>
              <w:widowControl/>
              <w:jc w:val="left"/>
              <w:rPr>
                <w:rFonts w:hint="eastAsia" w:ascii="宋体" w:hAnsi="宋体" w:cs="宋体"/>
                <w:b/>
                <w:bCs/>
                <w:color w:val="auto"/>
                <w:kern w:val="0"/>
                <w:sz w:val="18"/>
                <w:szCs w:val="18"/>
                <w:highlight w:val="none"/>
              </w:rPr>
            </w:pPr>
          </w:p>
        </w:tc>
        <w:tc>
          <w:tcPr>
            <w:tcW w:w="867" w:type="pct"/>
            <w:tcBorders>
              <w:top w:val="nil"/>
              <w:left w:val="nil"/>
              <w:bottom w:val="single" w:color="auto" w:sz="4" w:space="0"/>
              <w:right w:val="single" w:color="auto" w:sz="4" w:space="0"/>
            </w:tcBorders>
            <w:vAlign w:val="center"/>
          </w:tcPr>
          <w:p w14:paraId="73EBEAF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571" w:type="pct"/>
            <w:tcBorders>
              <w:top w:val="nil"/>
              <w:left w:val="nil"/>
              <w:bottom w:val="single" w:color="auto" w:sz="4" w:space="0"/>
              <w:right w:val="single" w:color="auto" w:sz="4" w:space="0"/>
            </w:tcBorders>
            <w:vAlign w:val="center"/>
          </w:tcPr>
          <w:p w14:paraId="30F5E2A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014" w:type="pct"/>
            <w:tcBorders>
              <w:top w:val="nil"/>
              <w:left w:val="nil"/>
              <w:bottom w:val="single" w:color="auto" w:sz="4" w:space="0"/>
              <w:right w:val="single" w:color="auto" w:sz="4" w:space="0"/>
            </w:tcBorders>
            <w:vAlign w:val="center"/>
          </w:tcPr>
          <w:p w14:paraId="0AF1DB6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8000≤Z＜120000</w:t>
            </w:r>
          </w:p>
        </w:tc>
        <w:tc>
          <w:tcPr>
            <w:tcW w:w="901" w:type="pct"/>
            <w:tcBorders>
              <w:top w:val="nil"/>
              <w:left w:val="nil"/>
              <w:bottom w:val="single" w:color="auto" w:sz="4" w:space="0"/>
              <w:right w:val="single" w:color="auto" w:sz="4" w:space="0"/>
            </w:tcBorders>
            <w:vAlign w:val="center"/>
          </w:tcPr>
          <w:p w14:paraId="254634A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100≤Z＜8000</w:t>
            </w:r>
          </w:p>
        </w:tc>
        <w:tc>
          <w:tcPr>
            <w:tcW w:w="579" w:type="pct"/>
            <w:tcBorders>
              <w:top w:val="nil"/>
              <w:left w:val="nil"/>
              <w:bottom w:val="single" w:color="auto" w:sz="4" w:space="0"/>
              <w:right w:val="single" w:color="auto" w:sz="4" w:space="0"/>
            </w:tcBorders>
            <w:vAlign w:val="center"/>
          </w:tcPr>
          <w:p w14:paraId="6C10E18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671E1C5A">
        <w:tblPrEx>
          <w:tblCellMar>
            <w:top w:w="0" w:type="dxa"/>
            <w:left w:w="108" w:type="dxa"/>
            <w:bottom w:w="0" w:type="dxa"/>
            <w:right w:w="108" w:type="dxa"/>
          </w:tblCellMar>
        </w:tblPrEx>
        <w:trPr>
          <w:trHeight w:val="225" w:hRule="atLeast"/>
          <w:jc w:val="center"/>
        </w:trPr>
        <w:tc>
          <w:tcPr>
            <w:tcW w:w="1065" w:type="pct"/>
            <w:tcBorders>
              <w:top w:val="nil"/>
              <w:left w:val="single" w:color="auto" w:sz="4" w:space="0"/>
              <w:bottom w:val="single" w:color="auto" w:sz="4" w:space="0"/>
              <w:right w:val="single" w:color="auto" w:sz="4" w:space="0"/>
            </w:tcBorders>
            <w:vAlign w:val="bottom"/>
          </w:tcPr>
          <w:p w14:paraId="0B61AE87">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其他未列明行业</w:t>
            </w:r>
          </w:p>
        </w:tc>
        <w:tc>
          <w:tcPr>
            <w:tcW w:w="867" w:type="pct"/>
            <w:tcBorders>
              <w:top w:val="nil"/>
              <w:left w:val="nil"/>
              <w:bottom w:val="single" w:color="auto" w:sz="4" w:space="0"/>
              <w:right w:val="single" w:color="auto" w:sz="4" w:space="0"/>
            </w:tcBorders>
            <w:vAlign w:val="center"/>
          </w:tcPr>
          <w:p w14:paraId="09DCD6C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571" w:type="pct"/>
            <w:tcBorders>
              <w:top w:val="nil"/>
              <w:left w:val="nil"/>
              <w:bottom w:val="single" w:color="auto" w:sz="4" w:space="0"/>
              <w:right w:val="single" w:color="auto" w:sz="4" w:space="0"/>
            </w:tcBorders>
            <w:vAlign w:val="center"/>
          </w:tcPr>
          <w:p w14:paraId="633AF47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014" w:type="pct"/>
            <w:tcBorders>
              <w:top w:val="nil"/>
              <w:left w:val="nil"/>
              <w:bottom w:val="single" w:color="auto" w:sz="4" w:space="0"/>
              <w:right w:val="single" w:color="auto" w:sz="4" w:space="0"/>
            </w:tcBorders>
            <w:vAlign w:val="center"/>
          </w:tcPr>
          <w:p w14:paraId="76E72A3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901" w:type="pct"/>
            <w:tcBorders>
              <w:top w:val="nil"/>
              <w:left w:val="nil"/>
              <w:bottom w:val="single" w:color="auto" w:sz="4" w:space="0"/>
              <w:right w:val="single" w:color="auto" w:sz="4" w:space="0"/>
            </w:tcBorders>
            <w:vAlign w:val="center"/>
          </w:tcPr>
          <w:p w14:paraId="6980213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579" w:type="pct"/>
            <w:tcBorders>
              <w:top w:val="nil"/>
              <w:left w:val="nil"/>
              <w:bottom w:val="single" w:color="auto" w:sz="4" w:space="0"/>
              <w:right w:val="single" w:color="auto" w:sz="4" w:space="0"/>
            </w:tcBorders>
            <w:vAlign w:val="center"/>
          </w:tcPr>
          <w:p w14:paraId="6639830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bl>
    <w:p w14:paraId="6857EE83">
      <w:pPr>
        <w:spacing w:line="360" w:lineRule="auto"/>
        <w:ind w:firstLine="525" w:firstLineChars="250"/>
        <w:rPr>
          <w:rFonts w:hint="eastAsia" w:ascii="宋体" w:hAnsi="宋体" w:cs="宋体"/>
          <w:color w:val="auto"/>
          <w:szCs w:val="21"/>
          <w:highlight w:val="none"/>
        </w:rPr>
      </w:pPr>
    </w:p>
    <w:p w14:paraId="6C8AB824">
      <w:pPr>
        <w:spacing w:line="360" w:lineRule="auto"/>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01820081">
      <w:pPr>
        <w:snapToGrid w:val="0"/>
        <w:spacing w:before="120" w:beforeLines="50" w:after="50"/>
        <w:ind w:left="142"/>
        <w:jc w:val="left"/>
        <w:rPr>
          <w:rFonts w:hint="eastAsia" w:ascii="宋体" w:hAnsi="宋体" w:cs="宋体"/>
          <w:b/>
          <w:color w:val="auto"/>
          <w:sz w:val="24"/>
          <w:highlight w:val="none"/>
        </w:rPr>
      </w:pPr>
    </w:p>
    <w:p w14:paraId="7BA40746">
      <w:pPr>
        <w:snapToGrid w:val="0"/>
        <w:spacing w:before="120" w:beforeLines="50" w:after="50"/>
        <w:ind w:left="142"/>
        <w:jc w:val="left"/>
        <w:rPr>
          <w:rFonts w:hint="eastAsia" w:ascii="宋体" w:hAnsi="宋体" w:cs="宋体"/>
          <w:b/>
          <w:color w:val="auto"/>
          <w:sz w:val="24"/>
          <w:highlight w:val="none"/>
        </w:rPr>
      </w:pPr>
    </w:p>
    <w:p w14:paraId="7986903A">
      <w:pPr>
        <w:rPr>
          <w:rFonts w:hint="eastAsia" w:ascii="宋体" w:hAnsi="宋体" w:cs="宋体"/>
          <w:b/>
          <w:color w:val="auto"/>
          <w:sz w:val="24"/>
          <w:highlight w:val="none"/>
        </w:rPr>
      </w:pPr>
    </w:p>
    <w:p w14:paraId="1CF69FD1">
      <w:pPr>
        <w:rPr>
          <w:rFonts w:hint="eastAsia" w:ascii="宋体" w:hAnsi="宋体" w:cs="宋体"/>
          <w:b/>
          <w:color w:val="auto"/>
          <w:sz w:val="24"/>
          <w:highlight w:val="none"/>
        </w:rPr>
      </w:pPr>
      <w:r>
        <w:rPr>
          <w:rFonts w:hint="eastAsia" w:ascii="宋体" w:hAnsi="宋体" w:cs="宋体"/>
          <w:b/>
          <w:color w:val="auto"/>
          <w:sz w:val="24"/>
          <w:highlight w:val="none"/>
        </w:rPr>
        <w:br w:type="page"/>
      </w:r>
    </w:p>
    <w:p w14:paraId="7AE53A8C">
      <w:pPr>
        <w:snapToGrid w:val="0"/>
        <w:spacing w:before="120" w:beforeLines="50" w:after="50"/>
        <w:ind w:left="142"/>
        <w:jc w:val="left"/>
        <w:rPr>
          <w:rFonts w:hint="eastAsia" w:ascii="宋体" w:hAnsi="宋体" w:cs="宋体"/>
          <w:b/>
          <w:color w:val="auto"/>
          <w:sz w:val="24"/>
          <w:highlight w:val="none"/>
        </w:rPr>
      </w:pPr>
      <w:r>
        <w:rPr>
          <w:rFonts w:hint="eastAsia" w:ascii="宋体" w:hAnsi="宋体" w:cs="宋体"/>
          <w:b/>
          <w:color w:val="auto"/>
          <w:sz w:val="24"/>
          <w:highlight w:val="none"/>
        </w:rPr>
        <w:t>3.残疾人福利性单位声明函格式</w:t>
      </w:r>
    </w:p>
    <w:p w14:paraId="2776E94F">
      <w:pPr>
        <w:spacing w:line="588" w:lineRule="exact"/>
        <w:jc w:val="center"/>
        <w:rPr>
          <w:rFonts w:hint="eastAsia" w:ascii="宋体" w:hAnsi="宋体" w:cs="宋体"/>
          <w:b/>
          <w:color w:val="auto"/>
          <w:spacing w:val="6"/>
          <w:sz w:val="32"/>
          <w:szCs w:val="32"/>
          <w:highlight w:val="none"/>
        </w:rPr>
      </w:pPr>
    </w:p>
    <w:p w14:paraId="6133473F">
      <w:pPr>
        <w:spacing w:line="588" w:lineRule="exact"/>
        <w:jc w:val="center"/>
        <w:rPr>
          <w:rFonts w:hint="eastAsia" w:ascii="宋体" w:hAnsi="宋体" w:cs="宋体"/>
          <w:bCs/>
          <w:color w:val="auto"/>
          <w:spacing w:val="6"/>
          <w:sz w:val="44"/>
          <w:szCs w:val="44"/>
          <w:highlight w:val="none"/>
        </w:rPr>
      </w:pPr>
      <w:r>
        <w:rPr>
          <w:rFonts w:hint="eastAsia" w:ascii="宋体" w:hAnsi="宋体" w:cs="宋体"/>
          <w:bCs/>
          <w:color w:val="auto"/>
          <w:spacing w:val="6"/>
          <w:sz w:val="44"/>
          <w:szCs w:val="44"/>
          <w:highlight w:val="none"/>
        </w:rPr>
        <w:t>残疾人福利性单位声明函</w:t>
      </w:r>
    </w:p>
    <w:p w14:paraId="50EE74AE">
      <w:pPr>
        <w:spacing w:line="360" w:lineRule="auto"/>
        <w:contextualSpacing/>
        <w:rPr>
          <w:rFonts w:hint="eastAsia" w:ascii="宋体" w:hAnsi="宋体" w:cs="宋体"/>
          <w:bCs/>
          <w:color w:val="auto"/>
          <w:spacing w:val="6"/>
          <w:sz w:val="30"/>
          <w:szCs w:val="30"/>
          <w:highlight w:val="none"/>
        </w:rPr>
      </w:pPr>
    </w:p>
    <w:p w14:paraId="740D0E3D">
      <w:pPr>
        <w:spacing w:line="360" w:lineRule="auto"/>
        <w:ind w:firstLine="504" w:firstLineChars="200"/>
        <w:contextualSpacing/>
        <w:rPr>
          <w:rFonts w:hint="eastAsia" w:ascii="宋体" w:hAnsi="宋体" w:cs="宋体"/>
          <w:color w:val="auto"/>
          <w:spacing w:val="6"/>
          <w:sz w:val="24"/>
          <w:highlight w:val="none"/>
        </w:rPr>
      </w:pPr>
      <w:r>
        <w:rPr>
          <w:rFonts w:hint="eastAsia" w:ascii="宋体" w:hAnsi="宋体" w:cs="宋体"/>
          <w:color w:val="auto"/>
          <w:spacing w:val="6"/>
          <w:sz w:val="24"/>
          <w:highlight w:val="none"/>
        </w:rPr>
        <w:t>本单位郑重声明，根据《财政部 民政部 中国残疾人联合会关于促进残疾人就业政府采购政策的通知》（财库</w:t>
      </w:r>
      <w:r>
        <w:rPr>
          <w:rFonts w:hint="eastAsia" w:ascii="宋体" w:hAnsi="宋体" w:cs="宋体"/>
          <w:color w:val="auto"/>
          <w:sz w:val="24"/>
          <w:highlight w:val="none"/>
        </w:rPr>
        <w:t>〔2017〕 141</w:t>
      </w:r>
      <w:r>
        <w:rPr>
          <w:rFonts w:hint="eastAsia" w:ascii="宋体" w:hAnsi="宋体" w:cs="宋体"/>
          <w:color w:val="auto"/>
          <w:spacing w:val="6"/>
          <w:sz w:val="24"/>
          <w:highlight w:val="none"/>
        </w:rPr>
        <w:t>号）的规定，本单位为符合条件的残疾人福利性单位，且本单位参加______单位的______项目采购活动提供本单位制造的货物（由本单位承担工程/提供服务），或者提供其他残</w:t>
      </w:r>
      <w:r>
        <w:rPr>
          <w:rFonts w:hint="eastAsia" w:ascii="宋体" w:hAnsi="宋体" w:cs="宋体"/>
          <w:color w:val="auto"/>
          <w:spacing w:val="-6"/>
          <w:sz w:val="24"/>
          <w:highlight w:val="none"/>
        </w:rPr>
        <w:t>疾人福利性单位制造的货物（不包括使用非残疾人福利性单位注册商标的货物）。</w:t>
      </w:r>
    </w:p>
    <w:p w14:paraId="5207CEA8">
      <w:pPr>
        <w:spacing w:line="360" w:lineRule="auto"/>
        <w:ind w:firstLine="504" w:firstLineChars="200"/>
        <w:contextualSpacing/>
        <w:rPr>
          <w:rFonts w:hint="eastAsia" w:ascii="宋体" w:hAnsi="宋体" w:cs="宋体"/>
          <w:color w:val="auto"/>
          <w:spacing w:val="6"/>
          <w:sz w:val="24"/>
          <w:highlight w:val="none"/>
        </w:rPr>
      </w:pPr>
      <w:r>
        <w:rPr>
          <w:rFonts w:hint="eastAsia" w:ascii="宋体" w:hAnsi="宋体" w:cs="宋体"/>
          <w:color w:val="auto"/>
          <w:spacing w:val="6"/>
          <w:sz w:val="24"/>
          <w:highlight w:val="none"/>
        </w:rPr>
        <w:t>本单位对上述声明的真实性负责。如有虚假，将依法承担相应责任。</w:t>
      </w:r>
    </w:p>
    <w:p w14:paraId="758CC04D">
      <w:pPr>
        <w:spacing w:line="360" w:lineRule="auto"/>
        <w:ind w:firstLine="504" w:firstLineChars="200"/>
        <w:contextualSpacing/>
        <w:rPr>
          <w:rFonts w:hint="eastAsia" w:ascii="宋体" w:hAnsi="宋体" w:cs="宋体"/>
          <w:color w:val="auto"/>
          <w:spacing w:val="6"/>
          <w:sz w:val="24"/>
          <w:highlight w:val="none"/>
        </w:rPr>
      </w:pPr>
    </w:p>
    <w:p w14:paraId="13E8BCF2">
      <w:pPr>
        <w:spacing w:line="360" w:lineRule="auto"/>
        <w:ind w:firstLine="504" w:firstLineChars="200"/>
        <w:contextualSpacing/>
        <w:rPr>
          <w:rFonts w:hint="eastAsia" w:ascii="宋体" w:hAnsi="宋体" w:cs="宋体"/>
          <w:color w:val="auto"/>
          <w:spacing w:val="6"/>
          <w:sz w:val="24"/>
          <w:highlight w:val="none"/>
        </w:rPr>
      </w:pPr>
    </w:p>
    <w:p w14:paraId="15D92B2E">
      <w:pPr>
        <w:tabs>
          <w:tab w:val="left" w:pos="4860"/>
        </w:tabs>
        <w:spacing w:line="360" w:lineRule="auto"/>
        <w:ind w:right="1560" w:firstLine="504" w:firstLineChars="200"/>
        <w:contextualSpacing/>
        <w:jc w:val="center"/>
        <w:rPr>
          <w:rFonts w:hint="eastAsia" w:ascii="宋体" w:hAnsi="宋体" w:cs="宋体"/>
          <w:color w:val="auto"/>
          <w:spacing w:val="6"/>
          <w:sz w:val="24"/>
          <w:highlight w:val="none"/>
        </w:rPr>
      </w:pPr>
      <w:r>
        <w:rPr>
          <w:rFonts w:hint="eastAsia" w:ascii="宋体" w:hAnsi="宋体" w:cs="宋体"/>
          <w:color w:val="auto"/>
          <w:spacing w:val="6"/>
          <w:sz w:val="24"/>
          <w:highlight w:val="none"/>
        </w:rPr>
        <w:t>单位名称（盖公章）：</w:t>
      </w:r>
    </w:p>
    <w:p w14:paraId="6909536C">
      <w:pPr>
        <w:tabs>
          <w:tab w:val="left" w:pos="4860"/>
        </w:tabs>
        <w:spacing w:line="360" w:lineRule="auto"/>
        <w:ind w:right="1560" w:firstLine="504" w:firstLineChars="200"/>
        <w:contextualSpacing/>
        <w:jc w:val="center"/>
        <w:rPr>
          <w:rFonts w:hint="eastAsia" w:ascii="宋体" w:hAnsi="宋体" w:cs="宋体"/>
          <w:color w:val="auto"/>
          <w:spacing w:val="6"/>
          <w:sz w:val="24"/>
          <w:highlight w:val="none"/>
        </w:rPr>
      </w:pPr>
      <w:r>
        <w:rPr>
          <w:rFonts w:hint="eastAsia" w:ascii="宋体" w:hAnsi="宋体" w:cs="宋体"/>
          <w:color w:val="auto"/>
          <w:spacing w:val="6"/>
          <w:sz w:val="24"/>
          <w:highlight w:val="none"/>
        </w:rPr>
        <w:t>日  期：</w:t>
      </w:r>
    </w:p>
    <w:p w14:paraId="337475BF">
      <w:pPr>
        <w:spacing w:line="360" w:lineRule="auto"/>
        <w:contextualSpacing/>
        <w:rPr>
          <w:rFonts w:hint="eastAsia" w:ascii="宋体" w:hAnsi="宋体" w:cs="宋体"/>
          <w:color w:val="auto"/>
          <w:sz w:val="24"/>
          <w:highlight w:val="none"/>
        </w:rPr>
      </w:pPr>
    </w:p>
    <w:p w14:paraId="0DDE6315">
      <w:pPr>
        <w:spacing w:line="360" w:lineRule="auto"/>
        <w:contextualSpacing/>
        <w:rPr>
          <w:rFonts w:hint="eastAsia" w:ascii="宋体" w:hAnsi="宋体" w:cs="宋体"/>
          <w:color w:val="auto"/>
          <w:sz w:val="24"/>
          <w:highlight w:val="none"/>
        </w:rPr>
      </w:pPr>
    </w:p>
    <w:p w14:paraId="62C63E62">
      <w:pPr>
        <w:spacing w:line="360" w:lineRule="auto"/>
        <w:contextualSpacing/>
        <w:rPr>
          <w:rFonts w:hint="eastAsia" w:ascii="宋体" w:hAnsi="宋体" w:cs="宋体"/>
          <w:color w:val="auto"/>
          <w:sz w:val="24"/>
          <w:highlight w:val="none"/>
        </w:rPr>
      </w:pPr>
    </w:p>
    <w:p w14:paraId="6A8ECAA5">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6A3BD3C8">
      <w:pPr>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b/>
          <w:color w:val="auto"/>
          <w:sz w:val="24"/>
          <w:highlight w:val="none"/>
        </w:rPr>
        <w:t>4.质疑函格式</w:t>
      </w:r>
    </w:p>
    <w:p w14:paraId="235D9AA3">
      <w:pPr>
        <w:spacing w:line="360" w:lineRule="auto"/>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质疑函</w:t>
      </w:r>
    </w:p>
    <w:p w14:paraId="0409FBB9">
      <w:pPr>
        <w:pStyle w:val="25"/>
        <w:snapToGrid w:val="0"/>
        <w:spacing w:line="360" w:lineRule="auto"/>
        <w:ind w:firstLine="482" w:firstLineChars="200"/>
        <w:rPr>
          <w:rFonts w:hint="eastAsia" w:hAnsi="宋体" w:cs="宋体"/>
          <w:b/>
          <w:bCs/>
          <w:color w:val="auto"/>
          <w:sz w:val="24"/>
          <w:szCs w:val="24"/>
          <w:highlight w:val="none"/>
        </w:rPr>
      </w:pPr>
      <w:r>
        <w:rPr>
          <w:rFonts w:hint="eastAsia" w:hAnsi="宋体" w:cs="宋体"/>
          <w:b/>
          <w:bCs/>
          <w:color w:val="auto"/>
          <w:sz w:val="24"/>
          <w:szCs w:val="24"/>
          <w:highlight w:val="none"/>
        </w:rPr>
        <w:t>一、质疑供应商基本信息：</w:t>
      </w:r>
    </w:p>
    <w:p w14:paraId="64EF44FC">
      <w:pPr>
        <w:pStyle w:val="25"/>
        <w:snapToGrid w:val="0"/>
        <w:spacing w:line="360" w:lineRule="auto"/>
        <w:ind w:firstLine="480" w:firstLineChars="200"/>
        <w:rPr>
          <w:rFonts w:hint="eastAsia" w:hAnsi="宋体" w:cs="宋体"/>
          <w:bCs/>
          <w:color w:val="auto"/>
          <w:sz w:val="24"/>
          <w:szCs w:val="24"/>
          <w:highlight w:val="none"/>
          <w:u w:val="single"/>
        </w:rPr>
      </w:pPr>
      <w:r>
        <w:rPr>
          <w:rFonts w:hint="eastAsia" w:hAnsi="宋体" w:cs="宋体"/>
          <w:bCs/>
          <w:color w:val="auto"/>
          <w:sz w:val="24"/>
          <w:szCs w:val="24"/>
          <w:highlight w:val="none"/>
        </w:rPr>
        <w:t>质疑供应商：</w:t>
      </w:r>
      <w:r>
        <w:rPr>
          <w:rFonts w:hint="eastAsia" w:hAnsi="宋体" w:cs="宋体"/>
          <w:bCs/>
          <w:color w:val="auto"/>
          <w:sz w:val="24"/>
          <w:szCs w:val="24"/>
          <w:highlight w:val="none"/>
          <w:u w:val="single"/>
        </w:rPr>
        <w:t xml:space="preserve">            </w:t>
      </w:r>
    </w:p>
    <w:p w14:paraId="389DFBD6">
      <w:pPr>
        <w:pStyle w:val="25"/>
        <w:snapToGrid w:val="0"/>
        <w:spacing w:line="360" w:lineRule="auto"/>
        <w:ind w:firstLine="480" w:firstLineChars="200"/>
        <w:rPr>
          <w:rFonts w:hint="eastAsia"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邮编：</w:t>
      </w:r>
      <w:r>
        <w:rPr>
          <w:rFonts w:hint="eastAsia" w:hAnsi="宋体" w:cs="宋体"/>
          <w:bCs/>
          <w:color w:val="auto"/>
          <w:sz w:val="24"/>
          <w:szCs w:val="24"/>
          <w:highlight w:val="none"/>
          <w:u w:val="single"/>
        </w:rPr>
        <w:t xml:space="preserve">            </w:t>
      </w:r>
    </w:p>
    <w:p w14:paraId="27ECED38">
      <w:pPr>
        <w:pStyle w:val="25"/>
        <w:snapToGrid w:val="0"/>
        <w:spacing w:line="360" w:lineRule="auto"/>
        <w:ind w:firstLine="480" w:firstLineChars="200"/>
        <w:rPr>
          <w:rFonts w:hint="eastAsia" w:hAnsi="宋体" w:cs="宋体"/>
          <w:bCs/>
          <w:color w:val="auto"/>
          <w:sz w:val="24"/>
          <w:szCs w:val="24"/>
          <w:highlight w:val="non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联系电话</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w:t>
      </w:r>
    </w:p>
    <w:p w14:paraId="5E6D0BD8">
      <w:pPr>
        <w:pStyle w:val="25"/>
        <w:snapToGrid w:val="0"/>
        <w:spacing w:line="360" w:lineRule="auto"/>
        <w:ind w:firstLine="480" w:firstLineChars="200"/>
        <w:rPr>
          <w:rFonts w:hint="eastAsia" w:hAnsi="宋体" w:cs="宋体"/>
          <w:bCs/>
          <w:color w:val="auto"/>
          <w:sz w:val="24"/>
          <w:szCs w:val="24"/>
          <w:highlight w:val="none"/>
        </w:rPr>
      </w:pPr>
      <w:r>
        <w:rPr>
          <w:rFonts w:hint="eastAsia" w:hAnsi="宋体" w:cs="宋体"/>
          <w:bCs/>
          <w:color w:val="auto"/>
          <w:sz w:val="24"/>
          <w:szCs w:val="24"/>
          <w:highlight w:val="none"/>
        </w:rPr>
        <w:t>授权代表：</w:t>
      </w:r>
      <w:r>
        <w:rPr>
          <w:rFonts w:hint="eastAsia" w:hAnsi="宋体" w:cs="宋体"/>
          <w:bCs/>
          <w:color w:val="auto"/>
          <w:sz w:val="24"/>
          <w:szCs w:val="24"/>
          <w:highlight w:val="none"/>
          <w:u w:val="single"/>
        </w:rPr>
        <w:t xml:space="preserve">            </w:t>
      </w:r>
    </w:p>
    <w:p w14:paraId="2A4BC746">
      <w:pPr>
        <w:pStyle w:val="25"/>
        <w:snapToGrid w:val="0"/>
        <w:spacing w:line="360" w:lineRule="auto"/>
        <w:ind w:firstLine="480" w:firstLineChars="200"/>
        <w:rPr>
          <w:rFonts w:hint="eastAsia" w:hAnsi="宋体" w:cs="宋体"/>
          <w:bCs/>
          <w:color w:val="auto"/>
          <w:sz w:val="24"/>
          <w:szCs w:val="24"/>
          <w:highlight w:val="none"/>
          <w:u w:val="single"/>
        </w:rPr>
      </w:pP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190DD39D">
      <w:pPr>
        <w:pStyle w:val="25"/>
        <w:snapToGrid w:val="0"/>
        <w:spacing w:line="360" w:lineRule="auto"/>
        <w:ind w:firstLine="480" w:firstLineChars="200"/>
        <w:rPr>
          <w:rFonts w:hint="eastAsia"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邮编：</w:t>
      </w:r>
      <w:r>
        <w:rPr>
          <w:rFonts w:hint="eastAsia" w:hAnsi="宋体" w:cs="宋体"/>
          <w:bCs/>
          <w:color w:val="auto"/>
          <w:sz w:val="24"/>
          <w:szCs w:val="24"/>
          <w:highlight w:val="none"/>
          <w:u w:val="single"/>
        </w:rPr>
        <w:t xml:space="preserve">            </w:t>
      </w:r>
    </w:p>
    <w:p w14:paraId="16F78352">
      <w:pPr>
        <w:pStyle w:val="25"/>
        <w:snapToGrid w:val="0"/>
        <w:spacing w:line="360" w:lineRule="auto"/>
        <w:ind w:firstLine="482" w:firstLineChars="200"/>
        <w:rPr>
          <w:rFonts w:hint="eastAsia" w:hAnsi="宋体" w:cs="宋体"/>
          <w:b/>
          <w:bCs/>
          <w:color w:val="auto"/>
          <w:sz w:val="24"/>
          <w:szCs w:val="24"/>
          <w:highlight w:val="none"/>
        </w:rPr>
      </w:pPr>
      <w:r>
        <w:rPr>
          <w:rFonts w:hint="eastAsia" w:hAnsi="宋体" w:cs="宋体"/>
          <w:b/>
          <w:bCs/>
          <w:color w:val="auto"/>
          <w:sz w:val="24"/>
          <w:szCs w:val="24"/>
          <w:highlight w:val="none"/>
        </w:rPr>
        <w:t>二、质疑项目基本情况：</w:t>
      </w:r>
    </w:p>
    <w:p w14:paraId="0081EF8D">
      <w:pPr>
        <w:pStyle w:val="25"/>
        <w:spacing w:line="360" w:lineRule="auto"/>
        <w:ind w:left="25" w:leftChars="12" w:firstLine="472" w:firstLineChars="197"/>
        <w:rPr>
          <w:rFonts w:hint="eastAsia" w:hAnsi="宋体" w:cs="宋体"/>
          <w:color w:val="auto"/>
          <w:sz w:val="24"/>
          <w:szCs w:val="24"/>
          <w:highlight w:val="none"/>
        </w:rPr>
      </w:pPr>
      <w:r>
        <w:rPr>
          <w:rFonts w:hint="eastAsia" w:hAnsi="宋体" w:cs="宋体"/>
          <w:bCs/>
          <w:color w:val="auto"/>
          <w:sz w:val="24"/>
          <w:szCs w:val="24"/>
          <w:highlight w:val="none"/>
        </w:rPr>
        <w:t>质疑</w:t>
      </w:r>
      <w:r>
        <w:rPr>
          <w:rFonts w:hint="eastAsia" w:hAnsi="宋体" w:cs="宋体"/>
          <w:color w:val="auto"/>
          <w:sz w:val="24"/>
          <w:szCs w:val="24"/>
          <w:highlight w:val="none"/>
        </w:rPr>
        <w:t>项目的名称：</w:t>
      </w:r>
      <w:r>
        <w:rPr>
          <w:rFonts w:hint="eastAsia" w:hAnsi="宋体" w:cs="宋体"/>
          <w:bCs/>
          <w:color w:val="auto"/>
          <w:sz w:val="24"/>
          <w:szCs w:val="24"/>
          <w:highlight w:val="none"/>
          <w:u w:val="single"/>
        </w:rPr>
        <w:t xml:space="preserve">            </w:t>
      </w:r>
    </w:p>
    <w:p w14:paraId="1748F1E6">
      <w:pPr>
        <w:pStyle w:val="25"/>
        <w:spacing w:line="360" w:lineRule="auto"/>
        <w:ind w:left="25" w:leftChars="12" w:firstLine="472" w:firstLineChars="197"/>
        <w:rPr>
          <w:rFonts w:hint="eastAsia" w:hAnsi="宋体" w:cs="宋体"/>
          <w:color w:val="auto"/>
          <w:sz w:val="24"/>
          <w:szCs w:val="24"/>
          <w:highlight w:val="none"/>
        </w:rPr>
      </w:pPr>
      <w:r>
        <w:rPr>
          <w:rFonts w:hint="eastAsia" w:hAnsi="宋体" w:cs="宋体"/>
          <w:bCs/>
          <w:color w:val="auto"/>
          <w:sz w:val="24"/>
          <w:szCs w:val="24"/>
          <w:highlight w:val="none"/>
        </w:rPr>
        <w:t>质疑</w:t>
      </w:r>
      <w:r>
        <w:rPr>
          <w:rFonts w:hint="eastAsia" w:hAnsi="宋体" w:cs="宋体"/>
          <w:color w:val="auto"/>
          <w:sz w:val="24"/>
          <w:szCs w:val="24"/>
          <w:highlight w:val="none"/>
        </w:rPr>
        <w:t>项目的编号：</w:t>
      </w:r>
      <w:r>
        <w:rPr>
          <w:rFonts w:hint="eastAsia" w:hAnsi="宋体" w:cs="宋体"/>
          <w:bCs/>
          <w:color w:val="auto"/>
          <w:sz w:val="24"/>
          <w:szCs w:val="24"/>
          <w:highlight w:val="none"/>
          <w:u w:val="single"/>
        </w:rPr>
        <w:t xml:space="preserve">            </w:t>
      </w:r>
    </w:p>
    <w:p w14:paraId="55647ED2">
      <w:pPr>
        <w:pStyle w:val="25"/>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采购人名称：</w:t>
      </w:r>
      <w:r>
        <w:rPr>
          <w:rFonts w:hint="eastAsia" w:hAnsi="宋体" w:cs="宋体"/>
          <w:bCs/>
          <w:color w:val="auto"/>
          <w:sz w:val="24"/>
          <w:szCs w:val="24"/>
          <w:highlight w:val="none"/>
          <w:u w:val="single"/>
        </w:rPr>
        <w:t xml:space="preserve">            </w:t>
      </w:r>
    </w:p>
    <w:p w14:paraId="65604B5E">
      <w:pPr>
        <w:pStyle w:val="25"/>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质疑事项：</w:t>
      </w:r>
    </w:p>
    <w:p w14:paraId="61C7401F">
      <w:pPr>
        <w:pStyle w:val="25"/>
        <w:spacing w:line="360" w:lineRule="auto"/>
        <w:ind w:left="25" w:leftChars="12" w:firstLine="352" w:firstLineChars="147"/>
        <w:rPr>
          <w:rFonts w:hint="eastAsia" w:hAnsi="宋体" w:cs="宋体"/>
          <w:color w:val="auto"/>
          <w:sz w:val="24"/>
          <w:szCs w:val="24"/>
          <w:highlight w:val="none"/>
        </w:rPr>
      </w:pPr>
      <w:r>
        <w:rPr>
          <w:rFonts w:hint="eastAsia" w:hAnsi="宋体" w:cs="宋体"/>
          <w:color w:val="auto"/>
          <w:sz w:val="24"/>
          <w:szCs w:val="24"/>
          <w:highlight w:val="none"/>
        </w:rPr>
        <w:t>□招标文件   招标文件获取日期：</w:t>
      </w:r>
      <w:r>
        <w:rPr>
          <w:rFonts w:hint="eastAsia" w:hAnsi="宋体" w:cs="宋体"/>
          <w:bCs/>
          <w:color w:val="auto"/>
          <w:sz w:val="24"/>
          <w:szCs w:val="24"/>
          <w:highlight w:val="none"/>
          <w:u w:val="single"/>
        </w:rPr>
        <w:t xml:space="preserve">            </w:t>
      </w:r>
    </w:p>
    <w:p w14:paraId="78389405">
      <w:pPr>
        <w:pStyle w:val="25"/>
        <w:spacing w:line="360" w:lineRule="auto"/>
        <w:ind w:left="25" w:leftChars="12" w:firstLine="352" w:firstLineChars="147"/>
        <w:rPr>
          <w:rFonts w:hint="eastAsia" w:hAnsi="宋体" w:cs="宋体"/>
          <w:color w:val="auto"/>
          <w:sz w:val="24"/>
          <w:szCs w:val="24"/>
          <w:highlight w:val="none"/>
        </w:rPr>
      </w:pPr>
      <w:r>
        <w:rPr>
          <w:rFonts w:hint="eastAsia" w:hAnsi="宋体" w:cs="宋体"/>
          <w:color w:val="auto"/>
          <w:sz w:val="24"/>
          <w:szCs w:val="24"/>
          <w:highlight w:val="none"/>
        </w:rPr>
        <w:t xml:space="preserve">□采购过程   </w:t>
      </w:r>
    </w:p>
    <w:p w14:paraId="2A989072">
      <w:pPr>
        <w:pStyle w:val="25"/>
        <w:spacing w:line="360" w:lineRule="auto"/>
        <w:ind w:left="25" w:leftChars="12" w:firstLine="352" w:firstLineChars="147"/>
        <w:rPr>
          <w:rFonts w:hint="eastAsia" w:hAnsi="宋体" w:cs="宋体"/>
          <w:bCs/>
          <w:color w:val="auto"/>
          <w:sz w:val="24"/>
          <w:szCs w:val="24"/>
          <w:highlight w:val="none"/>
          <w:u w:val="single"/>
        </w:rPr>
      </w:pPr>
      <w:r>
        <w:rPr>
          <w:rFonts w:hint="eastAsia" w:hAnsi="宋体" w:cs="宋体"/>
          <w:color w:val="auto"/>
          <w:sz w:val="24"/>
          <w:szCs w:val="24"/>
          <w:highlight w:val="none"/>
        </w:rPr>
        <w:t xml:space="preserve">□中标结果   </w:t>
      </w:r>
    </w:p>
    <w:p w14:paraId="61716403">
      <w:pPr>
        <w:pStyle w:val="25"/>
        <w:spacing w:line="360" w:lineRule="auto"/>
        <w:ind w:left="25" w:leftChars="12" w:firstLine="472" w:firstLineChars="196"/>
        <w:rPr>
          <w:rFonts w:hint="eastAsia" w:hAnsi="宋体" w:cs="宋体"/>
          <w:b/>
          <w:color w:val="auto"/>
          <w:sz w:val="24"/>
          <w:szCs w:val="24"/>
          <w:highlight w:val="none"/>
        </w:rPr>
      </w:pPr>
      <w:r>
        <w:rPr>
          <w:rFonts w:hint="eastAsia" w:hAnsi="宋体" w:cs="宋体"/>
          <w:b/>
          <w:color w:val="auto"/>
          <w:sz w:val="24"/>
          <w:szCs w:val="24"/>
          <w:highlight w:val="none"/>
        </w:rPr>
        <w:t>三、质疑事项具体内容</w:t>
      </w:r>
    </w:p>
    <w:p w14:paraId="3681BBB5">
      <w:pPr>
        <w:pStyle w:val="25"/>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质疑事项1：</w:t>
      </w:r>
      <w:r>
        <w:rPr>
          <w:rFonts w:hint="eastAsia" w:hAnsi="宋体" w:cs="宋体"/>
          <w:bCs/>
          <w:color w:val="auto"/>
          <w:sz w:val="24"/>
          <w:szCs w:val="24"/>
          <w:highlight w:val="none"/>
          <w:u w:val="single"/>
        </w:rPr>
        <w:t xml:space="preserve">            </w:t>
      </w:r>
    </w:p>
    <w:p w14:paraId="52A4A5E1">
      <w:pPr>
        <w:pStyle w:val="25"/>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事实依据：</w:t>
      </w:r>
      <w:r>
        <w:rPr>
          <w:rFonts w:hint="eastAsia" w:hAnsi="宋体" w:cs="宋体"/>
          <w:bCs/>
          <w:color w:val="auto"/>
          <w:sz w:val="24"/>
          <w:szCs w:val="24"/>
          <w:highlight w:val="none"/>
          <w:u w:val="single"/>
        </w:rPr>
        <w:t xml:space="preserve">            </w:t>
      </w:r>
    </w:p>
    <w:p w14:paraId="1D02D70A">
      <w:pPr>
        <w:pStyle w:val="25"/>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法律依据：</w:t>
      </w:r>
      <w:r>
        <w:rPr>
          <w:rFonts w:hint="eastAsia" w:hAnsi="宋体" w:cs="宋体"/>
          <w:bCs/>
          <w:color w:val="auto"/>
          <w:sz w:val="24"/>
          <w:szCs w:val="24"/>
          <w:highlight w:val="none"/>
          <w:u w:val="single"/>
        </w:rPr>
        <w:t xml:space="preserve">            </w:t>
      </w:r>
    </w:p>
    <w:p w14:paraId="6BE07340">
      <w:pPr>
        <w:pStyle w:val="25"/>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质疑事项2</w:t>
      </w:r>
    </w:p>
    <w:p w14:paraId="3DCAAD42">
      <w:pPr>
        <w:pStyle w:val="25"/>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w:t>
      </w:r>
    </w:p>
    <w:p w14:paraId="37F25ABC">
      <w:pPr>
        <w:pStyle w:val="25"/>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四、与质疑事项相关的质疑请求：</w:t>
      </w:r>
    </w:p>
    <w:p w14:paraId="2B7AF9A0">
      <w:pPr>
        <w:pStyle w:val="25"/>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请求：</w:t>
      </w:r>
      <w:r>
        <w:rPr>
          <w:rFonts w:hint="eastAsia" w:hAnsi="宋体" w:cs="宋体"/>
          <w:bCs/>
          <w:color w:val="auto"/>
          <w:sz w:val="24"/>
          <w:szCs w:val="24"/>
          <w:highlight w:val="none"/>
          <w:u w:val="single"/>
        </w:rPr>
        <w:t xml:space="preserve">            </w:t>
      </w:r>
    </w:p>
    <w:p w14:paraId="0DFC48F4">
      <w:pPr>
        <w:pStyle w:val="25"/>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签字（签章）：                                       公章：</w:t>
      </w:r>
    </w:p>
    <w:p w14:paraId="57EAB8D8">
      <w:pPr>
        <w:pStyle w:val="25"/>
        <w:spacing w:line="360" w:lineRule="auto"/>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日期：</w:t>
      </w:r>
    </w:p>
    <w:p w14:paraId="6A9BC757">
      <w:pPr>
        <w:pStyle w:val="25"/>
        <w:snapToGrid w:val="0"/>
        <w:spacing w:line="360" w:lineRule="auto"/>
        <w:rPr>
          <w:rFonts w:hint="eastAsia" w:hAnsi="宋体" w:cs="宋体"/>
          <w:b/>
          <w:color w:val="auto"/>
          <w:sz w:val="24"/>
          <w:szCs w:val="24"/>
          <w:highlight w:val="none"/>
        </w:rPr>
      </w:pPr>
    </w:p>
    <w:p w14:paraId="04467F68">
      <w:pPr>
        <w:pStyle w:val="25"/>
        <w:snapToGrid w:val="0"/>
        <w:spacing w:line="360" w:lineRule="auto"/>
        <w:rPr>
          <w:rFonts w:hint="eastAsia" w:hAnsi="宋体" w:cs="宋体"/>
          <w:b/>
          <w:color w:val="auto"/>
          <w:sz w:val="24"/>
          <w:szCs w:val="24"/>
          <w:highlight w:val="none"/>
        </w:rPr>
      </w:pPr>
      <w:r>
        <w:rPr>
          <w:rFonts w:hint="eastAsia" w:hAnsi="宋体" w:cs="宋体"/>
          <w:b/>
          <w:color w:val="auto"/>
          <w:sz w:val="24"/>
          <w:szCs w:val="24"/>
          <w:highlight w:val="none"/>
        </w:rPr>
        <w:t>说明：</w:t>
      </w:r>
    </w:p>
    <w:p w14:paraId="2BB90C44">
      <w:pPr>
        <w:pStyle w:val="25"/>
        <w:spacing w:line="360" w:lineRule="auto"/>
        <w:ind w:left="25" w:leftChars="12" w:firstLine="354" w:firstLineChars="147"/>
        <w:rPr>
          <w:rFonts w:hint="eastAsia" w:hAnsi="宋体" w:cs="宋体"/>
          <w:b/>
          <w:bCs/>
          <w:color w:val="auto"/>
          <w:sz w:val="24"/>
          <w:szCs w:val="24"/>
          <w:highlight w:val="none"/>
        </w:rPr>
      </w:pPr>
      <w:r>
        <w:rPr>
          <w:rFonts w:hint="eastAsia" w:hAnsi="宋体" w:cs="宋体"/>
          <w:b/>
          <w:color w:val="auto"/>
          <w:sz w:val="24"/>
          <w:szCs w:val="24"/>
          <w:highlight w:val="none"/>
        </w:rPr>
        <w:t>1.供应商提出质疑时，应提交质疑函和必要的证明材料</w:t>
      </w:r>
      <w:r>
        <w:rPr>
          <w:rFonts w:hint="eastAsia" w:hAnsi="宋体" w:cs="宋体"/>
          <w:b/>
          <w:bCs/>
          <w:color w:val="auto"/>
          <w:sz w:val="24"/>
          <w:szCs w:val="24"/>
          <w:highlight w:val="none"/>
        </w:rPr>
        <w:t>。</w:t>
      </w:r>
    </w:p>
    <w:p w14:paraId="3BCF6961">
      <w:pPr>
        <w:pStyle w:val="25"/>
        <w:spacing w:line="360" w:lineRule="auto"/>
        <w:ind w:left="25" w:leftChars="12" w:firstLine="354" w:firstLineChars="147"/>
        <w:rPr>
          <w:rFonts w:hint="eastAsia" w:hAnsi="宋体" w:cs="宋体"/>
          <w:b/>
          <w:color w:val="auto"/>
          <w:sz w:val="24"/>
          <w:szCs w:val="24"/>
          <w:highlight w:val="none"/>
        </w:rPr>
      </w:pPr>
      <w:r>
        <w:rPr>
          <w:rFonts w:hint="eastAsia" w:hAnsi="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9C4EBC2">
      <w:pPr>
        <w:pStyle w:val="25"/>
        <w:spacing w:line="360" w:lineRule="auto"/>
        <w:ind w:left="25" w:leftChars="12" w:firstLine="354" w:firstLineChars="147"/>
        <w:rPr>
          <w:rFonts w:hint="eastAsia" w:hAnsi="宋体" w:cs="宋体"/>
          <w:b/>
          <w:color w:val="auto"/>
          <w:sz w:val="24"/>
          <w:szCs w:val="24"/>
          <w:highlight w:val="none"/>
        </w:rPr>
      </w:pPr>
      <w:r>
        <w:rPr>
          <w:rFonts w:hint="eastAsia" w:hAnsi="宋体" w:cs="宋体"/>
          <w:b/>
          <w:color w:val="auto"/>
          <w:sz w:val="24"/>
          <w:szCs w:val="24"/>
          <w:highlight w:val="none"/>
        </w:rPr>
        <w:t>3.质疑函的质疑事项应具体、明确，并有必要的事实依据和法律依据。</w:t>
      </w:r>
    </w:p>
    <w:p w14:paraId="7F6D8758">
      <w:pPr>
        <w:pStyle w:val="25"/>
        <w:spacing w:line="360" w:lineRule="auto"/>
        <w:ind w:left="25" w:leftChars="12" w:firstLine="354" w:firstLineChars="147"/>
        <w:rPr>
          <w:rFonts w:hint="eastAsia" w:hAnsi="宋体" w:cs="宋体"/>
          <w:b/>
          <w:color w:val="auto"/>
          <w:sz w:val="24"/>
          <w:szCs w:val="24"/>
          <w:highlight w:val="none"/>
        </w:rPr>
      </w:pPr>
      <w:r>
        <w:rPr>
          <w:rFonts w:hint="eastAsia" w:hAnsi="宋体" w:cs="宋体"/>
          <w:b/>
          <w:color w:val="auto"/>
          <w:sz w:val="24"/>
          <w:szCs w:val="24"/>
          <w:highlight w:val="none"/>
        </w:rPr>
        <w:t>4.质疑函的质疑请求应与质疑事项相关。</w:t>
      </w:r>
    </w:p>
    <w:p w14:paraId="532CF7D1">
      <w:pPr>
        <w:pStyle w:val="25"/>
        <w:spacing w:line="360" w:lineRule="auto"/>
        <w:ind w:left="25" w:leftChars="12" w:firstLine="354" w:firstLineChars="147"/>
        <w:rPr>
          <w:rFonts w:hint="eastAsia" w:hAnsi="宋体" w:cs="宋体"/>
          <w:b/>
          <w:color w:val="auto"/>
          <w:highlight w:val="none"/>
        </w:rPr>
      </w:pPr>
      <w:r>
        <w:rPr>
          <w:rFonts w:hint="eastAsia" w:hAnsi="宋体" w:cs="宋体"/>
          <w:b/>
          <w:color w:val="auto"/>
          <w:sz w:val="24"/>
          <w:szCs w:val="24"/>
          <w:highlight w:val="none"/>
        </w:rPr>
        <w:t>5.质疑供应商为法人或者其他组织的，质疑函应由法定代表人、主要负责人，或者其授权代表签字或者盖章，并加盖公章。</w:t>
      </w:r>
    </w:p>
    <w:p w14:paraId="1B4788C6">
      <w:pPr>
        <w:pStyle w:val="25"/>
        <w:snapToGrid w:val="0"/>
        <w:rPr>
          <w:rFonts w:hint="eastAsia" w:hAnsi="宋体" w:cs="宋体"/>
          <w:b/>
          <w:color w:val="auto"/>
          <w:sz w:val="24"/>
          <w:szCs w:val="24"/>
          <w:highlight w:val="none"/>
        </w:rPr>
      </w:pPr>
    </w:p>
    <w:p w14:paraId="4559AE2C">
      <w:pPr>
        <w:spacing w:line="360" w:lineRule="auto"/>
        <w:jc w:val="left"/>
        <w:rPr>
          <w:rFonts w:hint="eastAsia" w:ascii="宋体" w:hAnsi="宋体" w:cs="宋体"/>
          <w:b/>
          <w:bCs/>
          <w:color w:val="auto"/>
          <w:sz w:val="32"/>
          <w:szCs w:val="32"/>
          <w:highlight w:val="none"/>
        </w:rPr>
      </w:pPr>
      <w:r>
        <w:rPr>
          <w:rFonts w:hint="eastAsia" w:ascii="宋体" w:hAnsi="宋体" w:cs="宋体"/>
          <w:color w:val="auto"/>
          <w:sz w:val="44"/>
          <w:highlight w:val="none"/>
        </w:rPr>
        <w:br w:type="page"/>
      </w:r>
      <w:r>
        <w:rPr>
          <w:rFonts w:hint="eastAsia" w:ascii="宋体" w:hAnsi="宋体" w:cs="宋体"/>
          <w:b/>
          <w:color w:val="auto"/>
          <w:sz w:val="24"/>
          <w:highlight w:val="none"/>
        </w:rPr>
        <w:t>5.投诉书格式</w:t>
      </w:r>
    </w:p>
    <w:p w14:paraId="15B2605F">
      <w:pPr>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投诉书</w:t>
      </w:r>
    </w:p>
    <w:p w14:paraId="43AF2423">
      <w:pPr>
        <w:pStyle w:val="25"/>
        <w:snapToGrid w:val="0"/>
        <w:spacing w:line="440" w:lineRule="exact"/>
        <w:ind w:firstLine="482" w:firstLineChars="200"/>
        <w:rPr>
          <w:rFonts w:hint="eastAsia" w:hAnsi="宋体" w:cs="宋体"/>
          <w:b/>
          <w:bCs/>
          <w:color w:val="auto"/>
          <w:sz w:val="24"/>
          <w:szCs w:val="24"/>
          <w:highlight w:val="none"/>
        </w:rPr>
      </w:pPr>
    </w:p>
    <w:p w14:paraId="633CD09C">
      <w:pPr>
        <w:pStyle w:val="25"/>
        <w:snapToGrid w:val="0"/>
        <w:spacing w:line="440" w:lineRule="exact"/>
        <w:ind w:firstLine="482" w:firstLineChars="200"/>
        <w:rPr>
          <w:rFonts w:hint="eastAsia" w:hAnsi="宋体" w:cs="宋体"/>
          <w:b/>
          <w:bCs/>
          <w:color w:val="auto"/>
          <w:sz w:val="24"/>
          <w:szCs w:val="24"/>
          <w:highlight w:val="none"/>
        </w:rPr>
      </w:pPr>
      <w:r>
        <w:rPr>
          <w:rFonts w:hint="eastAsia" w:hAnsi="宋体" w:cs="宋体"/>
          <w:b/>
          <w:bCs/>
          <w:color w:val="auto"/>
          <w:sz w:val="24"/>
          <w:szCs w:val="24"/>
          <w:highlight w:val="none"/>
        </w:rPr>
        <w:t>一、投诉相关主体基本情况：</w:t>
      </w:r>
    </w:p>
    <w:p w14:paraId="728CD9C4">
      <w:pPr>
        <w:pStyle w:val="25"/>
        <w:snapToGrid w:val="0"/>
        <w:spacing w:line="440" w:lineRule="exact"/>
        <w:ind w:firstLine="480" w:firstLineChars="200"/>
        <w:jc w:val="left"/>
        <w:rPr>
          <w:rFonts w:hint="eastAsia" w:hAnsi="宋体" w:cs="宋体"/>
          <w:bCs/>
          <w:color w:val="auto"/>
          <w:sz w:val="24"/>
          <w:szCs w:val="24"/>
          <w:highlight w:val="none"/>
          <w:u w:val="single"/>
        </w:rPr>
      </w:pPr>
      <w:r>
        <w:rPr>
          <w:rFonts w:hint="eastAsia" w:hAnsi="宋体" w:cs="宋体"/>
          <w:bCs/>
          <w:color w:val="auto"/>
          <w:sz w:val="24"/>
          <w:szCs w:val="24"/>
          <w:highlight w:val="none"/>
        </w:rPr>
        <w:t>投标人：</w:t>
      </w:r>
      <w:r>
        <w:rPr>
          <w:rFonts w:hint="eastAsia" w:hAnsi="宋体" w:cs="宋体"/>
          <w:bCs/>
          <w:color w:val="auto"/>
          <w:sz w:val="24"/>
          <w:szCs w:val="24"/>
          <w:highlight w:val="none"/>
          <w:u w:val="single"/>
        </w:rPr>
        <w:t xml:space="preserve">            </w:t>
      </w:r>
    </w:p>
    <w:p w14:paraId="4B5ED244">
      <w:pPr>
        <w:pStyle w:val="25"/>
        <w:snapToGrid w:val="0"/>
        <w:spacing w:line="440" w:lineRule="exact"/>
        <w:ind w:firstLine="480" w:firstLineChars="200"/>
        <w:jc w:val="left"/>
        <w:rPr>
          <w:rFonts w:hint="eastAsia" w:hAnsi="宋体" w:cs="宋体"/>
          <w:bCs/>
          <w:color w:val="auto"/>
          <w:sz w:val="24"/>
          <w:szCs w:val="24"/>
          <w:highlight w:val="non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邮编：</w:t>
      </w:r>
      <w:r>
        <w:rPr>
          <w:rFonts w:hint="eastAsia" w:hAnsi="宋体" w:cs="宋体"/>
          <w:bCs/>
          <w:color w:val="auto"/>
          <w:sz w:val="24"/>
          <w:szCs w:val="24"/>
          <w:highlight w:val="none"/>
          <w:u w:val="single"/>
        </w:rPr>
        <w:t xml:space="preserve">            </w:t>
      </w:r>
    </w:p>
    <w:p w14:paraId="17A161A8">
      <w:pPr>
        <w:pStyle w:val="25"/>
        <w:snapToGrid w:val="0"/>
        <w:spacing w:line="440" w:lineRule="exact"/>
        <w:ind w:firstLine="480" w:firstLineChars="200"/>
        <w:jc w:val="left"/>
        <w:rPr>
          <w:rFonts w:hint="eastAsia" w:hAnsi="宋体" w:cs="宋体"/>
          <w:bCs/>
          <w:color w:val="auto"/>
          <w:sz w:val="24"/>
          <w:szCs w:val="24"/>
          <w:highlight w:val="none"/>
          <w:u w:val="single"/>
        </w:rPr>
      </w:pPr>
      <w:r>
        <w:rPr>
          <w:rFonts w:hint="eastAsia" w:hAnsi="宋体" w:cs="宋体"/>
          <w:bCs/>
          <w:color w:val="auto"/>
          <w:sz w:val="24"/>
          <w:szCs w:val="24"/>
          <w:highlight w:val="none"/>
        </w:rPr>
        <w:t>法定代表人/主要负责人：</w:t>
      </w:r>
      <w:r>
        <w:rPr>
          <w:rFonts w:hint="eastAsia" w:hAnsi="宋体" w:cs="宋体"/>
          <w:bCs/>
          <w:color w:val="auto"/>
          <w:sz w:val="24"/>
          <w:szCs w:val="24"/>
          <w:highlight w:val="none"/>
          <w:u w:val="single"/>
        </w:rPr>
        <w:t xml:space="preserve">            </w:t>
      </w:r>
    </w:p>
    <w:p w14:paraId="3FC38373">
      <w:pPr>
        <w:pStyle w:val="25"/>
        <w:snapToGrid w:val="0"/>
        <w:spacing w:line="440" w:lineRule="exact"/>
        <w:ind w:firstLine="480" w:firstLineChars="200"/>
        <w:jc w:val="left"/>
        <w:rPr>
          <w:rFonts w:hint="eastAsia" w:hAnsi="宋体" w:cs="宋体"/>
          <w:bCs/>
          <w:color w:val="auto"/>
          <w:sz w:val="24"/>
          <w:szCs w:val="24"/>
          <w:highlight w:val="none"/>
        </w:rPr>
      </w:pPr>
      <w:r>
        <w:rPr>
          <w:rFonts w:hint="eastAsia" w:hAnsi="宋体" w:cs="宋体"/>
          <w:bCs/>
          <w:color w:val="auto"/>
          <w:sz w:val="24"/>
          <w:szCs w:val="24"/>
          <w:highlight w:val="none"/>
        </w:rPr>
        <w:t>联系电话：</w:t>
      </w:r>
      <w:r>
        <w:rPr>
          <w:rFonts w:hint="eastAsia" w:hAnsi="宋体" w:cs="宋体"/>
          <w:bCs/>
          <w:color w:val="auto"/>
          <w:sz w:val="24"/>
          <w:szCs w:val="24"/>
          <w:highlight w:val="none"/>
          <w:u w:val="single"/>
        </w:rPr>
        <w:t xml:space="preserve">            </w:t>
      </w:r>
    </w:p>
    <w:p w14:paraId="47259059">
      <w:pPr>
        <w:pStyle w:val="25"/>
        <w:snapToGrid w:val="0"/>
        <w:spacing w:line="440" w:lineRule="exact"/>
        <w:ind w:firstLine="480" w:firstLineChars="200"/>
        <w:jc w:val="left"/>
        <w:rPr>
          <w:rFonts w:hint="eastAsia" w:hAnsi="宋体" w:cs="宋体"/>
          <w:bCs/>
          <w:color w:val="auto"/>
          <w:sz w:val="24"/>
          <w:szCs w:val="24"/>
          <w:highlight w:val="none"/>
          <w:u w:val="single"/>
        </w:rPr>
      </w:pPr>
      <w:r>
        <w:rPr>
          <w:rFonts w:hint="eastAsia" w:hAnsi="宋体" w:cs="宋体"/>
          <w:bCs/>
          <w:color w:val="auto"/>
          <w:sz w:val="24"/>
          <w:szCs w:val="24"/>
          <w:highlight w:val="none"/>
        </w:rPr>
        <w:t>授权代表：</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联系电话：</w:t>
      </w:r>
      <w:r>
        <w:rPr>
          <w:rFonts w:hint="eastAsia" w:hAnsi="宋体" w:cs="宋体"/>
          <w:bCs/>
          <w:color w:val="auto"/>
          <w:sz w:val="24"/>
          <w:szCs w:val="24"/>
          <w:highlight w:val="none"/>
          <w:u w:val="single"/>
        </w:rPr>
        <w:t xml:space="preserve">            </w:t>
      </w:r>
    </w:p>
    <w:p w14:paraId="0BD512A8">
      <w:pPr>
        <w:pStyle w:val="25"/>
        <w:snapToGrid w:val="0"/>
        <w:spacing w:line="440" w:lineRule="exact"/>
        <w:ind w:firstLine="480" w:firstLineChars="200"/>
        <w:jc w:val="left"/>
        <w:rPr>
          <w:rFonts w:hint="eastAsia"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p>
    <w:p w14:paraId="07B62310">
      <w:pPr>
        <w:pStyle w:val="25"/>
        <w:snapToGrid w:val="0"/>
        <w:spacing w:line="440" w:lineRule="exact"/>
        <w:ind w:firstLine="480" w:firstLineChars="200"/>
        <w:jc w:val="left"/>
        <w:rPr>
          <w:rFonts w:hint="eastAsia" w:hAnsi="宋体" w:cs="宋体"/>
          <w:bCs/>
          <w:color w:val="auto"/>
          <w:sz w:val="24"/>
          <w:szCs w:val="24"/>
          <w:highlight w:val="none"/>
        </w:rPr>
      </w:pP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p>
    <w:p w14:paraId="00F4934A">
      <w:pPr>
        <w:pStyle w:val="25"/>
        <w:snapToGrid w:val="0"/>
        <w:spacing w:line="440" w:lineRule="exact"/>
        <w:ind w:firstLine="480" w:firstLineChars="200"/>
        <w:jc w:val="left"/>
        <w:rPr>
          <w:rFonts w:hint="eastAsia" w:hAnsi="宋体" w:cs="宋体"/>
          <w:bCs/>
          <w:color w:val="auto"/>
          <w:sz w:val="24"/>
          <w:szCs w:val="24"/>
          <w:highlight w:val="none"/>
        </w:rPr>
      </w:pPr>
      <w:r>
        <w:rPr>
          <w:rFonts w:hint="eastAsia" w:hAnsi="宋体" w:cs="宋体"/>
          <w:bCs/>
          <w:color w:val="auto"/>
          <w:sz w:val="24"/>
          <w:szCs w:val="24"/>
          <w:highlight w:val="none"/>
        </w:rPr>
        <w:t>被投诉人1：</w:t>
      </w:r>
    </w:p>
    <w:p w14:paraId="650D159F">
      <w:pPr>
        <w:pStyle w:val="25"/>
        <w:snapToGrid w:val="0"/>
        <w:spacing w:line="440" w:lineRule="exact"/>
        <w:ind w:firstLine="480" w:firstLineChars="200"/>
        <w:jc w:val="left"/>
        <w:rPr>
          <w:rFonts w:hint="eastAsia"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p>
    <w:p w14:paraId="2B876CA6">
      <w:pPr>
        <w:pStyle w:val="25"/>
        <w:snapToGrid w:val="0"/>
        <w:spacing w:line="440" w:lineRule="exact"/>
        <w:ind w:firstLine="480" w:firstLineChars="200"/>
        <w:jc w:val="left"/>
        <w:rPr>
          <w:rFonts w:hint="eastAsia" w:hAnsi="宋体" w:cs="宋体"/>
          <w:bCs/>
          <w:color w:val="auto"/>
          <w:sz w:val="24"/>
          <w:szCs w:val="24"/>
          <w:highlight w:val="none"/>
        </w:rPr>
      </w:pPr>
      <w:r>
        <w:rPr>
          <w:rFonts w:hint="eastAsia" w:hAnsi="宋体" w:cs="宋体"/>
          <w:bCs/>
          <w:color w:val="auto"/>
          <w:sz w:val="24"/>
          <w:szCs w:val="24"/>
          <w:highlight w:val="none"/>
        </w:rPr>
        <w:t>邮编：</w:t>
      </w:r>
      <w:r>
        <w:rPr>
          <w:rFonts w:hint="eastAsia" w:hAnsi="宋体" w:cs="宋体"/>
          <w:bCs/>
          <w:color w:val="auto"/>
          <w:sz w:val="24"/>
          <w:szCs w:val="24"/>
          <w:highlight w:val="none"/>
          <w:u w:val="single"/>
        </w:rPr>
        <w:t xml:space="preserve">            </w:t>
      </w:r>
    </w:p>
    <w:p w14:paraId="0690EC33">
      <w:pPr>
        <w:pStyle w:val="25"/>
        <w:snapToGrid w:val="0"/>
        <w:spacing w:line="440" w:lineRule="exact"/>
        <w:ind w:firstLine="480" w:firstLineChars="200"/>
        <w:jc w:val="left"/>
        <w:rPr>
          <w:rFonts w:hint="eastAsia" w:hAnsi="宋体" w:cs="宋体"/>
          <w:bCs/>
          <w:color w:val="auto"/>
          <w:sz w:val="24"/>
          <w:szCs w:val="24"/>
          <w:highlight w:val="none"/>
          <w:u w:val="singl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联系电话：</w:t>
      </w:r>
      <w:r>
        <w:rPr>
          <w:rFonts w:hint="eastAsia" w:hAnsi="宋体" w:cs="宋体"/>
          <w:bCs/>
          <w:color w:val="auto"/>
          <w:sz w:val="24"/>
          <w:szCs w:val="24"/>
          <w:highlight w:val="none"/>
          <w:u w:val="single"/>
        </w:rPr>
        <w:t xml:space="preserve">            </w:t>
      </w:r>
    </w:p>
    <w:p w14:paraId="7C776C93">
      <w:pPr>
        <w:pStyle w:val="25"/>
        <w:snapToGrid w:val="0"/>
        <w:spacing w:line="440" w:lineRule="exact"/>
        <w:ind w:firstLine="480" w:firstLineChars="200"/>
        <w:jc w:val="left"/>
        <w:rPr>
          <w:rFonts w:hint="eastAsia" w:hAnsi="宋体" w:cs="宋体"/>
          <w:bCs/>
          <w:color w:val="auto"/>
          <w:sz w:val="24"/>
          <w:szCs w:val="24"/>
          <w:highlight w:val="none"/>
        </w:rPr>
      </w:pPr>
      <w:r>
        <w:rPr>
          <w:rFonts w:hint="eastAsia" w:hAnsi="宋体" w:cs="宋体"/>
          <w:bCs/>
          <w:color w:val="auto"/>
          <w:sz w:val="24"/>
          <w:szCs w:val="24"/>
          <w:highlight w:val="none"/>
        </w:rPr>
        <w:t>被投诉人2：</w:t>
      </w:r>
    </w:p>
    <w:p w14:paraId="7D6BF4EF">
      <w:pPr>
        <w:pStyle w:val="25"/>
        <w:snapToGrid w:val="0"/>
        <w:spacing w:line="440" w:lineRule="exact"/>
        <w:ind w:firstLine="480" w:firstLineChars="200"/>
        <w:jc w:val="left"/>
        <w:rPr>
          <w:rFonts w:hint="eastAsia" w:hAnsi="宋体" w:cs="宋体"/>
          <w:bCs/>
          <w:color w:val="auto"/>
          <w:sz w:val="24"/>
          <w:szCs w:val="24"/>
          <w:highlight w:val="none"/>
        </w:rPr>
      </w:pPr>
      <w:r>
        <w:rPr>
          <w:rFonts w:hint="eastAsia" w:hAnsi="宋体" w:cs="宋体"/>
          <w:bCs/>
          <w:color w:val="auto"/>
          <w:sz w:val="24"/>
          <w:szCs w:val="24"/>
          <w:highlight w:val="none"/>
        </w:rPr>
        <w:t>……</w:t>
      </w:r>
    </w:p>
    <w:p w14:paraId="6B5A5829">
      <w:pPr>
        <w:pStyle w:val="25"/>
        <w:snapToGrid w:val="0"/>
        <w:spacing w:line="440" w:lineRule="exact"/>
        <w:ind w:firstLine="480" w:firstLineChars="200"/>
        <w:jc w:val="left"/>
        <w:rPr>
          <w:rFonts w:hint="eastAsia" w:hAnsi="宋体" w:cs="宋体"/>
          <w:bCs/>
          <w:color w:val="auto"/>
          <w:sz w:val="24"/>
          <w:szCs w:val="24"/>
          <w:highlight w:val="none"/>
          <w:u w:val="single"/>
        </w:rPr>
      </w:pPr>
      <w:r>
        <w:rPr>
          <w:rFonts w:hint="eastAsia" w:hAnsi="宋体" w:cs="宋体"/>
          <w:bCs/>
          <w:color w:val="auto"/>
          <w:sz w:val="24"/>
          <w:szCs w:val="24"/>
          <w:highlight w:val="none"/>
        </w:rPr>
        <w:t>相关供应商：</w:t>
      </w:r>
      <w:r>
        <w:rPr>
          <w:rFonts w:hint="eastAsia" w:hAnsi="宋体" w:cs="宋体"/>
          <w:bCs/>
          <w:color w:val="auto"/>
          <w:sz w:val="24"/>
          <w:szCs w:val="24"/>
          <w:highlight w:val="none"/>
          <w:u w:val="single"/>
        </w:rPr>
        <w:t xml:space="preserve">            </w:t>
      </w:r>
    </w:p>
    <w:p w14:paraId="10717832">
      <w:pPr>
        <w:pStyle w:val="25"/>
        <w:snapToGrid w:val="0"/>
        <w:spacing w:line="440" w:lineRule="exact"/>
        <w:ind w:firstLine="480" w:firstLineChars="200"/>
        <w:jc w:val="left"/>
        <w:rPr>
          <w:rFonts w:hint="eastAsia" w:hAnsi="宋体" w:cs="宋体"/>
          <w:bCs/>
          <w:color w:val="auto"/>
          <w:sz w:val="24"/>
          <w:szCs w:val="24"/>
          <w:highlight w:val="none"/>
          <w:u w:val="single"/>
        </w:rPr>
      </w:pPr>
      <w:r>
        <w:rPr>
          <w:rFonts w:hint="eastAsia" w:hAnsi="宋体" w:cs="宋体"/>
          <w:bCs/>
          <w:color w:val="auto"/>
          <w:sz w:val="24"/>
          <w:szCs w:val="24"/>
          <w:highlight w:val="none"/>
        </w:rPr>
        <w:t>地址：</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邮编：</w:t>
      </w:r>
      <w:r>
        <w:rPr>
          <w:rFonts w:hint="eastAsia" w:hAnsi="宋体" w:cs="宋体"/>
          <w:bCs/>
          <w:color w:val="auto"/>
          <w:sz w:val="24"/>
          <w:szCs w:val="24"/>
          <w:highlight w:val="none"/>
          <w:u w:val="single"/>
        </w:rPr>
        <w:t xml:space="preserve">            </w:t>
      </w:r>
    </w:p>
    <w:p w14:paraId="0601329D">
      <w:pPr>
        <w:pStyle w:val="25"/>
        <w:snapToGrid w:val="0"/>
        <w:spacing w:line="440" w:lineRule="exact"/>
        <w:ind w:firstLine="480" w:firstLineChars="200"/>
        <w:jc w:val="left"/>
        <w:rPr>
          <w:rFonts w:hint="eastAsia" w:hAnsi="宋体" w:cs="宋体"/>
          <w:bCs/>
          <w:color w:val="auto"/>
          <w:sz w:val="24"/>
          <w:szCs w:val="24"/>
          <w:highlight w:val="none"/>
        </w:rPr>
      </w:pPr>
      <w:r>
        <w:rPr>
          <w:rFonts w:hint="eastAsia" w:hAnsi="宋体" w:cs="宋体"/>
          <w:bCs/>
          <w:color w:val="auto"/>
          <w:sz w:val="24"/>
          <w:szCs w:val="24"/>
          <w:highlight w:val="none"/>
        </w:rPr>
        <w:t>联系人：</w:t>
      </w:r>
      <w:r>
        <w:rPr>
          <w:rFonts w:hint="eastAsia" w:hAnsi="宋体" w:cs="宋体"/>
          <w:bCs/>
          <w:color w:val="auto"/>
          <w:sz w:val="24"/>
          <w:szCs w:val="24"/>
          <w:highlight w:val="none"/>
          <w:u w:val="single"/>
        </w:rPr>
        <w:t xml:space="preserve">            </w:t>
      </w:r>
      <w:r>
        <w:rPr>
          <w:rFonts w:hint="eastAsia" w:hAnsi="宋体" w:cs="宋体"/>
          <w:bCs/>
          <w:color w:val="auto"/>
          <w:sz w:val="24"/>
          <w:szCs w:val="24"/>
          <w:highlight w:val="none"/>
        </w:rPr>
        <w:t xml:space="preserve">          联系电话：</w:t>
      </w:r>
      <w:r>
        <w:rPr>
          <w:rFonts w:hint="eastAsia" w:hAnsi="宋体" w:cs="宋体"/>
          <w:bCs/>
          <w:color w:val="auto"/>
          <w:sz w:val="24"/>
          <w:szCs w:val="24"/>
          <w:highlight w:val="none"/>
          <w:u w:val="single"/>
        </w:rPr>
        <w:t xml:space="preserve">            </w:t>
      </w:r>
    </w:p>
    <w:p w14:paraId="66D5F9FE">
      <w:pPr>
        <w:pStyle w:val="25"/>
        <w:snapToGrid w:val="0"/>
        <w:spacing w:line="440" w:lineRule="exact"/>
        <w:ind w:firstLine="482" w:firstLineChars="200"/>
        <w:rPr>
          <w:rFonts w:hint="eastAsia" w:hAnsi="宋体" w:cs="宋体"/>
          <w:b/>
          <w:bCs/>
          <w:color w:val="auto"/>
          <w:sz w:val="24"/>
          <w:szCs w:val="24"/>
          <w:highlight w:val="none"/>
        </w:rPr>
      </w:pPr>
      <w:r>
        <w:rPr>
          <w:rFonts w:hint="eastAsia" w:hAnsi="宋体" w:cs="宋体"/>
          <w:b/>
          <w:bCs/>
          <w:color w:val="auto"/>
          <w:sz w:val="24"/>
          <w:szCs w:val="24"/>
          <w:highlight w:val="none"/>
        </w:rPr>
        <w:t>二、投诉项目基本情况：</w:t>
      </w:r>
    </w:p>
    <w:p w14:paraId="3541CEC1">
      <w:pPr>
        <w:pStyle w:val="25"/>
        <w:spacing w:line="440" w:lineRule="exact"/>
        <w:ind w:left="25" w:leftChars="12" w:firstLine="472" w:firstLineChars="197"/>
        <w:rPr>
          <w:rFonts w:hint="eastAsia" w:hAnsi="宋体" w:cs="宋体"/>
          <w:color w:val="auto"/>
          <w:sz w:val="24"/>
          <w:szCs w:val="24"/>
          <w:highlight w:val="none"/>
        </w:rPr>
      </w:pPr>
      <w:r>
        <w:rPr>
          <w:rFonts w:hint="eastAsia" w:hAnsi="宋体" w:cs="宋体"/>
          <w:bCs/>
          <w:color w:val="auto"/>
          <w:sz w:val="24"/>
          <w:szCs w:val="24"/>
          <w:highlight w:val="none"/>
        </w:rPr>
        <w:t>采购</w:t>
      </w:r>
      <w:r>
        <w:rPr>
          <w:rFonts w:hint="eastAsia" w:hAnsi="宋体" w:cs="宋体"/>
          <w:color w:val="auto"/>
          <w:sz w:val="24"/>
          <w:szCs w:val="24"/>
          <w:highlight w:val="none"/>
        </w:rPr>
        <w:t>项目的名称：</w:t>
      </w:r>
      <w:r>
        <w:rPr>
          <w:rFonts w:hint="eastAsia" w:hAnsi="宋体" w:cs="宋体"/>
          <w:bCs/>
          <w:color w:val="auto"/>
          <w:sz w:val="24"/>
          <w:szCs w:val="24"/>
          <w:highlight w:val="none"/>
          <w:u w:val="single"/>
        </w:rPr>
        <w:t xml:space="preserve">            </w:t>
      </w:r>
    </w:p>
    <w:p w14:paraId="6473E4C7">
      <w:pPr>
        <w:pStyle w:val="25"/>
        <w:spacing w:line="440" w:lineRule="exact"/>
        <w:ind w:left="25" w:leftChars="12" w:firstLine="472" w:firstLineChars="197"/>
        <w:rPr>
          <w:rFonts w:hint="eastAsia" w:hAnsi="宋体" w:cs="宋体"/>
          <w:color w:val="auto"/>
          <w:sz w:val="24"/>
          <w:szCs w:val="24"/>
          <w:highlight w:val="none"/>
        </w:rPr>
      </w:pPr>
      <w:r>
        <w:rPr>
          <w:rFonts w:hint="eastAsia" w:hAnsi="宋体" w:cs="宋体"/>
          <w:bCs/>
          <w:color w:val="auto"/>
          <w:sz w:val="24"/>
          <w:szCs w:val="24"/>
          <w:highlight w:val="none"/>
        </w:rPr>
        <w:t>采购</w:t>
      </w:r>
      <w:r>
        <w:rPr>
          <w:rFonts w:hint="eastAsia" w:hAnsi="宋体" w:cs="宋体"/>
          <w:color w:val="auto"/>
          <w:sz w:val="24"/>
          <w:szCs w:val="24"/>
          <w:highlight w:val="none"/>
        </w:rPr>
        <w:t>项目的编号：</w:t>
      </w:r>
      <w:r>
        <w:rPr>
          <w:rFonts w:hint="eastAsia" w:hAnsi="宋体" w:cs="宋体"/>
          <w:bCs/>
          <w:color w:val="auto"/>
          <w:sz w:val="24"/>
          <w:szCs w:val="24"/>
          <w:highlight w:val="none"/>
          <w:u w:val="single"/>
        </w:rPr>
        <w:t xml:space="preserve">            </w:t>
      </w:r>
    </w:p>
    <w:p w14:paraId="590A8114">
      <w:pPr>
        <w:pStyle w:val="25"/>
        <w:spacing w:line="440" w:lineRule="exact"/>
        <w:ind w:left="25" w:leftChars="12" w:firstLine="472" w:firstLineChars="197"/>
        <w:rPr>
          <w:rFonts w:hint="eastAsia" w:hAnsi="宋体" w:cs="宋体"/>
          <w:bCs/>
          <w:color w:val="auto"/>
          <w:sz w:val="24"/>
          <w:szCs w:val="24"/>
          <w:highlight w:val="none"/>
          <w:u w:val="single"/>
        </w:rPr>
      </w:pPr>
      <w:r>
        <w:rPr>
          <w:rFonts w:hint="eastAsia" w:hAnsi="宋体" w:cs="宋体"/>
          <w:color w:val="auto"/>
          <w:sz w:val="24"/>
          <w:szCs w:val="24"/>
          <w:highlight w:val="none"/>
        </w:rPr>
        <w:t>采购人名称：</w:t>
      </w:r>
      <w:r>
        <w:rPr>
          <w:rFonts w:hint="eastAsia" w:hAnsi="宋体" w:cs="宋体"/>
          <w:bCs/>
          <w:color w:val="auto"/>
          <w:sz w:val="24"/>
          <w:szCs w:val="24"/>
          <w:highlight w:val="none"/>
          <w:u w:val="single"/>
        </w:rPr>
        <w:t xml:space="preserve">            </w:t>
      </w:r>
    </w:p>
    <w:p w14:paraId="57141A7B">
      <w:pPr>
        <w:pStyle w:val="25"/>
        <w:spacing w:line="440" w:lineRule="exact"/>
        <w:ind w:left="25" w:leftChars="12" w:firstLine="472" w:firstLineChars="197"/>
        <w:rPr>
          <w:rFonts w:hint="eastAsia" w:hAnsi="宋体" w:cs="宋体"/>
          <w:bCs/>
          <w:color w:val="auto"/>
          <w:sz w:val="24"/>
          <w:szCs w:val="24"/>
          <w:highlight w:val="none"/>
          <w:u w:val="single"/>
        </w:rPr>
      </w:pPr>
      <w:r>
        <w:rPr>
          <w:rFonts w:hint="eastAsia" w:hAnsi="宋体" w:cs="宋体"/>
          <w:color w:val="auto"/>
          <w:sz w:val="24"/>
          <w:szCs w:val="24"/>
          <w:highlight w:val="none"/>
        </w:rPr>
        <w:t>代理机构名称：</w:t>
      </w:r>
      <w:r>
        <w:rPr>
          <w:rFonts w:hint="eastAsia" w:hAnsi="宋体" w:cs="宋体"/>
          <w:bCs/>
          <w:color w:val="auto"/>
          <w:sz w:val="24"/>
          <w:szCs w:val="24"/>
          <w:highlight w:val="none"/>
          <w:u w:val="single"/>
        </w:rPr>
        <w:t xml:space="preserve">            </w:t>
      </w:r>
    </w:p>
    <w:p w14:paraId="34340EC2">
      <w:pPr>
        <w:pStyle w:val="25"/>
        <w:spacing w:line="440" w:lineRule="exact"/>
        <w:ind w:left="25" w:leftChars="12" w:firstLine="472" w:firstLineChars="197"/>
        <w:rPr>
          <w:rFonts w:hint="eastAsia" w:hAnsi="宋体" w:cs="宋体"/>
          <w:bCs/>
          <w:color w:val="auto"/>
          <w:sz w:val="24"/>
          <w:szCs w:val="24"/>
          <w:highlight w:val="none"/>
          <w:u w:val="single"/>
        </w:rPr>
      </w:pPr>
      <w:r>
        <w:rPr>
          <w:rFonts w:hint="eastAsia" w:hAnsi="宋体" w:cs="宋体"/>
          <w:bCs/>
          <w:color w:val="auto"/>
          <w:sz w:val="24"/>
          <w:szCs w:val="24"/>
          <w:highlight w:val="none"/>
        </w:rPr>
        <w:t>招标文件公告：</w:t>
      </w:r>
      <w:r>
        <w:rPr>
          <w:rFonts w:hint="eastAsia" w:hAnsi="宋体" w:cs="宋体"/>
          <w:bCs/>
          <w:color w:val="auto"/>
          <w:sz w:val="24"/>
          <w:szCs w:val="24"/>
          <w:highlight w:val="none"/>
          <w:u w:val="single"/>
        </w:rPr>
        <w:t>是/否</w:t>
      </w:r>
      <w:r>
        <w:rPr>
          <w:rFonts w:hint="eastAsia" w:hAnsi="宋体" w:cs="宋体"/>
          <w:bCs/>
          <w:color w:val="auto"/>
          <w:sz w:val="24"/>
          <w:szCs w:val="24"/>
          <w:highlight w:val="none"/>
        </w:rPr>
        <w:t>公告期限：</w:t>
      </w:r>
      <w:r>
        <w:rPr>
          <w:rFonts w:hint="eastAsia" w:hAnsi="宋体" w:cs="宋体"/>
          <w:bCs/>
          <w:color w:val="auto"/>
          <w:sz w:val="24"/>
          <w:szCs w:val="24"/>
          <w:highlight w:val="none"/>
          <w:u w:val="single"/>
        </w:rPr>
        <w:t xml:space="preserve">            </w:t>
      </w:r>
    </w:p>
    <w:p w14:paraId="742A939E">
      <w:pPr>
        <w:pStyle w:val="25"/>
        <w:spacing w:line="440" w:lineRule="exact"/>
        <w:ind w:left="25" w:leftChars="12" w:firstLine="472" w:firstLineChars="197"/>
        <w:rPr>
          <w:rFonts w:hint="eastAsia" w:hAnsi="宋体" w:cs="宋体"/>
          <w:b/>
          <w:color w:val="auto"/>
          <w:sz w:val="24"/>
          <w:szCs w:val="24"/>
          <w:highlight w:val="none"/>
        </w:rPr>
      </w:pPr>
      <w:r>
        <w:rPr>
          <w:rFonts w:hint="eastAsia" w:hAnsi="宋体" w:cs="宋体"/>
          <w:bCs/>
          <w:color w:val="auto"/>
          <w:sz w:val="24"/>
          <w:szCs w:val="24"/>
          <w:highlight w:val="none"/>
        </w:rPr>
        <w:t>采购结果公告：</w:t>
      </w:r>
      <w:r>
        <w:rPr>
          <w:rFonts w:hint="eastAsia" w:hAnsi="宋体" w:cs="宋体"/>
          <w:bCs/>
          <w:color w:val="auto"/>
          <w:sz w:val="24"/>
          <w:szCs w:val="24"/>
          <w:highlight w:val="none"/>
          <w:u w:val="single"/>
        </w:rPr>
        <w:t>是/否</w:t>
      </w:r>
      <w:r>
        <w:rPr>
          <w:rFonts w:hint="eastAsia" w:hAnsi="宋体" w:cs="宋体"/>
          <w:bCs/>
          <w:color w:val="auto"/>
          <w:sz w:val="24"/>
          <w:szCs w:val="24"/>
          <w:highlight w:val="none"/>
        </w:rPr>
        <w:t>公告期限：</w:t>
      </w:r>
      <w:r>
        <w:rPr>
          <w:rFonts w:hint="eastAsia" w:hAnsi="宋体" w:cs="宋体"/>
          <w:bCs/>
          <w:color w:val="auto"/>
          <w:sz w:val="24"/>
          <w:szCs w:val="24"/>
          <w:highlight w:val="none"/>
          <w:u w:val="single"/>
        </w:rPr>
        <w:t xml:space="preserve">            </w:t>
      </w:r>
    </w:p>
    <w:p w14:paraId="05D3869C">
      <w:pPr>
        <w:pStyle w:val="25"/>
        <w:spacing w:line="440" w:lineRule="exact"/>
        <w:ind w:left="25" w:leftChars="12" w:firstLine="472" w:firstLineChars="196"/>
        <w:rPr>
          <w:rFonts w:hint="eastAsia" w:hAnsi="宋体" w:cs="宋体"/>
          <w:b/>
          <w:color w:val="auto"/>
          <w:sz w:val="24"/>
          <w:szCs w:val="24"/>
          <w:highlight w:val="none"/>
        </w:rPr>
      </w:pPr>
      <w:r>
        <w:rPr>
          <w:rFonts w:hint="eastAsia" w:hAnsi="宋体" w:cs="宋体"/>
          <w:b/>
          <w:color w:val="auto"/>
          <w:sz w:val="24"/>
          <w:szCs w:val="24"/>
          <w:highlight w:val="none"/>
        </w:rPr>
        <w:t>三、质疑基本情况</w:t>
      </w:r>
    </w:p>
    <w:p w14:paraId="715308E5">
      <w:pPr>
        <w:pStyle w:val="25"/>
        <w:spacing w:line="440" w:lineRule="exact"/>
        <w:ind w:left="25" w:leftChars="12" w:firstLine="480" w:firstLineChars="200"/>
        <w:rPr>
          <w:rFonts w:hint="eastAsia" w:hAnsi="宋体" w:cs="宋体"/>
          <w:color w:val="auto"/>
          <w:sz w:val="24"/>
          <w:szCs w:val="24"/>
          <w:highlight w:val="none"/>
        </w:rPr>
      </w:pPr>
      <w:r>
        <w:rPr>
          <w:rFonts w:hint="eastAsia" w:hAnsi="宋体" w:cs="宋体"/>
          <w:color w:val="auto"/>
          <w:sz w:val="24"/>
          <w:szCs w:val="24"/>
          <w:highlight w:val="none"/>
        </w:rPr>
        <w:t>投诉人于</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年</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月</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日，向提出质疑，质疑事项为：</w:t>
      </w:r>
      <w:r>
        <w:rPr>
          <w:rFonts w:hint="eastAsia" w:hAnsi="宋体" w:cs="宋体"/>
          <w:bCs/>
          <w:color w:val="auto"/>
          <w:sz w:val="24"/>
          <w:szCs w:val="24"/>
          <w:highlight w:val="none"/>
          <w:u w:val="single"/>
        </w:rPr>
        <w:t xml:space="preserve">            </w:t>
      </w:r>
    </w:p>
    <w:p w14:paraId="7A547DB2">
      <w:pPr>
        <w:pStyle w:val="25"/>
        <w:spacing w:line="440" w:lineRule="exact"/>
        <w:ind w:firstLine="480" w:firstLineChars="200"/>
        <w:rPr>
          <w:rFonts w:hint="eastAsia" w:hAnsi="宋体" w:cs="宋体"/>
          <w:color w:val="auto"/>
          <w:sz w:val="24"/>
          <w:szCs w:val="24"/>
          <w:highlight w:val="none"/>
        </w:rPr>
      </w:pPr>
      <w:r>
        <w:rPr>
          <w:rFonts w:hint="eastAsia" w:hAnsi="宋体" w:cs="宋体"/>
          <w:bCs/>
          <w:color w:val="auto"/>
          <w:sz w:val="24"/>
          <w:szCs w:val="24"/>
          <w:highlight w:val="none"/>
          <w:u w:val="single"/>
        </w:rPr>
        <w:t>采购人/代理机构</w:t>
      </w:r>
      <w:r>
        <w:rPr>
          <w:rFonts w:hint="eastAsia" w:hAnsi="宋体" w:cs="宋体"/>
          <w:bCs/>
          <w:color w:val="auto"/>
          <w:sz w:val="24"/>
          <w:szCs w:val="24"/>
          <w:highlight w:val="none"/>
        </w:rPr>
        <w:t>于</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年</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月</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日，</w:t>
      </w:r>
      <w:r>
        <w:rPr>
          <w:rFonts w:hint="eastAsia" w:hAnsi="宋体" w:cs="宋体"/>
          <w:bCs/>
          <w:color w:val="auto"/>
          <w:sz w:val="24"/>
          <w:szCs w:val="24"/>
          <w:highlight w:val="none"/>
        </w:rPr>
        <w:t xml:space="preserve">就质疑事项作出了答复/没有在法定期限内作出答复。                                                                                             </w:t>
      </w:r>
    </w:p>
    <w:p w14:paraId="6CFFD498">
      <w:pPr>
        <w:pStyle w:val="25"/>
        <w:spacing w:line="440" w:lineRule="exact"/>
        <w:ind w:left="25" w:leftChars="12" w:firstLine="472" w:firstLineChars="196"/>
        <w:rPr>
          <w:rFonts w:hint="eastAsia" w:hAnsi="宋体" w:cs="宋体"/>
          <w:b/>
          <w:color w:val="auto"/>
          <w:sz w:val="24"/>
          <w:szCs w:val="24"/>
          <w:highlight w:val="none"/>
        </w:rPr>
      </w:pPr>
      <w:r>
        <w:rPr>
          <w:rFonts w:hint="eastAsia" w:hAnsi="宋体" w:cs="宋体"/>
          <w:b/>
          <w:color w:val="auto"/>
          <w:sz w:val="24"/>
          <w:szCs w:val="24"/>
          <w:highlight w:val="none"/>
        </w:rPr>
        <w:t>四、投诉事项具体内容</w:t>
      </w:r>
    </w:p>
    <w:p w14:paraId="2E4E75B8">
      <w:pPr>
        <w:pStyle w:val="25"/>
        <w:spacing w:line="440" w:lineRule="exact"/>
        <w:ind w:left="25" w:leftChars="12" w:firstLine="472" w:firstLineChars="197"/>
        <w:rPr>
          <w:rFonts w:hint="eastAsia" w:hAnsi="宋体" w:cs="宋体"/>
          <w:bCs/>
          <w:color w:val="auto"/>
          <w:sz w:val="24"/>
          <w:szCs w:val="24"/>
          <w:highlight w:val="none"/>
          <w:u w:val="single"/>
        </w:rPr>
      </w:pPr>
      <w:r>
        <w:rPr>
          <w:rFonts w:hint="eastAsia" w:hAnsi="宋体" w:cs="宋体"/>
          <w:color w:val="auto"/>
          <w:sz w:val="24"/>
          <w:szCs w:val="24"/>
          <w:highlight w:val="none"/>
        </w:rPr>
        <w:t>投诉事项1：</w:t>
      </w:r>
    </w:p>
    <w:p w14:paraId="6281D3CD">
      <w:pPr>
        <w:pStyle w:val="25"/>
        <w:spacing w:line="440" w:lineRule="exact"/>
        <w:ind w:firstLine="480" w:firstLineChars="200"/>
        <w:rPr>
          <w:rFonts w:hint="eastAsia" w:hAnsi="宋体" w:cs="宋体"/>
          <w:color w:val="auto"/>
          <w:sz w:val="24"/>
          <w:szCs w:val="24"/>
          <w:highlight w:val="none"/>
        </w:rPr>
      </w:pPr>
      <w:r>
        <w:rPr>
          <w:rFonts w:hint="eastAsia" w:hAnsi="宋体" w:cs="宋体"/>
          <w:bCs/>
          <w:color w:val="auto"/>
          <w:sz w:val="24"/>
          <w:szCs w:val="24"/>
          <w:highlight w:val="none"/>
        </w:rPr>
        <w:t>事实依据：</w:t>
      </w:r>
      <w:r>
        <w:rPr>
          <w:rFonts w:hint="eastAsia" w:hAnsi="宋体" w:cs="宋体"/>
          <w:bCs/>
          <w:color w:val="auto"/>
          <w:sz w:val="24"/>
          <w:szCs w:val="24"/>
          <w:highlight w:val="none"/>
          <w:u w:val="single"/>
        </w:rPr>
        <w:t xml:space="preserve">            </w:t>
      </w:r>
    </w:p>
    <w:p w14:paraId="7A72EC00">
      <w:pPr>
        <w:pStyle w:val="25"/>
        <w:spacing w:line="440" w:lineRule="exact"/>
        <w:ind w:firstLine="480" w:firstLineChars="200"/>
        <w:rPr>
          <w:rFonts w:hint="eastAsia" w:hAnsi="宋体" w:cs="宋体"/>
          <w:bCs/>
          <w:color w:val="auto"/>
          <w:sz w:val="24"/>
          <w:szCs w:val="24"/>
          <w:highlight w:val="none"/>
          <w:u w:val="single"/>
        </w:rPr>
      </w:pPr>
      <w:r>
        <w:rPr>
          <w:rFonts w:hint="eastAsia" w:hAnsi="宋体" w:cs="宋体"/>
          <w:bCs/>
          <w:color w:val="auto"/>
          <w:sz w:val="24"/>
          <w:szCs w:val="24"/>
          <w:highlight w:val="none"/>
        </w:rPr>
        <w:t>法律依据：</w:t>
      </w:r>
      <w:r>
        <w:rPr>
          <w:rFonts w:hint="eastAsia" w:hAnsi="宋体" w:cs="宋体"/>
          <w:bCs/>
          <w:color w:val="auto"/>
          <w:sz w:val="24"/>
          <w:szCs w:val="24"/>
          <w:highlight w:val="none"/>
          <w:u w:val="single"/>
        </w:rPr>
        <w:t xml:space="preserve">            </w:t>
      </w:r>
    </w:p>
    <w:p w14:paraId="0870D30D">
      <w:pPr>
        <w:pStyle w:val="25"/>
        <w:spacing w:line="440" w:lineRule="exact"/>
        <w:ind w:left="25" w:leftChars="12" w:firstLine="472" w:firstLineChars="197"/>
        <w:rPr>
          <w:rFonts w:hint="eastAsia" w:hAnsi="宋体" w:cs="宋体"/>
          <w:bCs/>
          <w:color w:val="auto"/>
          <w:sz w:val="24"/>
          <w:szCs w:val="24"/>
          <w:highlight w:val="none"/>
        </w:rPr>
      </w:pPr>
      <w:r>
        <w:rPr>
          <w:rFonts w:hint="eastAsia" w:hAnsi="宋体" w:cs="宋体"/>
          <w:color w:val="auto"/>
          <w:sz w:val="24"/>
          <w:szCs w:val="24"/>
          <w:highlight w:val="none"/>
        </w:rPr>
        <w:t xml:space="preserve">投诉事项2  </w:t>
      </w:r>
    </w:p>
    <w:p w14:paraId="4504C7E6">
      <w:pPr>
        <w:pStyle w:val="25"/>
        <w:spacing w:line="440" w:lineRule="exact"/>
        <w:ind w:left="25" w:leftChars="12" w:firstLine="472" w:firstLineChars="197"/>
        <w:rPr>
          <w:rFonts w:hint="eastAsia" w:hAnsi="宋体" w:cs="宋体"/>
          <w:bCs/>
          <w:color w:val="auto"/>
          <w:sz w:val="24"/>
          <w:szCs w:val="24"/>
          <w:highlight w:val="none"/>
        </w:rPr>
      </w:pPr>
      <w:r>
        <w:rPr>
          <w:rFonts w:hint="eastAsia" w:hAnsi="宋体" w:cs="宋体"/>
          <w:bCs/>
          <w:color w:val="auto"/>
          <w:sz w:val="24"/>
          <w:szCs w:val="24"/>
          <w:highlight w:val="none"/>
        </w:rPr>
        <w:t>……</w:t>
      </w:r>
    </w:p>
    <w:p w14:paraId="0A563CC0">
      <w:pPr>
        <w:pStyle w:val="25"/>
        <w:spacing w:line="440" w:lineRule="exact"/>
        <w:ind w:left="25" w:leftChars="12" w:firstLine="472" w:firstLineChars="196"/>
        <w:rPr>
          <w:rFonts w:hint="eastAsia" w:hAnsi="宋体" w:cs="宋体"/>
          <w:b/>
          <w:color w:val="auto"/>
          <w:sz w:val="24"/>
          <w:szCs w:val="24"/>
          <w:highlight w:val="none"/>
        </w:rPr>
      </w:pPr>
      <w:r>
        <w:rPr>
          <w:rFonts w:hint="eastAsia" w:hAnsi="宋体" w:cs="宋体"/>
          <w:b/>
          <w:color w:val="auto"/>
          <w:sz w:val="24"/>
          <w:szCs w:val="24"/>
          <w:highlight w:val="none"/>
        </w:rPr>
        <w:t>五、与投诉事项相关的投诉请求：</w:t>
      </w:r>
    </w:p>
    <w:p w14:paraId="446B8282">
      <w:pPr>
        <w:pStyle w:val="25"/>
        <w:spacing w:line="440" w:lineRule="exact"/>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请求：</w:t>
      </w:r>
      <w:r>
        <w:rPr>
          <w:rFonts w:hint="eastAsia" w:hAnsi="宋体" w:cs="宋体"/>
          <w:bCs/>
          <w:color w:val="auto"/>
          <w:sz w:val="24"/>
          <w:szCs w:val="24"/>
          <w:highlight w:val="none"/>
          <w:u w:val="single"/>
        </w:rPr>
        <w:t xml:space="preserve">            </w:t>
      </w:r>
    </w:p>
    <w:p w14:paraId="4DF8CB60">
      <w:pPr>
        <w:pStyle w:val="25"/>
        <w:spacing w:line="440" w:lineRule="exact"/>
        <w:ind w:left="25" w:leftChars="12" w:firstLine="352" w:firstLineChars="147"/>
        <w:rPr>
          <w:rFonts w:hint="eastAsia" w:hAnsi="宋体" w:cs="宋体"/>
          <w:color w:val="auto"/>
          <w:sz w:val="24"/>
          <w:szCs w:val="24"/>
          <w:highlight w:val="none"/>
        </w:rPr>
      </w:pPr>
    </w:p>
    <w:p w14:paraId="22265C24">
      <w:pPr>
        <w:pStyle w:val="25"/>
        <w:spacing w:line="440" w:lineRule="exact"/>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签字（签章）：                                       公章：</w:t>
      </w:r>
    </w:p>
    <w:p w14:paraId="2CBBDC89">
      <w:pPr>
        <w:pStyle w:val="25"/>
        <w:spacing w:line="440" w:lineRule="exact"/>
        <w:ind w:left="25" w:leftChars="12" w:firstLine="352" w:firstLineChars="147"/>
        <w:rPr>
          <w:rFonts w:hint="eastAsia" w:hAnsi="宋体" w:cs="宋体"/>
          <w:color w:val="auto"/>
          <w:sz w:val="24"/>
          <w:szCs w:val="24"/>
          <w:highlight w:val="none"/>
        </w:rPr>
      </w:pPr>
    </w:p>
    <w:p w14:paraId="21B58BB0">
      <w:pPr>
        <w:pStyle w:val="25"/>
        <w:spacing w:line="440" w:lineRule="exact"/>
        <w:ind w:left="25" w:leftChars="12" w:firstLine="472" w:firstLineChars="197"/>
        <w:rPr>
          <w:rFonts w:hint="eastAsia" w:hAnsi="宋体" w:cs="宋体"/>
          <w:color w:val="auto"/>
          <w:sz w:val="24"/>
          <w:szCs w:val="24"/>
          <w:highlight w:val="none"/>
        </w:rPr>
      </w:pPr>
      <w:r>
        <w:rPr>
          <w:rFonts w:hint="eastAsia" w:hAnsi="宋体" w:cs="宋体"/>
          <w:color w:val="auto"/>
          <w:sz w:val="24"/>
          <w:szCs w:val="24"/>
          <w:highlight w:val="none"/>
        </w:rPr>
        <w:t>日期：</w:t>
      </w:r>
    </w:p>
    <w:p w14:paraId="022B1494">
      <w:pPr>
        <w:pStyle w:val="25"/>
        <w:spacing w:line="440" w:lineRule="exact"/>
        <w:ind w:left="25" w:leftChars="12" w:firstLine="472" w:firstLineChars="197"/>
        <w:rPr>
          <w:rFonts w:hint="eastAsia" w:hAnsi="宋体" w:cs="宋体"/>
          <w:color w:val="auto"/>
          <w:sz w:val="24"/>
          <w:szCs w:val="24"/>
          <w:highlight w:val="none"/>
        </w:rPr>
      </w:pPr>
    </w:p>
    <w:p w14:paraId="597E0906">
      <w:pPr>
        <w:pStyle w:val="25"/>
        <w:snapToGrid w:val="0"/>
        <w:spacing w:line="440" w:lineRule="exact"/>
        <w:rPr>
          <w:rFonts w:hint="eastAsia" w:hAnsi="宋体" w:cs="宋体"/>
          <w:b/>
          <w:color w:val="auto"/>
          <w:sz w:val="24"/>
          <w:szCs w:val="24"/>
          <w:highlight w:val="none"/>
        </w:rPr>
      </w:pPr>
      <w:r>
        <w:rPr>
          <w:rFonts w:hint="eastAsia" w:hAnsi="宋体" w:cs="宋体"/>
          <w:b/>
          <w:color w:val="auto"/>
          <w:sz w:val="24"/>
          <w:szCs w:val="24"/>
          <w:highlight w:val="none"/>
        </w:rPr>
        <w:t>说明：</w:t>
      </w:r>
    </w:p>
    <w:p w14:paraId="5688ADE3">
      <w:pPr>
        <w:pStyle w:val="25"/>
        <w:spacing w:line="440" w:lineRule="exact"/>
        <w:ind w:left="25" w:leftChars="12" w:firstLine="354" w:firstLineChars="147"/>
        <w:rPr>
          <w:rFonts w:hint="eastAsia" w:hAnsi="宋体" w:cs="宋体"/>
          <w:b/>
          <w:bCs/>
          <w:color w:val="auto"/>
          <w:sz w:val="24"/>
          <w:szCs w:val="24"/>
          <w:highlight w:val="none"/>
        </w:rPr>
      </w:pPr>
      <w:r>
        <w:rPr>
          <w:rFonts w:hint="eastAsia" w:hAnsi="宋体" w:cs="宋体"/>
          <w:b/>
          <w:color w:val="auto"/>
          <w:sz w:val="24"/>
          <w:szCs w:val="24"/>
          <w:highlight w:val="none"/>
        </w:rPr>
        <w:t>1.投诉人提起投诉时，应当提交投诉书和必要的证明材料，并按照被投诉人和与投诉事项有关的供应商数量提供投诉书副本</w:t>
      </w:r>
      <w:r>
        <w:rPr>
          <w:rFonts w:hint="eastAsia" w:hAnsi="宋体" w:cs="宋体"/>
          <w:b/>
          <w:bCs/>
          <w:color w:val="auto"/>
          <w:sz w:val="24"/>
          <w:szCs w:val="24"/>
          <w:highlight w:val="none"/>
        </w:rPr>
        <w:t>。</w:t>
      </w:r>
    </w:p>
    <w:p w14:paraId="4FAEADCC">
      <w:pPr>
        <w:pStyle w:val="25"/>
        <w:spacing w:line="440" w:lineRule="exact"/>
        <w:ind w:left="25" w:leftChars="12" w:firstLine="354" w:firstLineChars="147"/>
        <w:rPr>
          <w:rFonts w:hint="eastAsia" w:hAnsi="宋体" w:cs="宋体"/>
          <w:b/>
          <w:color w:val="auto"/>
          <w:sz w:val="24"/>
          <w:szCs w:val="24"/>
          <w:highlight w:val="none"/>
        </w:rPr>
      </w:pPr>
      <w:r>
        <w:rPr>
          <w:rFonts w:hint="eastAsia" w:hAnsi="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0A934C20">
      <w:pPr>
        <w:pStyle w:val="25"/>
        <w:spacing w:line="440" w:lineRule="exact"/>
        <w:ind w:left="25" w:leftChars="12" w:firstLine="354" w:firstLineChars="147"/>
        <w:rPr>
          <w:rFonts w:hint="eastAsia" w:hAnsi="宋体" w:cs="宋体"/>
          <w:b/>
          <w:color w:val="auto"/>
          <w:sz w:val="24"/>
          <w:szCs w:val="24"/>
          <w:highlight w:val="none"/>
        </w:rPr>
      </w:pPr>
      <w:r>
        <w:rPr>
          <w:rFonts w:hint="eastAsia" w:hAnsi="宋体" w:cs="宋体"/>
          <w:b/>
          <w:color w:val="auto"/>
          <w:sz w:val="24"/>
          <w:szCs w:val="24"/>
          <w:highlight w:val="none"/>
        </w:rPr>
        <w:t>3.投诉书应简要列明质疑事项，质疑函、质疑答复等作为附件材料提供。</w:t>
      </w:r>
    </w:p>
    <w:p w14:paraId="4521532D">
      <w:pPr>
        <w:pStyle w:val="25"/>
        <w:spacing w:line="440" w:lineRule="exact"/>
        <w:ind w:left="25" w:leftChars="12" w:firstLine="354" w:firstLineChars="147"/>
        <w:rPr>
          <w:rFonts w:hint="eastAsia" w:hAnsi="宋体" w:cs="宋体"/>
          <w:b/>
          <w:color w:val="auto"/>
          <w:sz w:val="24"/>
          <w:szCs w:val="24"/>
          <w:highlight w:val="none"/>
        </w:rPr>
      </w:pPr>
      <w:r>
        <w:rPr>
          <w:rFonts w:hint="eastAsia" w:hAnsi="宋体" w:cs="宋体"/>
          <w:b/>
          <w:color w:val="auto"/>
          <w:sz w:val="24"/>
          <w:szCs w:val="24"/>
          <w:highlight w:val="none"/>
        </w:rPr>
        <w:t>4.投诉书的投诉事项应具体、明确，并有必要的事实依据和法律依据。</w:t>
      </w:r>
    </w:p>
    <w:p w14:paraId="4AD59D8C">
      <w:pPr>
        <w:pStyle w:val="25"/>
        <w:spacing w:line="440" w:lineRule="exact"/>
        <w:ind w:left="25" w:leftChars="12" w:firstLine="354" w:firstLineChars="147"/>
        <w:rPr>
          <w:rFonts w:hint="eastAsia" w:hAnsi="宋体" w:cs="宋体"/>
          <w:b/>
          <w:color w:val="auto"/>
          <w:sz w:val="24"/>
          <w:szCs w:val="24"/>
          <w:highlight w:val="none"/>
        </w:rPr>
      </w:pPr>
      <w:r>
        <w:rPr>
          <w:rFonts w:hint="eastAsia" w:hAnsi="宋体" w:cs="宋体"/>
          <w:b/>
          <w:color w:val="auto"/>
          <w:sz w:val="24"/>
          <w:szCs w:val="24"/>
          <w:highlight w:val="none"/>
        </w:rPr>
        <w:t>5.投诉书的投诉请求应与投诉事项相关。</w:t>
      </w:r>
    </w:p>
    <w:p w14:paraId="7E34C490">
      <w:pPr>
        <w:pStyle w:val="25"/>
        <w:spacing w:line="440" w:lineRule="exact"/>
        <w:ind w:left="25" w:leftChars="12" w:firstLine="354" w:firstLineChars="147"/>
        <w:rPr>
          <w:rFonts w:hint="eastAsia" w:hAnsi="宋体" w:cs="宋体"/>
          <w:b/>
          <w:color w:val="auto"/>
          <w:highlight w:val="none"/>
        </w:rPr>
      </w:pPr>
      <w:r>
        <w:rPr>
          <w:rFonts w:hint="eastAsia" w:hAnsi="宋体" w:cs="宋体"/>
          <w:b/>
          <w:color w:val="auto"/>
          <w:sz w:val="24"/>
          <w:szCs w:val="24"/>
          <w:highlight w:val="none"/>
        </w:rPr>
        <w:t>6.投诉人为法人或者其他组织的，投诉书应由法定代表人、主要负责人，或者其授权代表签字或者盖章，并加盖公章。</w:t>
      </w:r>
    </w:p>
    <w:sectPr>
      <w:footerReference r:id="rId9" w:type="first"/>
      <w:headerReference r:id="rId6" w:type="default"/>
      <w:footerReference r:id="rId7" w:type="default"/>
      <w:footerReference r:id="rId8" w:type="even"/>
      <w:pgSz w:w="11906" w:h="16838"/>
      <w:pgMar w:top="1440" w:right="1080" w:bottom="1440" w:left="1080"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Century">
    <w:altName w:val="Nyala"/>
    <w:panose1 w:val="02040604050505020304"/>
    <w:charset w:val="00"/>
    <w:family w:val="roman"/>
    <w:pitch w:val="default"/>
    <w:sig w:usb0="00000000" w:usb1="00000000" w:usb2="00000000" w:usb3="00000000" w:csb0="2000009F" w:csb1="DFD70000"/>
  </w:font>
  <w:font w:name="Nyala">
    <w:panose1 w:val="02000504070300020003"/>
    <w:charset w:val="00"/>
    <w:family w:val="auto"/>
    <w:pitch w:val="default"/>
    <w:sig w:usb0="A000006F" w:usb1="00000000" w:usb2="00000800" w:usb3="00000000" w:csb0="00000093" w:csb1="00000000"/>
  </w:font>
  <w:font w:name="Arial Unicode MS">
    <w:altName w:val="宋体"/>
    <w:panose1 w:val="020B0604020202020204"/>
    <w:charset w:val="86"/>
    <w:family w:val="swiss"/>
    <w:pitch w:val="default"/>
    <w:sig w:usb0="00000000" w:usb1="00000000" w:usb2="0000003F" w:usb3="00000000" w:csb0="603F01FF" w:csb1="FFFF0000"/>
  </w:font>
  <w:font w:name="Calibri Light">
    <w:panose1 w:val="020F0302020204030204"/>
    <w:charset w:val="00"/>
    <w:family w:val="swiss"/>
    <w:pitch w:val="default"/>
    <w:sig w:usb0="A00002EF" w:usb1="4000207B" w:usb2="00000000" w:usb3="00000000" w:csb0="2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DAFA8">
    <w:pPr>
      <w:pStyle w:val="31"/>
      <w:jc w:val="center"/>
    </w:pPr>
    <w:r>
      <w:fldChar w:fldCharType="begin"/>
    </w:r>
    <w:r>
      <w:instrText xml:space="preserve">PAGE   \* MERGEFORMAT</w:instrText>
    </w:r>
    <w:r>
      <w:fldChar w:fldCharType="separate"/>
    </w:r>
    <w:r>
      <w:rPr>
        <w:lang w:val="zh-CN"/>
      </w:rPr>
      <w:t>1</w:t>
    </w:r>
    <w:r>
      <w:rPr>
        <w:lang w:val="zh-CN"/>
      </w:rPr>
      <w:fldChar w:fldCharType="end"/>
    </w:r>
  </w:p>
  <w:p w14:paraId="2132D680">
    <w:pPr>
      <w:pStyle w:val="31"/>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F2FBA">
    <w:pPr>
      <w:pStyle w:val="31"/>
      <w:jc w:val="center"/>
    </w:pPr>
    <w:r>
      <w:fldChar w:fldCharType="begin"/>
    </w:r>
    <w:r>
      <w:instrText xml:space="preserve"> PAGE   \* MERGEFORMAT </w:instrText>
    </w:r>
    <w:r>
      <w:fldChar w:fldCharType="separate"/>
    </w:r>
    <w:r>
      <w:rPr>
        <w:lang w:val="zh-CN"/>
      </w:rPr>
      <w:t>28</w:t>
    </w:r>
    <w:r>
      <w:rPr>
        <w:lang w:val="zh-CN"/>
      </w:rPr>
      <w:fldChar w:fldCharType="end"/>
    </w:r>
  </w:p>
  <w:p w14:paraId="1CDD60CA">
    <w:pPr>
      <w:pStyle w:val="3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5D9F8">
    <w:pPr>
      <w:pStyle w:val="31"/>
      <w:jc w:val="center"/>
    </w:pPr>
    <w:r>
      <w:fldChar w:fldCharType="begin"/>
    </w:r>
    <w:r>
      <w:instrText xml:space="preserve"> PAGE   \* MERGEFORMAT </w:instrText>
    </w:r>
    <w:r>
      <w:fldChar w:fldCharType="separate"/>
    </w:r>
    <w:r>
      <w:rPr>
        <w:lang w:val="zh-CN"/>
      </w:rPr>
      <w:t>93</w:t>
    </w:r>
    <w:r>
      <w:rPr>
        <w:lang w:val="zh-C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CCBF7">
    <w:pPr>
      <w:pStyle w:val="31"/>
      <w:framePr w:wrap="around" w:vAnchor="text" w:hAnchor="margin" w:xAlign="center" w:y="1"/>
      <w:rPr>
        <w:rStyle w:val="53"/>
      </w:rPr>
    </w:pPr>
    <w:r>
      <w:fldChar w:fldCharType="begin"/>
    </w:r>
    <w:r>
      <w:rPr>
        <w:rStyle w:val="53"/>
      </w:rPr>
      <w:instrText xml:space="preserve">PAGE  </w:instrText>
    </w:r>
    <w:r>
      <w:fldChar w:fldCharType="end"/>
    </w:r>
  </w:p>
  <w:p w14:paraId="3DA4A36B">
    <w:pPr>
      <w:pStyle w:val="31"/>
    </w:pPr>
  </w:p>
  <w:p w14:paraId="14E2CB66"/>
  <w:p w14:paraId="7B522F43"/>
  <w:p w14:paraId="249E8888"/>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356D8">
    <w:pPr>
      <w:pStyle w:val="31"/>
      <w:ind w:right="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297F1">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3AAB8">
    <w:pPr>
      <w:pStyle w:val="32"/>
      <w:pBdr>
        <w:bottom w:val="none" w:color="auto" w:sz="0" w:space="0"/>
      </w:pBdr>
    </w:pPr>
  </w:p>
  <w:p w14:paraId="42FEEA4D"/>
  <w:p w14:paraId="1FE64B67"/>
  <w:p w14:paraId="12F3061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D015B7"/>
    <w:multiLevelType w:val="singleLevel"/>
    <w:tmpl w:val="A5D015B7"/>
    <w:lvl w:ilvl="0" w:tentative="0">
      <w:start w:val="1"/>
      <w:numFmt w:val="decimal"/>
      <w:suff w:val="nothing"/>
      <w:lvlText w:val="%1、"/>
      <w:lvlJc w:val="left"/>
    </w:lvl>
  </w:abstractNum>
  <w:abstractNum w:abstractNumId="1">
    <w:nsid w:val="4C601917"/>
    <w:multiLevelType w:val="singleLevel"/>
    <w:tmpl w:val="4C601917"/>
    <w:lvl w:ilvl="0" w:tentative="0">
      <w:start w:val="1"/>
      <w:numFmt w:val="decimal"/>
      <w:suff w:val="nothing"/>
      <w:lvlText w:val="（%1）"/>
      <w:lvlJc w:val="left"/>
      <w:pPr>
        <w:ind w:left="-2"/>
      </w:pPr>
    </w:lvl>
  </w:abstractNum>
  <w:abstractNum w:abstractNumId="2">
    <w:nsid w:val="5FABD14B"/>
    <w:multiLevelType w:val="singleLevel"/>
    <w:tmpl w:val="5FABD14B"/>
    <w:lvl w:ilvl="0" w:tentative="0">
      <w:start w:val="1"/>
      <w:numFmt w:val="decimal"/>
      <w:suff w:val="nothing"/>
      <w:lvlText w:val="（%1）"/>
      <w:lvlJc w:val="left"/>
    </w:lvl>
  </w:abstractNum>
  <w:abstractNum w:abstractNumId="3">
    <w:nsid w:val="680DA6A0"/>
    <w:multiLevelType w:val="singleLevel"/>
    <w:tmpl w:val="680DA6A0"/>
    <w:lvl w:ilvl="0" w:tentative="0">
      <w:start w:val="1"/>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Q1YzQyMTBhZDdkMzFjZDM4NDJkYTg5NTk3ZmVmMmMifQ=="/>
    <w:docVar w:name="KSO_WPS_MARK_KEY" w:val="679b1800-d7a1-4fa0-9d74-876ba14534a9"/>
  </w:docVars>
  <w:rsids>
    <w:rsidRoot w:val="00F9008B"/>
    <w:rsid w:val="0000010C"/>
    <w:rsid w:val="000004FE"/>
    <w:rsid w:val="00000FE0"/>
    <w:rsid w:val="00001068"/>
    <w:rsid w:val="0000114A"/>
    <w:rsid w:val="00001731"/>
    <w:rsid w:val="00001C2D"/>
    <w:rsid w:val="00001C55"/>
    <w:rsid w:val="00001CA8"/>
    <w:rsid w:val="00001ECD"/>
    <w:rsid w:val="00001FAE"/>
    <w:rsid w:val="00002291"/>
    <w:rsid w:val="00002DBF"/>
    <w:rsid w:val="00002EC0"/>
    <w:rsid w:val="00003224"/>
    <w:rsid w:val="000033F5"/>
    <w:rsid w:val="0000358C"/>
    <w:rsid w:val="0000361D"/>
    <w:rsid w:val="00003BEF"/>
    <w:rsid w:val="00003D46"/>
    <w:rsid w:val="00004130"/>
    <w:rsid w:val="0000431F"/>
    <w:rsid w:val="00004634"/>
    <w:rsid w:val="00004D8B"/>
    <w:rsid w:val="000059E2"/>
    <w:rsid w:val="000061EA"/>
    <w:rsid w:val="00006AE7"/>
    <w:rsid w:val="00006B9B"/>
    <w:rsid w:val="00006BCA"/>
    <w:rsid w:val="00006C35"/>
    <w:rsid w:val="000072B1"/>
    <w:rsid w:val="00007329"/>
    <w:rsid w:val="00007E28"/>
    <w:rsid w:val="00007E84"/>
    <w:rsid w:val="00010401"/>
    <w:rsid w:val="000105A1"/>
    <w:rsid w:val="000107AD"/>
    <w:rsid w:val="00010835"/>
    <w:rsid w:val="000117D5"/>
    <w:rsid w:val="00011842"/>
    <w:rsid w:val="00012137"/>
    <w:rsid w:val="000121FF"/>
    <w:rsid w:val="00012456"/>
    <w:rsid w:val="000125B8"/>
    <w:rsid w:val="00012692"/>
    <w:rsid w:val="00012705"/>
    <w:rsid w:val="00013446"/>
    <w:rsid w:val="00013509"/>
    <w:rsid w:val="000135BC"/>
    <w:rsid w:val="000135DC"/>
    <w:rsid w:val="00013654"/>
    <w:rsid w:val="000136D6"/>
    <w:rsid w:val="00014085"/>
    <w:rsid w:val="00014267"/>
    <w:rsid w:val="00014D89"/>
    <w:rsid w:val="00014DD9"/>
    <w:rsid w:val="00014EE0"/>
    <w:rsid w:val="000151E4"/>
    <w:rsid w:val="00015577"/>
    <w:rsid w:val="000156E4"/>
    <w:rsid w:val="000159A7"/>
    <w:rsid w:val="00015FB8"/>
    <w:rsid w:val="0001609F"/>
    <w:rsid w:val="0001635B"/>
    <w:rsid w:val="00016549"/>
    <w:rsid w:val="00016814"/>
    <w:rsid w:val="00016BF7"/>
    <w:rsid w:val="0001720C"/>
    <w:rsid w:val="0001767E"/>
    <w:rsid w:val="0001776D"/>
    <w:rsid w:val="00017F31"/>
    <w:rsid w:val="00020607"/>
    <w:rsid w:val="0002103A"/>
    <w:rsid w:val="000217AA"/>
    <w:rsid w:val="000217E4"/>
    <w:rsid w:val="00021852"/>
    <w:rsid w:val="00021A12"/>
    <w:rsid w:val="000223BF"/>
    <w:rsid w:val="00022622"/>
    <w:rsid w:val="000226E5"/>
    <w:rsid w:val="00023363"/>
    <w:rsid w:val="000235F3"/>
    <w:rsid w:val="00023644"/>
    <w:rsid w:val="00023712"/>
    <w:rsid w:val="00024E3C"/>
    <w:rsid w:val="00024EB0"/>
    <w:rsid w:val="00025604"/>
    <w:rsid w:val="00025DAF"/>
    <w:rsid w:val="0002646A"/>
    <w:rsid w:val="0002651D"/>
    <w:rsid w:val="00026CFD"/>
    <w:rsid w:val="00027C8B"/>
    <w:rsid w:val="00027CD9"/>
    <w:rsid w:val="00030242"/>
    <w:rsid w:val="00030B06"/>
    <w:rsid w:val="0003183A"/>
    <w:rsid w:val="00031CDC"/>
    <w:rsid w:val="00032461"/>
    <w:rsid w:val="0003263B"/>
    <w:rsid w:val="0003282C"/>
    <w:rsid w:val="00032F6D"/>
    <w:rsid w:val="0003304A"/>
    <w:rsid w:val="0003310E"/>
    <w:rsid w:val="0003317E"/>
    <w:rsid w:val="00033413"/>
    <w:rsid w:val="000337F3"/>
    <w:rsid w:val="00033DDB"/>
    <w:rsid w:val="00034B24"/>
    <w:rsid w:val="00034C27"/>
    <w:rsid w:val="00034E2A"/>
    <w:rsid w:val="0003577F"/>
    <w:rsid w:val="00035B29"/>
    <w:rsid w:val="00036466"/>
    <w:rsid w:val="0003675E"/>
    <w:rsid w:val="00037F87"/>
    <w:rsid w:val="00037FA2"/>
    <w:rsid w:val="000400D0"/>
    <w:rsid w:val="00040343"/>
    <w:rsid w:val="000403FE"/>
    <w:rsid w:val="0004160D"/>
    <w:rsid w:val="000425AC"/>
    <w:rsid w:val="000427B8"/>
    <w:rsid w:val="00042F4A"/>
    <w:rsid w:val="00043AC8"/>
    <w:rsid w:val="00043BE5"/>
    <w:rsid w:val="00044003"/>
    <w:rsid w:val="00044527"/>
    <w:rsid w:val="000447E8"/>
    <w:rsid w:val="00044897"/>
    <w:rsid w:val="00044ACF"/>
    <w:rsid w:val="000454F4"/>
    <w:rsid w:val="00045D1E"/>
    <w:rsid w:val="00045E69"/>
    <w:rsid w:val="00045E97"/>
    <w:rsid w:val="00045EF4"/>
    <w:rsid w:val="00046547"/>
    <w:rsid w:val="000466D7"/>
    <w:rsid w:val="00046753"/>
    <w:rsid w:val="00047254"/>
    <w:rsid w:val="00047E41"/>
    <w:rsid w:val="0005022B"/>
    <w:rsid w:val="00050450"/>
    <w:rsid w:val="00050771"/>
    <w:rsid w:val="000509BA"/>
    <w:rsid w:val="000513F3"/>
    <w:rsid w:val="00052287"/>
    <w:rsid w:val="000522E0"/>
    <w:rsid w:val="000532F4"/>
    <w:rsid w:val="000535A9"/>
    <w:rsid w:val="000536AE"/>
    <w:rsid w:val="00054C2F"/>
    <w:rsid w:val="00054CD5"/>
    <w:rsid w:val="00054D03"/>
    <w:rsid w:val="000550AC"/>
    <w:rsid w:val="0005584D"/>
    <w:rsid w:val="00055CC3"/>
    <w:rsid w:val="00055CEE"/>
    <w:rsid w:val="00055FB7"/>
    <w:rsid w:val="000566FA"/>
    <w:rsid w:val="00056A2B"/>
    <w:rsid w:val="00056DA8"/>
    <w:rsid w:val="00056E37"/>
    <w:rsid w:val="00056EE2"/>
    <w:rsid w:val="00056FE2"/>
    <w:rsid w:val="000570FB"/>
    <w:rsid w:val="000575B8"/>
    <w:rsid w:val="00057764"/>
    <w:rsid w:val="00060131"/>
    <w:rsid w:val="0006026B"/>
    <w:rsid w:val="00060293"/>
    <w:rsid w:val="00061341"/>
    <w:rsid w:val="00061AA1"/>
    <w:rsid w:val="00061BD3"/>
    <w:rsid w:val="00061BDA"/>
    <w:rsid w:val="000621FE"/>
    <w:rsid w:val="00062B90"/>
    <w:rsid w:val="00062C70"/>
    <w:rsid w:val="00062DD0"/>
    <w:rsid w:val="00062E6F"/>
    <w:rsid w:val="000630C7"/>
    <w:rsid w:val="0006400F"/>
    <w:rsid w:val="000645DD"/>
    <w:rsid w:val="00064D7E"/>
    <w:rsid w:val="00064F65"/>
    <w:rsid w:val="00064FD0"/>
    <w:rsid w:val="0006534A"/>
    <w:rsid w:val="00065A5D"/>
    <w:rsid w:val="00065BA2"/>
    <w:rsid w:val="000661CA"/>
    <w:rsid w:val="0006668D"/>
    <w:rsid w:val="00066896"/>
    <w:rsid w:val="00067002"/>
    <w:rsid w:val="00067993"/>
    <w:rsid w:val="00067B1C"/>
    <w:rsid w:val="00067CED"/>
    <w:rsid w:val="00067F66"/>
    <w:rsid w:val="0007041A"/>
    <w:rsid w:val="00070634"/>
    <w:rsid w:val="0007084D"/>
    <w:rsid w:val="00070883"/>
    <w:rsid w:val="00070C3F"/>
    <w:rsid w:val="0007102C"/>
    <w:rsid w:val="00071D68"/>
    <w:rsid w:val="00071FCE"/>
    <w:rsid w:val="00072661"/>
    <w:rsid w:val="00072CCC"/>
    <w:rsid w:val="0007315D"/>
    <w:rsid w:val="00073549"/>
    <w:rsid w:val="0007483E"/>
    <w:rsid w:val="000751DB"/>
    <w:rsid w:val="0007542D"/>
    <w:rsid w:val="0007578F"/>
    <w:rsid w:val="00075E43"/>
    <w:rsid w:val="00077706"/>
    <w:rsid w:val="00077878"/>
    <w:rsid w:val="000804EF"/>
    <w:rsid w:val="00080558"/>
    <w:rsid w:val="00081230"/>
    <w:rsid w:val="000814E2"/>
    <w:rsid w:val="000818C9"/>
    <w:rsid w:val="00081CBB"/>
    <w:rsid w:val="00081D42"/>
    <w:rsid w:val="000822EF"/>
    <w:rsid w:val="0008241E"/>
    <w:rsid w:val="000826F5"/>
    <w:rsid w:val="000829B1"/>
    <w:rsid w:val="00082AAB"/>
    <w:rsid w:val="0008307D"/>
    <w:rsid w:val="000831E9"/>
    <w:rsid w:val="000833BB"/>
    <w:rsid w:val="0008452D"/>
    <w:rsid w:val="0008467B"/>
    <w:rsid w:val="000850FA"/>
    <w:rsid w:val="000854D6"/>
    <w:rsid w:val="00085758"/>
    <w:rsid w:val="000857A6"/>
    <w:rsid w:val="00085C12"/>
    <w:rsid w:val="00085DA0"/>
    <w:rsid w:val="00085F82"/>
    <w:rsid w:val="00086506"/>
    <w:rsid w:val="00086B6E"/>
    <w:rsid w:val="00086C2F"/>
    <w:rsid w:val="00086C64"/>
    <w:rsid w:val="000874BB"/>
    <w:rsid w:val="0008781A"/>
    <w:rsid w:val="00090951"/>
    <w:rsid w:val="00090A61"/>
    <w:rsid w:val="000918F5"/>
    <w:rsid w:val="000919B5"/>
    <w:rsid w:val="00091C1D"/>
    <w:rsid w:val="00091E08"/>
    <w:rsid w:val="00092100"/>
    <w:rsid w:val="000922D8"/>
    <w:rsid w:val="000932E7"/>
    <w:rsid w:val="0009333A"/>
    <w:rsid w:val="000933C3"/>
    <w:rsid w:val="00093459"/>
    <w:rsid w:val="00093B8B"/>
    <w:rsid w:val="000951E7"/>
    <w:rsid w:val="00095B82"/>
    <w:rsid w:val="00096098"/>
    <w:rsid w:val="000961B2"/>
    <w:rsid w:val="000969D9"/>
    <w:rsid w:val="00096C5A"/>
    <w:rsid w:val="00096C5D"/>
    <w:rsid w:val="00096F37"/>
    <w:rsid w:val="00097FE5"/>
    <w:rsid w:val="000A0354"/>
    <w:rsid w:val="000A091F"/>
    <w:rsid w:val="000A0958"/>
    <w:rsid w:val="000A0FCC"/>
    <w:rsid w:val="000A1033"/>
    <w:rsid w:val="000A2712"/>
    <w:rsid w:val="000A2877"/>
    <w:rsid w:val="000A355D"/>
    <w:rsid w:val="000A35DA"/>
    <w:rsid w:val="000A371E"/>
    <w:rsid w:val="000A382F"/>
    <w:rsid w:val="000A3DE5"/>
    <w:rsid w:val="000A4011"/>
    <w:rsid w:val="000A45D5"/>
    <w:rsid w:val="000A46CD"/>
    <w:rsid w:val="000A490E"/>
    <w:rsid w:val="000A529E"/>
    <w:rsid w:val="000A5B49"/>
    <w:rsid w:val="000A5FE5"/>
    <w:rsid w:val="000A6684"/>
    <w:rsid w:val="000A7194"/>
    <w:rsid w:val="000A7218"/>
    <w:rsid w:val="000A740A"/>
    <w:rsid w:val="000A7446"/>
    <w:rsid w:val="000A7E7F"/>
    <w:rsid w:val="000A7ECD"/>
    <w:rsid w:val="000B04DD"/>
    <w:rsid w:val="000B0F01"/>
    <w:rsid w:val="000B1346"/>
    <w:rsid w:val="000B1914"/>
    <w:rsid w:val="000B19DC"/>
    <w:rsid w:val="000B1B44"/>
    <w:rsid w:val="000B1CA2"/>
    <w:rsid w:val="000B202E"/>
    <w:rsid w:val="000B2293"/>
    <w:rsid w:val="000B24A4"/>
    <w:rsid w:val="000B255C"/>
    <w:rsid w:val="000B395E"/>
    <w:rsid w:val="000B39C3"/>
    <w:rsid w:val="000B3A00"/>
    <w:rsid w:val="000B4840"/>
    <w:rsid w:val="000B4D79"/>
    <w:rsid w:val="000B5627"/>
    <w:rsid w:val="000B5671"/>
    <w:rsid w:val="000B5D9B"/>
    <w:rsid w:val="000B6BF0"/>
    <w:rsid w:val="000B6CE8"/>
    <w:rsid w:val="000B7DAF"/>
    <w:rsid w:val="000C006F"/>
    <w:rsid w:val="000C071C"/>
    <w:rsid w:val="000C0931"/>
    <w:rsid w:val="000C0BB4"/>
    <w:rsid w:val="000C0BEE"/>
    <w:rsid w:val="000C11BE"/>
    <w:rsid w:val="000C1CB9"/>
    <w:rsid w:val="000C1D9A"/>
    <w:rsid w:val="000C2159"/>
    <w:rsid w:val="000C21BB"/>
    <w:rsid w:val="000C289B"/>
    <w:rsid w:val="000C2EB4"/>
    <w:rsid w:val="000C352F"/>
    <w:rsid w:val="000C3F01"/>
    <w:rsid w:val="000C410D"/>
    <w:rsid w:val="000C420D"/>
    <w:rsid w:val="000C4773"/>
    <w:rsid w:val="000C4944"/>
    <w:rsid w:val="000C4E24"/>
    <w:rsid w:val="000C5851"/>
    <w:rsid w:val="000C5C4A"/>
    <w:rsid w:val="000C5D26"/>
    <w:rsid w:val="000C5F01"/>
    <w:rsid w:val="000C63C4"/>
    <w:rsid w:val="000C66C1"/>
    <w:rsid w:val="000C6F0B"/>
    <w:rsid w:val="000C6F32"/>
    <w:rsid w:val="000C6FEF"/>
    <w:rsid w:val="000C7324"/>
    <w:rsid w:val="000C778C"/>
    <w:rsid w:val="000C7833"/>
    <w:rsid w:val="000C7E1B"/>
    <w:rsid w:val="000C7E73"/>
    <w:rsid w:val="000D001B"/>
    <w:rsid w:val="000D0A45"/>
    <w:rsid w:val="000D136E"/>
    <w:rsid w:val="000D14AC"/>
    <w:rsid w:val="000D15BA"/>
    <w:rsid w:val="000D15BE"/>
    <w:rsid w:val="000D252B"/>
    <w:rsid w:val="000D2BCC"/>
    <w:rsid w:val="000D2C9B"/>
    <w:rsid w:val="000D2CCB"/>
    <w:rsid w:val="000D35FD"/>
    <w:rsid w:val="000D3D2D"/>
    <w:rsid w:val="000D3D99"/>
    <w:rsid w:val="000D451B"/>
    <w:rsid w:val="000D4653"/>
    <w:rsid w:val="000D4696"/>
    <w:rsid w:val="000D4817"/>
    <w:rsid w:val="000D4D0C"/>
    <w:rsid w:val="000D4E79"/>
    <w:rsid w:val="000D4FB9"/>
    <w:rsid w:val="000D54B4"/>
    <w:rsid w:val="000D584B"/>
    <w:rsid w:val="000D5EE9"/>
    <w:rsid w:val="000D5F55"/>
    <w:rsid w:val="000D6372"/>
    <w:rsid w:val="000D6979"/>
    <w:rsid w:val="000D6CE7"/>
    <w:rsid w:val="000D6E38"/>
    <w:rsid w:val="000D6E63"/>
    <w:rsid w:val="000D711C"/>
    <w:rsid w:val="000D741B"/>
    <w:rsid w:val="000D7B6E"/>
    <w:rsid w:val="000E0644"/>
    <w:rsid w:val="000E076D"/>
    <w:rsid w:val="000E087C"/>
    <w:rsid w:val="000E187C"/>
    <w:rsid w:val="000E1B28"/>
    <w:rsid w:val="000E1E8D"/>
    <w:rsid w:val="000E1EBC"/>
    <w:rsid w:val="000E2173"/>
    <w:rsid w:val="000E220B"/>
    <w:rsid w:val="000E2266"/>
    <w:rsid w:val="000E2A50"/>
    <w:rsid w:val="000E30F2"/>
    <w:rsid w:val="000E316B"/>
    <w:rsid w:val="000E372D"/>
    <w:rsid w:val="000E3D08"/>
    <w:rsid w:val="000E4728"/>
    <w:rsid w:val="000E4D1F"/>
    <w:rsid w:val="000E5658"/>
    <w:rsid w:val="000E5698"/>
    <w:rsid w:val="000E5723"/>
    <w:rsid w:val="000E581B"/>
    <w:rsid w:val="000E64B2"/>
    <w:rsid w:val="000E65D2"/>
    <w:rsid w:val="000E6919"/>
    <w:rsid w:val="000E6B1B"/>
    <w:rsid w:val="000E6F0C"/>
    <w:rsid w:val="000E732D"/>
    <w:rsid w:val="000F07ED"/>
    <w:rsid w:val="000F0CF2"/>
    <w:rsid w:val="000F1401"/>
    <w:rsid w:val="000F1A32"/>
    <w:rsid w:val="000F1CC2"/>
    <w:rsid w:val="000F1D15"/>
    <w:rsid w:val="000F270A"/>
    <w:rsid w:val="000F2FA3"/>
    <w:rsid w:val="000F34C8"/>
    <w:rsid w:val="000F38BC"/>
    <w:rsid w:val="000F3E2A"/>
    <w:rsid w:val="000F4D26"/>
    <w:rsid w:val="000F5639"/>
    <w:rsid w:val="000F58A4"/>
    <w:rsid w:val="000F5F99"/>
    <w:rsid w:val="000F6271"/>
    <w:rsid w:val="000F6833"/>
    <w:rsid w:val="000F6A24"/>
    <w:rsid w:val="000F7502"/>
    <w:rsid w:val="000F7616"/>
    <w:rsid w:val="000F7DE9"/>
    <w:rsid w:val="000F7F7A"/>
    <w:rsid w:val="001002F4"/>
    <w:rsid w:val="0010050C"/>
    <w:rsid w:val="001006CB"/>
    <w:rsid w:val="001011FC"/>
    <w:rsid w:val="0010165F"/>
    <w:rsid w:val="00101C69"/>
    <w:rsid w:val="00101E7C"/>
    <w:rsid w:val="001023DC"/>
    <w:rsid w:val="00102572"/>
    <w:rsid w:val="00102946"/>
    <w:rsid w:val="00102FBF"/>
    <w:rsid w:val="0010333D"/>
    <w:rsid w:val="0010372A"/>
    <w:rsid w:val="00103F41"/>
    <w:rsid w:val="00104662"/>
    <w:rsid w:val="00104F34"/>
    <w:rsid w:val="0010519C"/>
    <w:rsid w:val="001053C5"/>
    <w:rsid w:val="001055AD"/>
    <w:rsid w:val="00105C14"/>
    <w:rsid w:val="001065A3"/>
    <w:rsid w:val="00106610"/>
    <w:rsid w:val="00106831"/>
    <w:rsid w:val="0010683E"/>
    <w:rsid w:val="0010691D"/>
    <w:rsid w:val="00106B33"/>
    <w:rsid w:val="00106E69"/>
    <w:rsid w:val="0011068D"/>
    <w:rsid w:val="00110AC5"/>
    <w:rsid w:val="00110F0B"/>
    <w:rsid w:val="0011108B"/>
    <w:rsid w:val="00111136"/>
    <w:rsid w:val="00111164"/>
    <w:rsid w:val="00111761"/>
    <w:rsid w:val="00112164"/>
    <w:rsid w:val="0011241F"/>
    <w:rsid w:val="001128BF"/>
    <w:rsid w:val="00112D09"/>
    <w:rsid w:val="00112E8F"/>
    <w:rsid w:val="00112F03"/>
    <w:rsid w:val="00112F38"/>
    <w:rsid w:val="00113821"/>
    <w:rsid w:val="00113927"/>
    <w:rsid w:val="00114058"/>
    <w:rsid w:val="0011449E"/>
    <w:rsid w:val="001153EF"/>
    <w:rsid w:val="00115D55"/>
    <w:rsid w:val="00115E45"/>
    <w:rsid w:val="00115E64"/>
    <w:rsid w:val="00115F85"/>
    <w:rsid w:val="0011688E"/>
    <w:rsid w:val="00116ACD"/>
    <w:rsid w:val="00116E19"/>
    <w:rsid w:val="0011718F"/>
    <w:rsid w:val="00117B7D"/>
    <w:rsid w:val="00117EFC"/>
    <w:rsid w:val="001205A8"/>
    <w:rsid w:val="00121766"/>
    <w:rsid w:val="0012291C"/>
    <w:rsid w:val="00122A64"/>
    <w:rsid w:val="00123694"/>
    <w:rsid w:val="0012388A"/>
    <w:rsid w:val="0012388C"/>
    <w:rsid w:val="00123AFA"/>
    <w:rsid w:val="00123C8C"/>
    <w:rsid w:val="00123E8B"/>
    <w:rsid w:val="00124405"/>
    <w:rsid w:val="00124B43"/>
    <w:rsid w:val="00124DF8"/>
    <w:rsid w:val="001253EA"/>
    <w:rsid w:val="00125B99"/>
    <w:rsid w:val="00126160"/>
    <w:rsid w:val="001264EE"/>
    <w:rsid w:val="00126AEC"/>
    <w:rsid w:val="00126DB5"/>
    <w:rsid w:val="0012711C"/>
    <w:rsid w:val="00127178"/>
    <w:rsid w:val="00127F09"/>
    <w:rsid w:val="0013002A"/>
    <w:rsid w:val="0013085D"/>
    <w:rsid w:val="0013089C"/>
    <w:rsid w:val="00130A2D"/>
    <w:rsid w:val="00130F54"/>
    <w:rsid w:val="00131888"/>
    <w:rsid w:val="00131F17"/>
    <w:rsid w:val="0013212F"/>
    <w:rsid w:val="00132284"/>
    <w:rsid w:val="001323F9"/>
    <w:rsid w:val="0013251F"/>
    <w:rsid w:val="00132B8C"/>
    <w:rsid w:val="00133088"/>
    <w:rsid w:val="00133346"/>
    <w:rsid w:val="001335B1"/>
    <w:rsid w:val="00133B4E"/>
    <w:rsid w:val="0013410F"/>
    <w:rsid w:val="001346AF"/>
    <w:rsid w:val="00134990"/>
    <w:rsid w:val="001354D1"/>
    <w:rsid w:val="00135840"/>
    <w:rsid w:val="00135A0A"/>
    <w:rsid w:val="00135BB9"/>
    <w:rsid w:val="00135C5A"/>
    <w:rsid w:val="0013621D"/>
    <w:rsid w:val="00136354"/>
    <w:rsid w:val="00136674"/>
    <w:rsid w:val="00136B0E"/>
    <w:rsid w:val="00136C3B"/>
    <w:rsid w:val="001376AB"/>
    <w:rsid w:val="0013777C"/>
    <w:rsid w:val="00137D5F"/>
    <w:rsid w:val="00140082"/>
    <w:rsid w:val="001400C5"/>
    <w:rsid w:val="00140175"/>
    <w:rsid w:val="00140757"/>
    <w:rsid w:val="00140D07"/>
    <w:rsid w:val="00141A3A"/>
    <w:rsid w:val="00141FD4"/>
    <w:rsid w:val="001423FA"/>
    <w:rsid w:val="001427B5"/>
    <w:rsid w:val="001428CF"/>
    <w:rsid w:val="00142D0C"/>
    <w:rsid w:val="00142E3C"/>
    <w:rsid w:val="00143387"/>
    <w:rsid w:val="001439BA"/>
    <w:rsid w:val="00144013"/>
    <w:rsid w:val="001455C3"/>
    <w:rsid w:val="00145A17"/>
    <w:rsid w:val="00145BBE"/>
    <w:rsid w:val="001460B5"/>
    <w:rsid w:val="0014641F"/>
    <w:rsid w:val="001464A8"/>
    <w:rsid w:val="001467BB"/>
    <w:rsid w:val="00146CA8"/>
    <w:rsid w:val="00147884"/>
    <w:rsid w:val="00150827"/>
    <w:rsid w:val="00150B0D"/>
    <w:rsid w:val="00150E10"/>
    <w:rsid w:val="0015120D"/>
    <w:rsid w:val="00151A32"/>
    <w:rsid w:val="00151B2C"/>
    <w:rsid w:val="00151E31"/>
    <w:rsid w:val="00151F9B"/>
    <w:rsid w:val="00152289"/>
    <w:rsid w:val="00152425"/>
    <w:rsid w:val="00152BAD"/>
    <w:rsid w:val="00152CE3"/>
    <w:rsid w:val="00153652"/>
    <w:rsid w:val="00153697"/>
    <w:rsid w:val="00153956"/>
    <w:rsid w:val="00153B95"/>
    <w:rsid w:val="00154146"/>
    <w:rsid w:val="00154190"/>
    <w:rsid w:val="001545EA"/>
    <w:rsid w:val="001549BA"/>
    <w:rsid w:val="00154BBF"/>
    <w:rsid w:val="00155099"/>
    <w:rsid w:val="00155C85"/>
    <w:rsid w:val="00156592"/>
    <w:rsid w:val="0015680F"/>
    <w:rsid w:val="00156A6C"/>
    <w:rsid w:val="00156B10"/>
    <w:rsid w:val="001576FE"/>
    <w:rsid w:val="00157823"/>
    <w:rsid w:val="0015790D"/>
    <w:rsid w:val="00157C5E"/>
    <w:rsid w:val="00157DD3"/>
    <w:rsid w:val="0016015A"/>
    <w:rsid w:val="0016020E"/>
    <w:rsid w:val="00160503"/>
    <w:rsid w:val="00160BF6"/>
    <w:rsid w:val="00160D7C"/>
    <w:rsid w:val="00160E30"/>
    <w:rsid w:val="0016106D"/>
    <w:rsid w:val="001612E1"/>
    <w:rsid w:val="001614DB"/>
    <w:rsid w:val="0016194E"/>
    <w:rsid w:val="001619DA"/>
    <w:rsid w:val="0016236C"/>
    <w:rsid w:val="00162625"/>
    <w:rsid w:val="00162DFB"/>
    <w:rsid w:val="001630A8"/>
    <w:rsid w:val="00163233"/>
    <w:rsid w:val="00163826"/>
    <w:rsid w:val="00163943"/>
    <w:rsid w:val="00163BA1"/>
    <w:rsid w:val="00163F22"/>
    <w:rsid w:val="0016417B"/>
    <w:rsid w:val="001643A6"/>
    <w:rsid w:val="00164402"/>
    <w:rsid w:val="0016470E"/>
    <w:rsid w:val="001649D3"/>
    <w:rsid w:val="00164C26"/>
    <w:rsid w:val="00164E0A"/>
    <w:rsid w:val="001652D7"/>
    <w:rsid w:val="00165A5F"/>
    <w:rsid w:val="00166223"/>
    <w:rsid w:val="0016793E"/>
    <w:rsid w:val="00167D4D"/>
    <w:rsid w:val="0017054C"/>
    <w:rsid w:val="00170635"/>
    <w:rsid w:val="0017070D"/>
    <w:rsid w:val="00170837"/>
    <w:rsid w:val="00171035"/>
    <w:rsid w:val="001713B7"/>
    <w:rsid w:val="00171ADB"/>
    <w:rsid w:val="00171E2C"/>
    <w:rsid w:val="00172029"/>
    <w:rsid w:val="001733A4"/>
    <w:rsid w:val="00173AB9"/>
    <w:rsid w:val="00173EED"/>
    <w:rsid w:val="00174368"/>
    <w:rsid w:val="001744EA"/>
    <w:rsid w:val="00174731"/>
    <w:rsid w:val="00174D82"/>
    <w:rsid w:val="00174E44"/>
    <w:rsid w:val="00175053"/>
    <w:rsid w:val="001753B7"/>
    <w:rsid w:val="001757E7"/>
    <w:rsid w:val="00175873"/>
    <w:rsid w:val="00175C59"/>
    <w:rsid w:val="001760BC"/>
    <w:rsid w:val="00176674"/>
    <w:rsid w:val="00176818"/>
    <w:rsid w:val="00176B82"/>
    <w:rsid w:val="00176E3B"/>
    <w:rsid w:val="00176ECB"/>
    <w:rsid w:val="0017752D"/>
    <w:rsid w:val="0017759F"/>
    <w:rsid w:val="00177832"/>
    <w:rsid w:val="00181178"/>
    <w:rsid w:val="0018119E"/>
    <w:rsid w:val="0018152C"/>
    <w:rsid w:val="00181DBA"/>
    <w:rsid w:val="00181EEF"/>
    <w:rsid w:val="00181F3E"/>
    <w:rsid w:val="0018274C"/>
    <w:rsid w:val="00182FE0"/>
    <w:rsid w:val="00183911"/>
    <w:rsid w:val="00184418"/>
    <w:rsid w:val="001845FB"/>
    <w:rsid w:val="001857FB"/>
    <w:rsid w:val="00185A93"/>
    <w:rsid w:val="00185DA6"/>
    <w:rsid w:val="00185F64"/>
    <w:rsid w:val="00186096"/>
    <w:rsid w:val="001862FE"/>
    <w:rsid w:val="001864AC"/>
    <w:rsid w:val="00187317"/>
    <w:rsid w:val="0018772E"/>
    <w:rsid w:val="00187A94"/>
    <w:rsid w:val="0019029E"/>
    <w:rsid w:val="00190804"/>
    <w:rsid w:val="0019088F"/>
    <w:rsid w:val="00190C51"/>
    <w:rsid w:val="00192F00"/>
    <w:rsid w:val="00193ACC"/>
    <w:rsid w:val="00193BFE"/>
    <w:rsid w:val="00194B5A"/>
    <w:rsid w:val="00195322"/>
    <w:rsid w:val="0019560E"/>
    <w:rsid w:val="001958E3"/>
    <w:rsid w:val="00195FFA"/>
    <w:rsid w:val="0019601B"/>
    <w:rsid w:val="00196048"/>
    <w:rsid w:val="00196A82"/>
    <w:rsid w:val="0019769B"/>
    <w:rsid w:val="001979F9"/>
    <w:rsid w:val="00197FFE"/>
    <w:rsid w:val="001A0CA7"/>
    <w:rsid w:val="001A0D25"/>
    <w:rsid w:val="001A0E14"/>
    <w:rsid w:val="001A1570"/>
    <w:rsid w:val="001A1917"/>
    <w:rsid w:val="001A1C64"/>
    <w:rsid w:val="001A1DFB"/>
    <w:rsid w:val="001A1E7F"/>
    <w:rsid w:val="001A2918"/>
    <w:rsid w:val="001A2D02"/>
    <w:rsid w:val="001A3076"/>
    <w:rsid w:val="001A3163"/>
    <w:rsid w:val="001A31A5"/>
    <w:rsid w:val="001A389C"/>
    <w:rsid w:val="001A3B75"/>
    <w:rsid w:val="001A42A3"/>
    <w:rsid w:val="001A46FB"/>
    <w:rsid w:val="001A4EC9"/>
    <w:rsid w:val="001A5944"/>
    <w:rsid w:val="001A5FB1"/>
    <w:rsid w:val="001A618F"/>
    <w:rsid w:val="001A698A"/>
    <w:rsid w:val="001A6CCC"/>
    <w:rsid w:val="001A6E3B"/>
    <w:rsid w:val="001A70C8"/>
    <w:rsid w:val="001A71C9"/>
    <w:rsid w:val="001A7360"/>
    <w:rsid w:val="001A7429"/>
    <w:rsid w:val="001A760C"/>
    <w:rsid w:val="001A76F0"/>
    <w:rsid w:val="001A7977"/>
    <w:rsid w:val="001A799B"/>
    <w:rsid w:val="001A7AC7"/>
    <w:rsid w:val="001A7C38"/>
    <w:rsid w:val="001B02F8"/>
    <w:rsid w:val="001B2104"/>
    <w:rsid w:val="001B2279"/>
    <w:rsid w:val="001B2729"/>
    <w:rsid w:val="001B2866"/>
    <w:rsid w:val="001B2881"/>
    <w:rsid w:val="001B2B73"/>
    <w:rsid w:val="001B3675"/>
    <w:rsid w:val="001B37C8"/>
    <w:rsid w:val="001B48BA"/>
    <w:rsid w:val="001B4B2C"/>
    <w:rsid w:val="001B4F10"/>
    <w:rsid w:val="001B5154"/>
    <w:rsid w:val="001B5AB6"/>
    <w:rsid w:val="001B6E30"/>
    <w:rsid w:val="001B7C83"/>
    <w:rsid w:val="001B7F9E"/>
    <w:rsid w:val="001C0206"/>
    <w:rsid w:val="001C0246"/>
    <w:rsid w:val="001C04D4"/>
    <w:rsid w:val="001C0B34"/>
    <w:rsid w:val="001C12A3"/>
    <w:rsid w:val="001C1419"/>
    <w:rsid w:val="001C15D8"/>
    <w:rsid w:val="001C17BB"/>
    <w:rsid w:val="001C187E"/>
    <w:rsid w:val="001C1A37"/>
    <w:rsid w:val="001C1C49"/>
    <w:rsid w:val="001C286F"/>
    <w:rsid w:val="001C2B86"/>
    <w:rsid w:val="001C2F54"/>
    <w:rsid w:val="001C3308"/>
    <w:rsid w:val="001C3BBB"/>
    <w:rsid w:val="001C40D1"/>
    <w:rsid w:val="001C468A"/>
    <w:rsid w:val="001C4A38"/>
    <w:rsid w:val="001C4A9E"/>
    <w:rsid w:val="001C5001"/>
    <w:rsid w:val="001C5103"/>
    <w:rsid w:val="001C52A8"/>
    <w:rsid w:val="001C5ADF"/>
    <w:rsid w:val="001C5E8E"/>
    <w:rsid w:val="001C6120"/>
    <w:rsid w:val="001C6516"/>
    <w:rsid w:val="001C6B5C"/>
    <w:rsid w:val="001C7155"/>
    <w:rsid w:val="001C7E48"/>
    <w:rsid w:val="001D0190"/>
    <w:rsid w:val="001D039B"/>
    <w:rsid w:val="001D0849"/>
    <w:rsid w:val="001D1258"/>
    <w:rsid w:val="001D1AB8"/>
    <w:rsid w:val="001D26F5"/>
    <w:rsid w:val="001D286F"/>
    <w:rsid w:val="001D2C94"/>
    <w:rsid w:val="001D33D9"/>
    <w:rsid w:val="001D36F6"/>
    <w:rsid w:val="001D4303"/>
    <w:rsid w:val="001D45E5"/>
    <w:rsid w:val="001D461A"/>
    <w:rsid w:val="001D4A9D"/>
    <w:rsid w:val="001D4AAD"/>
    <w:rsid w:val="001D4E16"/>
    <w:rsid w:val="001D5AFA"/>
    <w:rsid w:val="001D652D"/>
    <w:rsid w:val="001D6E5B"/>
    <w:rsid w:val="001D72D9"/>
    <w:rsid w:val="001D784A"/>
    <w:rsid w:val="001E04A4"/>
    <w:rsid w:val="001E07C5"/>
    <w:rsid w:val="001E0B45"/>
    <w:rsid w:val="001E176D"/>
    <w:rsid w:val="001E1BCE"/>
    <w:rsid w:val="001E1E05"/>
    <w:rsid w:val="001E2086"/>
    <w:rsid w:val="001E339F"/>
    <w:rsid w:val="001E3629"/>
    <w:rsid w:val="001E3E7D"/>
    <w:rsid w:val="001E40F0"/>
    <w:rsid w:val="001E4172"/>
    <w:rsid w:val="001E4D83"/>
    <w:rsid w:val="001E4F08"/>
    <w:rsid w:val="001E5490"/>
    <w:rsid w:val="001E5730"/>
    <w:rsid w:val="001E5E2E"/>
    <w:rsid w:val="001E6352"/>
    <w:rsid w:val="001E700A"/>
    <w:rsid w:val="001E70AD"/>
    <w:rsid w:val="001E7237"/>
    <w:rsid w:val="001E7AF6"/>
    <w:rsid w:val="001F01B8"/>
    <w:rsid w:val="001F0FC3"/>
    <w:rsid w:val="001F1188"/>
    <w:rsid w:val="001F1899"/>
    <w:rsid w:val="001F1B8D"/>
    <w:rsid w:val="001F1C50"/>
    <w:rsid w:val="001F274F"/>
    <w:rsid w:val="001F289C"/>
    <w:rsid w:val="001F2BF9"/>
    <w:rsid w:val="001F336D"/>
    <w:rsid w:val="001F3AF2"/>
    <w:rsid w:val="001F6008"/>
    <w:rsid w:val="001F604B"/>
    <w:rsid w:val="001F641B"/>
    <w:rsid w:val="001F6D4D"/>
    <w:rsid w:val="001F7CA7"/>
    <w:rsid w:val="0020125C"/>
    <w:rsid w:val="0020130D"/>
    <w:rsid w:val="00201916"/>
    <w:rsid w:val="00201D06"/>
    <w:rsid w:val="00201E9F"/>
    <w:rsid w:val="00202F25"/>
    <w:rsid w:val="00202FA3"/>
    <w:rsid w:val="002035B3"/>
    <w:rsid w:val="00203929"/>
    <w:rsid w:val="00203CD6"/>
    <w:rsid w:val="00203D01"/>
    <w:rsid w:val="00204460"/>
    <w:rsid w:val="0020488A"/>
    <w:rsid w:val="002051EA"/>
    <w:rsid w:val="00205CBC"/>
    <w:rsid w:val="00206259"/>
    <w:rsid w:val="002074B7"/>
    <w:rsid w:val="0020758D"/>
    <w:rsid w:val="002078B4"/>
    <w:rsid w:val="00207C7B"/>
    <w:rsid w:val="00211470"/>
    <w:rsid w:val="00211922"/>
    <w:rsid w:val="0021213A"/>
    <w:rsid w:val="0021265F"/>
    <w:rsid w:val="00213232"/>
    <w:rsid w:val="00213817"/>
    <w:rsid w:val="00214428"/>
    <w:rsid w:val="002145EB"/>
    <w:rsid w:val="00214F82"/>
    <w:rsid w:val="00214FE7"/>
    <w:rsid w:val="00215033"/>
    <w:rsid w:val="00215834"/>
    <w:rsid w:val="00215CC2"/>
    <w:rsid w:val="00215D95"/>
    <w:rsid w:val="00215ED8"/>
    <w:rsid w:val="00215FAF"/>
    <w:rsid w:val="002173D7"/>
    <w:rsid w:val="00217700"/>
    <w:rsid w:val="002177E2"/>
    <w:rsid w:val="0021783B"/>
    <w:rsid w:val="00217B43"/>
    <w:rsid w:val="002205F3"/>
    <w:rsid w:val="0022085B"/>
    <w:rsid w:val="00220E53"/>
    <w:rsid w:val="00221391"/>
    <w:rsid w:val="0022176C"/>
    <w:rsid w:val="002220BB"/>
    <w:rsid w:val="002225D1"/>
    <w:rsid w:val="002227DC"/>
    <w:rsid w:val="002230FA"/>
    <w:rsid w:val="002232B9"/>
    <w:rsid w:val="0022375F"/>
    <w:rsid w:val="00223DF2"/>
    <w:rsid w:val="002249A2"/>
    <w:rsid w:val="00224C0C"/>
    <w:rsid w:val="002256C2"/>
    <w:rsid w:val="002256D0"/>
    <w:rsid w:val="00225C8E"/>
    <w:rsid w:val="00226428"/>
    <w:rsid w:val="002265A9"/>
    <w:rsid w:val="002266CB"/>
    <w:rsid w:val="00227052"/>
    <w:rsid w:val="002272D5"/>
    <w:rsid w:val="0022738E"/>
    <w:rsid w:val="00227906"/>
    <w:rsid w:val="00227934"/>
    <w:rsid w:val="00227E21"/>
    <w:rsid w:val="0023008A"/>
    <w:rsid w:val="002304A1"/>
    <w:rsid w:val="00231D05"/>
    <w:rsid w:val="0023241A"/>
    <w:rsid w:val="002336E2"/>
    <w:rsid w:val="00233AC2"/>
    <w:rsid w:val="00233BAF"/>
    <w:rsid w:val="00233F80"/>
    <w:rsid w:val="0023423A"/>
    <w:rsid w:val="00235420"/>
    <w:rsid w:val="00235700"/>
    <w:rsid w:val="0023788D"/>
    <w:rsid w:val="00240422"/>
    <w:rsid w:val="0024065B"/>
    <w:rsid w:val="002409A6"/>
    <w:rsid w:val="00240C63"/>
    <w:rsid w:val="00240D91"/>
    <w:rsid w:val="00240EA5"/>
    <w:rsid w:val="00241132"/>
    <w:rsid w:val="00241205"/>
    <w:rsid w:val="002418C5"/>
    <w:rsid w:val="0024261D"/>
    <w:rsid w:val="00242712"/>
    <w:rsid w:val="00242DFB"/>
    <w:rsid w:val="00243807"/>
    <w:rsid w:val="002440AC"/>
    <w:rsid w:val="00244365"/>
    <w:rsid w:val="0024459A"/>
    <w:rsid w:val="002446A3"/>
    <w:rsid w:val="00244771"/>
    <w:rsid w:val="00244903"/>
    <w:rsid w:val="00244AFB"/>
    <w:rsid w:val="002453DF"/>
    <w:rsid w:val="00245A81"/>
    <w:rsid w:val="00245CCD"/>
    <w:rsid w:val="00245D60"/>
    <w:rsid w:val="002462A5"/>
    <w:rsid w:val="00246530"/>
    <w:rsid w:val="00246B86"/>
    <w:rsid w:val="00247335"/>
    <w:rsid w:val="002473EF"/>
    <w:rsid w:val="002477B9"/>
    <w:rsid w:val="00247B69"/>
    <w:rsid w:val="00247BCE"/>
    <w:rsid w:val="00247CBE"/>
    <w:rsid w:val="00250A1F"/>
    <w:rsid w:val="00250ADA"/>
    <w:rsid w:val="00250F1D"/>
    <w:rsid w:val="00251FF1"/>
    <w:rsid w:val="002520BA"/>
    <w:rsid w:val="00252234"/>
    <w:rsid w:val="002528E3"/>
    <w:rsid w:val="00252944"/>
    <w:rsid w:val="00252D55"/>
    <w:rsid w:val="00252D82"/>
    <w:rsid w:val="00253006"/>
    <w:rsid w:val="00253165"/>
    <w:rsid w:val="002531EA"/>
    <w:rsid w:val="002533F5"/>
    <w:rsid w:val="00253C60"/>
    <w:rsid w:val="00253F21"/>
    <w:rsid w:val="0025429D"/>
    <w:rsid w:val="002549E9"/>
    <w:rsid w:val="00254FF6"/>
    <w:rsid w:val="00255099"/>
    <w:rsid w:val="002555C6"/>
    <w:rsid w:val="0025597E"/>
    <w:rsid w:val="00255ABE"/>
    <w:rsid w:val="00255E14"/>
    <w:rsid w:val="00255E45"/>
    <w:rsid w:val="00255FF9"/>
    <w:rsid w:val="00257059"/>
    <w:rsid w:val="0025712F"/>
    <w:rsid w:val="00257395"/>
    <w:rsid w:val="00257857"/>
    <w:rsid w:val="002578DA"/>
    <w:rsid w:val="00257CBC"/>
    <w:rsid w:val="002602C2"/>
    <w:rsid w:val="002602DA"/>
    <w:rsid w:val="0026040B"/>
    <w:rsid w:val="002604F2"/>
    <w:rsid w:val="00260802"/>
    <w:rsid w:val="002609E3"/>
    <w:rsid w:val="00261223"/>
    <w:rsid w:val="002617AB"/>
    <w:rsid w:val="00261D08"/>
    <w:rsid w:val="00261DCC"/>
    <w:rsid w:val="002624D0"/>
    <w:rsid w:val="00263EC7"/>
    <w:rsid w:val="0026491B"/>
    <w:rsid w:val="00264A36"/>
    <w:rsid w:val="00264B06"/>
    <w:rsid w:val="00264C1B"/>
    <w:rsid w:val="002657FB"/>
    <w:rsid w:val="00265D10"/>
    <w:rsid w:val="00265E2E"/>
    <w:rsid w:val="002661AB"/>
    <w:rsid w:val="0026742B"/>
    <w:rsid w:val="002674FE"/>
    <w:rsid w:val="00267E59"/>
    <w:rsid w:val="002702F6"/>
    <w:rsid w:val="00270748"/>
    <w:rsid w:val="00270CAB"/>
    <w:rsid w:val="0027117F"/>
    <w:rsid w:val="002712DC"/>
    <w:rsid w:val="00271875"/>
    <w:rsid w:val="002718FF"/>
    <w:rsid w:val="00271955"/>
    <w:rsid w:val="00272278"/>
    <w:rsid w:val="00272432"/>
    <w:rsid w:val="0027255E"/>
    <w:rsid w:val="00272633"/>
    <w:rsid w:val="00272D36"/>
    <w:rsid w:val="00272E48"/>
    <w:rsid w:val="00272FBF"/>
    <w:rsid w:val="00273A10"/>
    <w:rsid w:val="00273A58"/>
    <w:rsid w:val="00274C6E"/>
    <w:rsid w:val="00274CAB"/>
    <w:rsid w:val="00274E8A"/>
    <w:rsid w:val="002755A8"/>
    <w:rsid w:val="00275E2D"/>
    <w:rsid w:val="00275FCE"/>
    <w:rsid w:val="002766B8"/>
    <w:rsid w:val="0027680F"/>
    <w:rsid w:val="002777C0"/>
    <w:rsid w:val="0028076D"/>
    <w:rsid w:val="00281006"/>
    <w:rsid w:val="002815B1"/>
    <w:rsid w:val="00281893"/>
    <w:rsid w:val="00281C1F"/>
    <w:rsid w:val="00281EEA"/>
    <w:rsid w:val="00281F88"/>
    <w:rsid w:val="0028240D"/>
    <w:rsid w:val="0028288D"/>
    <w:rsid w:val="002829B7"/>
    <w:rsid w:val="00282B82"/>
    <w:rsid w:val="00282C74"/>
    <w:rsid w:val="00282E5B"/>
    <w:rsid w:val="00283995"/>
    <w:rsid w:val="00283B11"/>
    <w:rsid w:val="002841A9"/>
    <w:rsid w:val="00284313"/>
    <w:rsid w:val="00284554"/>
    <w:rsid w:val="002848AD"/>
    <w:rsid w:val="00284DE4"/>
    <w:rsid w:val="00285154"/>
    <w:rsid w:val="00285BF2"/>
    <w:rsid w:val="00285C78"/>
    <w:rsid w:val="002863CE"/>
    <w:rsid w:val="00287E20"/>
    <w:rsid w:val="0029110F"/>
    <w:rsid w:val="00291492"/>
    <w:rsid w:val="00291527"/>
    <w:rsid w:val="002916B4"/>
    <w:rsid w:val="0029199A"/>
    <w:rsid w:val="00291BBE"/>
    <w:rsid w:val="00291FEB"/>
    <w:rsid w:val="00293146"/>
    <w:rsid w:val="0029361E"/>
    <w:rsid w:val="00293D68"/>
    <w:rsid w:val="0029408A"/>
    <w:rsid w:val="00294352"/>
    <w:rsid w:val="002944A0"/>
    <w:rsid w:val="002946E4"/>
    <w:rsid w:val="0029495C"/>
    <w:rsid w:val="002957D9"/>
    <w:rsid w:val="00295B52"/>
    <w:rsid w:val="00296024"/>
    <w:rsid w:val="00296293"/>
    <w:rsid w:val="002969C7"/>
    <w:rsid w:val="00296AF7"/>
    <w:rsid w:val="00297021"/>
    <w:rsid w:val="002972F9"/>
    <w:rsid w:val="00297612"/>
    <w:rsid w:val="002977CA"/>
    <w:rsid w:val="00297ED7"/>
    <w:rsid w:val="002A0007"/>
    <w:rsid w:val="002A03AA"/>
    <w:rsid w:val="002A056D"/>
    <w:rsid w:val="002A07FE"/>
    <w:rsid w:val="002A094D"/>
    <w:rsid w:val="002A0CAF"/>
    <w:rsid w:val="002A0DDB"/>
    <w:rsid w:val="002A1565"/>
    <w:rsid w:val="002A16A9"/>
    <w:rsid w:val="002A2941"/>
    <w:rsid w:val="002A2DC4"/>
    <w:rsid w:val="002A3E69"/>
    <w:rsid w:val="002A44F9"/>
    <w:rsid w:val="002A4946"/>
    <w:rsid w:val="002A49EF"/>
    <w:rsid w:val="002A4B8B"/>
    <w:rsid w:val="002A5107"/>
    <w:rsid w:val="002A535E"/>
    <w:rsid w:val="002A5DBD"/>
    <w:rsid w:val="002A5F9E"/>
    <w:rsid w:val="002A6406"/>
    <w:rsid w:val="002A6432"/>
    <w:rsid w:val="002A6CF0"/>
    <w:rsid w:val="002A6FFC"/>
    <w:rsid w:val="002A7010"/>
    <w:rsid w:val="002A70BA"/>
    <w:rsid w:val="002A7A57"/>
    <w:rsid w:val="002A7BB2"/>
    <w:rsid w:val="002A7CC1"/>
    <w:rsid w:val="002A7DCB"/>
    <w:rsid w:val="002B0685"/>
    <w:rsid w:val="002B0B53"/>
    <w:rsid w:val="002B1617"/>
    <w:rsid w:val="002B1A90"/>
    <w:rsid w:val="002B1D11"/>
    <w:rsid w:val="002B273B"/>
    <w:rsid w:val="002B29AA"/>
    <w:rsid w:val="002B2A7E"/>
    <w:rsid w:val="002B2F1B"/>
    <w:rsid w:val="002B3332"/>
    <w:rsid w:val="002B34C7"/>
    <w:rsid w:val="002B3F25"/>
    <w:rsid w:val="002B4BC0"/>
    <w:rsid w:val="002B5AFB"/>
    <w:rsid w:val="002B5E9E"/>
    <w:rsid w:val="002B6320"/>
    <w:rsid w:val="002B66AC"/>
    <w:rsid w:val="002B6852"/>
    <w:rsid w:val="002B74EF"/>
    <w:rsid w:val="002B77E1"/>
    <w:rsid w:val="002C0656"/>
    <w:rsid w:val="002C0714"/>
    <w:rsid w:val="002C0A96"/>
    <w:rsid w:val="002C13C6"/>
    <w:rsid w:val="002C1BF4"/>
    <w:rsid w:val="002C1E0D"/>
    <w:rsid w:val="002C2266"/>
    <w:rsid w:val="002C2356"/>
    <w:rsid w:val="002C238F"/>
    <w:rsid w:val="002C276F"/>
    <w:rsid w:val="002C28EB"/>
    <w:rsid w:val="002C316C"/>
    <w:rsid w:val="002C3265"/>
    <w:rsid w:val="002C3AED"/>
    <w:rsid w:val="002C3E56"/>
    <w:rsid w:val="002C414C"/>
    <w:rsid w:val="002C49F8"/>
    <w:rsid w:val="002C4BA4"/>
    <w:rsid w:val="002C4C2F"/>
    <w:rsid w:val="002C5776"/>
    <w:rsid w:val="002C5EED"/>
    <w:rsid w:val="002C66DE"/>
    <w:rsid w:val="002C7193"/>
    <w:rsid w:val="002C7699"/>
    <w:rsid w:val="002C7A49"/>
    <w:rsid w:val="002D0128"/>
    <w:rsid w:val="002D0E85"/>
    <w:rsid w:val="002D0FA7"/>
    <w:rsid w:val="002D1131"/>
    <w:rsid w:val="002D12FB"/>
    <w:rsid w:val="002D19D1"/>
    <w:rsid w:val="002D1F35"/>
    <w:rsid w:val="002D1FA3"/>
    <w:rsid w:val="002D20CD"/>
    <w:rsid w:val="002D23C6"/>
    <w:rsid w:val="002D24F0"/>
    <w:rsid w:val="002D25EB"/>
    <w:rsid w:val="002D29F3"/>
    <w:rsid w:val="002D3126"/>
    <w:rsid w:val="002D3529"/>
    <w:rsid w:val="002D3D0A"/>
    <w:rsid w:val="002D3EF0"/>
    <w:rsid w:val="002D478E"/>
    <w:rsid w:val="002D47AE"/>
    <w:rsid w:val="002D4A94"/>
    <w:rsid w:val="002D4AFE"/>
    <w:rsid w:val="002D65FF"/>
    <w:rsid w:val="002D6D10"/>
    <w:rsid w:val="002D71E2"/>
    <w:rsid w:val="002D7B6A"/>
    <w:rsid w:val="002E0026"/>
    <w:rsid w:val="002E08E8"/>
    <w:rsid w:val="002E0918"/>
    <w:rsid w:val="002E0BAA"/>
    <w:rsid w:val="002E0D96"/>
    <w:rsid w:val="002E0EA5"/>
    <w:rsid w:val="002E0F1C"/>
    <w:rsid w:val="002E1E19"/>
    <w:rsid w:val="002E1FAC"/>
    <w:rsid w:val="002E283F"/>
    <w:rsid w:val="002E2854"/>
    <w:rsid w:val="002E2E74"/>
    <w:rsid w:val="002E32D2"/>
    <w:rsid w:val="002E361B"/>
    <w:rsid w:val="002E37AB"/>
    <w:rsid w:val="002E3A80"/>
    <w:rsid w:val="002E41C7"/>
    <w:rsid w:val="002E51DF"/>
    <w:rsid w:val="002E57B9"/>
    <w:rsid w:val="002E5D3D"/>
    <w:rsid w:val="002E6127"/>
    <w:rsid w:val="002E6885"/>
    <w:rsid w:val="002E72E4"/>
    <w:rsid w:val="002E739D"/>
    <w:rsid w:val="002F016F"/>
    <w:rsid w:val="002F0F36"/>
    <w:rsid w:val="002F1276"/>
    <w:rsid w:val="002F1986"/>
    <w:rsid w:val="002F1E5F"/>
    <w:rsid w:val="002F2A49"/>
    <w:rsid w:val="002F3550"/>
    <w:rsid w:val="002F3B63"/>
    <w:rsid w:val="002F3C56"/>
    <w:rsid w:val="002F4271"/>
    <w:rsid w:val="002F46B0"/>
    <w:rsid w:val="002F4B17"/>
    <w:rsid w:val="002F5150"/>
    <w:rsid w:val="002F5463"/>
    <w:rsid w:val="002F58C2"/>
    <w:rsid w:val="002F5932"/>
    <w:rsid w:val="002F5C85"/>
    <w:rsid w:val="002F603B"/>
    <w:rsid w:val="002F6201"/>
    <w:rsid w:val="002F6493"/>
    <w:rsid w:val="002F724B"/>
    <w:rsid w:val="002F72BA"/>
    <w:rsid w:val="00300267"/>
    <w:rsid w:val="003004D2"/>
    <w:rsid w:val="00300D6B"/>
    <w:rsid w:val="00301380"/>
    <w:rsid w:val="003015DA"/>
    <w:rsid w:val="00301D6A"/>
    <w:rsid w:val="00301E89"/>
    <w:rsid w:val="00302052"/>
    <w:rsid w:val="00302142"/>
    <w:rsid w:val="00302169"/>
    <w:rsid w:val="00302612"/>
    <w:rsid w:val="00303254"/>
    <w:rsid w:val="003044D9"/>
    <w:rsid w:val="00304D8A"/>
    <w:rsid w:val="00305216"/>
    <w:rsid w:val="0030555B"/>
    <w:rsid w:val="003061F5"/>
    <w:rsid w:val="00306A49"/>
    <w:rsid w:val="00306D27"/>
    <w:rsid w:val="0030739C"/>
    <w:rsid w:val="00310D51"/>
    <w:rsid w:val="00311B36"/>
    <w:rsid w:val="00311C92"/>
    <w:rsid w:val="00313321"/>
    <w:rsid w:val="003133AE"/>
    <w:rsid w:val="0031371B"/>
    <w:rsid w:val="00314156"/>
    <w:rsid w:val="00314CF8"/>
    <w:rsid w:val="00314E5D"/>
    <w:rsid w:val="0031535B"/>
    <w:rsid w:val="003154DD"/>
    <w:rsid w:val="00316F76"/>
    <w:rsid w:val="003170F4"/>
    <w:rsid w:val="00317A88"/>
    <w:rsid w:val="0032035D"/>
    <w:rsid w:val="003205E9"/>
    <w:rsid w:val="00320B28"/>
    <w:rsid w:val="0032123E"/>
    <w:rsid w:val="003216D5"/>
    <w:rsid w:val="003216FF"/>
    <w:rsid w:val="00321866"/>
    <w:rsid w:val="00321A83"/>
    <w:rsid w:val="00321C1A"/>
    <w:rsid w:val="00321D8E"/>
    <w:rsid w:val="00321F6B"/>
    <w:rsid w:val="00322389"/>
    <w:rsid w:val="003223CA"/>
    <w:rsid w:val="00322BE5"/>
    <w:rsid w:val="00322E87"/>
    <w:rsid w:val="0032312D"/>
    <w:rsid w:val="00323AA5"/>
    <w:rsid w:val="003242E4"/>
    <w:rsid w:val="0032468D"/>
    <w:rsid w:val="00324887"/>
    <w:rsid w:val="00324926"/>
    <w:rsid w:val="00324B25"/>
    <w:rsid w:val="0032522F"/>
    <w:rsid w:val="003253C4"/>
    <w:rsid w:val="0032550F"/>
    <w:rsid w:val="00325992"/>
    <w:rsid w:val="00325B74"/>
    <w:rsid w:val="0032638F"/>
    <w:rsid w:val="003263EA"/>
    <w:rsid w:val="00326B59"/>
    <w:rsid w:val="00326BD4"/>
    <w:rsid w:val="003272C6"/>
    <w:rsid w:val="00327752"/>
    <w:rsid w:val="00327C7C"/>
    <w:rsid w:val="00330009"/>
    <w:rsid w:val="003301E6"/>
    <w:rsid w:val="003310AB"/>
    <w:rsid w:val="003314D2"/>
    <w:rsid w:val="00331712"/>
    <w:rsid w:val="00331A3F"/>
    <w:rsid w:val="00332191"/>
    <w:rsid w:val="00332720"/>
    <w:rsid w:val="0033289F"/>
    <w:rsid w:val="00332EED"/>
    <w:rsid w:val="003334A7"/>
    <w:rsid w:val="00333783"/>
    <w:rsid w:val="003337E8"/>
    <w:rsid w:val="00333A14"/>
    <w:rsid w:val="00333B2A"/>
    <w:rsid w:val="00333FD5"/>
    <w:rsid w:val="00334649"/>
    <w:rsid w:val="003350E9"/>
    <w:rsid w:val="003351BA"/>
    <w:rsid w:val="0033520F"/>
    <w:rsid w:val="0033596B"/>
    <w:rsid w:val="00335A93"/>
    <w:rsid w:val="0033650E"/>
    <w:rsid w:val="00336907"/>
    <w:rsid w:val="003369DF"/>
    <w:rsid w:val="00336AD1"/>
    <w:rsid w:val="00336C71"/>
    <w:rsid w:val="00336D96"/>
    <w:rsid w:val="00336DFC"/>
    <w:rsid w:val="00337230"/>
    <w:rsid w:val="003377D0"/>
    <w:rsid w:val="00337D75"/>
    <w:rsid w:val="00340020"/>
    <w:rsid w:val="00340AFD"/>
    <w:rsid w:val="00341162"/>
    <w:rsid w:val="00341866"/>
    <w:rsid w:val="00341DAF"/>
    <w:rsid w:val="00342181"/>
    <w:rsid w:val="00342B37"/>
    <w:rsid w:val="00343560"/>
    <w:rsid w:val="00343A20"/>
    <w:rsid w:val="0034402B"/>
    <w:rsid w:val="0034449E"/>
    <w:rsid w:val="003449F4"/>
    <w:rsid w:val="00344D46"/>
    <w:rsid w:val="00345337"/>
    <w:rsid w:val="003465A5"/>
    <w:rsid w:val="00346817"/>
    <w:rsid w:val="00347440"/>
    <w:rsid w:val="003475EA"/>
    <w:rsid w:val="00347A27"/>
    <w:rsid w:val="00347CD4"/>
    <w:rsid w:val="00347E2E"/>
    <w:rsid w:val="00350A55"/>
    <w:rsid w:val="00350DF8"/>
    <w:rsid w:val="00351A8A"/>
    <w:rsid w:val="0035244D"/>
    <w:rsid w:val="0035266A"/>
    <w:rsid w:val="0035279C"/>
    <w:rsid w:val="003535D2"/>
    <w:rsid w:val="0035384D"/>
    <w:rsid w:val="00353C0B"/>
    <w:rsid w:val="00354472"/>
    <w:rsid w:val="00354AE4"/>
    <w:rsid w:val="00354B0A"/>
    <w:rsid w:val="0035551B"/>
    <w:rsid w:val="003555ED"/>
    <w:rsid w:val="00355911"/>
    <w:rsid w:val="00355BFC"/>
    <w:rsid w:val="0035636B"/>
    <w:rsid w:val="003564CC"/>
    <w:rsid w:val="00357424"/>
    <w:rsid w:val="00357BE9"/>
    <w:rsid w:val="003601A2"/>
    <w:rsid w:val="003607C7"/>
    <w:rsid w:val="00361789"/>
    <w:rsid w:val="0036196D"/>
    <w:rsid w:val="00361A59"/>
    <w:rsid w:val="00362136"/>
    <w:rsid w:val="003627BD"/>
    <w:rsid w:val="00362997"/>
    <w:rsid w:val="00362C59"/>
    <w:rsid w:val="00363040"/>
    <w:rsid w:val="003630B7"/>
    <w:rsid w:val="00363786"/>
    <w:rsid w:val="003638A4"/>
    <w:rsid w:val="003639BF"/>
    <w:rsid w:val="00363E41"/>
    <w:rsid w:val="00363FD2"/>
    <w:rsid w:val="00364653"/>
    <w:rsid w:val="00364ECA"/>
    <w:rsid w:val="00364FB4"/>
    <w:rsid w:val="0036572E"/>
    <w:rsid w:val="00366168"/>
    <w:rsid w:val="003663D9"/>
    <w:rsid w:val="003666BF"/>
    <w:rsid w:val="00366707"/>
    <w:rsid w:val="00366FA9"/>
    <w:rsid w:val="00367B19"/>
    <w:rsid w:val="00367E49"/>
    <w:rsid w:val="003700E6"/>
    <w:rsid w:val="0037017C"/>
    <w:rsid w:val="00370490"/>
    <w:rsid w:val="00371C86"/>
    <w:rsid w:val="0037236C"/>
    <w:rsid w:val="003729DE"/>
    <w:rsid w:val="00372EA2"/>
    <w:rsid w:val="003735D3"/>
    <w:rsid w:val="0037386D"/>
    <w:rsid w:val="00373956"/>
    <w:rsid w:val="00374153"/>
    <w:rsid w:val="00374671"/>
    <w:rsid w:val="003750E0"/>
    <w:rsid w:val="00375AF1"/>
    <w:rsid w:val="00375C2F"/>
    <w:rsid w:val="00375FC5"/>
    <w:rsid w:val="003769BA"/>
    <w:rsid w:val="00377076"/>
    <w:rsid w:val="00377871"/>
    <w:rsid w:val="003778B2"/>
    <w:rsid w:val="00377E58"/>
    <w:rsid w:val="003805E3"/>
    <w:rsid w:val="00380618"/>
    <w:rsid w:val="0038062E"/>
    <w:rsid w:val="003806D7"/>
    <w:rsid w:val="003807F7"/>
    <w:rsid w:val="00381610"/>
    <w:rsid w:val="00381C9E"/>
    <w:rsid w:val="00381CA8"/>
    <w:rsid w:val="00382106"/>
    <w:rsid w:val="00382657"/>
    <w:rsid w:val="00382708"/>
    <w:rsid w:val="00382B82"/>
    <w:rsid w:val="003844BF"/>
    <w:rsid w:val="003854D5"/>
    <w:rsid w:val="0038552A"/>
    <w:rsid w:val="003859EA"/>
    <w:rsid w:val="0038709E"/>
    <w:rsid w:val="00387D30"/>
    <w:rsid w:val="00391753"/>
    <w:rsid w:val="00391C7F"/>
    <w:rsid w:val="00392454"/>
    <w:rsid w:val="00392C85"/>
    <w:rsid w:val="00392FD8"/>
    <w:rsid w:val="0039346B"/>
    <w:rsid w:val="00393D73"/>
    <w:rsid w:val="00393E11"/>
    <w:rsid w:val="00394475"/>
    <w:rsid w:val="0039517A"/>
    <w:rsid w:val="003954FE"/>
    <w:rsid w:val="00395B51"/>
    <w:rsid w:val="00396796"/>
    <w:rsid w:val="00396EC6"/>
    <w:rsid w:val="003970BA"/>
    <w:rsid w:val="0039746C"/>
    <w:rsid w:val="00397DC6"/>
    <w:rsid w:val="003A0E82"/>
    <w:rsid w:val="003A0FAC"/>
    <w:rsid w:val="003A184D"/>
    <w:rsid w:val="003A1FB7"/>
    <w:rsid w:val="003A2773"/>
    <w:rsid w:val="003A371E"/>
    <w:rsid w:val="003A3957"/>
    <w:rsid w:val="003A3E29"/>
    <w:rsid w:val="003A439B"/>
    <w:rsid w:val="003A462A"/>
    <w:rsid w:val="003A595F"/>
    <w:rsid w:val="003A5EEC"/>
    <w:rsid w:val="003A6B7A"/>
    <w:rsid w:val="003A6C33"/>
    <w:rsid w:val="003A748F"/>
    <w:rsid w:val="003A79AE"/>
    <w:rsid w:val="003A7CA3"/>
    <w:rsid w:val="003B00B6"/>
    <w:rsid w:val="003B01C4"/>
    <w:rsid w:val="003B0BB0"/>
    <w:rsid w:val="003B11EE"/>
    <w:rsid w:val="003B15F8"/>
    <w:rsid w:val="003B166F"/>
    <w:rsid w:val="003B1B60"/>
    <w:rsid w:val="003B1F99"/>
    <w:rsid w:val="003B207E"/>
    <w:rsid w:val="003B230B"/>
    <w:rsid w:val="003B23BC"/>
    <w:rsid w:val="003B28BA"/>
    <w:rsid w:val="003B28F6"/>
    <w:rsid w:val="003B29D1"/>
    <w:rsid w:val="003B2DB5"/>
    <w:rsid w:val="003B2F05"/>
    <w:rsid w:val="003B3966"/>
    <w:rsid w:val="003B39B7"/>
    <w:rsid w:val="003B4754"/>
    <w:rsid w:val="003B4EB0"/>
    <w:rsid w:val="003B5094"/>
    <w:rsid w:val="003B5F6A"/>
    <w:rsid w:val="003B6B7F"/>
    <w:rsid w:val="003B7820"/>
    <w:rsid w:val="003C01A4"/>
    <w:rsid w:val="003C0219"/>
    <w:rsid w:val="003C0941"/>
    <w:rsid w:val="003C0C12"/>
    <w:rsid w:val="003C0E6B"/>
    <w:rsid w:val="003C16EE"/>
    <w:rsid w:val="003C1C87"/>
    <w:rsid w:val="003C1D4D"/>
    <w:rsid w:val="003C2927"/>
    <w:rsid w:val="003C2C85"/>
    <w:rsid w:val="003C2F61"/>
    <w:rsid w:val="003C345E"/>
    <w:rsid w:val="003C4409"/>
    <w:rsid w:val="003C4997"/>
    <w:rsid w:val="003C4DA5"/>
    <w:rsid w:val="003C502A"/>
    <w:rsid w:val="003C5666"/>
    <w:rsid w:val="003C60CC"/>
    <w:rsid w:val="003C64F4"/>
    <w:rsid w:val="003C6D4E"/>
    <w:rsid w:val="003C724B"/>
    <w:rsid w:val="003C73DB"/>
    <w:rsid w:val="003D0185"/>
    <w:rsid w:val="003D02CB"/>
    <w:rsid w:val="003D0382"/>
    <w:rsid w:val="003D069C"/>
    <w:rsid w:val="003D18F6"/>
    <w:rsid w:val="003D191E"/>
    <w:rsid w:val="003D1A19"/>
    <w:rsid w:val="003D2027"/>
    <w:rsid w:val="003D22A5"/>
    <w:rsid w:val="003D23A4"/>
    <w:rsid w:val="003D27DD"/>
    <w:rsid w:val="003D3414"/>
    <w:rsid w:val="003D3426"/>
    <w:rsid w:val="003D3654"/>
    <w:rsid w:val="003D3721"/>
    <w:rsid w:val="003D413A"/>
    <w:rsid w:val="003D6722"/>
    <w:rsid w:val="003D7428"/>
    <w:rsid w:val="003D77F2"/>
    <w:rsid w:val="003D78CC"/>
    <w:rsid w:val="003D7D01"/>
    <w:rsid w:val="003D7ED8"/>
    <w:rsid w:val="003E0003"/>
    <w:rsid w:val="003E0099"/>
    <w:rsid w:val="003E08C7"/>
    <w:rsid w:val="003E122B"/>
    <w:rsid w:val="003E1427"/>
    <w:rsid w:val="003E1A72"/>
    <w:rsid w:val="003E27B8"/>
    <w:rsid w:val="003E2880"/>
    <w:rsid w:val="003E28FB"/>
    <w:rsid w:val="003E2A00"/>
    <w:rsid w:val="003E382C"/>
    <w:rsid w:val="003E3D00"/>
    <w:rsid w:val="003E4487"/>
    <w:rsid w:val="003E4531"/>
    <w:rsid w:val="003E4771"/>
    <w:rsid w:val="003E52E3"/>
    <w:rsid w:val="003E541C"/>
    <w:rsid w:val="003E54A8"/>
    <w:rsid w:val="003E5833"/>
    <w:rsid w:val="003E5DA8"/>
    <w:rsid w:val="003E7109"/>
    <w:rsid w:val="003E77DC"/>
    <w:rsid w:val="003E7BC1"/>
    <w:rsid w:val="003F0453"/>
    <w:rsid w:val="003F0C9F"/>
    <w:rsid w:val="003F144A"/>
    <w:rsid w:val="003F1B02"/>
    <w:rsid w:val="003F1EFE"/>
    <w:rsid w:val="003F2240"/>
    <w:rsid w:val="003F2460"/>
    <w:rsid w:val="003F2E7B"/>
    <w:rsid w:val="003F3CD5"/>
    <w:rsid w:val="003F4473"/>
    <w:rsid w:val="003F4CF5"/>
    <w:rsid w:val="003F4E31"/>
    <w:rsid w:val="003F51EE"/>
    <w:rsid w:val="003F574E"/>
    <w:rsid w:val="003F60D6"/>
    <w:rsid w:val="003F68E9"/>
    <w:rsid w:val="003F728C"/>
    <w:rsid w:val="003F7E15"/>
    <w:rsid w:val="003F7FDA"/>
    <w:rsid w:val="00400E65"/>
    <w:rsid w:val="004013AD"/>
    <w:rsid w:val="00401BCA"/>
    <w:rsid w:val="00401E20"/>
    <w:rsid w:val="004021C0"/>
    <w:rsid w:val="004024F9"/>
    <w:rsid w:val="004028CE"/>
    <w:rsid w:val="0040313D"/>
    <w:rsid w:val="004043FA"/>
    <w:rsid w:val="00404970"/>
    <w:rsid w:val="00405181"/>
    <w:rsid w:val="0040567F"/>
    <w:rsid w:val="00405727"/>
    <w:rsid w:val="00405873"/>
    <w:rsid w:val="00405F09"/>
    <w:rsid w:val="004066F4"/>
    <w:rsid w:val="00406A32"/>
    <w:rsid w:val="0040760B"/>
    <w:rsid w:val="00410117"/>
    <w:rsid w:val="00410C32"/>
    <w:rsid w:val="00411237"/>
    <w:rsid w:val="00411557"/>
    <w:rsid w:val="00411994"/>
    <w:rsid w:val="00411D74"/>
    <w:rsid w:val="00411DDE"/>
    <w:rsid w:val="00411F84"/>
    <w:rsid w:val="00412069"/>
    <w:rsid w:val="004121A1"/>
    <w:rsid w:val="00412477"/>
    <w:rsid w:val="00412570"/>
    <w:rsid w:val="004127A2"/>
    <w:rsid w:val="0041280A"/>
    <w:rsid w:val="00412A9D"/>
    <w:rsid w:val="00412CB1"/>
    <w:rsid w:val="004133A5"/>
    <w:rsid w:val="00413D45"/>
    <w:rsid w:val="00414197"/>
    <w:rsid w:val="004144D7"/>
    <w:rsid w:val="00414D68"/>
    <w:rsid w:val="00414FD9"/>
    <w:rsid w:val="00415773"/>
    <w:rsid w:val="00415CAE"/>
    <w:rsid w:val="00415EE7"/>
    <w:rsid w:val="00415FD6"/>
    <w:rsid w:val="004160FA"/>
    <w:rsid w:val="0041669E"/>
    <w:rsid w:val="00416ACA"/>
    <w:rsid w:val="00416C56"/>
    <w:rsid w:val="00417294"/>
    <w:rsid w:val="004176B8"/>
    <w:rsid w:val="00417B99"/>
    <w:rsid w:val="00417CE0"/>
    <w:rsid w:val="004209D5"/>
    <w:rsid w:val="00420FAF"/>
    <w:rsid w:val="00421184"/>
    <w:rsid w:val="004212C1"/>
    <w:rsid w:val="004214B7"/>
    <w:rsid w:val="00421510"/>
    <w:rsid w:val="00421892"/>
    <w:rsid w:val="00421FB5"/>
    <w:rsid w:val="004226ED"/>
    <w:rsid w:val="00422AF4"/>
    <w:rsid w:val="004235F4"/>
    <w:rsid w:val="004236C9"/>
    <w:rsid w:val="00423CF3"/>
    <w:rsid w:val="00423E18"/>
    <w:rsid w:val="004245E4"/>
    <w:rsid w:val="004249A2"/>
    <w:rsid w:val="00424B7C"/>
    <w:rsid w:val="0042500C"/>
    <w:rsid w:val="00425514"/>
    <w:rsid w:val="004256BD"/>
    <w:rsid w:val="00425863"/>
    <w:rsid w:val="00425D02"/>
    <w:rsid w:val="00425D12"/>
    <w:rsid w:val="00425EDC"/>
    <w:rsid w:val="00426C3E"/>
    <w:rsid w:val="00426CF3"/>
    <w:rsid w:val="004275CD"/>
    <w:rsid w:val="00427E74"/>
    <w:rsid w:val="00427FEB"/>
    <w:rsid w:val="00427FF2"/>
    <w:rsid w:val="004305C0"/>
    <w:rsid w:val="00430B20"/>
    <w:rsid w:val="00430B6C"/>
    <w:rsid w:val="0043227C"/>
    <w:rsid w:val="004330B1"/>
    <w:rsid w:val="004335C0"/>
    <w:rsid w:val="00433B34"/>
    <w:rsid w:val="00434176"/>
    <w:rsid w:val="00435121"/>
    <w:rsid w:val="00435715"/>
    <w:rsid w:val="0043571B"/>
    <w:rsid w:val="00435EE0"/>
    <w:rsid w:val="00435F29"/>
    <w:rsid w:val="0043610C"/>
    <w:rsid w:val="004366FF"/>
    <w:rsid w:val="00436BF1"/>
    <w:rsid w:val="00437D83"/>
    <w:rsid w:val="004401DD"/>
    <w:rsid w:val="00440344"/>
    <w:rsid w:val="00441264"/>
    <w:rsid w:val="00441B0F"/>
    <w:rsid w:val="00441F06"/>
    <w:rsid w:val="004425C6"/>
    <w:rsid w:val="00443D5D"/>
    <w:rsid w:val="00445CBA"/>
    <w:rsid w:val="004463CB"/>
    <w:rsid w:val="004466F7"/>
    <w:rsid w:val="00446858"/>
    <w:rsid w:val="00447304"/>
    <w:rsid w:val="004476F6"/>
    <w:rsid w:val="00447CDD"/>
    <w:rsid w:val="00450127"/>
    <w:rsid w:val="0045075F"/>
    <w:rsid w:val="004516AD"/>
    <w:rsid w:val="00451E84"/>
    <w:rsid w:val="00451EA3"/>
    <w:rsid w:val="00451F01"/>
    <w:rsid w:val="00454660"/>
    <w:rsid w:val="004546A7"/>
    <w:rsid w:val="00454831"/>
    <w:rsid w:val="004548DF"/>
    <w:rsid w:val="00456CC0"/>
    <w:rsid w:val="00457933"/>
    <w:rsid w:val="00457C78"/>
    <w:rsid w:val="0046068D"/>
    <w:rsid w:val="00460735"/>
    <w:rsid w:val="00460AD5"/>
    <w:rsid w:val="00460EB8"/>
    <w:rsid w:val="00461090"/>
    <w:rsid w:val="00461991"/>
    <w:rsid w:val="00461ACB"/>
    <w:rsid w:val="00461C43"/>
    <w:rsid w:val="00462125"/>
    <w:rsid w:val="00462EBA"/>
    <w:rsid w:val="00463216"/>
    <w:rsid w:val="0046334D"/>
    <w:rsid w:val="00463911"/>
    <w:rsid w:val="00463C95"/>
    <w:rsid w:val="00463E1C"/>
    <w:rsid w:val="00464052"/>
    <w:rsid w:val="00465153"/>
    <w:rsid w:val="00465602"/>
    <w:rsid w:val="004656A4"/>
    <w:rsid w:val="00466A4A"/>
    <w:rsid w:val="00466AFD"/>
    <w:rsid w:val="00470696"/>
    <w:rsid w:val="004713A5"/>
    <w:rsid w:val="0047162F"/>
    <w:rsid w:val="00472177"/>
    <w:rsid w:val="00472234"/>
    <w:rsid w:val="004724C9"/>
    <w:rsid w:val="00472585"/>
    <w:rsid w:val="00474130"/>
    <w:rsid w:val="00474EDD"/>
    <w:rsid w:val="00475A6C"/>
    <w:rsid w:val="004764AF"/>
    <w:rsid w:val="00476D04"/>
    <w:rsid w:val="00476F58"/>
    <w:rsid w:val="0047775E"/>
    <w:rsid w:val="00477AAE"/>
    <w:rsid w:val="00477AF6"/>
    <w:rsid w:val="00477B3B"/>
    <w:rsid w:val="00477BCB"/>
    <w:rsid w:val="004801A7"/>
    <w:rsid w:val="00480E47"/>
    <w:rsid w:val="00481666"/>
    <w:rsid w:val="0048181B"/>
    <w:rsid w:val="00481F2B"/>
    <w:rsid w:val="004820C5"/>
    <w:rsid w:val="00482198"/>
    <w:rsid w:val="004823D8"/>
    <w:rsid w:val="00482F20"/>
    <w:rsid w:val="00483196"/>
    <w:rsid w:val="0048340F"/>
    <w:rsid w:val="0048423C"/>
    <w:rsid w:val="00484449"/>
    <w:rsid w:val="004852CE"/>
    <w:rsid w:val="0048540C"/>
    <w:rsid w:val="00485F92"/>
    <w:rsid w:val="004860BD"/>
    <w:rsid w:val="004866E1"/>
    <w:rsid w:val="00486C72"/>
    <w:rsid w:val="00487D3A"/>
    <w:rsid w:val="00490954"/>
    <w:rsid w:val="0049102F"/>
    <w:rsid w:val="0049277A"/>
    <w:rsid w:val="00492B38"/>
    <w:rsid w:val="00492FE4"/>
    <w:rsid w:val="00493035"/>
    <w:rsid w:val="0049330F"/>
    <w:rsid w:val="00493321"/>
    <w:rsid w:val="004936DE"/>
    <w:rsid w:val="004949B0"/>
    <w:rsid w:val="00494A50"/>
    <w:rsid w:val="0049544E"/>
    <w:rsid w:val="00495670"/>
    <w:rsid w:val="0049567B"/>
    <w:rsid w:val="0049586C"/>
    <w:rsid w:val="0049604B"/>
    <w:rsid w:val="00496666"/>
    <w:rsid w:val="00496AC9"/>
    <w:rsid w:val="004A040E"/>
    <w:rsid w:val="004A042D"/>
    <w:rsid w:val="004A11E0"/>
    <w:rsid w:val="004A1953"/>
    <w:rsid w:val="004A1FC5"/>
    <w:rsid w:val="004A2158"/>
    <w:rsid w:val="004A29A5"/>
    <w:rsid w:val="004A3225"/>
    <w:rsid w:val="004A374A"/>
    <w:rsid w:val="004A395B"/>
    <w:rsid w:val="004A3C59"/>
    <w:rsid w:val="004A3FE2"/>
    <w:rsid w:val="004A4195"/>
    <w:rsid w:val="004A480D"/>
    <w:rsid w:val="004A4D76"/>
    <w:rsid w:val="004A5851"/>
    <w:rsid w:val="004A5A91"/>
    <w:rsid w:val="004A5B0F"/>
    <w:rsid w:val="004A5CF1"/>
    <w:rsid w:val="004A6363"/>
    <w:rsid w:val="004A66E0"/>
    <w:rsid w:val="004A7AAE"/>
    <w:rsid w:val="004A7D49"/>
    <w:rsid w:val="004A7E52"/>
    <w:rsid w:val="004A7F21"/>
    <w:rsid w:val="004B08DB"/>
    <w:rsid w:val="004B1422"/>
    <w:rsid w:val="004B1DF2"/>
    <w:rsid w:val="004B24EB"/>
    <w:rsid w:val="004B29AC"/>
    <w:rsid w:val="004B29C2"/>
    <w:rsid w:val="004B3C8B"/>
    <w:rsid w:val="004B44A9"/>
    <w:rsid w:val="004B4509"/>
    <w:rsid w:val="004B452A"/>
    <w:rsid w:val="004B4871"/>
    <w:rsid w:val="004B4ADF"/>
    <w:rsid w:val="004B4C00"/>
    <w:rsid w:val="004B4E06"/>
    <w:rsid w:val="004B5493"/>
    <w:rsid w:val="004B5914"/>
    <w:rsid w:val="004B5F70"/>
    <w:rsid w:val="004B6C77"/>
    <w:rsid w:val="004B6D0A"/>
    <w:rsid w:val="004B6DA4"/>
    <w:rsid w:val="004B794C"/>
    <w:rsid w:val="004B7995"/>
    <w:rsid w:val="004C02B3"/>
    <w:rsid w:val="004C098E"/>
    <w:rsid w:val="004C0BBE"/>
    <w:rsid w:val="004C0E2F"/>
    <w:rsid w:val="004C1705"/>
    <w:rsid w:val="004C222E"/>
    <w:rsid w:val="004C2561"/>
    <w:rsid w:val="004C25B4"/>
    <w:rsid w:val="004C2806"/>
    <w:rsid w:val="004C3A7A"/>
    <w:rsid w:val="004C3ADD"/>
    <w:rsid w:val="004C428E"/>
    <w:rsid w:val="004C441A"/>
    <w:rsid w:val="004C4775"/>
    <w:rsid w:val="004C483D"/>
    <w:rsid w:val="004C48A9"/>
    <w:rsid w:val="004C49B3"/>
    <w:rsid w:val="004C4D05"/>
    <w:rsid w:val="004C4FF6"/>
    <w:rsid w:val="004C590B"/>
    <w:rsid w:val="004C6017"/>
    <w:rsid w:val="004C63C7"/>
    <w:rsid w:val="004C6D39"/>
    <w:rsid w:val="004C6D98"/>
    <w:rsid w:val="004C7217"/>
    <w:rsid w:val="004C7743"/>
    <w:rsid w:val="004C77A7"/>
    <w:rsid w:val="004D039E"/>
    <w:rsid w:val="004D04A3"/>
    <w:rsid w:val="004D0C9F"/>
    <w:rsid w:val="004D15FD"/>
    <w:rsid w:val="004D1A0A"/>
    <w:rsid w:val="004D2369"/>
    <w:rsid w:val="004D2485"/>
    <w:rsid w:val="004D249C"/>
    <w:rsid w:val="004D25D5"/>
    <w:rsid w:val="004D292A"/>
    <w:rsid w:val="004D3A57"/>
    <w:rsid w:val="004D47FF"/>
    <w:rsid w:val="004D4D35"/>
    <w:rsid w:val="004D4EA7"/>
    <w:rsid w:val="004D518F"/>
    <w:rsid w:val="004D54D7"/>
    <w:rsid w:val="004D5BB7"/>
    <w:rsid w:val="004D6053"/>
    <w:rsid w:val="004D6899"/>
    <w:rsid w:val="004D6FA4"/>
    <w:rsid w:val="004D71D6"/>
    <w:rsid w:val="004D7816"/>
    <w:rsid w:val="004D7C23"/>
    <w:rsid w:val="004E01C6"/>
    <w:rsid w:val="004E0212"/>
    <w:rsid w:val="004E0ADC"/>
    <w:rsid w:val="004E0FB1"/>
    <w:rsid w:val="004E1043"/>
    <w:rsid w:val="004E1DCA"/>
    <w:rsid w:val="004E21B4"/>
    <w:rsid w:val="004E252B"/>
    <w:rsid w:val="004E2861"/>
    <w:rsid w:val="004E2A85"/>
    <w:rsid w:val="004E3F72"/>
    <w:rsid w:val="004E43BF"/>
    <w:rsid w:val="004E4A78"/>
    <w:rsid w:val="004E551E"/>
    <w:rsid w:val="004E584D"/>
    <w:rsid w:val="004E58F6"/>
    <w:rsid w:val="004E5E37"/>
    <w:rsid w:val="004E5E4C"/>
    <w:rsid w:val="004E5F79"/>
    <w:rsid w:val="004E623E"/>
    <w:rsid w:val="004E6589"/>
    <w:rsid w:val="004E6CF9"/>
    <w:rsid w:val="004E7152"/>
    <w:rsid w:val="004E734E"/>
    <w:rsid w:val="004E7EC0"/>
    <w:rsid w:val="004E7F48"/>
    <w:rsid w:val="004F014E"/>
    <w:rsid w:val="004F023B"/>
    <w:rsid w:val="004F0BC6"/>
    <w:rsid w:val="004F1123"/>
    <w:rsid w:val="004F12D3"/>
    <w:rsid w:val="004F1715"/>
    <w:rsid w:val="004F17DA"/>
    <w:rsid w:val="004F355B"/>
    <w:rsid w:val="004F3620"/>
    <w:rsid w:val="004F3BD2"/>
    <w:rsid w:val="004F4372"/>
    <w:rsid w:val="004F43E0"/>
    <w:rsid w:val="004F45EB"/>
    <w:rsid w:val="004F5079"/>
    <w:rsid w:val="004F521B"/>
    <w:rsid w:val="004F52BB"/>
    <w:rsid w:val="004F5582"/>
    <w:rsid w:val="004F56B1"/>
    <w:rsid w:val="004F59B8"/>
    <w:rsid w:val="004F62A7"/>
    <w:rsid w:val="004F62F9"/>
    <w:rsid w:val="004F66B3"/>
    <w:rsid w:val="004F6FA7"/>
    <w:rsid w:val="004F72DA"/>
    <w:rsid w:val="004F7352"/>
    <w:rsid w:val="004F7889"/>
    <w:rsid w:val="0050015C"/>
    <w:rsid w:val="00500418"/>
    <w:rsid w:val="00500CCF"/>
    <w:rsid w:val="00500E62"/>
    <w:rsid w:val="005010DE"/>
    <w:rsid w:val="005011FD"/>
    <w:rsid w:val="0050164B"/>
    <w:rsid w:val="00501AA5"/>
    <w:rsid w:val="00502958"/>
    <w:rsid w:val="00502BD2"/>
    <w:rsid w:val="00502DA4"/>
    <w:rsid w:val="00502E1B"/>
    <w:rsid w:val="00503790"/>
    <w:rsid w:val="005038F3"/>
    <w:rsid w:val="00503F83"/>
    <w:rsid w:val="0050421C"/>
    <w:rsid w:val="005048FF"/>
    <w:rsid w:val="00504A9B"/>
    <w:rsid w:val="00504E9A"/>
    <w:rsid w:val="00504F83"/>
    <w:rsid w:val="005059B9"/>
    <w:rsid w:val="00505F64"/>
    <w:rsid w:val="0050635A"/>
    <w:rsid w:val="0050675E"/>
    <w:rsid w:val="00506DCD"/>
    <w:rsid w:val="00507325"/>
    <w:rsid w:val="00507583"/>
    <w:rsid w:val="00507C56"/>
    <w:rsid w:val="00507F13"/>
    <w:rsid w:val="005103DB"/>
    <w:rsid w:val="005109D4"/>
    <w:rsid w:val="00510CF4"/>
    <w:rsid w:val="0051160A"/>
    <w:rsid w:val="005118BA"/>
    <w:rsid w:val="00511C56"/>
    <w:rsid w:val="00512385"/>
    <w:rsid w:val="00512A4D"/>
    <w:rsid w:val="00512D87"/>
    <w:rsid w:val="005130DA"/>
    <w:rsid w:val="00513C19"/>
    <w:rsid w:val="00513DDA"/>
    <w:rsid w:val="00513E19"/>
    <w:rsid w:val="005148B4"/>
    <w:rsid w:val="00514B29"/>
    <w:rsid w:val="00514E8C"/>
    <w:rsid w:val="005152B1"/>
    <w:rsid w:val="005152F0"/>
    <w:rsid w:val="0051532D"/>
    <w:rsid w:val="00515856"/>
    <w:rsid w:val="005163E6"/>
    <w:rsid w:val="00516D23"/>
    <w:rsid w:val="005172EC"/>
    <w:rsid w:val="0051740D"/>
    <w:rsid w:val="005178CE"/>
    <w:rsid w:val="00521356"/>
    <w:rsid w:val="00521CAB"/>
    <w:rsid w:val="00521DFB"/>
    <w:rsid w:val="005224EF"/>
    <w:rsid w:val="00522654"/>
    <w:rsid w:val="00522835"/>
    <w:rsid w:val="0052293D"/>
    <w:rsid w:val="00522AF4"/>
    <w:rsid w:val="00523499"/>
    <w:rsid w:val="005236CF"/>
    <w:rsid w:val="00523BC7"/>
    <w:rsid w:val="00523C08"/>
    <w:rsid w:val="00523C10"/>
    <w:rsid w:val="00523E23"/>
    <w:rsid w:val="005245D5"/>
    <w:rsid w:val="005247FE"/>
    <w:rsid w:val="00524889"/>
    <w:rsid w:val="0052575D"/>
    <w:rsid w:val="005259FC"/>
    <w:rsid w:val="00525A53"/>
    <w:rsid w:val="005260F1"/>
    <w:rsid w:val="00526569"/>
    <w:rsid w:val="00526726"/>
    <w:rsid w:val="00526F91"/>
    <w:rsid w:val="00527256"/>
    <w:rsid w:val="00527934"/>
    <w:rsid w:val="00527B57"/>
    <w:rsid w:val="00527C8D"/>
    <w:rsid w:val="00527C9C"/>
    <w:rsid w:val="00530114"/>
    <w:rsid w:val="00530AC4"/>
    <w:rsid w:val="00531F7B"/>
    <w:rsid w:val="00532064"/>
    <w:rsid w:val="0053268A"/>
    <w:rsid w:val="0053309E"/>
    <w:rsid w:val="00533169"/>
    <w:rsid w:val="00533194"/>
    <w:rsid w:val="005332C8"/>
    <w:rsid w:val="00534021"/>
    <w:rsid w:val="0053464E"/>
    <w:rsid w:val="00534CBD"/>
    <w:rsid w:val="005352C8"/>
    <w:rsid w:val="005354C1"/>
    <w:rsid w:val="00535F99"/>
    <w:rsid w:val="005361DE"/>
    <w:rsid w:val="00536356"/>
    <w:rsid w:val="0053693C"/>
    <w:rsid w:val="00536CBB"/>
    <w:rsid w:val="00536DDD"/>
    <w:rsid w:val="00537033"/>
    <w:rsid w:val="00540A37"/>
    <w:rsid w:val="00540B49"/>
    <w:rsid w:val="005415E2"/>
    <w:rsid w:val="005418DB"/>
    <w:rsid w:val="0054230B"/>
    <w:rsid w:val="005434EA"/>
    <w:rsid w:val="00544ABA"/>
    <w:rsid w:val="00545D55"/>
    <w:rsid w:val="005461AB"/>
    <w:rsid w:val="00546C6A"/>
    <w:rsid w:val="00546FBA"/>
    <w:rsid w:val="00547F04"/>
    <w:rsid w:val="00550924"/>
    <w:rsid w:val="00550D63"/>
    <w:rsid w:val="00550EF1"/>
    <w:rsid w:val="00551075"/>
    <w:rsid w:val="005513C8"/>
    <w:rsid w:val="0055236E"/>
    <w:rsid w:val="0055352C"/>
    <w:rsid w:val="005538A6"/>
    <w:rsid w:val="00554F94"/>
    <w:rsid w:val="00555161"/>
    <w:rsid w:val="00555A59"/>
    <w:rsid w:val="00555DE6"/>
    <w:rsid w:val="00555EB3"/>
    <w:rsid w:val="00556776"/>
    <w:rsid w:val="005567F6"/>
    <w:rsid w:val="00556E29"/>
    <w:rsid w:val="00557474"/>
    <w:rsid w:val="00557DAA"/>
    <w:rsid w:val="00557DAD"/>
    <w:rsid w:val="00561138"/>
    <w:rsid w:val="00561699"/>
    <w:rsid w:val="0056194F"/>
    <w:rsid w:val="005619E1"/>
    <w:rsid w:val="00562629"/>
    <w:rsid w:val="005628FE"/>
    <w:rsid w:val="0056364B"/>
    <w:rsid w:val="00563D49"/>
    <w:rsid w:val="00564191"/>
    <w:rsid w:val="00564557"/>
    <w:rsid w:val="0056458C"/>
    <w:rsid w:val="00564628"/>
    <w:rsid w:val="005648B9"/>
    <w:rsid w:val="00564A3C"/>
    <w:rsid w:val="00564F82"/>
    <w:rsid w:val="00564FF6"/>
    <w:rsid w:val="005653AF"/>
    <w:rsid w:val="00565501"/>
    <w:rsid w:val="00565755"/>
    <w:rsid w:val="0056601E"/>
    <w:rsid w:val="00566406"/>
    <w:rsid w:val="005664A6"/>
    <w:rsid w:val="00566538"/>
    <w:rsid w:val="0056725A"/>
    <w:rsid w:val="0056741F"/>
    <w:rsid w:val="00567647"/>
    <w:rsid w:val="0056781B"/>
    <w:rsid w:val="00567BE2"/>
    <w:rsid w:val="00570102"/>
    <w:rsid w:val="00570505"/>
    <w:rsid w:val="005712E6"/>
    <w:rsid w:val="00572942"/>
    <w:rsid w:val="005730DB"/>
    <w:rsid w:val="00573251"/>
    <w:rsid w:val="005733A8"/>
    <w:rsid w:val="005734F9"/>
    <w:rsid w:val="00573B5B"/>
    <w:rsid w:val="00573F55"/>
    <w:rsid w:val="00574070"/>
    <w:rsid w:val="00575148"/>
    <w:rsid w:val="0057540E"/>
    <w:rsid w:val="005757B6"/>
    <w:rsid w:val="005761E2"/>
    <w:rsid w:val="0058000F"/>
    <w:rsid w:val="00580557"/>
    <w:rsid w:val="0058074F"/>
    <w:rsid w:val="00580A76"/>
    <w:rsid w:val="00581042"/>
    <w:rsid w:val="00581703"/>
    <w:rsid w:val="00581B15"/>
    <w:rsid w:val="005821DD"/>
    <w:rsid w:val="00583908"/>
    <w:rsid w:val="00583C9C"/>
    <w:rsid w:val="00584757"/>
    <w:rsid w:val="00584E21"/>
    <w:rsid w:val="005858A9"/>
    <w:rsid w:val="005858EE"/>
    <w:rsid w:val="00585B7D"/>
    <w:rsid w:val="0058608B"/>
    <w:rsid w:val="005863C1"/>
    <w:rsid w:val="0058654D"/>
    <w:rsid w:val="00586786"/>
    <w:rsid w:val="00587729"/>
    <w:rsid w:val="00587886"/>
    <w:rsid w:val="00587A66"/>
    <w:rsid w:val="00590147"/>
    <w:rsid w:val="00590BD1"/>
    <w:rsid w:val="00590D26"/>
    <w:rsid w:val="00591276"/>
    <w:rsid w:val="00591490"/>
    <w:rsid w:val="0059151A"/>
    <w:rsid w:val="005916C9"/>
    <w:rsid w:val="00591C7E"/>
    <w:rsid w:val="00591DCF"/>
    <w:rsid w:val="005929B4"/>
    <w:rsid w:val="00592A3C"/>
    <w:rsid w:val="0059367F"/>
    <w:rsid w:val="00593720"/>
    <w:rsid w:val="00593909"/>
    <w:rsid w:val="00593A71"/>
    <w:rsid w:val="005941E1"/>
    <w:rsid w:val="005943E2"/>
    <w:rsid w:val="005946E1"/>
    <w:rsid w:val="00594B8A"/>
    <w:rsid w:val="00595009"/>
    <w:rsid w:val="005954B7"/>
    <w:rsid w:val="00595540"/>
    <w:rsid w:val="00595A05"/>
    <w:rsid w:val="00595E36"/>
    <w:rsid w:val="00595F17"/>
    <w:rsid w:val="00595F3D"/>
    <w:rsid w:val="00595F89"/>
    <w:rsid w:val="005960C7"/>
    <w:rsid w:val="005963FB"/>
    <w:rsid w:val="00596873"/>
    <w:rsid w:val="00596BB3"/>
    <w:rsid w:val="00596BD4"/>
    <w:rsid w:val="00596FA8"/>
    <w:rsid w:val="005971A7"/>
    <w:rsid w:val="00597310"/>
    <w:rsid w:val="005977AB"/>
    <w:rsid w:val="005A01C5"/>
    <w:rsid w:val="005A0532"/>
    <w:rsid w:val="005A071C"/>
    <w:rsid w:val="005A07E7"/>
    <w:rsid w:val="005A0A57"/>
    <w:rsid w:val="005A0B9F"/>
    <w:rsid w:val="005A0DBB"/>
    <w:rsid w:val="005A0EBD"/>
    <w:rsid w:val="005A1270"/>
    <w:rsid w:val="005A1295"/>
    <w:rsid w:val="005A17CD"/>
    <w:rsid w:val="005A1FBF"/>
    <w:rsid w:val="005A1FD5"/>
    <w:rsid w:val="005A29B1"/>
    <w:rsid w:val="005A2EBF"/>
    <w:rsid w:val="005A3750"/>
    <w:rsid w:val="005A380B"/>
    <w:rsid w:val="005A3F19"/>
    <w:rsid w:val="005A4890"/>
    <w:rsid w:val="005A49D4"/>
    <w:rsid w:val="005A4D7C"/>
    <w:rsid w:val="005A51C9"/>
    <w:rsid w:val="005A5A96"/>
    <w:rsid w:val="005A5D7F"/>
    <w:rsid w:val="005A5DC0"/>
    <w:rsid w:val="005A65C3"/>
    <w:rsid w:val="005A6B6D"/>
    <w:rsid w:val="005A6ED5"/>
    <w:rsid w:val="005A6F0E"/>
    <w:rsid w:val="005A6F57"/>
    <w:rsid w:val="005A7235"/>
    <w:rsid w:val="005A795B"/>
    <w:rsid w:val="005A7BAF"/>
    <w:rsid w:val="005B05FA"/>
    <w:rsid w:val="005B0652"/>
    <w:rsid w:val="005B1213"/>
    <w:rsid w:val="005B1B55"/>
    <w:rsid w:val="005B1DBD"/>
    <w:rsid w:val="005B26B0"/>
    <w:rsid w:val="005B3EBD"/>
    <w:rsid w:val="005B3F0C"/>
    <w:rsid w:val="005B4173"/>
    <w:rsid w:val="005B48E8"/>
    <w:rsid w:val="005B564F"/>
    <w:rsid w:val="005B56D9"/>
    <w:rsid w:val="005B5BA3"/>
    <w:rsid w:val="005B5E62"/>
    <w:rsid w:val="005B6DBE"/>
    <w:rsid w:val="005B7E97"/>
    <w:rsid w:val="005B7F46"/>
    <w:rsid w:val="005C059E"/>
    <w:rsid w:val="005C07D2"/>
    <w:rsid w:val="005C09A7"/>
    <w:rsid w:val="005C0EA8"/>
    <w:rsid w:val="005C102D"/>
    <w:rsid w:val="005C132C"/>
    <w:rsid w:val="005C17FB"/>
    <w:rsid w:val="005C1833"/>
    <w:rsid w:val="005C1838"/>
    <w:rsid w:val="005C18C2"/>
    <w:rsid w:val="005C2063"/>
    <w:rsid w:val="005C244F"/>
    <w:rsid w:val="005C2767"/>
    <w:rsid w:val="005C2922"/>
    <w:rsid w:val="005C2C01"/>
    <w:rsid w:val="005C2F60"/>
    <w:rsid w:val="005C323D"/>
    <w:rsid w:val="005C3772"/>
    <w:rsid w:val="005C39C3"/>
    <w:rsid w:val="005C4229"/>
    <w:rsid w:val="005C4580"/>
    <w:rsid w:val="005C5065"/>
    <w:rsid w:val="005C52F3"/>
    <w:rsid w:val="005C564C"/>
    <w:rsid w:val="005C6234"/>
    <w:rsid w:val="005C64DC"/>
    <w:rsid w:val="005C6605"/>
    <w:rsid w:val="005C6CCB"/>
    <w:rsid w:val="005C71A0"/>
    <w:rsid w:val="005C7802"/>
    <w:rsid w:val="005C7B50"/>
    <w:rsid w:val="005D029E"/>
    <w:rsid w:val="005D0427"/>
    <w:rsid w:val="005D0776"/>
    <w:rsid w:val="005D07AE"/>
    <w:rsid w:val="005D08FD"/>
    <w:rsid w:val="005D0C83"/>
    <w:rsid w:val="005D113B"/>
    <w:rsid w:val="005D1732"/>
    <w:rsid w:val="005D2D9A"/>
    <w:rsid w:val="005D3A6E"/>
    <w:rsid w:val="005D3B21"/>
    <w:rsid w:val="005D4019"/>
    <w:rsid w:val="005D41DC"/>
    <w:rsid w:val="005D43B7"/>
    <w:rsid w:val="005D460F"/>
    <w:rsid w:val="005D4DC5"/>
    <w:rsid w:val="005D5442"/>
    <w:rsid w:val="005D5C22"/>
    <w:rsid w:val="005D5E6C"/>
    <w:rsid w:val="005D63A9"/>
    <w:rsid w:val="005D65AF"/>
    <w:rsid w:val="005D65D5"/>
    <w:rsid w:val="005D6C56"/>
    <w:rsid w:val="005D6CED"/>
    <w:rsid w:val="005D6DBF"/>
    <w:rsid w:val="005D6F49"/>
    <w:rsid w:val="005D7E8A"/>
    <w:rsid w:val="005E06FA"/>
    <w:rsid w:val="005E1179"/>
    <w:rsid w:val="005E11A5"/>
    <w:rsid w:val="005E13D4"/>
    <w:rsid w:val="005E1435"/>
    <w:rsid w:val="005E21F3"/>
    <w:rsid w:val="005E235C"/>
    <w:rsid w:val="005E3078"/>
    <w:rsid w:val="005E34C0"/>
    <w:rsid w:val="005E45F3"/>
    <w:rsid w:val="005E49CA"/>
    <w:rsid w:val="005E5384"/>
    <w:rsid w:val="005E5427"/>
    <w:rsid w:val="005E5428"/>
    <w:rsid w:val="005E5A7C"/>
    <w:rsid w:val="005E5C33"/>
    <w:rsid w:val="005E6976"/>
    <w:rsid w:val="005E703B"/>
    <w:rsid w:val="005E721A"/>
    <w:rsid w:val="005E74EC"/>
    <w:rsid w:val="005E7917"/>
    <w:rsid w:val="005E7AB6"/>
    <w:rsid w:val="005E7B1E"/>
    <w:rsid w:val="005E7CBC"/>
    <w:rsid w:val="005E7DB0"/>
    <w:rsid w:val="005F05F6"/>
    <w:rsid w:val="005F0A62"/>
    <w:rsid w:val="005F0FA8"/>
    <w:rsid w:val="005F1C5D"/>
    <w:rsid w:val="005F2317"/>
    <w:rsid w:val="005F2550"/>
    <w:rsid w:val="005F2B2D"/>
    <w:rsid w:val="005F2FD5"/>
    <w:rsid w:val="005F340A"/>
    <w:rsid w:val="005F359B"/>
    <w:rsid w:val="005F3869"/>
    <w:rsid w:val="005F3AE8"/>
    <w:rsid w:val="005F3B09"/>
    <w:rsid w:val="005F3B47"/>
    <w:rsid w:val="005F47C1"/>
    <w:rsid w:val="005F4926"/>
    <w:rsid w:val="005F4B6F"/>
    <w:rsid w:val="005F5009"/>
    <w:rsid w:val="005F5054"/>
    <w:rsid w:val="005F5200"/>
    <w:rsid w:val="005F530F"/>
    <w:rsid w:val="005F5D2A"/>
    <w:rsid w:val="005F5E06"/>
    <w:rsid w:val="005F65D9"/>
    <w:rsid w:val="005F6768"/>
    <w:rsid w:val="005F69CF"/>
    <w:rsid w:val="005F6E39"/>
    <w:rsid w:val="005F6E58"/>
    <w:rsid w:val="005F7031"/>
    <w:rsid w:val="005F704C"/>
    <w:rsid w:val="005F72C3"/>
    <w:rsid w:val="005F7A22"/>
    <w:rsid w:val="005F7B9D"/>
    <w:rsid w:val="00600501"/>
    <w:rsid w:val="00600B0C"/>
    <w:rsid w:val="00602DFA"/>
    <w:rsid w:val="006031D1"/>
    <w:rsid w:val="006033BF"/>
    <w:rsid w:val="00603702"/>
    <w:rsid w:val="00603B4B"/>
    <w:rsid w:val="00603F20"/>
    <w:rsid w:val="006046A9"/>
    <w:rsid w:val="0060471B"/>
    <w:rsid w:val="00604F37"/>
    <w:rsid w:val="0060508A"/>
    <w:rsid w:val="006055AF"/>
    <w:rsid w:val="00605942"/>
    <w:rsid w:val="00605A07"/>
    <w:rsid w:val="00605C9F"/>
    <w:rsid w:val="006065C1"/>
    <w:rsid w:val="006068E8"/>
    <w:rsid w:val="00606ADB"/>
    <w:rsid w:val="006072DE"/>
    <w:rsid w:val="006075F4"/>
    <w:rsid w:val="006078A8"/>
    <w:rsid w:val="00607BAD"/>
    <w:rsid w:val="00607EC7"/>
    <w:rsid w:val="006102BC"/>
    <w:rsid w:val="0061048A"/>
    <w:rsid w:val="00610AE7"/>
    <w:rsid w:val="00611178"/>
    <w:rsid w:val="0061148D"/>
    <w:rsid w:val="00611D01"/>
    <w:rsid w:val="006122EC"/>
    <w:rsid w:val="006124B3"/>
    <w:rsid w:val="00612611"/>
    <w:rsid w:val="0061279A"/>
    <w:rsid w:val="00612A10"/>
    <w:rsid w:val="00613009"/>
    <w:rsid w:val="006132EA"/>
    <w:rsid w:val="00613481"/>
    <w:rsid w:val="00613CA5"/>
    <w:rsid w:val="0061401C"/>
    <w:rsid w:val="0061420B"/>
    <w:rsid w:val="00614A59"/>
    <w:rsid w:val="00614BD4"/>
    <w:rsid w:val="00614D33"/>
    <w:rsid w:val="00614E7E"/>
    <w:rsid w:val="0061516F"/>
    <w:rsid w:val="0061537D"/>
    <w:rsid w:val="0061537F"/>
    <w:rsid w:val="006156D7"/>
    <w:rsid w:val="00615CF1"/>
    <w:rsid w:val="00615DEA"/>
    <w:rsid w:val="006165A4"/>
    <w:rsid w:val="00616A60"/>
    <w:rsid w:val="00616D0C"/>
    <w:rsid w:val="00616EE6"/>
    <w:rsid w:val="006171FB"/>
    <w:rsid w:val="00617283"/>
    <w:rsid w:val="00617A2A"/>
    <w:rsid w:val="006207F4"/>
    <w:rsid w:val="00620C67"/>
    <w:rsid w:val="00620D09"/>
    <w:rsid w:val="00621646"/>
    <w:rsid w:val="00621803"/>
    <w:rsid w:val="00621A34"/>
    <w:rsid w:val="006220F1"/>
    <w:rsid w:val="0062306D"/>
    <w:rsid w:val="00623E46"/>
    <w:rsid w:val="00624604"/>
    <w:rsid w:val="00624D2C"/>
    <w:rsid w:val="00624F7F"/>
    <w:rsid w:val="00625142"/>
    <w:rsid w:val="00625145"/>
    <w:rsid w:val="00626768"/>
    <w:rsid w:val="006268A3"/>
    <w:rsid w:val="00626F9D"/>
    <w:rsid w:val="00627402"/>
    <w:rsid w:val="00627403"/>
    <w:rsid w:val="00627474"/>
    <w:rsid w:val="00627CEA"/>
    <w:rsid w:val="00627E37"/>
    <w:rsid w:val="00630480"/>
    <w:rsid w:val="0063058E"/>
    <w:rsid w:val="006305F8"/>
    <w:rsid w:val="0063197B"/>
    <w:rsid w:val="006319D0"/>
    <w:rsid w:val="00631DA7"/>
    <w:rsid w:val="006327BB"/>
    <w:rsid w:val="00632B9C"/>
    <w:rsid w:val="00632F18"/>
    <w:rsid w:val="006332D7"/>
    <w:rsid w:val="0063333D"/>
    <w:rsid w:val="00634225"/>
    <w:rsid w:val="00635003"/>
    <w:rsid w:val="006351CE"/>
    <w:rsid w:val="006352FD"/>
    <w:rsid w:val="00635B15"/>
    <w:rsid w:val="00636037"/>
    <w:rsid w:val="006362E1"/>
    <w:rsid w:val="006367DA"/>
    <w:rsid w:val="00636F62"/>
    <w:rsid w:val="006370E1"/>
    <w:rsid w:val="00637382"/>
    <w:rsid w:val="006375B2"/>
    <w:rsid w:val="006375BB"/>
    <w:rsid w:val="006409EE"/>
    <w:rsid w:val="00640BF7"/>
    <w:rsid w:val="00640FFF"/>
    <w:rsid w:val="00641761"/>
    <w:rsid w:val="006419AF"/>
    <w:rsid w:val="006425FC"/>
    <w:rsid w:val="00642631"/>
    <w:rsid w:val="00642DF5"/>
    <w:rsid w:val="0064304A"/>
    <w:rsid w:val="0064380B"/>
    <w:rsid w:val="00643A4F"/>
    <w:rsid w:val="00643FF5"/>
    <w:rsid w:val="006441FD"/>
    <w:rsid w:val="00644E5A"/>
    <w:rsid w:val="00644F2C"/>
    <w:rsid w:val="00645065"/>
    <w:rsid w:val="006450DD"/>
    <w:rsid w:val="00645141"/>
    <w:rsid w:val="00645AEE"/>
    <w:rsid w:val="00646428"/>
    <w:rsid w:val="00646AFD"/>
    <w:rsid w:val="0064707F"/>
    <w:rsid w:val="006471E8"/>
    <w:rsid w:val="00647E90"/>
    <w:rsid w:val="00647FA3"/>
    <w:rsid w:val="006500F7"/>
    <w:rsid w:val="00650769"/>
    <w:rsid w:val="0065106D"/>
    <w:rsid w:val="006516B7"/>
    <w:rsid w:val="006518E4"/>
    <w:rsid w:val="006519F4"/>
    <w:rsid w:val="00651FB8"/>
    <w:rsid w:val="0065203F"/>
    <w:rsid w:val="006520D5"/>
    <w:rsid w:val="0065239B"/>
    <w:rsid w:val="00652BA0"/>
    <w:rsid w:val="00653045"/>
    <w:rsid w:val="00653A25"/>
    <w:rsid w:val="00653D93"/>
    <w:rsid w:val="00653FDA"/>
    <w:rsid w:val="006541A0"/>
    <w:rsid w:val="00654E99"/>
    <w:rsid w:val="00655104"/>
    <w:rsid w:val="0065548F"/>
    <w:rsid w:val="00655633"/>
    <w:rsid w:val="006559BB"/>
    <w:rsid w:val="00655D93"/>
    <w:rsid w:val="00655E86"/>
    <w:rsid w:val="00656614"/>
    <w:rsid w:val="00656C4D"/>
    <w:rsid w:val="006577CD"/>
    <w:rsid w:val="00657CCC"/>
    <w:rsid w:val="00660162"/>
    <w:rsid w:val="0066036D"/>
    <w:rsid w:val="006604FA"/>
    <w:rsid w:val="00660879"/>
    <w:rsid w:val="00660B3F"/>
    <w:rsid w:val="006610B1"/>
    <w:rsid w:val="00661639"/>
    <w:rsid w:val="00661655"/>
    <w:rsid w:val="0066174D"/>
    <w:rsid w:val="00661E36"/>
    <w:rsid w:val="0066288A"/>
    <w:rsid w:val="0066318A"/>
    <w:rsid w:val="006631D3"/>
    <w:rsid w:val="00663D0F"/>
    <w:rsid w:val="00664525"/>
    <w:rsid w:val="0066465B"/>
    <w:rsid w:val="00664C81"/>
    <w:rsid w:val="0066521A"/>
    <w:rsid w:val="0066540C"/>
    <w:rsid w:val="00665EAE"/>
    <w:rsid w:val="006661EA"/>
    <w:rsid w:val="00666909"/>
    <w:rsid w:val="00666EBC"/>
    <w:rsid w:val="00667189"/>
    <w:rsid w:val="0066749E"/>
    <w:rsid w:val="0066780E"/>
    <w:rsid w:val="00667CCB"/>
    <w:rsid w:val="00667EBD"/>
    <w:rsid w:val="00667EFD"/>
    <w:rsid w:val="00670475"/>
    <w:rsid w:val="00670B8C"/>
    <w:rsid w:val="00670C4A"/>
    <w:rsid w:val="006712FE"/>
    <w:rsid w:val="00671F3E"/>
    <w:rsid w:val="00672482"/>
    <w:rsid w:val="00672A18"/>
    <w:rsid w:val="006735D0"/>
    <w:rsid w:val="006739E9"/>
    <w:rsid w:val="00674D52"/>
    <w:rsid w:val="00674F93"/>
    <w:rsid w:val="0067546F"/>
    <w:rsid w:val="00676287"/>
    <w:rsid w:val="00676CE4"/>
    <w:rsid w:val="00676EC2"/>
    <w:rsid w:val="00676F61"/>
    <w:rsid w:val="00676FA5"/>
    <w:rsid w:val="006771A4"/>
    <w:rsid w:val="006771AD"/>
    <w:rsid w:val="006774A8"/>
    <w:rsid w:val="00677572"/>
    <w:rsid w:val="00681156"/>
    <w:rsid w:val="00681229"/>
    <w:rsid w:val="00681514"/>
    <w:rsid w:val="0068185E"/>
    <w:rsid w:val="00681BE5"/>
    <w:rsid w:val="00681E30"/>
    <w:rsid w:val="00682AFE"/>
    <w:rsid w:val="0068379B"/>
    <w:rsid w:val="00683D98"/>
    <w:rsid w:val="00683D99"/>
    <w:rsid w:val="00684079"/>
    <w:rsid w:val="006848EE"/>
    <w:rsid w:val="0068629B"/>
    <w:rsid w:val="00686425"/>
    <w:rsid w:val="00686C12"/>
    <w:rsid w:val="00686D75"/>
    <w:rsid w:val="0068736A"/>
    <w:rsid w:val="00687D17"/>
    <w:rsid w:val="00690024"/>
    <w:rsid w:val="006903A4"/>
    <w:rsid w:val="00690CAA"/>
    <w:rsid w:val="00690EFB"/>
    <w:rsid w:val="0069137B"/>
    <w:rsid w:val="006913EC"/>
    <w:rsid w:val="006914B7"/>
    <w:rsid w:val="00691742"/>
    <w:rsid w:val="00691DEE"/>
    <w:rsid w:val="00692242"/>
    <w:rsid w:val="0069236E"/>
    <w:rsid w:val="00692704"/>
    <w:rsid w:val="00692E67"/>
    <w:rsid w:val="00693ACF"/>
    <w:rsid w:val="00693EE5"/>
    <w:rsid w:val="006944C5"/>
    <w:rsid w:val="00694B8D"/>
    <w:rsid w:val="0069532F"/>
    <w:rsid w:val="0069561C"/>
    <w:rsid w:val="00695634"/>
    <w:rsid w:val="0069600D"/>
    <w:rsid w:val="006963AE"/>
    <w:rsid w:val="00697053"/>
    <w:rsid w:val="006A0214"/>
    <w:rsid w:val="006A066A"/>
    <w:rsid w:val="006A06CA"/>
    <w:rsid w:val="006A083E"/>
    <w:rsid w:val="006A0FFD"/>
    <w:rsid w:val="006A1170"/>
    <w:rsid w:val="006A14A3"/>
    <w:rsid w:val="006A159D"/>
    <w:rsid w:val="006A18BF"/>
    <w:rsid w:val="006A1F58"/>
    <w:rsid w:val="006A242E"/>
    <w:rsid w:val="006A26AB"/>
    <w:rsid w:val="006A298D"/>
    <w:rsid w:val="006A2F80"/>
    <w:rsid w:val="006A3A48"/>
    <w:rsid w:val="006A3FD6"/>
    <w:rsid w:val="006A4076"/>
    <w:rsid w:val="006A436F"/>
    <w:rsid w:val="006A4E5B"/>
    <w:rsid w:val="006A59D8"/>
    <w:rsid w:val="006A6B7B"/>
    <w:rsid w:val="006A78F8"/>
    <w:rsid w:val="006A7C26"/>
    <w:rsid w:val="006A7E27"/>
    <w:rsid w:val="006B010E"/>
    <w:rsid w:val="006B03CA"/>
    <w:rsid w:val="006B091F"/>
    <w:rsid w:val="006B0CAF"/>
    <w:rsid w:val="006B0ED0"/>
    <w:rsid w:val="006B0EED"/>
    <w:rsid w:val="006B147E"/>
    <w:rsid w:val="006B1DF6"/>
    <w:rsid w:val="006B233F"/>
    <w:rsid w:val="006B255F"/>
    <w:rsid w:val="006B275E"/>
    <w:rsid w:val="006B28EA"/>
    <w:rsid w:val="006B2DA3"/>
    <w:rsid w:val="006B2FBB"/>
    <w:rsid w:val="006B378A"/>
    <w:rsid w:val="006B3BD5"/>
    <w:rsid w:val="006B4185"/>
    <w:rsid w:val="006B4224"/>
    <w:rsid w:val="006B4493"/>
    <w:rsid w:val="006B4B62"/>
    <w:rsid w:val="006B53DC"/>
    <w:rsid w:val="006B5423"/>
    <w:rsid w:val="006B5855"/>
    <w:rsid w:val="006B5AB2"/>
    <w:rsid w:val="006B5C67"/>
    <w:rsid w:val="006B6B5D"/>
    <w:rsid w:val="006B6BF6"/>
    <w:rsid w:val="006B6C0D"/>
    <w:rsid w:val="006B6D1F"/>
    <w:rsid w:val="006B7657"/>
    <w:rsid w:val="006C166D"/>
    <w:rsid w:val="006C1818"/>
    <w:rsid w:val="006C1C4F"/>
    <w:rsid w:val="006C1F8B"/>
    <w:rsid w:val="006C2721"/>
    <w:rsid w:val="006C2BE5"/>
    <w:rsid w:val="006C377A"/>
    <w:rsid w:val="006C3868"/>
    <w:rsid w:val="006C38FF"/>
    <w:rsid w:val="006C3E6E"/>
    <w:rsid w:val="006C3EEA"/>
    <w:rsid w:val="006C3F92"/>
    <w:rsid w:val="006C43A6"/>
    <w:rsid w:val="006C4A4A"/>
    <w:rsid w:val="006C4E89"/>
    <w:rsid w:val="006C53EB"/>
    <w:rsid w:val="006C5434"/>
    <w:rsid w:val="006C5D29"/>
    <w:rsid w:val="006C6325"/>
    <w:rsid w:val="006C650D"/>
    <w:rsid w:val="006C69A5"/>
    <w:rsid w:val="006C7740"/>
    <w:rsid w:val="006D0389"/>
    <w:rsid w:val="006D0848"/>
    <w:rsid w:val="006D0BA5"/>
    <w:rsid w:val="006D0C15"/>
    <w:rsid w:val="006D0D8B"/>
    <w:rsid w:val="006D0FBF"/>
    <w:rsid w:val="006D10DC"/>
    <w:rsid w:val="006D1586"/>
    <w:rsid w:val="006D19C1"/>
    <w:rsid w:val="006D2827"/>
    <w:rsid w:val="006D2848"/>
    <w:rsid w:val="006D2B19"/>
    <w:rsid w:val="006D2EC9"/>
    <w:rsid w:val="006D3A05"/>
    <w:rsid w:val="006D3B62"/>
    <w:rsid w:val="006D3FDF"/>
    <w:rsid w:val="006D4527"/>
    <w:rsid w:val="006D4B05"/>
    <w:rsid w:val="006D4F86"/>
    <w:rsid w:val="006D5F98"/>
    <w:rsid w:val="006D6665"/>
    <w:rsid w:val="006D7098"/>
    <w:rsid w:val="006D740E"/>
    <w:rsid w:val="006D7F72"/>
    <w:rsid w:val="006E00B7"/>
    <w:rsid w:val="006E0E5B"/>
    <w:rsid w:val="006E2562"/>
    <w:rsid w:val="006E3023"/>
    <w:rsid w:val="006E3369"/>
    <w:rsid w:val="006E3D12"/>
    <w:rsid w:val="006E449C"/>
    <w:rsid w:val="006E4726"/>
    <w:rsid w:val="006E4E72"/>
    <w:rsid w:val="006E50D0"/>
    <w:rsid w:val="006E663E"/>
    <w:rsid w:val="006E6C0D"/>
    <w:rsid w:val="006E6EDF"/>
    <w:rsid w:val="006E7BA5"/>
    <w:rsid w:val="006F01E8"/>
    <w:rsid w:val="006F02D7"/>
    <w:rsid w:val="006F03EC"/>
    <w:rsid w:val="006F059F"/>
    <w:rsid w:val="006F0EBB"/>
    <w:rsid w:val="006F1E96"/>
    <w:rsid w:val="006F2D24"/>
    <w:rsid w:val="006F3289"/>
    <w:rsid w:val="006F352A"/>
    <w:rsid w:val="006F37F7"/>
    <w:rsid w:val="006F3909"/>
    <w:rsid w:val="006F3D1B"/>
    <w:rsid w:val="006F4036"/>
    <w:rsid w:val="006F428E"/>
    <w:rsid w:val="006F48E1"/>
    <w:rsid w:val="006F4FA0"/>
    <w:rsid w:val="006F5096"/>
    <w:rsid w:val="006F5160"/>
    <w:rsid w:val="006F5374"/>
    <w:rsid w:val="006F57D7"/>
    <w:rsid w:val="006F5C15"/>
    <w:rsid w:val="006F60DF"/>
    <w:rsid w:val="006F64DE"/>
    <w:rsid w:val="006F6766"/>
    <w:rsid w:val="006F67E2"/>
    <w:rsid w:val="006F68C1"/>
    <w:rsid w:val="006F6CE2"/>
    <w:rsid w:val="006F6E10"/>
    <w:rsid w:val="007014F8"/>
    <w:rsid w:val="0070150D"/>
    <w:rsid w:val="007016D2"/>
    <w:rsid w:val="007018D8"/>
    <w:rsid w:val="00701979"/>
    <w:rsid w:val="00701C6E"/>
    <w:rsid w:val="007029E8"/>
    <w:rsid w:val="00703107"/>
    <w:rsid w:val="00703138"/>
    <w:rsid w:val="00703277"/>
    <w:rsid w:val="0070356D"/>
    <w:rsid w:val="00703981"/>
    <w:rsid w:val="00703CDF"/>
    <w:rsid w:val="00703D7E"/>
    <w:rsid w:val="0070495F"/>
    <w:rsid w:val="00704B6E"/>
    <w:rsid w:val="00704F73"/>
    <w:rsid w:val="0070508D"/>
    <w:rsid w:val="0070542E"/>
    <w:rsid w:val="0070604A"/>
    <w:rsid w:val="007060D4"/>
    <w:rsid w:val="0070624C"/>
    <w:rsid w:val="00706451"/>
    <w:rsid w:val="00706721"/>
    <w:rsid w:val="00707E0F"/>
    <w:rsid w:val="0071068A"/>
    <w:rsid w:val="00710E19"/>
    <w:rsid w:val="00710E52"/>
    <w:rsid w:val="0071154B"/>
    <w:rsid w:val="0071174F"/>
    <w:rsid w:val="0071176F"/>
    <w:rsid w:val="0071196A"/>
    <w:rsid w:val="00711B11"/>
    <w:rsid w:val="00712FAE"/>
    <w:rsid w:val="007131CF"/>
    <w:rsid w:val="007133C0"/>
    <w:rsid w:val="00713613"/>
    <w:rsid w:val="007137C6"/>
    <w:rsid w:val="007138FC"/>
    <w:rsid w:val="0071393D"/>
    <w:rsid w:val="00713E79"/>
    <w:rsid w:val="00714245"/>
    <w:rsid w:val="00714457"/>
    <w:rsid w:val="00714A14"/>
    <w:rsid w:val="00715441"/>
    <w:rsid w:val="00715739"/>
    <w:rsid w:val="0071576C"/>
    <w:rsid w:val="00715C94"/>
    <w:rsid w:val="007165F0"/>
    <w:rsid w:val="00716A09"/>
    <w:rsid w:val="007170DB"/>
    <w:rsid w:val="00717880"/>
    <w:rsid w:val="00717CA8"/>
    <w:rsid w:val="007205E7"/>
    <w:rsid w:val="007209C4"/>
    <w:rsid w:val="00720A51"/>
    <w:rsid w:val="00720A9F"/>
    <w:rsid w:val="00721E9E"/>
    <w:rsid w:val="007223C4"/>
    <w:rsid w:val="007227FE"/>
    <w:rsid w:val="007233C3"/>
    <w:rsid w:val="00723C95"/>
    <w:rsid w:val="007244E7"/>
    <w:rsid w:val="00724552"/>
    <w:rsid w:val="0072505F"/>
    <w:rsid w:val="00725B00"/>
    <w:rsid w:val="00726300"/>
    <w:rsid w:val="0072680C"/>
    <w:rsid w:val="00726B3D"/>
    <w:rsid w:val="00726C64"/>
    <w:rsid w:val="007310B7"/>
    <w:rsid w:val="00731237"/>
    <w:rsid w:val="00731A22"/>
    <w:rsid w:val="0073207E"/>
    <w:rsid w:val="00732523"/>
    <w:rsid w:val="0073254B"/>
    <w:rsid w:val="00732664"/>
    <w:rsid w:val="00732BA7"/>
    <w:rsid w:val="007333EA"/>
    <w:rsid w:val="00733601"/>
    <w:rsid w:val="00733A22"/>
    <w:rsid w:val="00733A57"/>
    <w:rsid w:val="00733F36"/>
    <w:rsid w:val="007340CE"/>
    <w:rsid w:val="00734781"/>
    <w:rsid w:val="007349FC"/>
    <w:rsid w:val="00734B6F"/>
    <w:rsid w:val="007351A5"/>
    <w:rsid w:val="00735293"/>
    <w:rsid w:val="00735376"/>
    <w:rsid w:val="00736038"/>
    <w:rsid w:val="007363EA"/>
    <w:rsid w:val="00736A02"/>
    <w:rsid w:val="00736E06"/>
    <w:rsid w:val="00736E37"/>
    <w:rsid w:val="00737286"/>
    <w:rsid w:val="007373DB"/>
    <w:rsid w:val="00737847"/>
    <w:rsid w:val="00737F27"/>
    <w:rsid w:val="00737FD3"/>
    <w:rsid w:val="00740240"/>
    <w:rsid w:val="007407DB"/>
    <w:rsid w:val="0074096D"/>
    <w:rsid w:val="00740BFC"/>
    <w:rsid w:val="00740F76"/>
    <w:rsid w:val="00741037"/>
    <w:rsid w:val="007422B3"/>
    <w:rsid w:val="007424BF"/>
    <w:rsid w:val="007435F1"/>
    <w:rsid w:val="00743BC1"/>
    <w:rsid w:val="00743DDD"/>
    <w:rsid w:val="00744625"/>
    <w:rsid w:val="007446BB"/>
    <w:rsid w:val="00744AF1"/>
    <w:rsid w:val="00745882"/>
    <w:rsid w:val="00745A04"/>
    <w:rsid w:val="00745A0F"/>
    <w:rsid w:val="00745DFD"/>
    <w:rsid w:val="00746197"/>
    <w:rsid w:val="0074689C"/>
    <w:rsid w:val="00746B3F"/>
    <w:rsid w:val="00747117"/>
    <w:rsid w:val="007479C2"/>
    <w:rsid w:val="00747B0D"/>
    <w:rsid w:val="00751452"/>
    <w:rsid w:val="007521A5"/>
    <w:rsid w:val="007524EE"/>
    <w:rsid w:val="00752E99"/>
    <w:rsid w:val="00753959"/>
    <w:rsid w:val="00753DD6"/>
    <w:rsid w:val="007541DF"/>
    <w:rsid w:val="00754A4A"/>
    <w:rsid w:val="00755F9F"/>
    <w:rsid w:val="007566FB"/>
    <w:rsid w:val="007567A8"/>
    <w:rsid w:val="00756D6A"/>
    <w:rsid w:val="00757EE2"/>
    <w:rsid w:val="0076043F"/>
    <w:rsid w:val="00760F66"/>
    <w:rsid w:val="007611F8"/>
    <w:rsid w:val="00761200"/>
    <w:rsid w:val="00761931"/>
    <w:rsid w:val="00761BD1"/>
    <w:rsid w:val="00762323"/>
    <w:rsid w:val="007627BA"/>
    <w:rsid w:val="0076291E"/>
    <w:rsid w:val="00762C76"/>
    <w:rsid w:val="00762D81"/>
    <w:rsid w:val="0076317B"/>
    <w:rsid w:val="00763A9E"/>
    <w:rsid w:val="007643D5"/>
    <w:rsid w:val="00765366"/>
    <w:rsid w:val="00765914"/>
    <w:rsid w:val="00765AC2"/>
    <w:rsid w:val="0076614D"/>
    <w:rsid w:val="0076624C"/>
    <w:rsid w:val="0076627D"/>
    <w:rsid w:val="00766304"/>
    <w:rsid w:val="00766648"/>
    <w:rsid w:val="00767A28"/>
    <w:rsid w:val="00767DCE"/>
    <w:rsid w:val="00767DD2"/>
    <w:rsid w:val="00770264"/>
    <w:rsid w:val="0077082B"/>
    <w:rsid w:val="00770E60"/>
    <w:rsid w:val="00771324"/>
    <w:rsid w:val="00771C8F"/>
    <w:rsid w:val="0077266E"/>
    <w:rsid w:val="0077292E"/>
    <w:rsid w:val="007737D4"/>
    <w:rsid w:val="007737D8"/>
    <w:rsid w:val="0077391C"/>
    <w:rsid w:val="00773D24"/>
    <w:rsid w:val="00774576"/>
    <w:rsid w:val="007745DA"/>
    <w:rsid w:val="0077508A"/>
    <w:rsid w:val="00775475"/>
    <w:rsid w:val="00775567"/>
    <w:rsid w:val="00775E0D"/>
    <w:rsid w:val="00776343"/>
    <w:rsid w:val="00776416"/>
    <w:rsid w:val="00776C7B"/>
    <w:rsid w:val="00776CEF"/>
    <w:rsid w:val="007774AE"/>
    <w:rsid w:val="00777E7E"/>
    <w:rsid w:val="00777EFA"/>
    <w:rsid w:val="007804DD"/>
    <w:rsid w:val="00780EC1"/>
    <w:rsid w:val="00780F3B"/>
    <w:rsid w:val="0078115B"/>
    <w:rsid w:val="007816EE"/>
    <w:rsid w:val="00781B0F"/>
    <w:rsid w:val="00781EAD"/>
    <w:rsid w:val="00782071"/>
    <w:rsid w:val="00782783"/>
    <w:rsid w:val="00782946"/>
    <w:rsid w:val="00782ECD"/>
    <w:rsid w:val="00782F44"/>
    <w:rsid w:val="0078363B"/>
    <w:rsid w:val="00783CCF"/>
    <w:rsid w:val="00783F5B"/>
    <w:rsid w:val="00784609"/>
    <w:rsid w:val="00784720"/>
    <w:rsid w:val="0078481D"/>
    <w:rsid w:val="007848C8"/>
    <w:rsid w:val="00784BE8"/>
    <w:rsid w:val="007859FC"/>
    <w:rsid w:val="00785F1E"/>
    <w:rsid w:val="00785F4C"/>
    <w:rsid w:val="0078609C"/>
    <w:rsid w:val="00786355"/>
    <w:rsid w:val="00787370"/>
    <w:rsid w:val="007874AE"/>
    <w:rsid w:val="0078750B"/>
    <w:rsid w:val="0078768E"/>
    <w:rsid w:val="00787F5E"/>
    <w:rsid w:val="0079024D"/>
    <w:rsid w:val="00791069"/>
    <w:rsid w:val="007911B8"/>
    <w:rsid w:val="00791D00"/>
    <w:rsid w:val="00791DAE"/>
    <w:rsid w:val="007930E8"/>
    <w:rsid w:val="00793A57"/>
    <w:rsid w:val="00793A9C"/>
    <w:rsid w:val="00793AA6"/>
    <w:rsid w:val="00793F28"/>
    <w:rsid w:val="007944D2"/>
    <w:rsid w:val="00794B19"/>
    <w:rsid w:val="00794FFA"/>
    <w:rsid w:val="00795B8D"/>
    <w:rsid w:val="00795E34"/>
    <w:rsid w:val="00795F0E"/>
    <w:rsid w:val="00795F96"/>
    <w:rsid w:val="00796495"/>
    <w:rsid w:val="00797063"/>
    <w:rsid w:val="00797D8F"/>
    <w:rsid w:val="007A0C00"/>
    <w:rsid w:val="007A0E15"/>
    <w:rsid w:val="007A176E"/>
    <w:rsid w:val="007A19BF"/>
    <w:rsid w:val="007A1A17"/>
    <w:rsid w:val="007A2850"/>
    <w:rsid w:val="007A2A69"/>
    <w:rsid w:val="007A2CF1"/>
    <w:rsid w:val="007A384E"/>
    <w:rsid w:val="007A4140"/>
    <w:rsid w:val="007A41B5"/>
    <w:rsid w:val="007A4486"/>
    <w:rsid w:val="007A4682"/>
    <w:rsid w:val="007A5879"/>
    <w:rsid w:val="007A58A8"/>
    <w:rsid w:val="007A5BDC"/>
    <w:rsid w:val="007A629D"/>
    <w:rsid w:val="007A6610"/>
    <w:rsid w:val="007A6D51"/>
    <w:rsid w:val="007A6DD3"/>
    <w:rsid w:val="007A6FF3"/>
    <w:rsid w:val="007A7169"/>
    <w:rsid w:val="007A71DC"/>
    <w:rsid w:val="007A7A04"/>
    <w:rsid w:val="007B04FF"/>
    <w:rsid w:val="007B0976"/>
    <w:rsid w:val="007B0CAC"/>
    <w:rsid w:val="007B15F3"/>
    <w:rsid w:val="007B1701"/>
    <w:rsid w:val="007B1C32"/>
    <w:rsid w:val="007B1DBB"/>
    <w:rsid w:val="007B2319"/>
    <w:rsid w:val="007B2FBF"/>
    <w:rsid w:val="007B3E13"/>
    <w:rsid w:val="007B4044"/>
    <w:rsid w:val="007B4046"/>
    <w:rsid w:val="007B4300"/>
    <w:rsid w:val="007B565C"/>
    <w:rsid w:val="007B595F"/>
    <w:rsid w:val="007B5B7E"/>
    <w:rsid w:val="007B5D75"/>
    <w:rsid w:val="007B6D5E"/>
    <w:rsid w:val="007B7115"/>
    <w:rsid w:val="007B736B"/>
    <w:rsid w:val="007C012E"/>
    <w:rsid w:val="007C055A"/>
    <w:rsid w:val="007C0853"/>
    <w:rsid w:val="007C0C0D"/>
    <w:rsid w:val="007C0C90"/>
    <w:rsid w:val="007C0E07"/>
    <w:rsid w:val="007C0E86"/>
    <w:rsid w:val="007C192C"/>
    <w:rsid w:val="007C249E"/>
    <w:rsid w:val="007C26CF"/>
    <w:rsid w:val="007C271B"/>
    <w:rsid w:val="007C2C14"/>
    <w:rsid w:val="007C389D"/>
    <w:rsid w:val="007C3A55"/>
    <w:rsid w:val="007C404B"/>
    <w:rsid w:val="007C4166"/>
    <w:rsid w:val="007C44E1"/>
    <w:rsid w:val="007C48DD"/>
    <w:rsid w:val="007C4A05"/>
    <w:rsid w:val="007C5711"/>
    <w:rsid w:val="007C57B9"/>
    <w:rsid w:val="007C6325"/>
    <w:rsid w:val="007C73A3"/>
    <w:rsid w:val="007C767E"/>
    <w:rsid w:val="007C7975"/>
    <w:rsid w:val="007C7EF5"/>
    <w:rsid w:val="007D06AC"/>
    <w:rsid w:val="007D0741"/>
    <w:rsid w:val="007D0997"/>
    <w:rsid w:val="007D0A53"/>
    <w:rsid w:val="007D0FFC"/>
    <w:rsid w:val="007D1013"/>
    <w:rsid w:val="007D19EC"/>
    <w:rsid w:val="007D2608"/>
    <w:rsid w:val="007D30C3"/>
    <w:rsid w:val="007D35AC"/>
    <w:rsid w:val="007D36B1"/>
    <w:rsid w:val="007D36D7"/>
    <w:rsid w:val="007D3BA1"/>
    <w:rsid w:val="007D3EC8"/>
    <w:rsid w:val="007D40AC"/>
    <w:rsid w:val="007D4317"/>
    <w:rsid w:val="007D4C12"/>
    <w:rsid w:val="007D57E0"/>
    <w:rsid w:val="007D5946"/>
    <w:rsid w:val="007D5962"/>
    <w:rsid w:val="007D5A2B"/>
    <w:rsid w:val="007D6213"/>
    <w:rsid w:val="007D63B2"/>
    <w:rsid w:val="007D651D"/>
    <w:rsid w:val="007D6E78"/>
    <w:rsid w:val="007D71B7"/>
    <w:rsid w:val="007D7C66"/>
    <w:rsid w:val="007D7CF3"/>
    <w:rsid w:val="007E0274"/>
    <w:rsid w:val="007E02A7"/>
    <w:rsid w:val="007E0415"/>
    <w:rsid w:val="007E0991"/>
    <w:rsid w:val="007E0AFE"/>
    <w:rsid w:val="007E0B2C"/>
    <w:rsid w:val="007E0BD1"/>
    <w:rsid w:val="007E107F"/>
    <w:rsid w:val="007E2FD7"/>
    <w:rsid w:val="007E310B"/>
    <w:rsid w:val="007E38DA"/>
    <w:rsid w:val="007E3D65"/>
    <w:rsid w:val="007E3EE2"/>
    <w:rsid w:val="007E47E7"/>
    <w:rsid w:val="007E4A68"/>
    <w:rsid w:val="007E4A98"/>
    <w:rsid w:val="007E4EB6"/>
    <w:rsid w:val="007E5DD7"/>
    <w:rsid w:val="007E6FB9"/>
    <w:rsid w:val="007E7139"/>
    <w:rsid w:val="007E7366"/>
    <w:rsid w:val="007E7EA1"/>
    <w:rsid w:val="007E7EA4"/>
    <w:rsid w:val="007F03CE"/>
    <w:rsid w:val="007F04D3"/>
    <w:rsid w:val="007F0A1D"/>
    <w:rsid w:val="007F1095"/>
    <w:rsid w:val="007F137D"/>
    <w:rsid w:val="007F17B5"/>
    <w:rsid w:val="007F245F"/>
    <w:rsid w:val="007F2D8D"/>
    <w:rsid w:val="007F2EBF"/>
    <w:rsid w:val="007F3044"/>
    <w:rsid w:val="007F3249"/>
    <w:rsid w:val="007F3704"/>
    <w:rsid w:val="007F4657"/>
    <w:rsid w:val="007F494A"/>
    <w:rsid w:val="007F5609"/>
    <w:rsid w:val="007F5625"/>
    <w:rsid w:val="007F568A"/>
    <w:rsid w:val="007F59F7"/>
    <w:rsid w:val="007F5E21"/>
    <w:rsid w:val="007F6413"/>
    <w:rsid w:val="007F6761"/>
    <w:rsid w:val="007F676E"/>
    <w:rsid w:val="007F6B11"/>
    <w:rsid w:val="007F6E2B"/>
    <w:rsid w:val="007F7D12"/>
    <w:rsid w:val="007F7F02"/>
    <w:rsid w:val="00800258"/>
    <w:rsid w:val="00800C97"/>
    <w:rsid w:val="0080153D"/>
    <w:rsid w:val="0080220F"/>
    <w:rsid w:val="008026A7"/>
    <w:rsid w:val="00802735"/>
    <w:rsid w:val="008028C2"/>
    <w:rsid w:val="00802DDB"/>
    <w:rsid w:val="0080379D"/>
    <w:rsid w:val="008037D8"/>
    <w:rsid w:val="00803B7E"/>
    <w:rsid w:val="00803DA6"/>
    <w:rsid w:val="008040D9"/>
    <w:rsid w:val="0080436E"/>
    <w:rsid w:val="00804937"/>
    <w:rsid w:val="00804E1E"/>
    <w:rsid w:val="00804E43"/>
    <w:rsid w:val="008050F5"/>
    <w:rsid w:val="0080519C"/>
    <w:rsid w:val="0080553F"/>
    <w:rsid w:val="00805E48"/>
    <w:rsid w:val="00807ADD"/>
    <w:rsid w:val="00810BC2"/>
    <w:rsid w:val="00811683"/>
    <w:rsid w:val="00811AFF"/>
    <w:rsid w:val="00812373"/>
    <w:rsid w:val="00812D30"/>
    <w:rsid w:val="00813F3A"/>
    <w:rsid w:val="008140E8"/>
    <w:rsid w:val="008148D4"/>
    <w:rsid w:val="0081491F"/>
    <w:rsid w:val="00814941"/>
    <w:rsid w:val="00814A65"/>
    <w:rsid w:val="00814BD9"/>
    <w:rsid w:val="008158AC"/>
    <w:rsid w:val="00816805"/>
    <w:rsid w:val="008168E2"/>
    <w:rsid w:val="00816BE8"/>
    <w:rsid w:val="00816CD5"/>
    <w:rsid w:val="00816DBD"/>
    <w:rsid w:val="00816FE2"/>
    <w:rsid w:val="00817062"/>
    <w:rsid w:val="00817991"/>
    <w:rsid w:val="00817F58"/>
    <w:rsid w:val="008203C5"/>
    <w:rsid w:val="0082046A"/>
    <w:rsid w:val="00820B84"/>
    <w:rsid w:val="0082199B"/>
    <w:rsid w:val="00821C2A"/>
    <w:rsid w:val="008227B7"/>
    <w:rsid w:val="00824282"/>
    <w:rsid w:val="008243A8"/>
    <w:rsid w:val="00824925"/>
    <w:rsid w:val="00824C8B"/>
    <w:rsid w:val="008252E8"/>
    <w:rsid w:val="00825BA8"/>
    <w:rsid w:val="00825C14"/>
    <w:rsid w:val="0082641D"/>
    <w:rsid w:val="008267CA"/>
    <w:rsid w:val="00826E45"/>
    <w:rsid w:val="008270EE"/>
    <w:rsid w:val="0082722B"/>
    <w:rsid w:val="0082745B"/>
    <w:rsid w:val="00827C1B"/>
    <w:rsid w:val="0083016B"/>
    <w:rsid w:val="008301F1"/>
    <w:rsid w:val="00830C0E"/>
    <w:rsid w:val="008313E0"/>
    <w:rsid w:val="008317EC"/>
    <w:rsid w:val="0083195D"/>
    <w:rsid w:val="00831B7B"/>
    <w:rsid w:val="00831D90"/>
    <w:rsid w:val="008324F3"/>
    <w:rsid w:val="00832691"/>
    <w:rsid w:val="0083296B"/>
    <w:rsid w:val="00832B8A"/>
    <w:rsid w:val="00833547"/>
    <w:rsid w:val="00833852"/>
    <w:rsid w:val="00833AB9"/>
    <w:rsid w:val="00833B62"/>
    <w:rsid w:val="00834820"/>
    <w:rsid w:val="00834C82"/>
    <w:rsid w:val="00834DB6"/>
    <w:rsid w:val="00834F93"/>
    <w:rsid w:val="00835627"/>
    <w:rsid w:val="00835F6D"/>
    <w:rsid w:val="008375DA"/>
    <w:rsid w:val="00840C4A"/>
    <w:rsid w:val="008411B9"/>
    <w:rsid w:val="0084122F"/>
    <w:rsid w:val="00841573"/>
    <w:rsid w:val="00841D08"/>
    <w:rsid w:val="00842D43"/>
    <w:rsid w:val="00842F64"/>
    <w:rsid w:val="0084323E"/>
    <w:rsid w:val="00843D50"/>
    <w:rsid w:val="008441D9"/>
    <w:rsid w:val="0084464E"/>
    <w:rsid w:val="008455E6"/>
    <w:rsid w:val="008458BF"/>
    <w:rsid w:val="00846262"/>
    <w:rsid w:val="00846370"/>
    <w:rsid w:val="008463E8"/>
    <w:rsid w:val="00847665"/>
    <w:rsid w:val="00847BC5"/>
    <w:rsid w:val="00847F11"/>
    <w:rsid w:val="00850010"/>
    <w:rsid w:val="008503F4"/>
    <w:rsid w:val="008504A0"/>
    <w:rsid w:val="00850AC1"/>
    <w:rsid w:val="00850C2A"/>
    <w:rsid w:val="00850DFA"/>
    <w:rsid w:val="00851331"/>
    <w:rsid w:val="008516D1"/>
    <w:rsid w:val="00852003"/>
    <w:rsid w:val="0085212C"/>
    <w:rsid w:val="00852988"/>
    <w:rsid w:val="00852F9E"/>
    <w:rsid w:val="00853FD8"/>
    <w:rsid w:val="00854053"/>
    <w:rsid w:val="008543AC"/>
    <w:rsid w:val="008548B8"/>
    <w:rsid w:val="00854965"/>
    <w:rsid w:val="00855298"/>
    <w:rsid w:val="008554D1"/>
    <w:rsid w:val="008558E0"/>
    <w:rsid w:val="008569E0"/>
    <w:rsid w:val="00857AF7"/>
    <w:rsid w:val="00857BE5"/>
    <w:rsid w:val="00860109"/>
    <w:rsid w:val="008601BD"/>
    <w:rsid w:val="00860359"/>
    <w:rsid w:val="00860E43"/>
    <w:rsid w:val="00861252"/>
    <w:rsid w:val="0086171A"/>
    <w:rsid w:val="0086226C"/>
    <w:rsid w:val="00863237"/>
    <w:rsid w:val="00863B59"/>
    <w:rsid w:val="00863C07"/>
    <w:rsid w:val="008640B7"/>
    <w:rsid w:val="008644A4"/>
    <w:rsid w:val="00864A6C"/>
    <w:rsid w:val="00864BB1"/>
    <w:rsid w:val="00864DF7"/>
    <w:rsid w:val="00865278"/>
    <w:rsid w:val="008654F9"/>
    <w:rsid w:val="008658C0"/>
    <w:rsid w:val="008660F7"/>
    <w:rsid w:val="00866388"/>
    <w:rsid w:val="0086644B"/>
    <w:rsid w:val="00866FE3"/>
    <w:rsid w:val="0086722D"/>
    <w:rsid w:val="00867AD8"/>
    <w:rsid w:val="00867C04"/>
    <w:rsid w:val="00867D56"/>
    <w:rsid w:val="00867D70"/>
    <w:rsid w:val="00870646"/>
    <w:rsid w:val="008706C3"/>
    <w:rsid w:val="00870BAA"/>
    <w:rsid w:val="00870D91"/>
    <w:rsid w:val="008716D1"/>
    <w:rsid w:val="008716ED"/>
    <w:rsid w:val="008718AD"/>
    <w:rsid w:val="0087193F"/>
    <w:rsid w:val="008724E6"/>
    <w:rsid w:val="008728C8"/>
    <w:rsid w:val="00873205"/>
    <w:rsid w:val="008735E8"/>
    <w:rsid w:val="0087377E"/>
    <w:rsid w:val="00874594"/>
    <w:rsid w:val="00874776"/>
    <w:rsid w:val="0087487C"/>
    <w:rsid w:val="00874A07"/>
    <w:rsid w:val="00874B75"/>
    <w:rsid w:val="00875007"/>
    <w:rsid w:val="008750DB"/>
    <w:rsid w:val="008751B4"/>
    <w:rsid w:val="0087527F"/>
    <w:rsid w:val="008754B5"/>
    <w:rsid w:val="00875AF3"/>
    <w:rsid w:val="008765E9"/>
    <w:rsid w:val="00876605"/>
    <w:rsid w:val="00876B13"/>
    <w:rsid w:val="00880017"/>
    <w:rsid w:val="00880305"/>
    <w:rsid w:val="0088088A"/>
    <w:rsid w:val="00880A3F"/>
    <w:rsid w:val="00880EE2"/>
    <w:rsid w:val="008813BC"/>
    <w:rsid w:val="00881732"/>
    <w:rsid w:val="008818A2"/>
    <w:rsid w:val="00881FF9"/>
    <w:rsid w:val="0088213D"/>
    <w:rsid w:val="008821C6"/>
    <w:rsid w:val="0088243D"/>
    <w:rsid w:val="0088251A"/>
    <w:rsid w:val="00882D28"/>
    <w:rsid w:val="008836A3"/>
    <w:rsid w:val="00883A67"/>
    <w:rsid w:val="008848E9"/>
    <w:rsid w:val="00884FD8"/>
    <w:rsid w:val="00885244"/>
    <w:rsid w:val="008857C7"/>
    <w:rsid w:val="008858B3"/>
    <w:rsid w:val="00885BF6"/>
    <w:rsid w:val="008866CF"/>
    <w:rsid w:val="00886782"/>
    <w:rsid w:val="008869A1"/>
    <w:rsid w:val="00886B3F"/>
    <w:rsid w:val="0088727A"/>
    <w:rsid w:val="00887686"/>
    <w:rsid w:val="0089015D"/>
    <w:rsid w:val="0089021A"/>
    <w:rsid w:val="0089022E"/>
    <w:rsid w:val="00890475"/>
    <w:rsid w:val="00890A7C"/>
    <w:rsid w:val="00890D11"/>
    <w:rsid w:val="008910EE"/>
    <w:rsid w:val="00891A26"/>
    <w:rsid w:val="008923F8"/>
    <w:rsid w:val="008928F1"/>
    <w:rsid w:val="00892BBF"/>
    <w:rsid w:val="00892DB5"/>
    <w:rsid w:val="0089346D"/>
    <w:rsid w:val="008935AB"/>
    <w:rsid w:val="00893F27"/>
    <w:rsid w:val="008942BD"/>
    <w:rsid w:val="0089478A"/>
    <w:rsid w:val="0089480A"/>
    <w:rsid w:val="00894FE5"/>
    <w:rsid w:val="00895658"/>
    <w:rsid w:val="008956DA"/>
    <w:rsid w:val="00895BA9"/>
    <w:rsid w:val="00895D79"/>
    <w:rsid w:val="0089601B"/>
    <w:rsid w:val="0089647F"/>
    <w:rsid w:val="0089655D"/>
    <w:rsid w:val="00896784"/>
    <w:rsid w:val="00896C56"/>
    <w:rsid w:val="00897051"/>
    <w:rsid w:val="00897824"/>
    <w:rsid w:val="00897BCB"/>
    <w:rsid w:val="00897C07"/>
    <w:rsid w:val="00897DBA"/>
    <w:rsid w:val="008A02FA"/>
    <w:rsid w:val="008A06A8"/>
    <w:rsid w:val="008A1AAC"/>
    <w:rsid w:val="008A20CA"/>
    <w:rsid w:val="008A239B"/>
    <w:rsid w:val="008A2505"/>
    <w:rsid w:val="008A2956"/>
    <w:rsid w:val="008A2EA1"/>
    <w:rsid w:val="008A2EF6"/>
    <w:rsid w:val="008A3480"/>
    <w:rsid w:val="008A3642"/>
    <w:rsid w:val="008A4F3C"/>
    <w:rsid w:val="008A51AD"/>
    <w:rsid w:val="008A53BA"/>
    <w:rsid w:val="008A551D"/>
    <w:rsid w:val="008A56BA"/>
    <w:rsid w:val="008A570A"/>
    <w:rsid w:val="008A58E4"/>
    <w:rsid w:val="008A58E7"/>
    <w:rsid w:val="008A5C1D"/>
    <w:rsid w:val="008A615A"/>
    <w:rsid w:val="008A6357"/>
    <w:rsid w:val="008A650C"/>
    <w:rsid w:val="008A6A36"/>
    <w:rsid w:val="008A6CB9"/>
    <w:rsid w:val="008A6DC1"/>
    <w:rsid w:val="008A7083"/>
    <w:rsid w:val="008A7100"/>
    <w:rsid w:val="008A7139"/>
    <w:rsid w:val="008A776D"/>
    <w:rsid w:val="008A7A3B"/>
    <w:rsid w:val="008A7BB8"/>
    <w:rsid w:val="008A7C74"/>
    <w:rsid w:val="008B03BD"/>
    <w:rsid w:val="008B04C0"/>
    <w:rsid w:val="008B09E1"/>
    <w:rsid w:val="008B0A83"/>
    <w:rsid w:val="008B0DCF"/>
    <w:rsid w:val="008B0E93"/>
    <w:rsid w:val="008B0F8D"/>
    <w:rsid w:val="008B198D"/>
    <w:rsid w:val="008B1FFB"/>
    <w:rsid w:val="008B23A8"/>
    <w:rsid w:val="008B25AB"/>
    <w:rsid w:val="008B29A4"/>
    <w:rsid w:val="008B2BB4"/>
    <w:rsid w:val="008B2C30"/>
    <w:rsid w:val="008B3C2B"/>
    <w:rsid w:val="008B4679"/>
    <w:rsid w:val="008B4D00"/>
    <w:rsid w:val="008B4D13"/>
    <w:rsid w:val="008B4E78"/>
    <w:rsid w:val="008B4FE2"/>
    <w:rsid w:val="008B61A1"/>
    <w:rsid w:val="008B66D8"/>
    <w:rsid w:val="008B66EE"/>
    <w:rsid w:val="008B6793"/>
    <w:rsid w:val="008B6E87"/>
    <w:rsid w:val="008B75C2"/>
    <w:rsid w:val="008B787A"/>
    <w:rsid w:val="008C0219"/>
    <w:rsid w:val="008C0A89"/>
    <w:rsid w:val="008C0AA9"/>
    <w:rsid w:val="008C0E71"/>
    <w:rsid w:val="008C1852"/>
    <w:rsid w:val="008C2CFF"/>
    <w:rsid w:val="008C2E1E"/>
    <w:rsid w:val="008C2E22"/>
    <w:rsid w:val="008C2ED2"/>
    <w:rsid w:val="008C3612"/>
    <w:rsid w:val="008C3D4D"/>
    <w:rsid w:val="008C4026"/>
    <w:rsid w:val="008C417E"/>
    <w:rsid w:val="008C4E31"/>
    <w:rsid w:val="008C5464"/>
    <w:rsid w:val="008C5B51"/>
    <w:rsid w:val="008C5F0A"/>
    <w:rsid w:val="008C6105"/>
    <w:rsid w:val="008C6124"/>
    <w:rsid w:val="008C6334"/>
    <w:rsid w:val="008C66BD"/>
    <w:rsid w:val="008C6968"/>
    <w:rsid w:val="008C742A"/>
    <w:rsid w:val="008C74C7"/>
    <w:rsid w:val="008C7714"/>
    <w:rsid w:val="008C7F4F"/>
    <w:rsid w:val="008D00F3"/>
    <w:rsid w:val="008D0241"/>
    <w:rsid w:val="008D0B34"/>
    <w:rsid w:val="008D0F27"/>
    <w:rsid w:val="008D11F0"/>
    <w:rsid w:val="008D15A2"/>
    <w:rsid w:val="008D18CD"/>
    <w:rsid w:val="008D1F86"/>
    <w:rsid w:val="008D20E0"/>
    <w:rsid w:val="008D2B6E"/>
    <w:rsid w:val="008D335C"/>
    <w:rsid w:val="008D35B7"/>
    <w:rsid w:val="008D4007"/>
    <w:rsid w:val="008D436A"/>
    <w:rsid w:val="008D4C72"/>
    <w:rsid w:val="008D4CF8"/>
    <w:rsid w:val="008D5246"/>
    <w:rsid w:val="008D5291"/>
    <w:rsid w:val="008D5368"/>
    <w:rsid w:val="008D561B"/>
    <w:rsid w:val="008D582B"/>
    <w:rsid w:val="008D5CF9"/>
    <w:rsid w:val="008D5D0A"/>
    <w:rsid w:val="008D6199"/>
    <w:rsid w:val="008D64B9"/>
    <w:rsid w:val="008D6794"/>
    <w:rsid w:val="008D76AC"/>
    <w:rsid w:val="008D7F65"/>
    <w:rsid w:val="008E0178"/>
    <w:rsid w:val="008E02F8"/>
    <w:rsid w:val="008E12AF"/>
    <w:rsid w:val="008E1342"/>
    <w:rsid w:val="008E1DC9"/>
    <w:rsid w:val="008E211C"/>
    <w:rsid w:val="008E28EC"/>
    <w:rsid w:val="008E2BB3"/>
    <w:rsid w:val="008E2BC5"/>
    <w:rsid w:val="008E2C79"/>
    <w:rsid w:val="008E3176"/>
    <w:rsid w:val="008E3564"/>
    <w:rsid w:val="008E3A0B"/>
    <w:rsid w:val="008E3A90"/>
    <w:rsid w:val="008E3AAB"/>
    <w:rsid w:val="008E3F34"/>
    <w:rsid w:val="008E4043"/>
    <w:rsid w:val="008E4520"/>
    <w:rsid w:val="008E54E8"/>
    <w:rsid w:val="008E5740"/>
    <w:rsid w:val="008E5868"/>
    <w:rsid w:val="008E5ADB"/>
    <w:rsid w:val="008E5DC8"/>
    <w:rsid w:val="008E6465"/>
    <w:rsid w:val="008E6C57"/>
    <w:rsid w:val="008E7082"/>
    <w:rsid w:val="008E72AF"/>
    <w:rsid w:val="008F0952"/>
    <w:rsid w:val="008F1154"/>
    <w:rsid w:val="008F1B84"/>
    <w:rsid w:val="008F1B9D"/>
    <w:rsid w:val="008F1DB6"/>
    <w:rsid w:val="008F337C"/>
    <w:rsid w:val="008F39C0"/>
    <w:rsid w:val="008F39E4"/>
    <w:rsid w:val="008F4610"/>
    <w:rsid w:val="008F51F0"/>
    <w:rsid w:val="008F57CD"/>
    <w:rsid w:val="008F5960"/>
    <w:rsid w:val="008F5CD0"/>
    <w:rsid w:val="008F629A"/>
    <w:rsid w:val="008F6A9B"/>
    <w:rsid w:val="008F6F03"/>
    <w:rsid w:val="008F7603"/>
    <w:rsid w:val="008F769D"/>
    <w:rsid w:val="008F76B7"/>
    <w:rsid w:val="008F76DC"/>
    <w:rsid w:val="008F7AC5"/>
    <w:rsid w:val="008F7D2F"/>
    <w:rsid w:val="008F7E68"/>
    <w:rsid w:val="009013C5"/>
    <w:rsid w:val="0090147B"/>
    <w:rsid w:val="00901649"/>
    <w:rsid w:val="00901CBA"/>
    <w:rsid w:val="00901DC6"/>
    <w:rsid w:val="00901EEE"/>
    <w:rsid w:val="009021DC"/>
    <w:rsid w:val="00902EFD"/>
    <w:rsid w:val="00903026"/>
    <w:rsid w:val="0090357B"/>
    <w:rsid w:val="00903832"/>
    <w:rsid w:val="009042D0"/>
    <w:rsid w:val="009044BE"/>
    <w:rsid w:val="009048EB"/>
    <w:rsid w:val="00904913"/>
    <w:rsid w:val="00904C15"/>
    <w:rsid w:val="009050B3"/>
    <w:rsid w:val="00905298"/>
    <w:rsid w:val="00905945"/>
    <w:rsid w:val="00905FEB"/>
    <w:rsid w:val="00906164"/>
    <w:rsid w:val="00906252"/>
    <w:rsid w:val="0090672E"/>
    <w:rsid w:val="00906A4F"/>
    <w:rsid w:val="00906BD6"/>
    <w:rsid w:val="00907074"/>
    <w:rsid w:val="009073C7"/>
    <w:rsid w:val="009078BA"/>
    <w:rsid w:val="009079C7"/>
    <w:rsid w:val="009079F7"/>
    <w:rsid w:val="00907B44"/>
    <w:rsid w:val="00907C33"/>
    <w:rsid w:val="009108D2"/>
    <w:rsid w:val="00910C20"/>
    <w:rsid w:val="00910FE1"/>
    <w:rsid w:val="0091106A"/>
    <w:rsid w:val="00911C09"/>
    <w:rsid w:val="00911D1C"/>
    <w:rsid w:val="00912F38"/>
    <w:rsid w:val="0091340D"/>
    <w:rsid w:val="00913C58"/>
    <w:rsid w:val="00913D36"/>
    <w:rsid w:val="009140B4"/>
    <w:rsid w:val="00914174"/>
    <w:rsid w:val="0091428A"/>
    <w:rsid w:val="00914733"/>
    <w:rsid w:val="0091495E"/>
    <w:rsid w:val="00914AA5"/>
    <w:rsid w:val="00914EAF"/>
    <w:rsid w:val="00915428"/>
    <w:rsid w:val="009162DD"/>
    <w:rsid w:val="009163E7"/>
    <w:rsid w:val="0091670A"/>
    <w:rsid w:val="0091671A"/>
    <w:rsid w:val="009169F6"/>
    <w:rsid w:val="009170FD"/>
    <w:rsid w:val="0091719D"/>
    <w:rsid w:val="00917903"/>
    <w:rsid w:val="00917BEA"/>
    <w:rsid w:val="00920189"/>
    <w:rsid w:val="00920203"/>
    <w:rsid w:val="00920997"/>
    <w:rsid w:val="00920B1E"/>
    <w:rsid w:val="00920DD5"/>
    <w:rsid w:val="00921161"/>
    <w:rsid w:val="00922492"/>
    <w:rsid w:val="009224EB"/>
    <w:rsid w:val="0092272F"/>
    <w:rsid w:val="00922BE2"/>
    <w:rsid w:val="00922EDE"/>
    <w:rsid w:val="009237D9"/>
    <w:rsid w:val="0092406C"/>
    <w:rsid w:val="00924096"/>
    <w:rsid w:val="009243BC"/>
    <w:rsid w:val="009244D5"/>
    <w:rsid w:val="00925049"/>
    <w:rsid w:val="0092523A"/>
    <w:rsid w:val="009252F1"/>
    <w:rsid w:val="00925588"/>
    <w:rsid w:val="00925733"/>
    <w:rsid w:val="00925AF5"/>
    <w:rsid w:val="00926244"/>
    <w:rsid w:val="00926268"/>
    <w:rsid w:val="009264A2"/>
    <w:rsid w:val="0092715D"/>
    <w:rsid w:val="00927299"/>
    <w:rsid w:val="009278F0"/>
    <w:rsid w:val="00930632"/>
    <w:rsid w:val="009310BC"/>
    <w:rsid w:val="00931D3F"/>
    <w:rsid w:val="009324C4"/>
    <w:rsid w:val="00932671"/>
    <w:rsid w:val="00932A7A"/>
    <w:rsid w:val="00932D26"/>
    <w:rsid w:val="009330BF"/>
    <w:rsid w:val="00933817"/>
    <w:rsid w:val="009340EB"/>
    <w:rsid w:val="00934510"/>
    <w:rsid w:val="0093476C"/>
    <w:rsid w:val="00935A1E"/>
    <w:rsid w:val="00935AA3"/>
    <w:rsid w:val="00935B7C"/>
    <w:rsid w:val="00935E3A"/>
    <w:rsid w:val="00936005"/>
    <w:rsid w:val="0093607C"/>
    <w:rsid w:val="009368F4"/>
    <w:rsid w:val="00940008"/>
    <w:rsid w:val="00940FFA"/>
    <w:rsid w:val="00941010"/>
    <w:rsid w:val="00941503"/>
    <w:rsid w:val="0094187D"/>
    <w:rsid w:val="009423ED"/>
    <w:rsid w:val="00942C90"/>
    <w:rsid w:val="00942F29"/>
    <w:rsid w:val="00942FB6"/>
    <w:rsid w:val="009430E1"/>
    <w:rsid w:val="009434EB"/>
    <w:rsid w:val="00943EA6"/>
    <w:rsid w:val="009443F2"/>
    <w:rsid w:val="009448F2"/>
    <w:rsid w:val="009451E0"/>
    <w:rsid w:val="0094524B"/>
    <w:rsid w:val="00945262"/>
    <w:rsid w:val="009456E3"/>
    <w:rsid w:val="00945759"/>
    <w:rsid w:val="00945925"/>
    <w:rsid w:val="009466E9"/>
    <w:rsid w:val="00946CB3"/>
    <w:rsid w:val="00946D20"/>
    <w:rsid w:val="00946E51"/>
    <w:rsid w:val="009473F4"/>
    <w:rsid w:val="0094767D"/>
    <w:rsid w:val="00950231"/>
    <w:rsid w:val="00950794"/>
    <w:rsid w:val="009507AA"/>
    <w:rsid w:val="009509EF"/>
    <w:rsid w:val="009512DC"/>
    <w:rsid w:val="009515CA"/>
    <w:rsid w:val="00951691"/>
    <w:rsid w:val="00951FCE"/>
    <w:rsid w:val="009521CC"/>
    <w:rsid w:val="0095226C"/>
    <w:rsid w:val="0095269B"/>
    <w:rsid w:val="00952C05"/>
    <w:rsid w:val="00952D52"/>
    <w:rsid w:val="009540B7"/>
    <w:rsid w:val="009543D0"/>
    <w:rsid w:val="00954AF9"/>
    <w:rsid w:val="00954DAE"/>
    <w:rsid w:val="00955410"/>
    <w:rsid w:val="009558EE"/>
    <w:rsid w:val="009559D5"/>
    <w:rsid w:val="00955C17"/>
    <w:rsid w:val="00955FFA"/>
    <w:rsid w:val="00956170"/>
    <w:rsid w:val="009561F8"/>
    <w:rsid w:val="00956BA1"/>
    <w:rsid w:val="00956D42"/>
    <w:rsid w:val="00956F0F"/>
    <w:rsid w:val="0095727F"/>
    <w:rsid w:val="009572AF"/>
    <w:rsid w:val="00957E41"/>
    <w:rsid w:val="0096016E"/>
    <w:rsid w:val="0096023A"/>
    <w:rsid w:val="009607AB"/>
    <w:rsid w:val="00961154"/>
    <w:rsid w:val="009615DB"/>
    <w:rsid w:val="00962683"/>
    <w:rsid w:val="00962ADC"/>
    <w:rsid w:val="00962E23"/>
    <w:rsid w:val="0096487C"/>
    <w:rsid w:val="00964BC2"/>
    <w:rsid w:val="00964D4A"/>
    <w:rsid w:val="00964EAE"/>
    <w:rsid w:val="00965023"/>
    <w:rsid w:val="009650B7"/>
    <w:rsid w:val="0096515D"/>
    <w:rsid w:val="0096554B"/>
    <w:rsid w:val="00965841"/>
    <w:rsid w:val="00966623"/>
    <w:rsid w:val="009678DB"/>
    <w:rsid w:val="00970728"/>
    <w:rsid w:val="009707C9"/>
    <w:rsid w:val="009712CD"/>
    <w:rsid w:val="00971303"/>
    <w:rsid w:val="00971E0B"/>
    <w:rsid w:val="00972101"/>
    <w:rsid w:val="00972285"/>
    <w:rsid w:val="00972FB5"/>
    <w:rsid w:val="00973607"/>
    <w:rsid w:val="009736FE"/>
    <w:rsid w:val="00973AD4"/>
    <w:rsid w:val="00973B96"/>
    <w:rsid w:val="00973E3C"/>
    <w:rsid w:val="00974763"/>
    <w:rsid w:val="00974BA6"/>
    <w:rsid w:val="009757CA"/>
    <w:rsid w:val="00976E76"/>
    <w:rsid w:val="00977A14"/>
    <w:rsid w:val="00977E9B"/>
    <w:rsid w:val="009807BF"/>
    <w:rsid w:val="009809CE"/>
    <w:rsid w:val="0098131F"/>
    <w:rsid w:val="00981479"/>
    <w:rsid w:val="00981F74"/>
    <w:rsid w:val="0098237C"/>
    <w:rsid w:val="009829B3"/>
    <w:rsid w:val="00982C31"/>
    <w:rsid w:val="00982D45"/>
    <w:rsid w:val="00983165"/>
    <w:rsid w:val="00983343"/>
    <w:rsid w:val="009833C4"/>
    <w:rsid w:val="009834E0"/>
    <w:rsid w:val="009838FF"/>
    <w:rsid w:val="00984149"/>
    <w:rsid w:val="00984788"/>
    <w:rsid w:val="00984909"/>
    <w:rsid w:val="00984FF3"/>
    <w:rsid w:val="00984FF9"/>
    <w:rsid w:val="009850C5"/>
    <w:rsid w:val="0098516C"/>
    <w:rsid w:val="00985208"/>
    <w:rsid w:val="00986326"/>
    <w:rsid w:val="00986849"/>
    <w:rsid w:val="00986BB7"/>
    <w:rsid w:val="00986D4B"/>
    <w:rsid w:val="00986F6D"/>
    <w:rsid w:val="0098727C"/>
    <w:rsid w:val="00987708"/>
    <w:rsid w:val="00987DF0"/>
    <w:rsid w:val="00987E2E"/>
    <w:rsid w:val="0099008B"/>
    <w:rsid w:val="00990387"/>
    <w:rsid w:val="0099177B"/>
    <w:rsid w:val="00991B8C"/>
    <w:rsid w:val="0099367E"/>
    <w:rsid w:val="00993FE4"/>
    <w:rsid w:val="0099425E"/>
    <w:rsid w:val="00994CDC"/>
    <w:rsid w:val="009969CD"/>
    <w:rsid w:val="00997159"/>
    <w:rsid w:val="009972FC"/>
    <w:rsid w:val="0099770A"/>
    <w:rsid w:val="00997769"/>
    <w:rsid w:val="00997A2E"/>
    <w:rsid w:val="009A048E"/>
    <w:rsid w:val="009A119F"/>
    <w:rsid w:val="009A1609"/>
    <w:rsid w:val="009A16A3"/>
    <w:rsid w:val="009A1A7E"/>
    <w:rsid w:val="009A3480"/>
    <w:rsid w:val="009A3DB8"/>
    <w:rsid w:val="009A43B3"/>
    <w:rsid w:val="009A464D"/>
    <w:rsid w:val="009A496F"/>
    <w:rsid w:val="009A4B78"/>
    <w:rsid w:val="009A4D73"/>
    <w:rsid w:val="009A4E41"/>
    <w:rsid w:val="009A5297"/>
    <w:rsid w:val="009A5851"/>
    <w:rsid w:val="009A5C0C"/>
    <w:rsid w:val="009A5D40"/>
    <w:rsid w:val="009A5E10"/>
    <w:rsid w:val="009A6665"/>
    <w:rsid w:val="009A743F"/>
    <w:rsid w:val="009A74F7"/>
    <w:rsid w:val="009B00F2"/>
    <w:rsid w:val="009B0E67"/>
    <w:rsid w:val="009B0FB2"/>
    <w:rsid w:val="009B1113"/>
    <w:rsid w:val="009B1C34"/>
    <w:rsid w:val="009B1D22"/>
    <w:rsid w:val="009B1E86"/>
    <w:rsid w:val="009B27C4"/>
    <w:rsid w:val="009B2BE6"/>
    <w:rsid w:val="009B2D92"/>
    <w:rsid w:val="009B31DE"/>
    <w:rsid w:val="009B3250"/>
    <w:rsid w:val="009B35A6"/>
    <w:rsid w:val="009B42A4"/>
    <w:rsid w:val="009B42D2"/>
    <w:rsid w:val="009B44D0"/>
    <w:rsid w:val="009B4A06"/>
    <w:rsid w:val="009B60EA"/>
    <w:rsid w:val="009B70C8"/>
    <w:rsid w:val="009B737C"/>
    <w:rsid w:val="009B742E"/>
    <w:rsid w:val="009C0AC6"/>
    <w:rsid w:val="009C11B2"/>
    <w:rsid w:val="009C1456"/>
    <w:rsid w:val="009C164F"/>
    <w:rsid w:val="009C1C30"/>
    <w:rsid w:val="009C22DD"/>
    <w:rsid w:val="009C29D5"/>
    <w:rsid w:val="009C30A0"/>
    <w:rsid w:val="009C359E"/>
    <w:rsid w:val="009C37FE"/>
    <w:rsid w:val="009C4082"/>
    <w:rsid w:val="009C4A38"/>
    <w:rsid w:val="009C4A72"/>
    <w:rsid w:val="009C4AD8"/>
    <w:rsid w:val="009C4D3D"/>
    <w:rsid w:val="009C55E2"/>
    <w:rsid w:val="009C5A4E"/>
    <w:rsid w:val="009C5EE5"/>
    <w:rsid w:val="009C61E3"/>
    <w:rsid w:val="009C6B56"/>
    <w:rsid w:val="009C7DB8"/>
    <w:rsid w:val="009C7FF0"/>
    <w:rsid w:val="009D010D"/>
    <w:rsid w:val="009D0244"/>
    <w:rsid w:val="009D0F71"/>
    <w:rsid w:val="009D111C"/>
    <w:rsid w:val="009D17A0"/>
    <w:rsid w:val="009D1F7A"/>
    <w:rsid w:val="009D2873"/>
    <w:rsid w:val="009D2942"/>
    <w:rsid w:val="009D2BB8"/>
    <w:rsid w:val="009D3A1A"/>
    <w:rsid w:val="009D426A"/>
    <w:rsid w:val="009D45A4"/>
    <w:rsid w:val="009D5BDB"/>
    <w:rsid w:val="009D6B03"/>
    <w:rsid w:val="009D6B3D"/>
    <w:rsid w:val="009D7422"/>
    <w:rsid w:val="009D7567"/>
    <w:rsid w:val="009D78E7"/>
    <w:rsid w:val="009E0742"/>
    <w:rsid w:val="009E0B29"/>
    <w:rsid w:val="009E1291"/>
    <w:rsid w:val="009E12BC"/>
    <w:rsid w:val="009E139D"/>
    <w:rsid w:val="009E224D"/>
    <w:rsid w:val="009E26D5"/>
    <w:rsid w:val="009E2A07"/>
    <w:rsid w:val="009E3398"/>
    <w:rsid w:val="009E3577"/>
    <w:rsid w:val="009E37A5"/>
    <w:rsid w:val="009E395B"/>
    <w:rsid w:val="009E3D2B"/>
    <w:rsid w:val="009E3DC2"/>
    <w:rsid w:val="009E3E84"/>
    <w:rsid w:val="009E4053"/>
    <w:rsid w:val="009E4097"/>
    <w:rsid w:val="009E4664"/>
    <w:rsid w:val="009E4D8E"/>
    <w:rsid w:val="009E4E90"/>
    <w:rsid w:val="009E4EB7"/>
    <w:rsid w:val="009E57C1"/>
    <w:rsid w:val="009E624A"/>
    <w:rsid w:val="009E6B32"/>
    <w:rsid w:val="009E7039"/>
    <w:rsid w:val="009E70F3"/>
    <w:rsid w:val="009E70F5"/>
    <w:rsid w:val="009E730A"/>
    <w:rsid w:val="009E7E98"/>
    <w:rsid w:val="009F00EE"/>
    <w:rsid w:val="009F0827"/>
    <w:rsid w:val="009F0BED"/>
    <w:rsid w:val="009F1673"/>
    <w:rsid w:val="009F3255"/>
    <w:rsid w:val="009F341D"/>
    <w:rsid w:val="009F34AA"/>
    <w:rsid w:val="009F3DCE"/>
    <w:rsid w:val="009F44FF"/>
    <w:rsid w:val="009F46E8"/>
    <w:rsid w:val="009F472D"/>
    <w:rsid w:val="009F4CF0"/>
    <w:rsid w:val="009F4E88"/>
    <w:rsid w:val="009F50D1"/>
    <w:rsid w:val="009F573B"/>
    <w:rsid w:val="009F5918"/>
    <w:rsid w:val="009F596D"/>
    <w:rsid w:val="009F6A91"/>
    <w:rsid w:val="009F71A6"/>
    <w:rsid w:val="009F71AA"/>
    <w:rsid w:val="009F754A"/>
    <w:rsid w:val="009F791F"/>
    <w:rsid w:val="009F7F86"/>
    <w:rsid w:val="00A0034D"/>
    <w:rsid w:val="00A00BFB"/>
    <w:rsid w:val="00A00DCF"/>
    <w:rsid w:val="00A0126C"/>
    <w:rsid w:val="00A012DA"/>
    <w:rsid w:val="00A0187E"/>
    <w:rsid w:val="00A026F0"/>
    <w:rsid w:val="00A028CA"/>
    <w:rsid w:val="00A02E29"/>
    <w:rsid w:val="00A02F2D"/>
    <w:rsid w:val="00A02F61"/>
    <w:rsid w:val="00A03529"/>
    <w:rsid w:val="00A03E0E"/>
    <w:rsid w:val="00A040D1"/>
    <w:rsid w:val="00A044B7"/>
    <w:rsid w:val="00A04A0A"/>
    <w:rsid w:val="00A050A8"/>
    <w:rsid w:val="00A056A3"/>
    <w:rsid w:val="00A059AF"/>
    <w:rsid w:val="00A05B51"/>
    <w:rsid w:val="00A06286"/>
    <w:rsid w:val="00A06318"/>
    <w:rsid w:val="00A063BC"/>
    <w:rsid w:val="00A068E1"/>
    <w:rsid w:val="00A06A80"/>
    <w:rsid w:val="00A06D8A"/>
    <w:rsid w:val="00A0711F"/>
    <w:rsid w:val="00A07B0B"/>
    <w:rsid w:val="00A102A0"/>
    <w:rsid w:val="00A10860"/>
    <w:rsid w:val="00A114FA"/>
    <w:rsid w:val="00A11615"/>
    <w:rsid w:val="00A11AF3"/>
    <w:rsid w:val="00A12ACF"/>
    <w:rsid w:val="00A12B42"/>
    <w:rsid w:val="00A12BD4"/>
    <w:rsid w:val="00A12C09"/>
    <w:rsid w:val="00A13084"/>
    <w:rsid w:val="00A1327F"/>
    <w:rsid w:val="00A13817"/>
    <w:rsid w:val="00A138D3"/>
    <w:rsid w:val="00A13E0F"/>
    <w:rsid w:val="00A144B7"/>
    <w:rsid w:val="00A149B4"/>
    <w:rsid w:val="00A14F55"/>
    <w:rsid w:val="00A152D3"/>
    <w:rsid w:val="00A15F4F"/>
    <w:rsid w:val="00A160AB"/>
    <w:rsid w:val="00A16745"/>
    <w:rsid w:val="00A16747"/>
    <w:rsid w:val="00A17BE4"/>
    <w:rsid w:val="00A17E93"/>
    <w:rsid w:val="00A20013"/>
    <w:rsid w:val="00A2056F"/>
    <w:rsid w:val="00A20582"/>
    <w:rsid w:val="00A20C65"/>
    <w:rsid w:val="00A21767"/>
    <w:rsid w:val="00A21FD5"/>
    <w:rsid w:val="00A22751"/>
    <w:rsid w:val="00A22940"/>
    <w:rsid w:val="00A22F63"/>
    <w:rsid w:val="00A23102"/>
    <w:rsid w:val="00A233D8"/>
    <w:rsid w:val="00A2343F"/>
    <w:rsid w:val="00A23505"/>
    <w:rsid w:val="00A2428B"/>
    <w:rsid w:val="00A247E5"/>
    <w:rsid w:val="00A248BD"/>
    <w:rsid w:val="00A24D81"/>
    <w:rsid w:val="00A24EA5"/>
    <w:rsid w:val="00A25173"/>
    <w:rsid w:val="00A252F0"/>
    <w:rsid w:val="00A2542D"/>
    <w:rsid w:val="00A259F2"/>
    <w:rsid w:val="00A26463"/>
    <w:rsid w:val="00A2660E"/>
    <w:rsid w:val="00A26916"/>
    <w:rsid w:val="00A26B47"/>
    <w:rsid w:val="00A26FF1"/>
    <w:rsid w:val="00A27547"/>
    <w:rsid w:val="00A2770B"/>
    <w:rsid w:val="00A27806"/>
    <w:rsid w:val="00A3068C"/>
    <w:rsid w:val="00A3127F"/>
    <w:rsid w:val="00A31922"/>
    <w:rsid w:val="00A31BCC"/>
    <w:rsid w:val="00A31C70"/>
    <w:rsid w:val="00A31C87"/>
    <w:rsid w:val="00A31F7E"/>
    <w:rsid w:val="00A31FE6"/>
    <w:rsid w:val="00A325BB"/>
    <w:rsid w:val="00A3297A"/>
    <w:rsid w:val="00A32A58"/>
    <w:rsid w:val="00A32EEC"/>
    <w:rsid w:val="00A33097"/>
    <w:rsid w:val="00A333A5"/>
    <w:rsid w:val="00A336C5"/>
    <w:rsid w:val="00A339D9"/>
    <w:rsid w:val="00A33BD6"/>
    <w:rsid w:val="00A3510A"/>
    <w:rsid w:val="00A3515F"/>
    <w:rsid w:val="00A35751"/>
    <w:rsid w:val="00A3577F"/>
    <w:rsid w:val="00A35BBC"/>
    <w:rsid w:val="00A35DAB"/>
    <w:rsid w:val="00A36724"/>
    <w:rsid w:val="00A367AF"/>
    <w:rsid w:val="00A36C13"/>
    <w:rsid w:val="00A377C2"/>
    <w:rsid w:val="00A37A31"/>
    <w:rsid w:val="00A40B1F"/>
    <w:rsid w:val="00A40B4D"/>
    <w:rsid w:val="00A411E2"/>
    <w:rsid w:val="00A41373"/>
    <w:rsid w:val="00A41638"/>
    <w:rsid w:val="00A41B15"/>
    <w:rsid w:val="00A4224E"/>
    <w:rsid w:val="00A4229F"/>
    <w:rsid w:val="00A428A9"/>
    <w:rsid w:val="00A42ACA"/>
    <w:rsid w:val="00A4327C"/>
    <w:rsid w:val="00A43496"/>
    <w:rsid w:val="00A43665"/>
    <w:rsid w:val="00A43AAB"/>
    <w:rsid w:val="00A43AFE"/>
    <w:rsid w:val="00A441CC"/>
    <w:rsid w:val="00A447E3"/>
    <w:rsid w:val="00A44AAD"/>
    <w:rsid w:val="00A44D3B"/>
    <w:rsid w:val="00A45241"/>
    <w:rsid w:val="00A45280"/>
    <w:rsid w:val="00A452B8"/>
    <w:rsid w:val="00A45BF7"/>
    <w:rsid w:val="00A463B5"/>
    <w:rsid w:val="00A463BA"/>
    <w:rsid w:val="00A46675"/>
    <w:rsid w:val="00A46A5F"/>
    <w:rsid w:val="00A471A3"/>
    <w:rsid w:val="00A47597"/>
    <w:rsid w:val="00A47E44"/>
    <w:rsid w:val="00A47F91"/>
    <w:rsid w:val="00A507D7"/>
    <w:rsid w:val="00A50A5C"/>
    <w:rsid w:val="00A50BE2"/>
    <w:rsid w:val="00A50CC6"/>
    <w:rsid w:val="00A50E40"/>
    <w:rsid w:val="00A51462"/>
    <w:rsid w:val="00A51946"/>
    <w:rsid w:val="00A51FF7"/>
    <w:rsid w:val="00A52079"/>
    <w:rsid w:val="00A52143"/>
    <w:rsid w:val="00A521E9"/>
    <w:rsid w:val="00A5298E"/>
    <w:rsid w:val="00A52B3E"/>
    <w:rsid w:val="00A5313B"/>
    <w:rsid w:val="00A5320E"/>
    <w:rsid w:val="00A53F7B"/>
    <w:rsid w:val="00A54090"/>
    <w:rsid w:val="00A541F3"/>
    <w:rsid w:val="00A54282"/>
    <w:rsid w:val="00A549D3"/>
    <w:rsid w:val="00A54DF0"/>
    <w:rsid w:val="00A55616"/>
    <w:rsid w:val="00A566D5"/>
    <w:rsid w:val="00A57E98"/>
    <w:rsid w:val="00A60017"/>
    <w:rsid w:val="00A60849"/>
    <w:rsid w:val="00A6105B"/>
    <w:rsid w:val="00A61355"/>
    <w:rsid w:val="00A61668"/>
    <w:rsid w:val="00A621D3"/>
    <w:rsid w:val="00A628F8"/>
    <w:rsid w:val="00A62B7A"/>
    <w:rsid w:val="00A631A1"/>
    <w:rsid w:val="00A632EA"/>
    <w:rsid w:val="00A6339D"/>
    <w:rsid w:val="00A634BE"/>
    <w:rsid w:val="00A63AD7"/>
    <w:rsid w:val="00A63BFD"/>
    <w:rsid w:val="00A63E61"/>
    <w:rsid w:val="00A6491F"/>
    <w:rsid w:val="00A64A9E"/>
    <w:rsid w:val="00A64C72"/>
    <w:rsid w:val="00A64D1A"/>
    <w:rsid w:val="00A65320"/>
    <w:rsid w:val="00A65BA5"/>
    <w:rsid w:val="00A66354"/>
    <w:rsid w:val="00A66E37"/>
    <w:rsid w:val="00A66ECF"/>
    <w:rsid w:val="00A67681"/>
    <w:rsid w:val="00A67A20"/>
    <w:rsid w:val="00A67E38"/>
    <w:rsid w:val="00A703E4"/>
    <w:rsid w:val="00A704C9"/>
    <w:rsid w:val="00A70DC6"/>
    <w:rsid w:val="00A71080"/>
    <w:rsid w:val="00A71986"/>
    <w:rsid w:val="00A71E3D"/>
    <w:rsid w:val="00A71E73"/>
    <w:rsid w:val="00A72740"/>
    <w:rsid w:val="00A73A64"/>
    <w:rsid w:val="00A742AD"/>
    <w:rsid w:val="00A746D7"/>
    <w:rsid w:val="00A74AB2"/>
    <w:rsid w:val="00A75A27"/>
    <w:rsid w:val="00A75A46"/>
    <w:rsid w:val="00A75B36"/>
    <w:rsid w:val="00A7623B"/>
    <w:rsid w:val="00A7660A"/>
    <w:rsid w:val="00A7663A"/>
    <w:rsid w:val="00A7691D"/>
    <w:rsid w:val="00A7696B"/>
    <w:rsid w:val="00A769D4"/>
    <w:rsid w:val="00A8008F"/>
    <w:rsid w:val="00A804C7"/>
    <w:rsid w:val="00A80857"/>
    <w:rsid w:val="00A80A39"/>
    <w:rsid w:val="00A80DF0"/>
    <w:rsid w:val="00A80E64"/>
    <w:rsid w:val="00A81A16"/>
    <w:rsid w:val="00A823A7"/>
    <w:rsid w:val="00A824D4"/>
    <w:rsid w:val="00A825C8"/>
    <w:rsid w:val="00A82742"/>
    <w:rsid w:val="00A82A29"/>
    <w:rsid w:val="00A83984"/>
    <w:rsid w:val="00A83A1E"/>
    <w:rsid w:val="00A84198"/>
    <w:rsid w:val="00A841AB"/>
    <w:rsid w:val="00A84FFD"/>
    <w:rsid w:val="00A856A9"/>
    <w:rsid w:val="00A86104"/>
    <w:rsid w:val="00A8655A"/>
    <w:rsid w:val="00A87203"/>
    <w:rsid w:val="00A87744"/>
    <w:rsid w:val="00A87AE6"/>
    <w:rsid w:val="00A87B09"/>
    <w:rsid w:val="00A87C22"/>
    <w:rsid w:val="00A90590"/>
    <w:rsid w:val="00A90856"/>
    <w:rsid w:val="00A90A39"/>
    <w:rsid w:val="00A90A97"/>
    <w:rsid w:val="00A90CB4"/>
    <w:rsid w:val="00A910DA"/>
    <w:rsid w:val="00A920E1"/>
    <w:rsid w:val="00A92998"/>
    <w:rsid w:val="00A933AE"/>
    <w:rsid w:val="00A93863"/>
    <w:rsid w:val="00A93928"/>
    <w:rsid w:val="00A93F73"/>
    <w:rsid w:val="00A9415E"/>
    <w:rsid w:val="00A9423F"/>
    <w:rsid w:val="00A94EBD"/>
    <w:rsid w:val="00A9510D"/>
    <w:rsid w:val="00A95580"/>
    <w:rsid w:val="00A956AC"/>
    <w:rsid w:val="00A95D2A"/>
    <w:rsid w:val="00A961D6"/>
    <w:rsid w:val="00A96214"/>
    <w:rsid w:val="00A967E8"/>
    <w:rsid w:val="00A97F4B"/>
    <w:rsid w:val="00AA04C5"/>
    <w:rsid w:val="00AA10B1"/>
    <w:rsid w:val="00AA2803"/>
    <w:rsid w:val="00AA2BF2"/>
    <w:rsid w:val="00AA2D68"/>
    <w:rsid w:val="00AA2D6F"/>
    <w:rsid w:val="00AA2E92"/>
    <w:rsid w:val="00AA3987"/>
    <w:rsid w:val="00AA3B68"/>
    <w:rsid w:val="00AA3E79"/>
    <w:rsid w:val="00AA4FB4"/>
    <w:rsid w:val="00AA5C0B"/>
    <w:rsid w:val="00AA5E3B"/>
    <w:rsid w:val="00AA63AD"/>
    <w:rsid w:val="00AA65B4"/>
    <w:rsid w:val="00AA6A75"/>
    <w:rsid w:val="00AA745E"/>
    <w:rsid w:val="00AB04AB"/>
    <w:rsid w:val="00AB0733"/>
    <w:rsid w:val="00AB09D2"/>
    <w:rsid w:val="00AB0B64"/>
    <w:rsid w:val="00AB0C30"/>
    <w:rsid w:val="00AB14D3"/>
    <w:rsid w:val="00AB176B"/>
    <w:rsid w:val="00AB2C5F"/>
    <w:rsid w:val="00AB37E6"/>
    <w:rsid w:val="00AB3DBA"/>
    <w:rsid w:val="00AB431C"/>
    <w:rsid w:val="00AB470E"/>
    <w:rsid w:val="00AB4C80"/>
    <w:rsid w:val="00AB506B"/>
    <w:rsid w:val="00AB5467"/>
    <w:rsid w:val="00AB5883"/>
    <w:rsid w:val="00AB5A7E"/>
    <w:rsid w:val="00AB7538"/>
    <w:rsid w:val="00AB77F3"/>
    <w:rsid w:val="00AC0256"/>
    <w:rsid w:val="00AC0AAD"/>
    <w:rsid w:val="00AC1231"/>
    <w:rsid w:val="00AC1992"/>
    <w:rsid w:val="00AC1E14"/>
    <w:rsid w:val="00AC2CFA"/>
    <w:rsid w:val="00AC3263"/>
    <w:rsid w:val="00AC337E"/>
    <w:rsid w:val="00AC3E12"/>
    <w:rsid w:val="00AC406E"/>
    <w:rsid w:val="00AC417C"/>
    <w:rsid w:val="00AC430C"/>
    <w:rsid w:val="00AC4951"/>
    <w:rsid w:val="00AC49C9"/>
    <w:rsid w:val="00AC4A6B"/>
    <w:rsid w:val="00AC5C19"/>
    <w:rsid w:val="00AC60F0"/>
    <w:rsid w:val="00AC63C7"/>
    <w:rsid w:val="00AC6657"/>
    <w:rsid w:val="00AC6D7A"/>
    <w:rsid w:val="00AC7363"/>
    <w:rsid w:val="00AC7401"/>
    <w:rsid w:val="00AC7901"/>
    <w:rsid w:val="00AC79F3"/>
    <w:rsid w:val="00AC7FDD"/>
    <w:rsid w:val="00AD0949"/>
    <w:rsid w:val="00AD0F1D"/>
    <w:rsid w:val="00AD1179"/>
    <w:rsid w:val="00AD1359"/>
    <w:rsid w:val="00AD19F0"/>
    <w:rsid w:val="00AD1FCE"/>
    <w:rsid w:val="00AD26E1"/>
    <w:rsid w:val="00AD29CC"/>
    <w:rsid w:val="00AD3268"/>
    <w:rsid w:val="00AD3652"/>
    <w:rsid w:val="00AD3D6C"/>
    <w:rsid w:val="00AD3DE2"/>
    <w:rsid w:val="00AD4261"/>
    <w:rsid w:val="00AD46F5"/>
    <w:rsid w:val="00AD51A3"/>
    <w:rsid w:val="00AD598B"/>
    <w:rsid w:val="00AD7154"/>
    <w:rsid w:val="00AD793C"/>
    <w:rsid w:val="00AD797D"/>
    <w:rsid w:val="00AD7E02"/>
    <w:rsid w:val="00AE0034"/>
    <w:rsid w:val="00AE0483"/>
    <w:rsid w:val="00AE08DD"/>
    <w:rsid w:val="00AE13BD"/>
    <w:rsid w:val="00AE1ABF"/>
    <w:rsid w:val="00AE1AF9"/>
    <w:rsid w:val="00AE1E60"/>
    <w:rsid w:val="00AE2068"/>
    <w:rsid w:val="00AE2258"/>
    <w:rsid w:val="00AE277E"/>
    <w:rsid w:val="00AE2A36"/>
    <w:rsid w:val="00AE2BC6"/>
    <w:rsid w:val="00AE3251"/>
    <w:rsid w:val="00AE33DA"/>
    <w:rsid w:val="00AE3E3C"/>
    <w:rsid w:val="00AE3FE0"/>
    <w:rsid w:val="00AE5058"/>
    <w:rsid w:val="00AE51CD"/>
    <w:rsid w:val="00AE5471"/>
    <w:rsid w:val="00AE54AA"/>
    <w:rsid w:val="00AE593B"/>
    <w:rsid w:val="00AE60E4"/>
    <w:rsid w:val="00AE6872"/>
    <w:rsid w:val="00AE6C58"/>
    <w:rsid w:val="00AE72C4"/>
    <w:rsid w:val="00AE7F05"/>
    <w:rsid w:val="00AE7F38"/>
    <w:rsid w:val="00AF054D"/>
    <w:rsid w:val="00AF0939"/>
    <w:rsid w:val="00AF0981"/>
    <w:rsid w:val="00AF0F9C"/>
    <w:rsid w:val="00AF10F0"/>
    <w:rsid w:val="00AF18E2"/>
    <w:rsid w:val="00AF19C4"/>
    <w:rsid w:val="00AF24E7"/>
    <w:rsid w:val="00AF272B"/>
    <w:rsid w:val="00AF291B"/>
    <w:rsid w:val="00AF2DAA"/>
    <w:rsid w:val="00AF2EBD"/>
    <w:rsid w:val="00AF33AE"/>
    <w:rsid w:val="00AF3CDC"/>
    <w:rsid w:val="00AF44B1"/>
    <w:rsid w:val="00AF5800"/>
    <w:rsid w:val="00AF6986"/>
    <w:rsid w:val="00AF69FE"/>
    <w:rsid w:val="00AF6A77"/>
    <w:rsid w:val="00AF6D1B"/>
    <w:rsid w:val="00AF73ED"/>
    <w:rsid w:val="00AF76A8"/>
    <w:rsid w:val="00AF7D69"/>
    <w:rsid w:val="00AF7ED2"/>
    <w:rsid w:val="00B004D8"/>
    <w:rsid w:val="00B00830"/>
    <w:rsid w:val="00B00CC5"/>
    <w:rsid w:val="00B016D2"/>
    <w:rsid w:val="00B02091"/>
    <w:rsid w:val="00B0250E"/>
    <w:rsid w:val="00B02B43"/>
    <w:rsid w:val="00B03697"/>
    <w:rsid w:val="00B03D36"/>
    <w:rsid w:val="00B04540"/>
    <w:rsid w:val="00B046F1"/>
    <w:rsid w:val="00B05116"/>
    <w:rsid w:val="00B051A7"/>
    <w:rsid w:val="00B05F1A"/>
    <w:rsid w:val="00B066A2"/>
    <w:rsid w:val="00B06D58"/>
    <w:rsid w:val="00B07B33"/>
    <w:rsid w:val="00B07FA2"/>
    <w:rsid w:val="00B100CF"/>
    <w:rsid w:val="00B1074F"/>
    <w:rsid w:val="00B10E82"/>
    <w:rsid w:val="00B111A6"/>
    <w:rsid w:val="00B115E5"/>
    <w:rsid w:val="00B118EE"/>
    <w:rsid w:val="00B11B03"/>
    <w:rsid w:val="00B11C5B"/>
    <w:rsid w:val="00B121CD"/>
    <w:rsid w:val="00B12343"/>
    <w:rsid w:val="00B12529"/>
    <w:rsid w:val="00B128C5"/>
    <w:rsid w:val="00B12B11"/>
    <w:rsid w:val="00B12C94"/>
    <w:rsid w:val="00B135AB"/>
    <w:rsid w:val="00B135DC"/>
    <w:rsid w:val="00B13797"/>
    <w:rsid w:val="00B137BF"/>
    <w:rsid w:val="00B13A1B"/>
    <w:rsid w:val="00B13A76"/>
    <w:rsid w:val="00B142D9"/>
    <w:rsid w:val="00B145D5"/>
    <w:rsid w:val="00B14BC4"/>
    <w:rsid w:val="00B158A3"/>
    <w:rsid w:val="00B15B25"/>
    <w:rsid w:val="00B15C36"/>
    <w:rsid w:val="00B15EA0"/>
    <w:rsid w:val="00B16069"/>
    <w:rsid w:val="00B16F73"/>
    <w:rsid w:val="00B1745A"/>
    <w:rsid w:val="00B17785"/>
    <w:rsid w:val="00B17A19"/>
    <w:rsid w:val="00B17A4E"/>
    <w:rsid w:val="00B17B30"/>
    <w:rsid w:val="00B17C2F"/>
    <w:rsid w:val="00B2153E"/>
    <w:rsid w:val="00B218CB"/>
    <w:rsid w:val="00B21FA7"/>
    <w:rsid w:val="00B22022"/>
    <w:rsid w:val="00B225E4"/>
    <w:rsid w:val="00B23223"/>
    <w:rsid w:val="00B23F7A"/>
    <w:rsid w:val="00B240B1"/>
    <w:rsid w:val="00B24208"/>
    <w:rsid w:val="00B24374"/>
    <w:rsid w:val="00B24728"/>
    <w:rsid w:val="00B248A9"/>
    <w:rsid w:val="00B2490A"/>
    <w:rsid w:val="00B24BE3"/>
    <w:rsid w:val="00B24D28"/>
    <w:rsid w:val="00B24F1C"/>
    <w:rsid w:val="00B25D76"/>
    <w:rsid w:val="00B27032"/>
    <w:rsid w:val="00B27085"/>
    <w:rsid w:val="00B27583"/>
    <w:rsid w:val="00B30003"/>
    <w:rsid w:val="00B3015C"/>
    <w:rsid w:val="00B30642"/>
    <w:rsid w:val="00B31201"/>
    <w:rsid w:val="00B31B4B"/>
    <w:rsid w:val="00B31E36"/>
    <w:rsid w:val="00B32E26"/>
    <w:rsid w:val="00B338B7"/>
    <w:rsid w:val="00B34061"/>
    <w:rsid w:val="00B34376"/>
    <w:rsid w:val="00B3440A"/>
    <w:rsid w:val="00B34441"/>
    <w:rsid w:val="00B35533"/>
    <w:rsid w:val="00B35534"/>
    <w:rsid w:val="00B35A87"/>
    <w:rsid w:val="00B35AFD"/>
    <w:rsid w:val="00B35F9A"/>
    <w:rsid w:val="00B3609C"/>
    <w:rsid w:val="00B36236"/>
    <w:rsid w:val="00B3662E"/>
    <w:rsid w:val="00B36645"/>
    <w:rsid w:val="00B366D2"/>
    <w:rsid w:val="00B366FA"/>
    <w:rsid w:val="00B36E86"/>
    <w:rsid w:val="00B379BA"/>
    <w:rsid w:val="00B40B30"/>
    <w:rsid w:val="00B40E47"/>
    <w:rsid w:val="00B412FD"/>
    <w:rsid w:val="00B41E1C"/>
    <w:rsid w:val="00B422BE"/>
    <w:rsid w:val="00B4241D"/>
    <w:rsid w:val="00B426BB"/>
    <w:rsid w:val="00B42EB9"/>
    <w:rsid w:val="00B436F0"/>
    <w:rsid w:val="00B441FE"/>
    <w:rsid w:val="00B44821"/>
    <w:rsid w:val="00B44AD3"/>
    <w:rsid w:val="00B450EB"/>
    <w:rsid w:val="00B45152"/>
    <w:rsid w:val="00B454DD"/>
    <w:rsid w:val="00B45E54"/>
    <w:rsid w:val="00B460B8"/>
    <w:rsid w:val="00B464E4"/>
    <w:rsid w:val="00B4689A"/>
    <w:rsid w:val="00B46D5F"/>
    <w:rsid w:val="00B46E7B"/>
    <w:rsid w:val="00B47DC5"/>
    <w:rsid w:val="00B50395"/>
    <w:rsid w:val="00B505B3"/>
    <w:rsid w:val="00B50882"/>
    <w:rsid w:val="00B50A74"/>
    <w:rsid w:val="00B5199C"/>
    <w:rsid w:val="00B520A0"/>
    <w:rsid w:val="00B5257E"/>
    <w:rsid w:val="00B525CE"/>
    <w:rsid w:val="00B52CFD"/>
    <w:rsid w:val="00B545A8"/>
    <w:rsid w:val="00B54E0B"/>
    <w:rsid w:val="00B56527"/>
    <w:rsid w:val="00B56706"/>
    <w:rsid w:val="00B57019"/>
    <w:rsid w:val="00B576DA"/>
    <w:rsid w:val="00B57710"/>
    <w:rsid w:val="00B601C9"/>
    <w:rsid w:val="00B60D04"/>
    <w:rsid w:val="00B6158F"/>
    <w:rsid w:val="00B61EE8"/>
    <w:rsid w:val="00B633A3"/>
    <w:rsid w:val="00B63533"/>
    <w:rsid w:val="00B63BDB"/>
    <w:rsid w:val="00B640D9"/>
    <w:rsid w:val="00B64A0E"/>
    <w:rsid w:val="00B64DDF"/>
    <w:rsid w:val="00B6601E"/>
    <w:rsid w:val="00B663AA"/>
    <w:rsid w:val="00B66DD5"/>
    <w:rsid w:val="00B67722"/>
    <w:rsid w:val="00B67B97"/>
    <w:rsid w:val="00B67F01"/>
    <w:rsid w:val="00B70329"/>
    <w:rsid w:val="00B711AB"/>
    <w:rsid w:val="00B714F0"/>
    <w:rsid w:val="00B71A40"/>
    <w:rsid w:val="00B71C8C"/>
    <w:rsid w:val="00B71CB4"/>
    <w:rsid w:val="00B71FD7"/>
    <w:rsid w:val="00B725E7"/>
    <w:rsid w:val="00B72C07"/>
    <w:rsid w:val="00B72DF7"/>
    <w:rsid w:val="00B72F42"/>
    <w:rsid w:val="00B73E44"/>
    <w:rsid w:val="00B74290"/>
    <w:rsid w:val="00B74510"/>
    <w:rsid w:val="00B74BD4"/>
    <w:rsid w:val="00B74BF7"/>
    <w:rsid w:val="00B751CD"/>
    <w:rsid w:val="00B760FD"/>
    <w:rsid w:val="00B76185"/>
    <w:rsid w:val="00B76BCD"/>
    <w:rsid w:val="00B779E6"/>
    <w:rsid w:val="00B804E2"/>
    <w:rsid w:val="00B811B2"/>
    <w:rsid w:val="00B81BA3"/>
    <w:rsid w:val="00B82213"/>
    <w:rsid w:val="00B8276E"/>
    <w:rsid w:val="00B827A7"/>
    <w:rsid w:val="00B82912"/>
    <w:rsid w:val="00B839A9"/>
    <w:rsid w:val="00B83A62"/>
    <w:rsid w:val="00B83B59"/>
    <w:rsid w:val="00B84252"/>
    <w:rsid w:val="00B8468F"/>
    <w:rsid w:val="00B849F1"/>
    <w:rsid w:val="00B84FC6"/>
    <w:rsid w:val="00B857F5"/>
    <w:rsid w:val="00B86D6C"/>
    <w:rsid w:val="00B86EB5"/>
    <w:rsid w:val="00B86F47"/>
    <w:rsid w:val="00B874B4"/>
    <w:rsid w:val="00B87502"/>
    <w:rsid w:val="00B8787A"/>
    <w:rsid w:val="00B87887"/>
    <w:rsid w:val="00B87A8B"/>
    <w:rsid w:val="00B90123"/>
    <w:rsid w:val="00B90196"/>
    <w:rsid w:val="00B911C1"/>
    <w:rsid w:val="00B91374"/>
    <w:rsid w:val="00B9216A"/>
    <w:rsid w:val="00B922C3"/>
    <w:rsid w:val="00B9272E"/>
    <w:rsid w:val="00B927A7"/>
    <w:rsid w:val="00B92B9E"/>
    <w:rsid w:val="00B93315"/>
    <w:rsid w:val="00B93519"/>
    <w:rsid w:val="00B9372A"/>
    <w:rsid w:val="00B9425C"/>
    <w:rsid w:val="00B9477A"/>
    <w:rsid w:val="00B94AAF"/>
    <w:rsid w:val="00B953FF"/>
    <w:rsid w:val="00B9622D"/>
    <w:rsid w:val="00B96263"/>
    <w:rsid w:val="00B968A5"/>
    <w:rsid w:val="00B972CD"/>
    <w:rsid w:val="00B97D02"/>
    <w:rsid w:val="00BA0304"/>
    <w:rsid w:val="00BA0557"/>
    <w:rsid w:val="00BA19C4"/>
    <w:rsid w:val="00BA3038"/>
    <w:rsid w:val="00BA370A"/>
    <w:rsid w:val="00BA48BC"/>
    <w:rsid w:val="00BA4A29"/>
    <w:rsid w:val="00BA4BE7"/>
    <w:rsid w:val="00BA5F20"/>
    <w:rsid w:val="00BA5F44"/>
    <w:rsid w:val="00BA68D9"/>
    <w:rsid w:val="00BA695F"/>
    <w:rsid w:val="00BA6FD8"/>
    <w:rsid w:val="00BA7172"/>
    <w:rsid w:val="00BA7B01"/>
    <w:rsid w:val="00BB02D7"/>
    <w:rsid w:val="00BB0D9F"/>
    <w:rsid w:val="00BB0DEE"/>
    <w:rsid w:val="00BB0F93"/>
    <w:rsid w:val="00BB1031"/>
    <w:rsid w:val="00BB1B33"/>
    <w:rsid w:val="00BB2480"/>
    <w:rsid w:val="00BB27FD"/>
    <w:rsid w:val="00BB2C4E"/>
    <w:rsid w:val="00BB2E29"/>
    <w:rsid w:val="00BB2F74"/>
    <w:rsid w:val="00BB3206"/>
    <w:rsid w:val="00BB3277"/>
    <w:rsid w:val="00BB32C2"/>
    <w:rsid w:val="00BB39BF"/>
    <w:rsid w:val="00BB3B0D"/>
    <w:rsid w:val="00BB4927"/>
    <w:rsid w:val="00BB524C"/>
    <w:rsid w:val="00BB5DAB"/>
    <w:rsid w:val="00BB6195"/>
    <w:rsid w:val="00BB61A3"/>
    <w:rsid w:val="00BB67EA"/>
    <w:rsid w:val="00BB707E"/>
    <w:rsid w:val="00BB7568"/>
    <w:rsid w:val="00BC007C"/>
    <w:rsid w:val="00BC0986"/>
    <w:rsid w:val="00BC0AB2"/>
    <w:rsid w:val="00BC1308"/>
    <w:rsid w:val="00BC1BF4"/>
    <w:rsid w:val="00BC2600"/>
    <w:rsid w:val="00BC2F24"/>
    <w:rsid w:val="00BC33BE"/>
    <w:rsid w:val="00BC3A47"/>
    <w:rsid w:val="00BC3EEB"/>
    <w:rsid w:val="00BC4780"/>
    <w:rsid w:val="00BC4CDB"/>
    <w:rsid w:val="00BC52C8"/>
    <w:rsid w:val="00BC5485"/>
    <w:rsid w:val="00BC549C"/>
    <w:rsid w:val="00BC570E"/>
    <w:rsid w:val="00BC5A6C"/>
    <w:rsid w:val="00BC5AF6"/>
    <w:rsid w:val="00BC5B4B"/>
    <w:rsid w:val="00BC5E93"/>
    <w:rsid w:val="00BC5EDB"/>
    <w:rsid w:val="00BC69A2"/>
    <w:rsid w:val="00BC6ED6"/>
    <w:rsid w:val="00BC6F03"/>
    <w:rsid w:val="00BC6FA1"/>
    <w:rsid w:val="00BC7487"/>
    <w:rsid w:val="00BD0570"/>
    <w:rsid w:val="00BD0853"/>
    <w:rsid w:val="00BD112D"/>
    <w:rsid w:val="00BD214E"/>
    <w:rsid w:val="00BD2395"/>
    <w:rsid w:val="00BD25B8"/>
    <w:rsid w:val="00BD2842"/>
    <w:rsid w:val="00BD3120"/>
    <w:rsid w:val="00BD3354"/>
    <w:rsid w:val="00BD384E"/>
    <w:rsid w:val="00BD3E76"/>
    <w:rsid w:val="00BD3EE2"/>
    <w:rsid w:val="00BD3FCF"/>
    <w:rsid w:val="00BD42D2"/>
    <w:rsid w:val="00BD47D7"/>
    <w:rsid w:val="00BD4EFB"/>
    <w:rsid w:val="00BD5076"/>
    <w:rsid w:val="00BD5551"/>
    <w:rsid w:val="00BD6D43"/>
    <w:rsid w:val="00BD7090"/>
    <w:rsid w:val="00BD7490"/>
    <w:rsid w:val="00BD767F"/>
    <w:rsid w:val="00BD7DA0"/>
    <w:rsid w:val="00BE096B"/>
    <w:rsid w:val="00BE09C3"/>
    <w:rsid w:val="00BE0C27"/>
    <w:rsid w:val="00BE0F9B"/>
    <w:rsid w:val="00BE15BB"/>
    <w:rsid w:val="00BE198F"/>
    <w:rsid w:val="00BE3D1E"/>
    <w:rsid w:val="00BE4875"/>
    <w:rsid w:val="00BE4CCF"/>
    <w:rsid w:val="00BE5964"/>
    <w:rsid w:val="00BE5CD3"/>
    <w:rsid w:val="00BE660B"/>
    <w:rsid w:val="00BE6AFE"/>
    <w:rsid w:val="00BE6BBE"/>
    <w:rsid w:val="00BE7021"/>
    <w:rsid w:val="00BE7300"/>
    <w:rsid w:val="00BE76F7"/>
    <w:rsid w:val="00BE784F"/>
    <w:rsid w:val="00BE79C6"/>
    <w:rsid w:val="00BF0238"/>
    <w:rsid w:val="00BF0717"/>
    <w:rsid w:val="00BF1750"/>
    <w:rsid w:val="00BF178E"/>
    <w:rsid w:val="00BF189F"/>
    <w:rsid w:val="00BF1B44"/>
    <w:rsid w:val="00BF1D88"/>
    <w:rsid w:val="00BF1F01"/>
    <w:rsid w:val="00BF1FC2"/>
    <w:rsid w:val="00BF23CC"/>
    <w:rsid w:val="00BF243F"/>
    <w:rsid w:val="00BF2708"/>
    <w:rsid w:val="00BF3284"/>
    <w:rsid w:val="00BF3CDF"/>
    <w:rsid w:val="00BF4C2B"/>
    <w:rsid w:val="00BF507A"/>
    <w:rsid w:val="00BF53F1"/>
    <w:rsid w:val="00BF5717"/>
    <w:rsid w:val="00BF5B9D"/>
    <w:rsid w:val="00BF5C45"/>
    <w:rsid w:val="00BF5FA3"/>
    <w:rsid w:val="00BF62F2"/>
    <w:rsid w:val="00BF63A5"/>
    <w:rsid w:val="00BF72A7"/>
    <w:rsid w:val="00BF7558"/>
    <w:rsid w:val="00BF7DD2"/>
    <w:rsid w:val="00C005A0"/>
    <w:rsid w:val="00C0111E"/>
    <w:rsid w:val="00C02676"/>
    <w:rsid w:val="00C029AB"/>
    <w:rsid w:val="00C02D74"/>
    <w:rsid w:val="00C03BD5"/>
    <w:rsid w:val="00C03C8B"/>
    <w:rsid w:val="00C03F3C"/>
    <w:rsid w:val="00C0425C"/>
    <w:rsid w:val="00C049BE"/>
    <w:rsid w:val="00C04A71"/>
    <w:rsid w:val="00C04DF0"/>
    <w:rsid w:val="00C05A4C"/>
    <w:rsid w:val="00C05A67"/>
    <w:rsid w:val="00C0632D"/>
    <w:rsid w:val="00C0641F"/>
    <w:rsid w:val="00C06C9A"/>
    <w:rsid w:val="00C06E6F"/>
    <w:rsid w:val="00C075DB"/>
    <w:rsid w:val="00C07EBA"/>
    <w:rsid w:val="00C07FBC"/>
    <w:rsid w:val="00C100E2"/>
    <w:rsid w:val="00C100E7"/>
    <w:rsid w:val="00C11113"/>
    <w:rsid w:val="00C11687"/>
    <w:rsid w:val="00C11E28"/>
    <w:rsid w:val="00C11F66"/>
    <w:rsid w:val="00C1225B"/>
    <w:rsid w:val="00C122F9"/>
    <w:rsid w:val="00C1253A"/>
    <w:rsid w:val="00C128C9"/>
    <w:rsid w:val="00C12CF3"/>
    <w:rsid w:val="00C12D98"/>
    <w:rsid w:val="00C12F88"/>
    <w:rsid w:val="00C131A8"/>
    <w:rsid w:val="00C1322D"/>
    <w:rsid w:val="00C135A3"/>
    <w:rsid w:val="00C1477A"/>
    <w:rsid w:val="00C14A62"/>
    <w:rsid w:val="00C14B91"/>
    <w:rsid w:val="00C158EB"/>
    <w:rsid w:val="00C159B1"/>
    <w:rsid w:val="00C15D51"/>
    <w:rsid w:val="00C161F5"/>
    <w:rsid w:val="00C16C92"/>
    <w:rsid w:val="00C16ED6"/>
    <w:rsid w:val="00C1706B"/>
    <w:rsid w:val="00C179BC"/>
    <w:rsid w:val="00C17DB7"/>
    <w:rsid w:val="00C17E48"/>
    <w:rsid w:val="00C17E57"/>
    <w:rsid w:val="00C17F0B"/>
    <w:rsid w:val="00C201E7"/>
    <w:rsid w:val="00C20506"/>
    <w:rsid w:val="00C208C5"/>
    <w:rsid w:val="00C20AA2"/>
    <w:rsid w:val="00C20B91"/>
    <w:rsid w:val="00C21155"/>
    <w:rsid w:val="00C2146C"/>
    <w:rsid w:val="00C214D7"/>
    <w:rsid w:val="00C21561"/>
    <w:rsid w:val="00C217EE"/>
    <w:rsid w:val="00C22784"/>
    <w:rsid w:val="00C22FAA"/>
    <w:rsid w:val="00C23A4C"/>
    <w:rsid w:val="00C2419D"/>
    <w:rsid w:val="00C243A4"/>
    <w:rsid w:val="00C24416"/>
    <w:rsid w:val="00C248DB"/>
    <w:rsid w:val="00C26170"/>
    <w:rsid w:val="00C26B5A"/>
    <w:rsid w:val="00C26BB1"/>
    <w:rsid w:val="00C26D52"/>
    <w:rsid w:val="00C303E4"/>
    <w:rsid w:val="00C30775"/>
    <w:rsid w:val="00C30B8D"/>
    <w:rsid w:val="00C30DBE"/>
    <w:rsid w:val="00C3134E"/>
    <w:rsid w:val="00C315D8"/>
    <w:rsid w:val="00C31C4A"/>
    <w:rsid w:val="00C31D2D"/>
    <w:rsid w:val="00C3209A"/>
    <w:rsid w:val="00C32639"/>
    <w:rsid w:val="00C32808"/>
    <w:rsid w:val="00C32AD2"/>
    <w:rsid w:val="00C33114"/>
    <w:rsid w:val="00C3415E"/>
    <w:rsid w:val="00C34193"/>
    <w:rsid w:val="00C347FD"/>
    <w:rsid w:val="00C34DAE"/>
    <w:rsid w:val="00C34E1E"/>
    <w:rsid w:val="00C34E5A"/>
    <w:rsid w:val="00C35553"/>
    <w:rsid w:val="00C35D9C"/>
    <w:rsid w:val="00C36219"/>
    <w:rsid w:val="00C36656"/>
    <w:rsid w:val="00C3698E"/>
    <w:rsid w:val="00C36CCA"/>
    <w:rsid w:val="00C36E1C"/>
    <w:rsid w:val="00C36F42"/>
    <w:rsid w:val="00C3718A"/>
    <w:rsid w:val="00C379C5"/>
    <w:rsid w:val="00C37EEE"/>
    <w:rsid w:val="00C40453"/>
    <w:rsid w:val="00C404A7"/>
    <w:rsid w:val="00C40E71"/>
    <w:rsid w:val="00C41879"/>
    <w:rsid w:val="00C41A7C"/>
    <w:rsid w:val="00C42CEF"/>
    <w:rsid w:val="00C42D55"/>
    <w:rsid w:val="00C43080"/>
    <w:rsid w:val="00C4370E"/>
    <w:rsid w:val="00C43823"/>
    <w:rsid w:val="00C4384B"/>
    <w:rsid w:val="00C4393C"/>
    <w:rsid w:val="00C43F2D"/>
    <w:rsid w:val="00C44068"/>
    <w:rsid w:val="00C442AE"/>
    <w:rsid w:val="00C44C2B"/>
    <w:rsid w:val="00C4518B"/>
    <w:rsid w:val="00C45780"/>
    <w:rsid w:val="00C458D6"/>
    <w:rsid w:val="00C45919"/>
    <w:rsid w:val="00C45A5C"/>
    <w:rsid w:val="00C4655A"/>
    <w:rsid w:val="00C466BF"/>
    <w:rsid w:val="00C47282"/>
    <w:rsid w:val="00C47385"/>
    <w:rsid w:val="00C47555"/>
    <w:rsid w:val="00C476AC"/>
    <w:rsid w:val="00C47E67"/>
    <w:rsid w:val="00C47FD9"/>
    <w:rsid w:val="00C50C1A"/>
    <w:rsid w:val="00C50E1E"/>
    <w:rsid w:val="00C51132"/>
    <w:rsid w:val="00C511A7"/>
    <w:rsid w:val="00C51508"/>
    <w:rsid w:val="00C51D73"/>
    <w:rsid w:val="00C52A05"/>
    <w:rsid w:val="00C52E97"/>
    <w:rsid w:val="00C52EAF"/>
    <w:rsid w:val="00C52FBA"/>
    <w:rsid w:val="00C53189"/>
    <w:rsid w:val="00C534E5"/>
    <w:rsid w:val="00C534F4"/>
    <w:rsid w:val="00C5375B"/>
    <w:rsid w:val="00C53AD3"/>
    <w:rsid w:val="00C53B15"/>
    <w:rsid w:val="00C53DA9"/>
    <w:rsid w:val="00C53EF7"/>
    <w:rsid w:val="00C54280"/>
    <w:rsid w:val="00C54929"/>
    <w:rsid w:val="00C550B6"/>
    <w:rsid w:val="00C556B1"/>
    <w:rsid w:val="00C55A05"/>
    <w:rsid w:val="00C55F8D"/>
    <w:rsid w:val="00C56101"/>
    <w:rsid w:val="00C565F2"/>
    <w:rsid w:val="00C567E3"/>
    <w:rsid w:val="00C56C45"/>
    <w:rsid w:val="00C573CC"/>
    <w:rsid w:val="00C57B81"/>
    <w:rsid w:val="00C57FB9"/>
    <w:rsid w:val="00C6077B"/>
    <w:rsid w:val="00C60950"/>
    <w:rsid w:val="00C60DD1"/>
    <w:rsid w:val="00C61565"/>
    <w:rsid w:val="00C61574"/>
    <w:rsid w:val="00C615B4"/>
    <w:rsid w:val="00C6184A"/>
    <w:rsid w:val="00C61AC6"/>
    <w:rsid w:val="00C61ACF"/>
    <w:rsid w:val="00C6211D"/>
    <w:rsid w:val="00C62376"/>
    <w:rsid w:val="00C62B32"/>
    <w:rsid w:val="00C62D08"/>
    <w:rsid w:val="00C63DED"/>
    <w:rsid w:val="00C63E88"/>
    <w:rsid w:val="00C6436D"/>
    <w:rsid w:val="00C64F97"/>
    <w:rsid w:val="00C65585"/>
    <w:rsid w:val="00C656EB"/>
    <w:rsid w:val="00C65DF4"/>
    <w:rsid w:val="00C667F0"/>
    <w:rsid w:val="00C66AC8"/>
    <w:rsid w:val="00C67B49"/>
    <w:rsid w:val="00C711F5"/>
    <w:rsid w:val="00C713A1"/>
    <w:rsid w:val="00C714A0"/>
    <w:rsid w:val="00C71828"/>
    <w:rsid w:val="00C72105"/>
    <w:rsid w:val="00C74520"/>
    <w:rsid w:val="00C74954"/>
    <w:rsid w:val="00C75765"/>
    <w:rsid w:val="00C76028"/>
    <w:rsid w:val="00C76184"/>
    <w:rsid w:val="00C76462"/>
    <w:rsid w:val="00C7673D"/>
    <w:rsid w:val="00C76A80"/>
    <w:rsid w:val="00C76C27"/>
    <w:rsid w:val="00C76E09"/>
    <w:rsid w:val="00C76F07"/>
    <w:rsid w:val="00C77EF6"/>
    <w:rsid w:val="00C80B4B"/>
    <w:rsid w:val="00C80D63"/>
    <w:rsid w:val="00C80E85"/>
    <w:rsid w:val="00C8129D"/>
    <w:rsid w:val="00C812D5"/>
    <w:rsid w:val="00C81536"/>
    <w:rsid w:val="00C81BEA"/>
    <w:rsid w:val="00C81DF5"/>
    <w:rsid w:val="00C82188"/>
    <w:rsid w:val="00C8242B"/>
    <w:rsid w:val="00C82A50"/>
    <w:rsid w:val="00C83240"/>
    <w:rsid w:val="00C83381"/>
    <w:rsid w:val="00C83607"/>
    <w:rsid w:val="00C83768"/>
    <w:rsid w:val="00C83B18"/>
    <w:rsid w:val="00C840C3"/>
    <w:rsid w:val="00C841B4"/>
    <w:rsid w:val="00C84266"/>
    <w:rsid w:val="00C8466F"/>
    <w:rsid w:val="00C8489E"/>
    <w:rsid w:val="00C849E0"/>
    <w:rsid w:val="00C84B74"/>
    <w:rsid w:val="00C84CBF"/>
    <w:rsid w:val="00C8512A"/>
    <w:rsid w:val="00C85378"/>
    <w:rsid w:val="00C85970"/>
    <w:rsid w:val="00C85E9B"/>
    <w:rsid w:val="00C874C8"/>
    <w:rsid w:val="00C90165"/>
    <w:rsid w:val="00C902DA"/>
    <w:rsid w:val="00C90733"/>
    <w:rsid w:val="00C921C4"/>
    <w:rsid w:val="00C9235F"/>
    <w:rsid w:val="00C9257F"/>
    <w:rsid w:val="00C9302E"/>
    <w:rsid w:val="00C9319C"/>
    <w:rsid w:val="00C9330C"/>
    <w:rsid w:val="00C9341E"/>
    <w:rsid w:val="00C934F6"/>
    <w:rsid w:val="00C93874"/>
    <w:rsid w:val="00C93A4C"/>
    <w:rsid w:val="00C944EB"/>
    <w:rsid w:val="00C94FD2"/>
    <w:rsid w:val="00C95341"/>
    <w:rsid w:val="00C95B76"/>
    <w:rsid w:val="00C964C3"/>
    <w:rsid w:val="00C964D6"/>
    <w:rsid w:val="00C96635"/>
    <w:rsid w:val="00C966B7"/>
    <w:rsid w:val="00C969DB"/>
    <w:rsid w:val="00C96A6E"/>
    <w:rsid w:val="00C97A4A"/>
    <w:rsid w:val="00C97DC9"/>
    <w:rsid w:val="00C97EE3"/>
    <w:rsid w:val="00C97F78"/>
    <w:rsid w:val="00CA042A"/>
    <w:rsid w:val="00CA12BA"/>
    <w:rsid w:val="00CA165C"/>
    <w:rsid w:val="00CA1C0D"/>
    <w:rsid w:val="00CA1DAE"/>
    <w:rsid w:val="00CA1E62"/>
    <w:rsid w:val="00CA2267"/>
    <w:rsid w:val="00CA38AD"/>
    <w:rsid w:val="00CA3EEE"/>
    <w:rsid w:val="00CA5098"/>
    <w:rsid w:val="00CA5503"/>
    <w:rsid w:val="00CA612D"/>
    <w:rsid w:val="00CA66C3"/>
    <w:rsid w:val="00CA6CAD"/>
    <w:rsid w:val="00CA70A8"/>
    <w:rsid w:val="00CA70B8"/>
    <w:rsid w:val="00CA70D0"/>
    <w:rsid w:val="00CA74A4"/>
    <w:rsid w:val="00CA7683"/>
    <w:rsid w:val="00CA77AE"/>
    <w:rsid w:val="00CA7EA1"/>
    <w:rsid w:val="00CA7EEA"/>
    <w:rsid w:val="00CA7EEB"/>
    <w:rsid w:val="00CB009B"/>
    <w:rsid w:val="00CB0231"/>
    <w:rsid w:val="00CB0838"/>
    <w:rsid w:val="00CB092E"/>
    <w:rsid w:val="00CB1AFD"/>
    <w:rsid w:val="00CB1EB3"/>
    <w:rsid w:val="00CB2126"/>
    <w:rsid w:val="00CB2308"/>
    <w:rsid w:val="00CB24AD"/>
    <w:rsid w:val="00CB2C59"/>
    <w:rsid w:val="00CB2D9C"/>
    <w:rsid w:val="00CB34AB"/>
    <w:rsid w:val="00CB3529"/>
    <w:rsid w:val="00CB38A9"/>
    <w:rsid w:val="00CB4728"/>
    <w:rsid w:val="00CB59E7"/>
    <w:rsid w:val="00CB5D27"/>
    <w:rsid w:val="00CB5E4A"/>
    <w:rsid w:val="00CB6FCA"/>
    <w:rsid w:val="00CB724D"/>
    <w:rsid w:val="00CB73EA"/>
    <w:rsid w:val="00CB76E3"/>
    <w:rsid w:val="00CB7D4E"/>
    <w:rsid w:val="00CB7F12"/>
    <w:rsid w:val="00CB7F1F"/>
    <w:rsid w:val="00CC002B"/>
    <w:rsid w:val="00CC07E5"/>
    <w:rsid w:val="00CC09F0"/>
    <w:rsid w:val="00CC0C11"/>
    <w:rsid w:val="00CC1F52"/>
    <w:rsid w:val="00CC233F"/>
    <w:rsid w:val="00CC27FD"/>
    <w:rsid w:val="00CC29A4"/>
    <w:rsid w:val="00CC31E8"/>
    <w:rsid w:val="00CC3AB9"/>
    <w:rsid w:val="00CC3C9E"/>
    <w:rsid w:val="00CC45E0"/>
    <w:rsid w:val="00CC4BBE"/>
    <w:rsid w:val="00CC4BC3"/>
    <w:rsid w:val="00CC50C7"/>
    <w:rsid w:val="00CC55AC"/>
    <w:rsid w:val="00CC5859"/>
    <w:rsid w:val="00CC5E47"/>
    <w:rsid w:val="00CC66CB"/>
    <w:rsid w:val="00CC6D1C"/>
    <w:rsid w:val="00CC71DD"/>
    <w:rsid w:val="00CC71F3"/>
    <w:rsid w:val="00CC72C0"/>
    <w:rsid w:val="00CC757D"/>
    <w:rsid w:val="00CC7C74"/>
    <w:rsid w:val="00CD00DB"/>
    <w:rsid w:val="00CD0119"/>
    <w:rsid w:val="00CD07FD"/>
    <w:rsid w:val="00CD0866"/>
    <w:rsid w:val="00CD1169"/>
    <w:rsid w:val="00CD15F1"/>
    <w:rsid w:val="00CD16C7"/>
    <w:rsid w:val="00CD1A40"/>
    <w:rsid w:val="00CD1B33"/>
    <w:rsid w:val="00CD25F3"/>
    <w:rsid w:val="00CD27FF"/>
    <w:rsid w:val="00CD2875"/>
    <w:rsid w:val="00CD2DF3"/>
    <w:rsid w:val="00CD305C"/>
    <w:rsid w:val="00CD3A6D"/>
    <w:rsid w:val="00CD3BC4"/>
    <w:rsid w:val="00CD3E5A"/>
    <w:rsid w:val="00CD3E63"/>
    <w:rsid w:val="00CD40A3"/>
    <w:rsid w:val="00CD457E"/>
    <w:rsid w:val="00CD4CD3"/>
    <w:rsid w:val="00CD589F"/>
    <w:rsid w:val="00CD60C9"/>
    <w:rsid w:val="00CD6345"/>
    <w:rsid w:val="00CD6835"/>
    <w:rsid w:val="00CD6BBB"/>
    <w:rsid w:val="00CD7482"/>
    <w:rsid w:val="00CE05BD"/>
    <w:rsid w:val="00CE07C1"/>
    <w:rsid w:val="00CE1567"/>
    <w:rsid w:val="00CE1859"/>
    <w:rsid w:val="00CE186F"/>
    <w:rsid w:val="00CE20E3"/>
    <w:rsid w:val="00CE273A"/>
    <w:rsid w:val="00CE321C"/>
    <w:rsid w:val="00CE32E8"/>
    <w:rsid w:val="00CE353C"/>
    <w:rsid w:val="00CE3700"/>
    <w:rsid w:val="00CE3B69"/>
    <w:rsid w:val="00CE4559"/>
    <w:rsid w:val="00CE4B49"/>
    <w:rsid w:val="00CE5118"/>
    <w:rsid w:val="00CE5487"/>
    <w:rsid w:val="00CE59B5"/>
    <w:rsid w:val="00CE59DB"/>
    <w:rsid w:val="00CE5D3A"/>
    <w:rsid w:val="00CE67D8"/>
    <w:rsid w:val="00CE68EA"/>
    <w:rsid w:val="00CE7381"/>
    <w:rsid w:val="00CE7447"/>
    <w:rsid w:val="00CE74CE"/>
    <w:rsid w:val="00CE7510"/>
    <w:rsid w:val="00CF0829"/>
    <w:rsid w:val="00CF0E74"/>
    <w:rsid w:val="00CF1833"/>
    <w:rsid w:val="00CF1AEA"/>
    <w:rsid w:val="00CF2091"/>
    <w:rsid w:val="00CF21F6"/>
    <w:rsid w:val="00CF2278"/>
    <w:rsid w:val="00CF2C62"/>
    <w:rsid w:val="00CF2F66"/>
    <w:rsid w:val="00CF337B"/>
    <w:rsid w:val="00CF3FE7"/>
    <w:rsid w:val="00CF4416"/>
    <w:rsid w:val="00CF5762"/>
    <w:rsid w:val="00CF65B4"/>
    <w:rsid w:val="00CF6806"/>
    <w:rsid w:val="00CF69B0"/>
    <w:rsid w:val="00CF6C05"/>
    <w:rsid w:val="00CF709F"/>
    <w:rsid w:val="00CF7485"/>
    <w:rsid w:val="00CF7E56"/>
    <w:rsid w:val="00D00FCA"/>
    <w:rsid w:val="00D01744"/>
    <w:rsid w:val="00D01C03"/>
    <w:rsid w:val="00D025CE"/>
    <w:rsid w:val="00D026A3"/>
    <w:rsid w:val="00D02A0F"/>
    <w:rsid w:val="00D02CA6"/>
    <w:rsid w:val="00D02DF3"/>
    <w:rsid w:val="00D03181"/>
    <w:rsid w:val="00D037DC"/>
    <w:rsid w:val="00D0383B"/>
    <w:rsid w:val="00D03A8A"/>
    <w:rsid w:val="00D03DA5"/>
    <w:rsid w:val="00D03F27"/>
    <w:rsid w:val="00D043EE"/>
    <w:rsid w:val="00D0470D"/>
    <w:rsid w:val="00D05249"/>
    <w:rsid w:val="00D055CA"/>
    <w:rsid w:val="00D059FC"/>
    <w:rsid w:val="00D05DEF"/>
    <w:rsid w:val="00D06861"/>
    <w:rsid w:val="00D0688A"/>
    <w:rsid w:val="00D06F22"/>
    <w:rsid w:val="00D07A9C"/>
    <w:rsid w:val="00D07B44"/>
    <w:rsid w:val="00D10076"/>
    <w:rsid w:val="00D1033B"/>
    <w:rsid w:val="00D10477"/>
    <w:rsid w:val="00D107E2"/>
    <w:rsid w:val="00D11D76"/>
    <w:rsid w:val="00D121F5"/>
    <w:rsid w:val="00D126E4"/>
    <w:rsid w:val="00D131BF"/>
    <w:rsid w:val="00D136AD"/>
    <w:rsid w:val="00D13A90"/>
    <w:rsid w:val="00D140E6"/>
    <w:rsid w:val="00D14C7E"/>
    <w:rsid w:val="00D158EF"/>
    <w:rsid w:val="00D15C14"/>
    <w:rsid w:val="00D15E74"/>
    <w:rsid w:val="00D15FAA"/>
    <w:rsid w:val="00D16ECB"/>
    <w:rsid w:val="00D16EEE"/>
    <w:rsid w:val="00D17167"/>
    <w:rsid w:val="00D17BA5"/>
    <w:rsid w:val="00D17D56"/>
    <w:rsid w:val="00D2058D"/>
    <w:rsid w:val="00D208E9"/>
    <w:rsid w:val="00D2176E"/>
    <w:rsid w:val="00D2182A"/>
    <w:rsid w:val="00D218BC"/>
    <w:rsid w:val="00D2193D"/>
    <w:rsid w:val="00D22105"/>
    <w:rsid w:val="00D2211C"/>
    <w:rsid w:val="00D22B55"/>
    <w:rsid w:val="00D22C81"/>
    <w:rsid w:val="00D23055"/>
    <w:rsid w:val="00D230AD"/>
    <w:rsid w:val="00D2320E"/>
    <w:rsid w:val="00D2327A"/>
    <w:rsid w:val="00D251AB"/>
    <w:rsid w:val="00D25240"/>
    <w:rsid w:val="00D25AC6"/>
    <w:rsid w:val="00D25BF1"/>
    <w:rsid w:val="00D261D3"/>
    <w:rsid w:val="00D27086"/>
    <w:rsid w:val="00D319DF"/>
    <w:rsid w:val="00D31C02"/>
    <w:rsid w:val="00D3225E"/>
    <w:rsid w:val="00D324BC"/>
    <w:rsid w:val="00D32B9F"/>
    <w:rsid w:val="00D331A5"/>
    <w:rsid w:val="00D33565"/>
    <w:rsid w:val="00D33761"/>
    <w:rsid w:val="00D33762"/>
    <w:rsid w:val="00D33998"/>
    <w:rsid w:val="00D342BA"/>
    <w:rsid w:val="00D34BD1"/>
    <w:rsid w:val="00D35177"/>
    <w:rsid w:val="00D356E1"/>
    <w:rsid w:val="00D40609"/>
    <w:rsid w:val="00D40983"/>
    <w:rsid w:val="00D409ED"/>
    <w:rsid w:val="00D40B3B"/>
    <w:rsid w:val="00D41188"/>
    <w:rsid w:val="00D417D3"/>
    <w:rsid w:val="00D418D5"/>
    <w:rsid w:val="00D41DB1"/>
    <w:rsid w:val="00D42147"/>
    <w:rsid w:val="00D4276D"/>
    <w:rsid w:val="00D42798"/>
    <w:rsid w:val="00D42970"/>
    <w:rsid w:val="00D43468"/>
    <w:rsid w:val="00D43AED"/>
    <w:rsid w:val="00D44916"/>
    <w:rsid w:val="00D45AE4"/>
    <w:rsid w:val="00D45CA4"/>
    <w:rsid w:val="00D45EA7"/>
    <w:rsid w:val="00D45F22"/>
    <w:rsid w:val="00D47178"/>
    <w:rsid w:val="00D4752E"/>
    <w:rsid w:val="00D47842"/>
    <w:rsid w:val="00D47BEF"/>
    <w:rsid w:val="00D50826"/>
    <w:rsid w:val="00D51675"/>
    <w:rsid w:val="00D51EBA"/>
    <w:rsid w:val="00D51F73"/>
    <w:rsid w:val="00D52827"/>
    <w:rsid w:val="00D529BE"/>
    <w:rsid w:val="00D52CF6"/>
    <w:rsid w:val="00D53D3E"/>
    <w:rsid w:val="00D547E0"/>
    <w:rsid w:val="00D54992"/>
    <w:rsid w:val="00D55291"/>
    <w:rsid w:val="00D55C48"/>
    <w:rsid w:val="00D55E47"/>
    <w:rsid w:val="00D56392"/>
    <w:rsid w:val="00D56997"/>
    <w:rsid w:val="00D56BF7"/>
    <w:rsid w:val="00D570E6"/>
    <w:rsid w:val="00D5730F"/>
    <w:rsid w:val="00D575E0"/>
    <w:rsid w:val="00D5774F"/>
    <w:rsid w:val="00D60809"/>
    <w:rsid w:val="00D60D7F"/>
    <w:rsid w:val="00D61066"/>
    <w:rsid w:val="00D61C1A"/>
    <w:rsid w:val="00D61C9C"/>
    <w:rsid w:val="00D61E7B"/>
    <w:rsid w:val="00D62111"/>
    <w:rsid w:val="00D62229"/>
    <w:rsid w:val="00D625B8"/>
    <w:rsid w:val="00D626F8"/>
    <w:rsid w:val="00D636DC"/>
    <w:rsid w:val="00D63F4C"/>
    <w:rsid w:val="00D64613"/>
    <w:rsid w:val="00D64702"/>
    <w:rsid w:val="00D649DC"/>
    <w:rsid w:val="00D65A6A"/>
    <w:rsid w:val="00D66BFD"/>
    <w:rsid w:val="00D66C91"/>
    <w:rsid w:val="00D674EE"/>
    <w:rsid w:val="00D67535"/>
    <w:rsid w:val="00D67BC9"/>
    <w:rsid w:val="00D67DBC"/>
    <w:rsid w:val="00D704D9"/>
    <w:rsid w:val="00D70612"/>
    <w:rsid w:val="00D70934"/>
    <w:rsid w:val="00D70BD2"/>
    <w:rsid w:val="00D713F2"/>
    <w:rsid w:val="00D721B1"/>
    <w:rsid w:val="00D72705"/>
    <w:rsid w:val="00D738BF"/>
    <w:rsid w:val="00D73B93"/>
    <w:rsid w:val="00D73C95"/>
    <w:rsid w:val="00D7400F"/>
    <w:rsid w:val="00D745C1"/>
    <w:rsid w:val="00D74784"/>
    <w:rsid w:val="00D756F6"/>
    <w:rsid w:val="00D75731"/>
    <w:rsid w:val="00D75B45"/>
    <w:rsid w:val="00D75B5C"/>
    <w:rsid w:val="00D75F8C"/>
    <w:rsid w:val="00D76050"/>
    <w:rsid w:val="00D76210"/>
    <w:rsid w:val="00D76309"/>
    <w:rsid w:val="00D76423"/>
    <w:rsid w:val="00D767BF"/>
    <w:rsid w:val="00D77278"/>
    <w:rsid w:val="00D775B5"/>
    <w:rsid w:val="00D77961"/>
    <w:rsid w:val="00D77A47"/>
    <w:rsid w:val="00D77B20"/>
    <w:rsid w:val="00D77B3B"/>
    <w:rsid w:val="00D8007C"/>
    <w:rsid w:val="00D8079F"/>
    <w:rsid w:val="00D8103B"/>
    <w:rsid w:val="00D8111B"/>
    <w:rsid w:val="00D81242"/>
    <w:rsid w:val="00D812D2"/>
    <w:rsid w:val="00D823F6"/>
    <w:rsid w:val="00D82C80"/>
    <w:rsid w:val="00D82D02"/>
    <w:rsid w:val="00D82D0F"/>
    <w:rsid w:val="00D8316C"/>
    <w:rsid w:val="00D83A5A"/>
    <w:rsid w:val="00D84157"/>
    <w:rsid w:val="00D84AB8"/>
    <w:rsid w:val="00D84BD7"/>
    <w:rsid w:val="00D84DCA"/>
    <w:rsid w:val="00D85114"/>
    <w:rsid w:val="00D857BC"/>
    <w:rsid w:val="00D85CC6"/>
    <w:rsid w:val="00D85E10"/>
    <w:rsid w:val="00D86A92"/>
    <w:rsid w:val="00D871B6"/>
    <w:rsid w:val="00D875E1"/>
    <w:rsid w:val="00D90275"/>
    <w:rsid w:val="00D902F5"/>
    <w:rsid w:val="00D9075D"/>
    <w:rsid w:val="00D90959"/>
    <w:rsid w:val="00D91410"/>
    <w:rsid w:val="00D91438"/>
    <w:rsid w:val="00D91594"/>
    <w:rsid w:val="00D91ABE"/>
    <w:rsid w:val="00D91DFB"/>
    <w:rsid w:val="00D921DA"/>
    <w:rsid w:val="00D92A4A"/>
    <w:rsid w:val="00D92C2F"/>
    <w:rsid w:val="00D92F7F"/>
    <w:rsid w:val="00D930AC"/>
    <w:rsid w:val="00D9459D"/>
    <w:rsid w:val="00D94730"/>
    <w:rsid w:val="00D94858"/>
    <w:rsid w:val="00D9487D"/>
    <w:rsid w:val="00D94972"/>
    <w:rsid w:val="00D94C8E"/>
    <w:rsid w:val="00D954A1"/>
    <w:rsid w:val="00D95519"/>
    <w:rsid w:val="00D95744"/>
    <w:rsid w:val="00D958FC"/>
    <w:rsid w:val="00D959AE"/>
    <w:rsid w:val="00D95DC2"/>
    <w:rsid w:val="00D96678"/>
    <w:rsid w:val="00D9673A"/>
    <w:rsid w:val="00D96C73"/>
    <w:rsid w:val="00D96D46"/>
    <w:rsid w:val="00D97C27"/>
    <w:rsid w:val="00DA019F"/>
    <w:rsid w:val="00DA032C"/>
    <w:rsid w:val="00DA0526"/>
    <w:rsid w:val="00DA0639"/>
    <w:rsid w:val="00DA0B8C"/>
    <w:rsid w:val="00DA0CF7"/>
    <w:rsid w:val="00DA0E96"/>
    <w:rsid w:val="00DA1203"/>
    <w:rsid w:val="00DA14A0"/>
    <w:rsid w:val="00DA15AC"/>
    <w:rsid w:val="00DA18DA"/>
    <w:rsid w:val="00DA1F0C"/>
    <w:rsid w:val="00DA2B06"/>
    <w:rsid w:val="00DA2B20"/>
    <w:rsid w:val="00DA3565"/>
    <w:rsid w:val="00DA3A5B"/>
    <w:rsid w:val="00DA3D0B"/>
    <w:rsid w:val="00DA3F51"/>
    <w:rsid w:val="00DA45A0"/>
    <w:rsid w:val="00DA45DB"/>
    <w:rsid w:val="00DA48D9"/>
    <w:rsid w:val="00DA49F8"/>
    <w:rsid w:val="00DA4AAE"/>
    <w:rsid w:val="00DA5572"/>
    <w:rsid w:val="00DA5D5D"/>
    <w:rsid w:val="00DA6A15"/>
    <w:rsid w:val="00DA6B3A"/>
    <w:rsid w:val="00DA6CC2"/>
    <w:rsid w:val="00DA7029"/>
    <w:rsid w:val="00DA77A0"/>
    <w:rsid w:val="00DB09A2"/>
    <w:rsid w:val="00DB103D"/>
    <w:rsid w:val="00DB1448"/>
    <w:rsid w:val="00DB1907"/>
    <w:rsid w:val="00DB1998"/>
    <w:rsid w:val="00DB1FC4"/>
    <w:rsid w:val="00DB21F0"/>
    <w:rsid w:val="00DB2C5F"/>
    <w:rsid w:val="00DB3A58"/>
    <w:rsid w:val="00DB3BDF"/>
    <w:rsid w:val="00DB3C58"/>
    <w:rsid w:val="00DB3D46"/>
    <w:rsid w:val="00DB401C"/>
    <w:rsid w:val="00DB46C8"/>
    <w:rsid w:val="00DB52F0"/>
    <w:rsid w:val="00DB540E"/>
    <w:rsid w:val="00DB5A63"/>
    <w:rsid w:val="00DB6166"/>
    <w:rsid w:val="00DB6520"/>
    <w:rsid w:val="00DB656B"/>
    <w:rsid w:val="00DB6803"/>
    <w:rsid w:val="00DB691E"/>
    <w:rsid w:val="00DB6C99"/>
    <w:rsid w:val="00DB75A3"/>
    <w:rsid w:val="00DC02F5"/>
    <w:rsid w:val="00DC0574"/>
    <w:rsid w:val="00DC0C65"/>
    <w:rsid w:val="00DC10E5"/>
    <w:rsid w:val="00DC16BF"/>
    <w:rsid w:val="00DC16E1"/>
    <w:rsid w:val="00DC16FC"/>
    <w:rsid w:val="00DC1881"/>
    <w:rsid w:val="00DC1ED7"/>
    <w:rsid w:val="00DC294E"/>
    <w:rsid w:val="00DC3A6F"/>
    <w:rsid w:val="00DC3D1C"/>
    <w:rsid w:val="00DC3FD5"/>
    <w:rsid w:val="00DC43E1"/>
    <w:rsid w:val="00DC5199"/>
    <w:rsid w:val="00DC5A32"/>
    <w:rsid w:val="00DC5E4E"/>
    <w:rsid w:val="00DC651B"/>
    <w:rsid w:val="00DC662F"/>
    <w:rsid w:val="00DC6961"/>
    <w:rsid w:val="00DC6E78"/>
    <w:rsid w:val="00DC707F"/>
    <w:rsid w:val="00DC729A"/>
    <w:rsid w:val="00DC73B1"/>
    <w:rsid w:val="00DC7519"/>
    <w:rsid w:val="00DC7630"/>
    <w:rsid w:val="00DC7EB5"/>
    <w:rsid w:val="00DD04AC"/>
    <w:rsid w:val="00DD04DD"/>
    <w:rsid w:val="00DD0891"/>
    <w:rsid w:val="00DD0B35"/>
    <w:rsid w:val="00DD0C4D"/>
    <w:rsid w:val="00DD0F9F"/>
    <w:rsid w:val="00DD11A7"/>
    <w:rsid w:val="00DD1298"/>
    <w:rsid w:val="00DD2300"/>
    <w:rsid w:val="00DD2309"/>
    <w:rsid w:val="00DD28B3"/>
    <w:rsid w:val="00DD2DE3"/>
    <w:rsid w:val="00DD2DE8"/>
    <w:rsid w:val="00DD316F"/>
    <w:rsid w:val="00DD357C"/>
    <w:rsid w:val="00DD37CA"/>
    <w:rsid w:val="00DD3D55"/>
    <w:rsid w:val="00DD3DF7"/>
    <w:rsid w:val="00DD4AE2"/>
    <w:rsid w:val="00DD4BFA"/>
    <w:rsid w:val="00DD51F8"/>
    <w:rsid w:val="00DD6388"/>
    <w:rsid w:val="00DD6C53"/>
    <w:rsid w:val="00DD7198"/>
    <w:rsid w:val="00DD7752"/>
    <w:rsid w:val="00DD7CB6"/>
    <w:rsid w:val="00DE0077"/>
    <w:rsid w:val="00DE0137"/>
    <w:rsid w:val="00DE01BA"/>
    <w:rsid w:val="00DE061F"/>
    <w:rsid w:val="00DE0DCF"/>
    <w:rsid w:val="00DE137B"/>
    <w:rsid w:val="00DE19D9"/>
    <w:rsid w:val="00DE1DC6"/>
    <w:rsid w:val="00DE1F77"/>
    <w:rsid w:val="00DE21C6"/>
    <w:rsid w:val="00DE22AA"/>
    <w:rsid w:val="00DE288F"/>
    <w:rsid w:val="00DE2C45"/>
    <w:rsid w:val="00DE2D49"/>
    <w:rsid w:val="00DE2ED5"/>
    <w:rsid w:val="00DE2F4E"/>
    <w:rsid w:val="00DE2FB5"/>
    <w:rsid w:val="00DE3E66"/>
    <w:rsid w:val="00DE3F75"/>
    <w:rsid w:val="00DE41FC"/>
    <w:rsid w:val="00DE45F5"/>
    <w:rsid w:val="00DE4AAD"/>
    <w:rsid w:val="00DE4C0C"/>
    <w:rsid w:val="00DE4FC8"/>
    <w:rsid w:val="00DE50D0"/>
    <w:rsid w:val="00DE53B5"/>
    <w:rsid w:val="00DE5A50"/>
    <w:rsid w:val="00DE60C5"/>
    <w:rsid w:val="00DE7323"/>
    <w:rsid w:val="00DE75F0"/>
    <w:rsid w:val="00DE77CB"/>
    <w:rsid w:val="00DE7EBA"/>
    <w:rsid w:val="00DF04BD"/>
    <w:rsid w:val="00DF050A"/>
    <w:rsid w:val="00DF068D"/>
    <w:rsid w:val="00DF0D3A"/>
    <w:rsid w:val="00DF140A"/>
    <w:rsid w:val="00DF1A9A"/>
    <w:rsid w:val="00DF1C2D"/>
    <w:rsid w:val="00DF1F8A"/>
    <w:rsid w:val="00DF2209"/>
    <w:rsid w:val="00DF248E"/>
    <w:rsid w:val="00DF2715"/>
    <w:rsid w:val="00DF3577"/>
    <w:rsid w:val="00DF4063"/>
    <w:rsid w:val="00DF5F13"/>
    <w:rsid w:val="00DF63DD"/>
    <w:rsid w:val="00DF6B62"/>
    <w:rsid w:val="00DF7BD0"/>
    <w:rsid w:val="00DF7BDF"/>
    <w:rsid w:val="00E00303"/>
    <w:rsid w:val="00E00A62"/>
    <w:rsid w:val="00E010A0"/>
    <w:rsid w:val="00E0125E"/>
    <w:rsid w:val="00E01668"/>
    <w:rsid w:val="00E0173A"/>
    <w:rsid w:val="00E01849"/>
    <w:rsid w:val="00E020D1"/>
    <w:rsid w:val="00E02B64"/>
    <w:rsid w:val="00E02EAD"/>
    <w:rsid w:val="00E03453"/>
    <w:rsid w:val="00E03D3F"/>
    <w:rsid w:val="00E03DED"/>
    <w:rsid w:val="00E0437C"/>
    <w:rsid w:val="00E0452C"/>
    <w:rsid w:val="00E04D61"/>
    <w:rsid w:val="00E0504C"/>
    <w:rsid w:val="00E05074"/>
    <w:rsid w:val="00E052DA"/>
    <w:rsid w:val="00E05489"/>
    <w:rsid w:val="00E05741"/>
    <w:rsid w:val="00E05F7F"/>
    <w:rsid w:val="00E06549"/>
    <w:rsid w:val="00E06930"/>
    <w:rsid w:val="00E06971"/>
    <w:rsid w:val="00E06C11"/>
    <w:rsid w:val="00E07D90"/>
    <w:rsid w:val="00E105B3"/>
    <w:rsid w:val="00E10846"/>
    <w:rsid w:val="00E10883"/>
    <w:rsid w:val="00E108F4"/>
    <w:rsid w:val="00E10D4E"/>
    <w:rsid w:val="00E1100C"/>
    <w:rsid w:val="00E11489"/>
    <w:rsid w:val="00E11711"/>
    <w:rsid w:val="00E11E63"/>
    <w:rsid w:val="00E11F94"/>
    <w:rsid w:val="00E12696"/>
    <w:rsid w:val="00E1310D"/>
    <w:rsid w:val="00E13359"/>
    <w:rsid w:val="00E138BF"/>
    <w:rsid w:val="00E14EFA"/>
    <w:rsid w:val="00E151B9"/>
    <w:rsid w:val="00E158C4"/>
    <w:rsid w:val="00E15CC4"/>
    <w:rsid w:val="00E161E6"/>
    <w:rsid w:val="00E167C9"/>
    <w:rsid w:val="00E1698C"/>
    <w:rsid w:val="00E16BDB"/>
    <w:rsid w:val="00E172BE"/>
    <w:rsid w:val="00E17CF7"/>
    <w:rsid w:val="00E205D6"/>
    <w:rsid w:val="00E209AB"/>
    <w:rsid w:val="00E216EC"/>
    <w:rsid w:val="00E2189A"/>
    <w:rsid w:val="00E21A60"/>
    <w:rsid w:val="00E22220"/>
    <w:rsid w:val="00E22B5A"/>
    <w:rsid w:val="00E22B68"/>
    <w:rsid w:val="00E231C9"/>
    <w:rsid w:val="00E23EBF"/>
    <w:rsid w:val="00E23F56"/>
    <w:rsid w:val="00E23FD5"/>
    <w:rsid w:val="00E24669"/>
    <w:rsid w:val="00E24A70"/>
    <w:rsid w:val="00E24C48"/>
    <w:rsid w:val="00E24EE4"/>
    <w:rsid w:val="00E25981"/>
    <w:rsid w:val="00E26056"/>
    <w:rsid w:val="00E26141"/>
    <w:rsid w:val="00E266F5"/>
    <w:rsid w:val="00E2673E"/>
    <w:rsid w:val="00E270D3"/>
    <w:rsid w:val="00E27FC7"/>
    <w:rsid w:val="00E3050B"/>
    <w:rsid w:val="00E30700"/>
    <w:rsid w:val="00E31115"/>
    <w:rsid w:val="00E31360"/>
    <w:rsid w:val="00E317F8"/>
    <w:rsid w:val="00E31D28"/>
    <w:rsid w:val="00E32425"/>
    <w:rsid w:val="00E3252C"/>
    <w:rsid w:val="00E325FF"/>
    <w:rsid w:val="00E32CB8"/>
    <w:rsid w:val="00E32F67"/>
    <w:rsid w:val="00E3440F"/>
    <w:rsid w:val="00E34F3A"/>
    <w:rsid w:val="00E35F99"/>
    <w:rsid w:val="00E35F9A"/>
    <w:rsid w:val="00E3637F"/>
    <w:rsid w:val="00E364B6"/>
    <w:rsid w:val="00E36723"/>
    <w:rsid w:val="00E3713C"/>
    <w:rsid w:val="00E3767B"/>
    <w:rsid w:val="00E37E1C"/>
    <w:rsid w:val="00E40079"/>
    <w:rsid w:val="00E40126"/>
    <w:rsid w:val="00E4013B"/>
    <w:rsid w:val="00E40C85"/>
    <w:rsid w:val="00E40CBF"/>
    <w:rsid w:val="00E40E7D"/>
    <w:rsid w:val="00E40EE4"/>
    <w:rsid w:val="00E413C6"/>
    <w:rsid w:val="00E420D5"/>
    <w:rsid w:val="00E42517"/>
    <w:rsid w:val="00E42948"/>
    <w:rsid w:val="00E42D55"/>
    <w:rsid w:val="00E42FFE"/>
    <w:rsid w:val="00E4316E"/>
    <w:rsid w:val="00E435AB"/>
    <w:rsid w:val="00E44275"/>
    <w:rsid w:val="00E44705"/>
    <w:rsid w:val="00E44777"/>
    <w:rsid w:val="00E44F67"/>
    <w:rsid w:val="00E4535F"/>
    <w:rsid w:val="00E455E3"/>
    <w:rsid w:val="00E466BC"/>
    <w:rsid w:val="00E4686A"/>
    <w:rsid w:val="00E479FD"/>
    <w:rsid w:val="00E47A76"/>
    <w:rsid w:val="00E504D6"/>
    <w:rsid w:val="00E50B6F"/>
    <w:rsid w:val="00E50EBE"/>
    <w:rsid w:val="00E50F69"/>
    <w:rsid w:val="00E50FC6"/>
    <w:rsid w:val="00E52372"/>
    <w:rsid w:val="00E5272D"/>
    <w:rsid w:val="00E52786"/>
    <w:rsid w:val="00E52F05"/>
    <w:rsid w:val="00E540CA"/>
    <w:rsid w:val="00E54C83"/>
    <w:rsid w:val="00E55460"/>
    <w:rsid w:val="00E55B28"/>
    <w:rsid w:val="00E56C40"/>
    <w:rsid w:val="00E56D4A"/>
    <w:rsid w:val="00E57119"/>
    <w:rsid w:val="00E5719E"/>
    <w:rsid w:val="00E57D7B"/>
    <w:rsid w:val="00E57EF3"/>
    <w:rsid w:val="00E57F4B"/>
    <w:rsid w:val="00E602E5"/>
    <w:rsid w:val="00E602F8"/>
    <w:rsid w:val="00E6085B"/>
    <w:rsid w:val="00E60FBA"/>
    <w:rsid w:val="00E60FBF"/>
    <w:rsid w:val="00E611AE"/>
    <w:rsid w:val="00E616F9"/>
    <w:rsid w:val="00E61852"/>
    <w:rsid w:val="00E61A0C"/>
    <w:rsid w:val="00E61D22"/>
    <w:rsid w:val="00E61D96"/>
    <w:rsid w:val="00E61E4B"/>
    <w:rsid w:val="00E61E57"/>
    <w:rsid w:val="00E62F6E"/>
    <w:rsid w:val="00E63DA2"/>
    <w:rsid w:val="00E641E8"/>
    <w:rsid w:val="00E642AF"/>
    <w:rsid w:val="00E644C6"/>
    <w:rsid w:val="00E64555"/>
    <w:rsid w:val="00E64595"/>
    <w:rsid w:val="00E646BB"/>
    <w:rsid w:val="00E64B83"/>
    <w:rsid w:val="00E64D24"/>
    <w:rsid w:val="00E64FAF"/>
    <w:rsid w:val="00E653A6"/>
    <w:rsid w:val="00E6549C"/>
    <w:rsid w:val="00E654B9"/>
    <w:rsid w:val="00E65759"/>
    <w:rsid w:val="00E6589D"/>
    <w:rsid w:val="00E65E8C"/>
    <w:rsid w:val="00E665E7"/>
    <w:rsid w:val="00E6661C"/>
    <w:rsid w:val="00E66C96"/>
    <w:rsid w:val="00E70130"/>
    <w:rsid w:val="00E706DE"/>
    <w:rsid w:val="00E71063"/>
    <w:rsid w:val="00E715FC"/>
    <w:rsid w:val="00E71A45"/>
    <w:rsid w:val="00E71C21"/>
    <w:rsid w:val="00E72F23"/>
    <w:rsid w:val="00E730FC"/>
    <w:rsid w:val="00E73481"/>
    <w:rsid w:val="00E7385A"/>
    <w:rsid w:val="00E7391F"/>
    <w:rsid w:val="00E73CE6"/>
    <w:rsid w:val="00E74780"/>
    <w:rsid w:val="00E74956"/>
    <w:rsid w:val="00E752F7"/>
    <w:rsid w:val="00E75848"/>
    <w:rsid w:val="00E759D4"/>
    <w:rsid w:val="00E76A3C"/>
    <w:rsid w:val="00E76F9B"/>
    <w:rsid w:val="00E77100"/>
    <w:rsid w:val="00E771FC"/>
    <w:rsid w:val="00E773E5"/>
    <w:rsid w:val="00E77BDD"/>
    <w:rsid w:val="00E806D3"/>
    <w:rsid w:val="00E8104D"/>
    <w:rsid w:val="00E81C34"/>
    <w:rsid w:val="00E81D83"/>
    <w:rsid w:val="00E821BB"/>
    <w:rsid w:val="00E822E9"/>
    <w:rsid w:val="00E826FE"/>
    <w:rsid w:val="00E8275E"/>
    <w:rsid w:val="00E827AF"/>
    <w:rsid w:val="00E82DE9"/>
    <w:rsid w:val="00E8323F"/>
    <w:rsid w:val="00E83253"/>
    <w:rsid w:val="00E83714"/>
    <w:rsid w:val="00E83831"/>
    <w:rsid w:val="00E844AB"/>
    <w:rsid w:val="00E8463C"/>
    <w:rsid w:val="00E84C97"/>
    <w:rsid w:val="00E85005"/>
    <w:rsid w:val="00E85296"/>
    <w:rsid w:val="00E8533B"/>
    <w:rsid w:val="00E85E4E"/>
    <w:rsid w:val="00E86327"/>
    <w:rsid w:val="00E86DF0"/>
    <w:rsid w:val="00E871B7"/>
    <w:rsid w:val="00E87BD2"/>
    <w:rsid w:val="00E87CDC"/>
    <w:rsid w:val="00E908FD"/>
    <w:rsid w:val="00E90B33"/>
    <w:rsid w:val="00E910E4"/>
    <w:rsid w:val="00E911E0"/>
    <w:rsid w:val="00E92115"/>
    <w:rsid w:val="00E93407"/>
    <w:rsid w:val="00E940A8"/>
    <w:rsid w:val="00E94307"/>
    <w:rsid w:val="00E947E8"/>
    <w:rsid w:val="00E94B0F"/>
    <w:rsid w:val="00E9503F"/>
    <w:rsid w:val="00E956F3"/>
    <w:rsid w:val="00E95AA7"/>
    <w:rsid w:val="00E96E68"/>
    <w:rsid w:val="00E97013"/>
    <w:rsid w:val="00E97EA1"/>
    <w:rsid w:val="00EA0BBE"/>
    <w:rsid w:val="00EA18B9"/>
    <w:rsid w:val="00EA1AED"/>
    <w:rsid w:val="00EA1FBC"/>
    <w:rsid w:val="00EA20A1"/>
    <w:rsid w:val="00EA212B"/>
    <w:rsid w:val="00EA24B5"/>
    <w:rsid w:val="00EA2AAA"/>
    <w:rsid w:val="00EA2D44"/>
    <w:rsid w:val="00EA3A1D"/>
    <w:rsid w:val="00EA3CD7"/>
    <w:rsid w:val="00EA3E2D"/>
    <w:rsid w:val="00EA4010"/>
    <w:rsid w:val="00EA429D"/>
    <w:rsid w:val="00EA43AF"/>
    <w:rsid w:val="00EA4676"/>
    <w:rsid w:val="00EA47FB"/>
    <w:rsid w:val="00EA4C7C"/>
    <w:rsid w:val="00EA4D4C"/>
    <w:rsid w:val="00EA554F"/>
    <w:rsid w:val="00EA6250"/>
    <w:rsid w:val="00EA6340"/>
    <w:rsid w:val="00EA665E"/>
    <w:rsid w:val="00EA66A4"/>
    <w:rsid w:val="00EA6819"/>
    <w:rsid w:val="00EA6A1E"/>
    <w:rsid w:val="00EA6CAC"/>
    <w:rsid w:val="00EA75BD"/>
    <w:rsid w:val="00EA7C47"/>
    <w:rsid w:val="00EB0F0F"/>
    <w:rsid w:val="00EB12A5"/>
    <w:rsid w:val="00EB24D8"/>
    <w:rsid w:val="00EB277B"/>
    <w:rsid w:val="00EB2F20"/>
    <w:rsid w:val="00EB2F35"/>
    <w:rsid w:val="00EB31DB"/>
    <w:rsid w:val="00EB3422"/>
    <w:rsid w:val="00EB3A31"/>
    <w:rsid w:val="00EB4EAF"/>
    <w:rsid w:val="00EB548E"/>
    <w:rsid w:val="00EB5C41"/>
    <w:rsid w:val="00EB5F5A"/>
    <w:rsid w:val="00EB656C"/>
    <w:rsid w:val="00EB657E"/>
    <w:rsid w:val="00EB695E"/>
    <w:rsid w:val="00EB69D1"/>
    <w:rsid w:val="00EB69D4"/>
    <w:rsid w:val="00EB6A3B"/>
    <w:rsid w:val="00EB6FE9"/>
    <w:rsid w:val="00EB72FF"/>
    <w:rsid w:val="00EB756F"/>
    <w:rsid w:val="00EB79C8"/>
    <w:rsid w:val="00EB7D9D"/>
    <w:rsid w:val="00EB7E3F"/>
    <w:rsid w:val="00EB7E78"/>
    <w:rsid w:val="00EC0301"/>
    <w:rsid w:val="00EC08B5"/>
    <w:rsid w:val="00EC09C6"/>
    <w:rsid w:val="00EC0EA5"/>
    <w:rsid w:val="00EC1056"/>
    <w:rsid w:val="00EC1470"/>
    <w:rsid w:val="00EC222E"/>
    <w:rsid w:val="00EC2716"/>
    <w:rsid w:val="00EC2DBB"/>
    <w:rsid w:val="00EC2E83"/>
    <w:rsid w:val="00EC358E"/>
    <w:rsid w:val="00EC3FD2"/>
    <w:rsid w:val="00EC4095"/>
    <w:rsid w:val="00EC43B5"/>
    <w:rsid w:val="00EC4537"/>
    <w:rsid w:val="00EC4960"/>
    <w:rsid w:val="00EC4AE3"/>
    <w:rsid w:val="00EC5414"/>
    <w:rsid w:val="00EC54EE"/>
    <w:rsid w:val="00EC59B2"/>
    <w:rsid w:val="00EC5A3B"/>
    <w:rsid w:val="00EC6424"/>
    <w:rsid w:val="00EC786C"/>
    <w:rsid w:val="00EC7ADD"/>
    <w:rsid w:val="00EC7B23"/>
    <w:rsid w:val="00EC7C26"/>
    <w:rsid w:val="00ED04FE"/>
    <w:rsid w:val="00ED0DD0"/>
    <w:rsid w:val="00ED1122"/>
    <w:rsid w:val="00ED1989"/>
    <w:rsid w:val="00ED28F2"/>
    <w:rsid w:val="00ED2F3E"/>
    <w:rsid w:val="00ED3145"/>
    <w:rsid w:val="00ED3309"/>
    <w:rsid w:val="00ED356E"/>
    <w:rsid w:val="00ED35E1"/>
    <w:rsid w:val="00ED3792"/>
    <w:rsid w:val="00ED3BDA"/>
    <w:rsid w:val="00ED46ED"/>
    <w:rsid w:val="00ED5A3B"/>
    <w:rsid w:val="00ED5C30"/>
    <w:rsid w:val="00ED5E02"/>
    <w:rsid w:val="00ED5EED"/>
    <w:rsid w:val="00ED612A"/>
    <w:rsid w:val="00ED6B1C"/>
    <w:rsid w:val="00ED6CF7"/>
    <w:rsid w:val="00ED6F33"/>
    <w:rsid w:val="00ED70A5"/>
    <w:rsid w:val="00ED7716"/>
    <w:rsid w:val="00ED7737"/>
    <w:rsid w:val="00ED7747"/>
    <w:rsid w:val="00ED7CF4"/>
    <w:rsid w:val="00ED7FA2"/>
    <w:rsid w:val="00EE03EA"/>
    <w:rsid w:val="00EE0786"/>
    <w:rsid w:val="00EE1B0E"/>
    <w:rsid w:val="00EE21D5"/>
    <w:rsid w:val="00EE22FB"/>
    <w:rsid w:val="00EE2407"/>
    <w:rsid w:val="00EE26AE"/>
    <w:rsid w:val="00EE29C8"/>
    <w:rsid w:val="00EE2A54"/>
    <w:rsid w:val="00EE2FC2"/>
    <w:rsid w:val="00EE3B6B"/>
    <w:rsid w:val="00EE3B88"/>
    <w:rsid w:val="00EE4B75"/>
    <w:rsid w:val="00EE4D34"/>
    <w:rsid w:val="00EE4DBD"/>
    <w:rsid w:val="00EE605C"/>
    <w:rsid w:val="00EE6AC6"/>
    <w:rsid w:val="00EE6E26"/>
    <w:rsid w:val="00EE784F"/>
    <w:rsid w:val="00EE7A1D"/>
    <w:rsid w:val="00EE7DBD"/>
    <w:rsid w:val="00EF0500"/>
    <w:rsid w:val="00EF0808"/>
    <w:rsid w:val="00EF1002"/>
    <w:rsid w:val="00EF143F"/>
    <w:rsid w:val="00EF1D3B"/>
    <w:rsid w:val="00EF23D8"/>
    <w:rsid w:val="00EF2A5A"/>
    <w:rsid w:val="00EF2A87"/>
    <w:rsid w:val="00EF3A74"/>
    <w:rsid w:val="00EF3AE9"/>
    <w:rsid w:val="00EF3EA5"/>
    <w:rsid w:val="00EF49FB"/>
    <w:rsid w:val="00EF55D6"/>
    <w:rsid w:val="00EF644D"/>
    <w:rsid w:val="00EF6BAD"/>
    <w:rsid w:val="00EF6D29"/>
    <w:rsid w:val="00EF6E79"/>
    <w:rsid w:val="00EF7138"/>
    <w:rsid w:val="00EF7E0B"/>
    <w:rsid w:val="00F00881"/>
    <w:rsid w:val="00F00917"/>
    <w:rsid w:val="00F00B65"/>
    <w:rsid w:val="00F010BB"/>
    <w:rsid w:val="00F012C1"/>
    <w:rsid w:val="00F0175F"/>
    <w:rsid w:val="00F01A41"/>
    <w:rsid w:val="00F03280"/>
    <w:rsid w:val="00F0362A"/>
    <w:rsid w:val="00F036C9"/>
    <w:rsid w:val="00F0385C"/>
    <w:rsid w:val="00F038BF"/>
    <w:rsid w:val="00F03ABE"/>
    <w:rsid w:val="00F03B69"/>
    <w:rsid w:val="00F041AB"/>
    <w:rsid w:val="00F04345"/>
    <w:rsid w:val="00F047A4"/>
    <w:rsid w:val="00F04F52"/>
    <w:rsid w:val="00F0510F"/>
    <w:rsid w:val="00F0563F"/>
    <w:rsid w:val="00F05973"/>
    <w:rsid w:val="00F064EF"/>
    <w:rsid w:val="00F06558"/>
    <w:rsid w:val="00F06F42"/>
    <w:rsid w:val="00F07122"/>
    <w:rsid w:val="00F074C9"/>
    <w:rsid w:val="00F07588"/>
    <w:rsid w:val="00F07C82"/>
    <w:rsid w:val="00F07F5E"/>
    <w:rsid w:val="00F1001E"/>
    <w:rsid w:val="00F1055F"/>
    <w:rsid w:val="00F106BB"/>
    <w:rsid w:val="00F10BA6"/>
    <w:rsid w:val="00F11027"/>
    <w:rsid w:val="00F111BA"/>
    <w:rsid w:val="00F1155D"/>
    <w:rsid w:val="00F116DD"/>
    <w:rsid w:val="00F11D9F"/>
    <w:rsid w:val="00F11E31"/>
    <w:rsid w:val="00F12C53"/>
    <w:rsid w:val="00F1360C"/>
    <w:rsid w:val="00F13AA1"/>
    <w:rsid w:val="00F13F2A"/>
    <w:rsid w:val="00F14D9E"/>
    <w:rsid w:val="00F15097"/>
    <w:rsid w:val="00F153F8"/>
    <w:rsid w:val="00F15671"/>
    <w:rsid w:val="00F16200"/>
    <w:rsid w:val="00F1643E"/>
    <w:rsid w:val="00F16695"/>
    <w:rsid w:val="00F17159"/>
    <w:rsid w:val="00F1733F"/>
    <w:rsid w:val="00F202E3"/>
    <w:rsid w:val="00F20C6E"/>
    <w:rsid w:val="00F20D6C"/>
    <w:rsid w:val="00F20F03"/>
    <w:rsid w:val="00F218D6"/>
    <w:rsid w:val="00F2255F"/>
    <w:rsid w:val="00F225CF"/>
    <w:rsid w:val="00F22882"/>
    <w:rsid w:val="00F22985"/>
    <w:rsid w:val="00F22AEF"/>
    <w:rsid w:val="00F22F7A"/>
    <w:rsid w:val="00F2343C"/>
    <w:rsid w:val="00F23CFC"/>
    <w:rsid w:val="00F24076"/>
    <w:rsid w:val="00F240CB"/>
    <w:rsid w:val="00F2492F"/>
    <w:rsid w:val="00F2500D"/>
    <w:rsid w:val="00F251B2"/>
    <w:rsid w:val="00F2596D"/>
    <w:rsid w:val="00F25CAA"/>
    <w:rsid w:val="00F2696B"/>
    <w:rsid w:val="00F26AD6"/>
    <w:rsid w:val="00F2711C"/>
    <w:rsid w:val="00F2720E"/>
    <w:rsid w:val="00F27253"/>
    <w:rsid w:val="00F277E8"/>
    <w:rsid w:val="00F27B04"/>
    <w:rsid w:val="00F27E3D"/>
    <w:rsid w:val="00F27EB2"/>
    <w:rsid w:val="00F301D0"/>
    <w:rsid w:val="00F3069F"/>
    <w:rsid w:val="00F30A02"/>
    <w:rsid w:val="00F30C3F"/>
    <w:rsid w:val="00F30C60"/>
    <w:rsid w:val="00F30F38"/>
    <w:rsid w:val="00F311D1"/>
    <w:rsid w:val="00F3158A"/>
    <w:rsid w:val="00F318DB"/>
    <w:rsid w:val="00F3199C"/>
    <w:rsid w:val="00F31F7D"/>
    <w:rsid w:val="00F31FB9"/>
    <w:rsid w:val="00F326F6"/>
    <w:rsid w:val="00F32AFF"/>
    <w:rsid w:val="00F33825"/>
    <w:rsid w:val="00F33A8B"/>
    <w:rsid w:val="00F33D3B"/>
    <w:rsid w:val="00F34A96"/>
    <w:rsid w:val="00F34EBF"/>
    <w:rsid w:val="00F34F05"/>
    <w:rsid w:val="00F356D5"/>
    <w:rsid w:val="00F359A5"/>
    <w:rsid w:val="00F35DA8"/>
    <w:rsid w:val="00F361AE"/>
    <w:rsid w:val="00F36240"/>
    <w:rsid w:val="00F363EB"/>
    <w:rsid w:val="00F365DE"/>
    <w:rsid w:val="00F366DA"/>
    <w:rsid w:val="00F367CF"/>
    <w:rsid w:val="00F36D37"/>
    <w:rsid w:val="00F3719A"/>
    <w:rsid w:val="00F379BF"/>
    <w:rsid w:val="00F37EA7"/>
    <w:rsid w:val="00F40805"/>
    <w:rsid w:val="00F40B93"/>
    <w:rsid w:val="00F40C5E"/>
    <w:rsid w:val="00F40E3E"/>
    <w:rsid w:val="00F4163A"/>
    <w:rsid w:val="00F41873"/>
    <w:rsid w:val="00F419C3"/>
    <w:rsid w:val="00F41D91"/>
    <w:rsid w:val="00F41E2B"/>
    <w:rsid w:val="00F423BE"/>
    <w:rsid w:val="00F424A5"/>
    <w:rsid w:val="00F425EF"/>
    <w:rsid w:val="00F428AC"/>
    <w:rsid w:val="00F42AAD"/>
    <w:rsid w:val="00F42EE3"/>
    <w:rsid w:val="00F43149"/>
    <w:rsid w:val="00F43660"/>
    <w:rsid w:val="00F43B91"/>
    <w:rsid w:val="00F44542"/>
    <w:rsid w:val="00F448DD"/>
    <w:rsid w:val="00F44D6A"/>
    <w:rsid w:val="00F44DB8"/>
    <w:rsid w:val="00F44F03"/>
    <w:rsid w:val="00F45760"/>
    <w:rsid w:val="00F45925"/>
    <w:rsid w:val="00F46BA6"/>
    <w:rsid w:val="00F46C97"/>
    <w:rsid w:val="00F4703E"/>
    <w:rsid w:val="00F4775F"/>
    <w:rsid w:val="00F50781"/>
    <w:rsid w:val="00F50CA3"/>
    <w:rsid w:val="00F517ED"/>
    <w:rsid w:val="00F51F3F"/>
    <w:rsid w:val="00F528B5"/>
    <w:rsid w:val="00F528E7"/>
    <w:rsid w:val="00F52C8A"/>
    <w:rsid w:val="00F5352D"/>
    <w:rsid w:val="00F53615"/>
    <w:rsid w:val="00F53A91"/>
    <w:rsid w:val="00F54466"/>
    <w:rsid w:val="00F54783"/>
    <w:rsid w:val="00F547E9"/>
    <w:rsid w:val="00F5494E"/>
    <w:rsid w:val="00F54ABE"/>
    <w:rsid w:val="00F54C34"/>
    <w:rsid w:val="00F55804"/>
    <w:rsid w:val="00F55F1A"/>
    <w:rsid w:val="00F56310"/>
    <w:rsid w:val="00F5684C"/>
    <w:rsid w:val="00F57210"/>
    <w:rsid w:val="00F577FC"/>
    <w:rsid w:val="00F602F0"/>
    <w:rsid w:val="00F60C90"/>
    <w:rsid w:val="00F619EE"/>
    <w:rsid w:val="00F61CF5"/>
    <w:rsid w:val="00F61FF9"/>
    <w:rsid w:val="00F62069"/>
    <w:rsid w:val="00F62159"/>
    <w:rsid w:val="00F62A7C"/>
    <w:rsid w:val="00F62B93"/>
    <w:rsid w:val="00F63358"/>
    <w:rsid w:val="00F633E5"/>
    <w:rsid w:val="00F63C89"/>
    <w:rsid w:val="00F647EC"/>
    <w:rsid w:val="00F64FAB"/>
    <w:rsid w:val="00F65AC8"/>
    <w:rsid w:val="00F65CEA"/>
    <w:rsid w:val="00F65F15"/>
    <w:rsid w:val="00F66443"/>
    <w:rsid w:val="00F675EA"/>
    <w:rsid w:val="00F7073B"/>
    <w:rsid w:val="00F7074A"/>
    <w:rsid w:val="00F70AD6"/>
    <w:rsid w:val="00F71687"/>
    <w:rsid w:val="00F71708"/>
    <w:rsid w:val="00F717C1"/>
    <w:rsid w:val="00F71AAE"/>
    <w:rsid w:val="00F71CDB"/>
    <w:rsid w:val="00F725D3"/>
    <w:rsid w:val="00F7281E"/>
    <w:rsid w:val="00F72C1A"/>
    <w:rsid w:val="00F72C3D"/>
    <w:rsid w:val="00F737AB"/>
    <w:rsid w:val="00F74216"/>
    <w:rsid w:val="00F74F0F"/>
    <w:rsid w:val="00F75731"/>
    <w:rsid w:val="00F75841"/>
    <w:rsid w:val="00F75D6C"/>
    <w:rsid w:val="00F76333"/>
    <w:rsid w:val="00F770C6"/>
    <w:rsid w:val="00F77100"/>
    <w:rsid w:val="00F8090F"/>
    <w:rsid w:val="00F80A8A"/>
    <w:rsid w:val="00F80B47"/>
    <w:rsid w:val="00F8139A"/>
    <w:rsid w:val="00F82AAE"/>
    <w:rsid w:val="00F834BE"/>
    <w:rsid w:val="00F838A9"/>
    <w:rsid w:val="00F849E3"/>
    <w:rsid w:val="00F84B4E"/>
    <w:rsid w:val="00F84C44"/>
    <w:rsid w:val="00F84F30"/>
    <w:rsid w:val="00F851B7"/>
    <w:rsid w:val="00F8566C"/>
    <w:rsid w:val="00F858D4"/>
    <w:rsid w:val="00F85C65"/>
    <w:rsid w:val="00F860EB"/>
    <w:rsid w:val="00F868B6"/>
    <w:rsid w:val="00F86968"/>
    <w:rsid w:val="00F86E42"/>
    <w:rsid w:val="00F876E6"/>
    <w:rsid w:val="00F87825"/>
    <w:rsid w:val="00F87838"/>
    <w:rsid w:val="00F879E8"/>
    <w:rsid w:val="00F87FCE"/>
    <w:rsid w:val="00F9008B"/>
    <w:rsid w:val="00F90232"/>
    <w:rsid w:val="00F909C7"/>
    <w:rsid w:val="00F91669"/>
    <w:rsid w:val="00F916DE"/>
    <w:rsid w:val="00F9184F"/>
    <w:rsid w:val="00F91943"/>
    <w:rsid w:val="00F9231D"/>
    <w:rsid w:val="00F92A66"/>
    <w:rsid w:val="00F931CF"/>
    <w:rsid w:val="00F93A31"/>
    <w:rsid w:val="00F93D6E"/>
    <w:rsid w:val="00F9423D"/>
    <w:rsid w:val="00F942C2"/>
    <w:rsid w:val="00F94609"/>
    <w:rsid w:val="00F94F16"/>
    <w:rsid w:val="00F95182"/>
    <w:rsid w:val="00F957D2"/>
    <w:rsid w:val="00F95D94"/>
    <w:rsid w:val="00F96F86"/>
    <w:rsid w:val="00FA02B8"/>
    <w:rsid w:val="00FA0980"/>
    <w:rsid w:val="00FA1028"/>
    <w:rsid w:val="00FA157E"/>
    <w:rsid w:val="00FA181F"/>
    <w:rsid w:val="00FA1C1F"/>
    <w:rsid w:val="00FA1E82"/>
    <w:rsid w:val="00FA2137"/>
    <w:rsid w:val="00FA272D"/>
    <w:rsid w:val="00FA338D"/>
    <w:rsid w:val="00FA34A2"/>
    <w:rsid w:val="00FA3742"/>
    <w:rsid w:val="00FA3837"/>
    <w:rsid w:val="00FA39FC"/>
    <w:rsid w:val="00FA44B4"/>
    <w:rsid w:val="00FA4538"/>
    <w:rsid w:val="00FA4998"/>
    <w:rsid w:val="00FA4DC2"/>
    <w:rsid w:val="00FA57D1"/>
    <w:rsid w:val="00FA67E3"/>
    <w:rsid w:val="00FA7029"/>
    <w:rsid w:val="00FA7157"/>
    <w:rsid w:val="00FA73A6"/>
    <w:rsid w:val="00FA7662"/>
    <w:rsid w:val="00FA7698"/>
    <w:rsid w:val="00FA78C2"/>
    <w:rsid w:val="00FA7A2D"/>
    <w:rsid w:val="00FA7B4F"/>
    <w:rsid w:val="00FA7D8F"/>
    <w:rsid w:val="00FA7DA6"/>
    <w:rsid w:val="00FB02F8"/>
    <w:rsid w:val="00FB06E7"/>
    <w:rsid w:val="00FB0822"/>
    <w:rsid w:val="00FB0AC3"/>
    <w:rsid w:val="00FB1093"/>
    <w:rsid w:val="00FB13A0"/>
    <w:rsid w:val="00FB1CB7"/>
    <w:rsid w:val="00FB2142"/>
    <w:rsid w:val="00FB227E"/>
    <w:rsid w:val="00FB25DA"/>
    <w:rsid w:val="00FB267D"/>
    <w:rsid w:val="00FB2A18"/>
    <w:rsid w:val="00FB2BF4"/>
    <w:rsid w:val="00FB2C8D"/>
    <w:rsid w:val="00FB2DC6"/>
    <w:rsid w:val="00FB2FD0"/>
    <w:rsid w:val="00FB333A"/>
    <w:rsid w:val="00FB39EB"/>
    <w:rsid w:val="00FB4267"/>
    <w:rsid w:val="00FB59D4"/>
    <w:rsid w:val="00FB5E81"/>
    <w:rsid w:val="00FB6E6C"/>
    <w:rsid w:val="00FB71B0"/>
    <w:rsid w:val="00FB7ABA"/>
    <w:rsid w:val="00FB7C21"/>
    <w:rsid w:val="00FB7C46"/>
    <w:rsid w:val="00FC04E0"/>
    <w:rsid w:val="00FC06CE"/>
    <w:rsid w:val="00FC0D98"/>
    <w:rsid w:val="00FC0E2F"/>
    <w:rsid w:val="00FC1042"/>
    <w:rsid w:val="00FC11A8"/>
    <w:rsid w:val="00FC11C6"/>
    <w:rsid w:val="00FC17D8"/>
    <w:rsid w:val="00FC279A"/>
    <w:rsid w:val="00FC324D"/>
    <w:rsid w:val="00FC39A1"/>
    <w:rsid w:val="00FC3BC3"/>
    <w:rsid w:val="00FC3D22"/>
    <w:rsid w:val="00FC3E47"/>
    <w:rsid w:val="00FC4B53"/>
    <w:rsid w:val="00FC4BAE"/>
    <w:rsid w:val="00FC4F75"/>
    <w:rsid w:val="00FC5160"/>
    <w:rsid w:val="00FC5A36"/>
    <w:rsid w:val="00FC6353"/>
    <w:rsid w:val="00FC69CF"/>
    <w:rsid w:val="00FC6B0B"/>
    <w:rsid w:val="00FC713B"/>
    <w:rsid w:val="00FC7504"/>
    <w:rsid w:val="00FC7862"/>
    <w:rsid w:val="00FC79D5"/>
    <w:rsid w:val="00FC7B35"/>
    <w:rsid w:val="00FC7B53"/>
    <w:rsid w:val="00FC7BD8"/>
    <w:rsid w:val="00FD0177"/>
    <w:rsid w:val="00FD0AE7"/>
    <w:rsid w:val="00FD0B44"/>
    <w:rsid w:val="00FD0F70"/>
    <w:rsid w:val="00FD0F97"/>
    <w:rsid w:val="00FD2315"/>
    <w:rsid w:val="00FD29A7"/>
    <w:rsid w:val="00FD2B15"/>
    <w:rsid w:val="00FD3092"/>
    <w:rsid w:val="00FD3D48"/>
    <w:rsid w:val="00FD412E"/>
    <w:rsid w:val="00FD420F"/>
    <w:rsid w:val="00FD4339"/>
    <w:rsid w:val="00FD4B0C"/>
    <w:rsid w:val="00FD4F2F"/>
    <w:rsid w:val="00FD51F7"/>
    <w:rsid w:val="00FD5258"/>
    <w:rsid w:val="00FD5602"/>
    <w:rsid w:val="00FD5661"/>
    <w:rsid w:val="00FD5A2A"/>
    <w:rsid w:val="00FD5AE2"/>
    <w:rsid w:val="00FD62B4"/>
    <w:rsid w:val="00FD7142"/>
    <w:rsid w:val="00FD750F"/>
    <w:rsid w:val="00FE011C"/>
    <w:rsid w:val="00FE0458"/>
    <w:rsid w:val="00FE07DC"/>
    <w:rsid w:val="00FE08FB"/>
    <w:rsid w:val="00FE1116"/>
    <w:rsid w:val="00FE2075"/>
    <w:rsid w:val="00FE2080"/>
    <w:rsid w:val="00FE27B9"/>
    <w:rsid w:val="00FE2E37"/>
    <w:rsid w:val="00FE30EF"/>
    <w:rsid w:val="00FE3640"/>
    <w:rsid w:val="00FE36B6"/>
    <w:rsid w:val="00FE3780"/>
    <w:rsid w:val="00FE3954"/>
    <w:rsid w:val="00FE3AE5"/>
    <w:rsid w:val="00FE3CF7"/>
    <w:rsid w:val="00FE4071"/>
    <w:rsid w:val="00FE42E3"/>
    <w:rsid w:val="00FE4ECD"/>
    <w:rsid w:val="00FE52B7"/>
    <w:rsid w:val="00FE53C5"/>
    <w:rsid w:val="00FE56A8"/>
    <w:rsid w:val="00FE5807"/>
    <w:rsid w:val="00FE5C39"/>
    <w:rsid w:val="00FE5C57"/>
    <w:rsid w:val="00FE624E"/>
    <w:rsid w:val="00FE6415"/>
    <w:rsid w:val="00FE69E7"/>
    <w:rsid w:val="00FE6BB8"/>
    <w:rsid w:val="00FE6E76"/>
    <w:rsid w:val="00FF027B"/>
    <w:rsid w:val="00FF1174"/>
    <w:rsid w:val="00FF165A"/>
    <w:rsid w:val="00FF1B72"/>
    <w:rsid w:val="00FF1CF1"/>
    <w:rsid w:val="00FF1F4C"/>
    <w:rsid w:val="00FF1F90"/>
    <w:rsid w:val="00FF228F"/>
    <w:rsid w:val="00FF35DC"/>
    <w:rsid w:val="00FF3A6A"/>
    <w:rsid w:val="00FF3C7A"/>
    <w:rsid w:val="00FF3E09"/>
    <w:rsid w:val="00FF411C"/>
    <w:rsid w:val="00FF44C6"/>
    <w:rsid w:val="00FF4B2E"/>
    <w:rsid w:val="00FF4E4B"/>
    <w:rsid w:val="00FF4E4E"/>
    <w:rsid w:val="00FF5049"/>
    <w:rsid w:val="00FF519C"/>
    <w:rsid w:val="00FF5D1F"/>
    <w:rsid w:val="00FF5F95"/>
    <w:rsid w:val="00FF6126"/>
    <w:rsid w:val="00FF61F5"/>
    <w:rsid w:val="00FF62AA"/>
    <w:rsid w:val="00FF64D7"/>
    <w:rsid w:val="00FF6B6C"/>
    <w:rsid w:val="00FF6DD4"/>
    <w:rsid w:val="0108314E"/>
    <w:rsid w:val="010F3B4F"/>
    <w:rsid w:val="011078C7"/>
    <w:rsid w:val="01115B19"/>
    <w:rsid w:val="01145473"/>
    <w:rsid w:val="01170BF2"/>
    <w:rsid w:val="01207171"/>
    <w:rsid w:val="0136732D"/>
    <w:rsid w:val="013C06BC"/>
    <w:rsid w:val="013E61E2"/>
    <w:rsid w:val="01422176"/>
    <w:rsid w:val="0143581A"/>
    <w:rsid w:val="015502C6"/>
    <w:rsid w:val="015B703A"/>
    <w:rsid w:val="015D0D5E"/>
    <w:rsid w:val="0168325F"/>
    <w:rsid w:val="016C2D4F"/>
    <w:rsid w:val="017C6D0A"/>
    <w:rsid w:val="018A0770"/>
    <w:rsid w:val="01995B0E"/>
    <w:rsid w:val="01A324E9"/>
    <w:rsid w:val="01A504F7"/>
    <w:rsid w:val="01AA2C10"/>
    <w:rsid w:val="01CA3F1A"/>
    <w:rsid w:val="01D9415D"/>
    <w:rsid w:val="01DD3C4D"/>
    <w:rsid w:val="01E3527C"/>
    <w:rsid w:val="01EF3980"/>
    <w:rsid w:val="01F37FC4"/>
    <w:rsid w:val="01F7126B"/>
    <w:rsid w:val="01F82835"/>
    <w:rsid w:val="02104022"/>
    <w:rsid w:val="021B6523"/>
    <w:rsid w:val="021F6013"/>
    <w:rsid w:val="02423BC5"/>
    <w:rsid w:val="024412E7"/>
    <w:rsid w:val="024535A0"/>
    <w:rsid w:val="024B6E08"/>
    <w:rsid w:val="024E4B4B"/>
    <w:rsid w:val="02500776"/>
    <w:rsid w:val="02555813"/>
    <w:rsid w:val="025657AD"/>
    <w:rsid w:val="02886DC8"/>
    <w:rsid w:val="029F7154"/>
    <w:rsid w:val="02A6094D"/>
    <w:rsid w:val="02B32C00"/>
    <w:rsid w:val="02BA3F8E"/>
    <w:rsid w:val="02C866AB"/>
    <w:rsid w:val="02CF1221"/>
    <w:rsid w:val="02D93C69"/>
    <w:rsid w:val="02DB0B53"/>
    <w:rsid w:val="02DC20C4"/>
    <w:rsid w:val="02DC29D3"/>
    <w:rsid w:val="02E30EB0"/>
    <w:rsid w:val="02EA04F8"/>
    <w:rsid w:val="02ED1A38"/>
    <w:rsid w:val="02F254D6"/>
    <w:rsid w:val="02F33C8E"/>
    <w:rsid w:val="030516AD"/>
    <w:rsid w:val="03123DCA"/>
    <w:rsid w:val="03177B2A"/>
    <w:rsid w:val="031B650C"/>
    <w:rsid w:val="031B73E3"/>
    <w:rsid w:val="032D4760"/>
    <w:rsid w:val="033643D3"/>
    <w:rsid w:val="033C2BF5"/>
    <w:rsid w:val="033E071B"/>
    <w:rsid w:val="03457CFC"/>
    <w:rsid w:val="034B4BE6"/>
    <w:rsid w:val="034C6030"/>
    <w:rsid w:val="03595555"/>
    <w:rsid w:val="03667C72"/>
    <w:rsid w:val="037738D8"/>
    <w:rsid w:val="037A0B0F"/>
    <w:rsid w:val="03822CFE"/>
    <w:rsid w:val="038502F4"/>
    <w:rsid w:val="03885BCE"/>
    <w:rsid w:val="03891C91"/>
    <w:rsid w:val="038F541B"/>
    <w:rsid w:val="0392072B"/>
    <w:rsid w:val="03A013D6"/>
    <w:rsid w:val="03AE3AF3"/>
    <w:rsid w:val="03AF33C7"/>
    <w:rsid w:val="03DA48E8"/>
    <w:rsid w:val="03DD7F34"/>
    <w:rsid w:val="03E868D9"/>
    <w:rsid w:val="03E94977"/>
    <w:rsid w:val="03EC461B"/>
    <w:rsid w:val="03F05666"/>
    <w:rsid w:val="03F31506"/>
    <w:rsid w:val="03F5079A"/>
    <w:rsid w:val="03FF60FC"/>
    <w:rsid w:val="04036E52"/>
    <w:rsid w:val="040C0819"/>
    <w:rsid w:val="040C2ED1"/>
    <w:rsid w:val="041D3E0F"/>
    <w:rsid w:val="041E22FB"/>
    <w:rsid w:val="04272850"/>
    <w:rsid w:val="042913CB"/>
    <w:rsid w:val="04310280"/>
    <w:rsid w:val="0442423B"/>
    <w:rsid w:val="044E2BE0"/>
    <w:rsid w:val="044F4634"/>
    <w:rsid w:val="04602913"/>
    <w:rsid w:val="0462668B"/>
    <w:rsid w:val="04765325"/>
    <w:rsid w:val="04781A0B"/>
    <w:rsid w:val="047C774D"/>
    <w:rsid w:val="048D195A"/>
    <w:rsid w:val="049C7DEF"/>
    <w:rsid w:val="049D76C3"/>
    <w:rsid w:val="04A22F2C"/>
    <w:rsid w:val="04A96068"/>
    <w:rsid w:val="04AB0032"/>
    <w:rsid w:val="04B769D7"/>
    <w:rsid w:val="04C25910"/>
    <w:rsid w:val="04C70D83"/>
    <w:rsid w:val="04D03DAE"/>
    <w:rsid w:val="04DC4690"/>
    <w:rsid w:val="04DD5D12"/>
    <w:rsid w:val="04E62E18"/>
    <w:rsid w:val="04E70F4F"/>
    <w:rsid w:val="050D2A9B"/>
    <w:rsid w:val="0523331B"/>
    <w:rsid w:val="05281683"/>
    <w:rsid w:val="05290F57"/>
    <w:rsid w:val="0534627A"/>
    <w:rsid w:val="053578FC"/>
    <w:rsid w:val="054144F3"/>
    <w:rsid w:val="05414E92"/>
    <w:rsid w:val="05524952"/>
    <w:rsid w:val="05526700"/>
    <w:rsid w:val="05561343"/>
    <w:rsid w:val="05720B50"/>
    <w:rsid w:val="05790131"/>
    <w:rsid w:val="05791A60"/>
    <w:rsid w:val="057C19CF"/>
    <w:rsid w:val="058068F2"/>
    <w:rsid w:val="05836C32"/>
    <w:rsid w:val="0585481F"/>
    <w:rsid w:val="05854B8E"/>
    <w:rsid w:val="058663AA"/>
    <w:rsid w:val="05886C0F"/>
    <w:rsid w:val="059D3E1F"/>
    <w:rsid w:val="05A312E2"/>
    <w:rsid w:val="05A514AC"/>
    <w:rsid w:val="05A6010F"/>
    <w:rsid w:val="05AA2098"/>
    <w:rsid w:val="05AC4062"/>
    <w:rsid w:val="05B2719F"/>
    <w:rsid w:val="05C375FE"/>
    <w:rsid w:val="05D215EF"/>
    <w:rsid w:val="05E11832"/>
    <w:rsid w:val="05E7762B"/>
    <w:rsid w:val="05EA024D"/>
    <w:rsid w:val="05EE467B"/>
    <w:rsid w:val="06265907"/>
    <w:rsid w:val="062E4A77"/>
    <w:rsid w:val="062F3250"/>
    <w:rsid w:val="063E7B3D"/>
    <w:rsid w:val="067835DA"/>
    <w:rsid w:val="068955F4"/>
    <w:rsid w:val="069468A4"/>
    <w:rsid w:val="06952D48"/>
    <w:rsid w:val="0696086E"/>
    <w:rsid w:val="069A3EBB"/>
    <w:rsid w:val="069F5E8C"/>
    <w:rsid w:val="06A25465"/>
    <w:rsid w:val="06AD6197"/>
    <w:rsid w:val="06D0247A"/>
    <w:rsid w:val="06D373CC"/>
    <w:rsid w:val="06D82027"/>
    <w:rsid w:val="06DC0977"/>
    <w:rsid w:val="06DF3FC3"/>
    <w:rsid w:val="06ED4932"/>
    <w:rsid w:val="06EF1FF4"/>
    <w:rsid w:val="07033233"/>
    <w:rsid w:val="070D0B30"/>
    <w:rsid w:val="071E3C0C"/>
    <w:rsid w:val="072461A6"/>
    <w:rsid w:val="07303CF8"/>
    <w:rsid w:val="073D468D"/>
    <w:rsid w:val="073E6F3C"/>
    <w:rsid w:val="074B6498"/>
    <w:rsid w:val="075F0692"/>
    <w:rsid w:val="077A65DF"/>
    <w:rsid w:val="07807554"/>
    <w:rsid w:val="07832BA1"/>
    <w:rsid w:val="07886409"/>
    <w:rsid w:val="078D0774"/>
    <w:rsid w:val="07AD2E51"/>
    <w:rsid w:val="07BB7871"/>
    <w:rsid w:val="07DB054A"/>
    <w:rsid w:val="07EC6998"/>
    <w:rsid w:val="07F7533D"/>
    <w:rsid w:val="07F97408"/>
    <w:rsid w:val="080261BB"/>
    <w:rsid w:val="08030185"/>
    <w:rsid w:val="080D4B60"/>
    <w:rsid w:val="0822685D"/>
    <w:rsid w:val="082F2519"/>
    <w:rsid w:val="0839683B"/>
    <w:rsid w:val="083B347B"/>
    <w:rsid w:val="083D2AF4"/>
    <w:rsid w:val="083F775F"/>
    <w:rsid w:val="08406638"/>
    <w:rsid w:val="08504FF6"/>
    <w:rsid w:val="08585DDB"/>
    <w:rsid w:val="08650F92"/>
    <w:rsid w:val="086D5141"/>
    <w:rsid w:val="086E1AA3"/>
    <w:rsid w:val="086F1377"/>
    <w:rsid w:val="0873752E"/>
    <w:rsid w:val="088C017B"/>
    <w:rsid w:val="088F2B8B"/>
    <w:rsid w:val="089303A1"/>
    <w:rsid w:val="089808CE"/>
    <w:rsid w:val="08A47272"/>
    <w:rsid w:val="08AE00F1"/>
    <w:rsid w:val="08B4344D"/>
    <w:rsid w:val="08BD0ECF"/>
    <w:rsid w:val="08D13DE0"/>
    <w:rsid w:val="08D4415D"/>
    <w:rsid w:val="08D613F6"/>
    <w:rsid w:val="08F53B23"/>
    <w:rsid w:val="09002CAE"/>
    <w:rsid w:val="09151F1E"/>
    <w:rsid w:val="09172732"/>
    <w:rsid w:val="091A424A"/>
    <w:rsid w:val="091E5277"/>
    <w:rsid w:val="092060A3"/>
    <w:rsid w:val="092F3D18"/>
    <w:rsid w:val="093738EA"/>
    <w:rsid w:val="09410F65"/>
    <w:rsid w:val="09756D49"/>
    <w:rsid w:val="097826CE"/>
    <w:rsid w:val="097F383C"/>
    <w:rsid w:val="098D72CE"/>
    <w:rsid w:val="09970B85"/>
    <w:rsid w:val="09976DD7"/>
    <w:rsid w:val="09984813"/>
    <w:rsid w:val="099F4CD6"/>
    <w:rsid w:val="09A6526C"/>
    <w:rsid w:val="09AF4121"/>
    <w:rsid w:val="09BF7770"/>
    <w:rsid w:val="09C13200"/>
    <w:rsid w:val="09D05E45"/>
    <w:rsid w:val="09D122E9"/>
    <w:rsid w:val="09D9119E"/>
    <w:rsid w:val="09E60F96"/>
    <w:rsid w:val="09EB2C7F"/>
    <w:rsid w:val="09F2225F"/>
    <w:rsid w:val="09FF7E17"/>
    <w:rsid w:val="0A053C89"/>
    <w:rsid w:val="0A070656"/>
    <w:rsid w:val="0A0F2E11"/>
    <w:rsid w:val="0A112996"/>
    <w:rsid w:val="0A147C03"/>
    <w:rsid w:val="0A1813C7"/>
    <w:rsid w:val="0A1E592A"/>
    <w:rsid w:val="0A267F19"/>
    <w:rsid w:val="0A3B59B5"/>
    <w:rsid w:val="0A51342A"/>
    <w:rsid w:val="0A5B7E05"/>
    <w:rsid w:val="0A6D18E6"/>
    <w:rsid w:val="0A6E5D8A"/>
    <w:rsid w:val="0A73514E"/>
    <w:rsid w:val="0A7964DD"/>
    <w:rsid w:val="0A913ED8"/>
    <w:rsid w:val="0AA60261"/>
    <w:rsid w:val="0AAB0D8C"/>
    <w:rsid w:val="0AB27352"/>
    <w:rsid w:val="0ABB6AF5"/>
    <w:rsid w:val="0ABD286D"/>
    <w:rsid w:val="0ABF0394"/>
    <w:rsid w:val="0AE61DC4"/>
    <w:rsid w:val="0AE95411"/>
    <w:rsid w:val="0AFA761E"/>
    <w:rsid w:val="0AFB3396"/>
    <w:rsid w:val="0AFD44E7"/>
    <w:rsid w:val="0B00275A"/>
    <w:rsid w:val="0B154457"/>
    <w:rsid w:val="0B161F7E"/>
    <w:rsid w:val="0B24171E"/>
    <w:rsid w:val="0B36617C"/>
    <w:rsid w:val="0B4765DB"/>
    <w:rsid w:val="0B4E5BBB"/>
    <w:rsid w:val="0B552AA6"/>
    <w:rsid w:val="0B5C3243"/>
    <w:rsid w:val="0B5E59FA"/>
    <w:rsid w:val="0B602F7F"/>
    <w:rsid w:val="0B6115E9"/>
    <w:rsid w:val="0B6902FF"/>
    <w:rsid w:val="0B707905"/>
    <w:rsid w:val="0B7242FE"/>
    <w:rsid w:val="0B7A7000"/>
    <w:rsid w:val="0B970D88"/>
    <w:rsid w:val="0B995AC4"/>
    <w:rsid w:val="0B9A7040"/>
    <w:rsid w:val="0BA120A0"/>
    <w:rsid w:val="0BAD59A4"/>
    <w:rsid w:val="0BB329F1"/>
    <w:rsid w:val="0BB53545"/>
    <w:rsid w:val="0BBA4FFF"/>
    <w:rsid w:val="0BCC11C3"/>
    <w:rsid w:val="0BDA2FAB"/>
    <w:rsid w:val="0BDE0106"/>
    <w:rsid w:val="0BEF6A57"/>
    <w:rsid w:val="0BEF6BE8"/>
    <w:rsid w:val="0BF027CF"/>
    <w:rsid w:val="0BF16C73"/>
    <w:rsid w:val="0C0F534B"/>
    <w:rsid w:val="0C104C1F"/>
    <w:rsid w:val="0C234952"/>
    <w:rsid w:val="0C357211"/>
    <w:rsid w:val="0C376758"/>
    <w:rsid w:val="0C3C77C2"/>
    <w:rsid w:val="0C427989"/>
    <w:rsid w:val="0C466B45"/>
    <w:rsid w:val="0C467A13"/>
    <w:rsid w:val="0C6A07D3"/>
    <w:rsid w:val="0C762CD4"/>
    <w:rsid w:val="0C7763F9"/>
    <w:rsid w:val="0C7B653C"/>
    <w:rsid w:val="0C7E602C"/>
    <w:rsid w:val="0C8A2C23"/>
    <w:rsid w:val="0C8E2713"/>
    <w:rsid w:val="0C917B0E"/>
    <w:rsid w:val="0C963376"/>
    <w:rsid w:val="0C9E222B"/>
    <w:rsid w:val="0CBD2A2F"/>
    <w:rsid w:val="0CBE467B"/>
    <w:rsid w:val="0CC2416B"/>
    <w:rsid w:val="0CC44785"/>
    <w:rsid w:val="0CCA3020"/>
    <w:rsid w:val="0CD10852"/>
    <w:rsid w:val="0CD8573D"/>
    <w:rsid w:val="0CDB6FDB"/>
    <w:rsid w:val="0CEC12AF"/>
    <w:rsid w:val="0D04565D"/>
    <w:rsid w:val="0D1B1ACD"/>
    <w:rsid w:val="0D1F6B15"/>
    <w:rsid w:val="0D4E71B1"/>
    <w:rsid w:val="0D5079C9"/>
    <w:rsid w:val="0D562B05"/>
    <w:rsid w:val="0D584403"/>
    <w:rsid w:val="0D6B3669"/>
    <w:rsid w:val="0D7F3E0A"/>
    <w:rsid w:val="0D837D9E"/>
    <w:rsid w:val="0D886C01"/>
    <w:rsid w:val="0D913B3D"/>
    <w:rsid w:val="0D9217FF"/>
    <w:rsid w:val="0D9378B6"/>
    <w:rsid w:val="0DA57703"/>
    <w:rsid w:val="0DA6583B"/>
    <w:rsid w:val="0DC24FC9"/>
    <w:rsid w:val="0DC61A39"/>
    <w:rsid w:val="0DD903DA"/>
    <w:rsid w:val="0DE3083D"/>
    <w:rsid w:val="0DEE7765"/>
    <w:rsid w:val="0DEF0771"/>
    <w:rsid w:val="0DF04D08"/>
    <w:rsid w:val="0DF62D23"/>
    <w:rsid w:val="0DF77E44"/>
    <w:rsid w:val="0DF90060"/>
    <w:rsid w:val="0E042561"/>
    <w:rsid w:val="0E0B11FA"/>
    <w:rsid w:val="0E0F33E0"/>
    <w:rsid w:val="0E124C7E"/>
    <w:rsid w:val="0E1A1D85"/>
    <w:rsid w:val="0E1B3F19"/>
    <w:rsid w:val="0E1C78AB"/>
    <w:rsid w:val="0E211365"/>
    <w:rsid w:val="0E2A1FC8"/>
    <w:rsid w:val="0E2B3F92"/>
    <w:rsid w:val="0E2F11D0"/>
    <w:rsid w:val="0E4742D5"/>
    <w:rsid w:val="0E4A08BC"/>
    <w:rsid w:val="0E527771"/>
    <w:rsid w:val="0E576B35"/>
    <w:rsid w:val="0E6D389F"/>
    <w:rsid w:val="0E6D6359"/>
    <w:rsid w:val="0E700754"/>
    <w:rsid w:val="0E770F85"/>
    <w:rsid w:val="0E7E2314"/>
    <w:rsid w:val="0E87741A"/>
    <w:rsid w:val="0E95355D"/>
    <w:rsid w:val="0E9D3E12"/>
    <w:rsid w:val="0EA578A0"/>
    <w:rsid w:val="0EAF071F"/>
    <w:rsid w:val="0EB0180F"/>
    <w:rsid w:val="0EBF032A"/>
    <w:rsid w:val="0ECC307F"/>
    <w:rsid w:val="0ED87C76"/>
    <w:rsid w:val="0EDE3842"/>
    <w:rsid w:val="0EE20AF5"/>
    <w:rsid w:val="0F022F45"/>
    <w:rsid w:val="0F0335C9"/>
    <w:rsid w:val="0F136F00"/>
    <w:rsid w:val="0F1D1B2D"/>
    <w:rsid w:val="0F1F58A5"/>
    <w:rsid w:val="0F204221"/>
    <w:rsid w:val="0F213035"/>
    <w:rsid w:val="0F256C33"/>
    <w:rsid w:val="0F276507"/>
    <w:rsid w:val="0F2B5D1F"/>
    <w:rsid w:val="0F3B3D47"/>
    <w:rsid w:val="0F3D5D2B"/>
    <w:rsid w:val="0F4B587D"/>
    <w:rsid w:val="0F6C5FE1"/>
    <w:rsid w:val="0F7B0A06"/>
    <w:rsid w:val="0F7B76C4"/>
    <w:rsid w:val="0F7D081D"/>
    <w:rsid w:val="0F803E6A"/>
    <w:rsid w:val="0F8E37C8"/>
    <w:rsid w:val="0F9A13CF"/>
    <w:rsid w:val="0F9A317D"/>
    <w:rsid w:val="0F9C6EF5"/>
    <w:rsid w:val="0FA250E1"/>
    <w:rsid w:val="0FA35CA6"/>
    <w:rsid w:val="0FC401FA"/>
    <w:rsid w:val="0FD3043D"/>
    <w:rsid w:val="0FD74C28"/>
    <w:rsid w:val="0FE7656F"/>
    <w:rsid w:val="0FE97C61"/>
    <w:rsid w:val="0FF63AA5"/>
    <w:rsid w:val="10011319"/>
    <w:rsid w:val="1006245B"/>
    <w:rsid w:val="10086339"/>
    <w:rsid w:val="100A57A4"/>
    <w:rsid w:val="100B7BD7"/>
    <w:rsid w:val="100D1BA1"/>
    <w:rsid w:val="10134CDE"/>
    <w:rsid w:val="101A2510"/>
    <w:rsid w:val="101C0A97"/>
    <w:rsid w:val="101F38C3"/>
    <w:rsid w:val="102313C5"/>
    <w:rsid w:val="10234F21"/>
    <w:rsid w:val="102F7D69"/>
    <w:rsid w:val="10401F77"/>
    <w:rsid w:val="104D01F0"/>
    <w:rsid w:val="1054157E"/>
    <w:rsid w:val="105C6685"/>
    <w:rsid w:val="106D1FAD"/>
    <w:rsid w:val="106D43EE"/>
    <w:rsid w:val="108160EB"/>
    <w:rsid w:val="10833C11"/>
    <w:rsid w:val="10945E1E"/>
    <w:rsid w:val="10A622DE"/>
    <w:rsid w:val="10AF4A06"/>
    <w:rsid w:val="10B822C3"/>
    <w:rsid w:val="10CF6E57"/>
    <w:rsid w:val="10D85CC4"/>
    <w:rsid w:val="10E24EFD"/>
    <w:rsid w:val="10F67974"/>
    <w:rsid w:val="10FD1C16"/>
    <w:rsid w:val="11056D1C"/>
    <w:rsid w:val="11066BBB"/>
    <w:rsid w:val="110C4121"/>
    <w:rsid w:val="1111121D"/>
    <w:rsid w:val="111E393A"/>
    <w:rsid w:val="112C42A9"/>
    <w:rsid w:val="11357601"/>
    <w:rsid w:val="11423ACC"/>
    <w:rsid w:val="11435BFC"/>
    <w:rsid w:val="114A0BD3"/>
    <w:rsid w:val="117619EB"/>
    <w:rsid w:val="117B2B3A"/>
    <w:rsid w:val="118934A9"/>
    <w:rsid w:val="119A56B6"/>
    <w:rsid w:val="11A110D7"/>
    <w:rsid w:val="11A622AD"/>
    <w:rsid w:val="11AB15B9"/>
    <w:rsid w:val="11AD1C79"/>
    <w:rsid w:val="11B115F5"/>
    <w:rsid w:val="11BF6ECB"/>
    <w:rsid w:val="11C97D4A"/>
    <w:rsid w:val="11D0732A"/>
    <w:rsid w:val="11D434DA"/>
    <w:rsid w:val="11D87F8D"/>
    <w:rsid w:val="11E3395D"/>
    <w:rsid w:val="11E626AA"/>
    <w:rsid w:val="120E7E53"/>
    <w:rsid w:val="121865DB"/>
    <w:rsid w:val="122F22A3"/>
    <w:rsid w:val="12312651"/>
    <w:rsid w:val="12331667"/>
    <w:rsid w:val="12607365"/>
    <w:rsid w:val="12680E27"/>
    <w:rsid w:val="12685FCD"/>
    <w:rsid w:val="126C71EE"/>
    <w:rsid w:val="12715AC8"/>
    <w:rsid w:val="1279351E"/>
    <w:rsid w:val="127952CC"/>
    <w:rsid w:val="1280574C"/>
    <w:rsid w:val="12AA7B7B"/>
    <w:rsid w:val="12B04A66"/>
    <w:rsid w:val="12CF1390"/>
    <w:rsid w:val="12D62275"/>
    <w:rsid w:val="12E87CB4"/>
    <w:rsid w:val="12EB3CF0"/>
    <w:rsid w:val="12EB70BB"/>
    <w:rsid w:val="12F157AA"/>
    <w:rsid w:val="12F17558"/>
    <w:rsid w:val="12F26454"/>
    <w:rsid w:val="12F26E2C"/>
    <w:rsid w:val="13024F2E"/>
    <w:rsid w:val="131C047C"/>
    <w:rsid w:val="131D659F"/>
    <w:rsid w:val="132536A6"/>
    <w:rsid w:val="1332191F"/>
    <w:rsid w:val="133B07D3"/>
    <w:rsid w:val="13427DB4"/>
    <w:rsid w:val="134753CA"/>
    <w:rsid w:val="135628BD"/>
    <w:rsid w:val="1356385F"/>
    <w:rsid w:val="13A04ADA"/>
    <w:rsid w:val="13A16CBF"/>
    <w:rsid w:val="13AA5959"/>
    <w:rsid w:val="13B660AC"/>
    <w:rsid w:val="13B751E9"/>
    <w:rsid w:val="13BB6B20"/>
    <w:rsid w:val="13C22CA3"/>
    <w:rsid w:val="13D80DE3"/>
    <w:rsid w:val="13DD188A"/>
    <w:rsid w:val="13E44C8F"/>
    <w:rsid w:val="13EF0479"/>
    <w:rsid w:val="13EF0A3E"/>
    <w:rsid w:val="14072DAB"/>
    <w:rsid w:val="141A663B"/>
    <w:rsid w:val="141F66D1"/>
    <w:rsid w:val="143E4A1F"/>
    <w:rsid w:val="14411E19"/>
    <w:rsid w:val="14423DE3"/>
    <w:rsid w:val="144F0E05"/>
    <w:rsid w:val="14551D69"/>
    <w:rsid w:val="146F2C7A"/>
    <w:rsid w:val="14751CD5"/>
    <w:rsid w:val="147C10A3"/>
    <w:rsid w:val="147D6BCA"/>
    <w:rsid w:val="147E306D"/>
    <w:rsid w:val="148937C0"/>
    <w:rsid w:val="149E4992"/>
    <w:rsid w:val="14C11485"/>
    <w:rsid w:val="14CA1955"/>
    <w:rsid w:val="14DE58BA"/>
    <w:rsid w:val="14E530ED"/>
    <w:rsid w:val="14EA7CA7"/>
    <w:rsid w:val="14F00A0F"/>
    <w:rsid w:val="14FE7D0A"/>
    <w:rsid w:val="15080B89"/>
    <w:rsid w:val="150F0169"/>
    <w:rsid w:val="151A0B57"/>
    <w:rsid w:val="15233726"/>
    <w:rsid w:val="152359C3"/>
    <w:rsid w:val="15273705"/>
    <w:rsid w:val="1528122B"/>
    <w:rsid w:val="15311E8E"/>
    <w:rsid w:val="1534372C"/>
    <w:rsid w:val="15436065"/>
    <w:rsid w:val="15485AA9"/>
    <w:rsid w:val="154F1265"/>
    <w:rsid w:val="155618F4"/>
    <w:rsid w:val="15622156"/>
    <w:rsid w:val="15655FDB"/>
    <w:rsid w:val="15783F61"/>
    <w:rsid w:val="158A3C94"/>
    <w:rsid w:val="158C2D9C"/>
    <w:rsid w:val="1594747C"/>
    <w:rsid w:val="159D5775"/>
    <w:rsid w:val="15A13C8F"/>
    <w:rsid w:val="15D05B4B"/>
    <w:rsid w:val="15D268AA"/>
    <w:rsid w:val="15DF7B3C"/>
    <w:rsid w:val="15E74C42"/>
    <w:rsid w:val="15E92769"/>
    <w:rsid w:val="15F07F9B"/>
    <w:rsid w:val="16101D7E"/>
    <w:rsid w:val="161248DA"/>
    <w:rsid w:val="1635775C"/>
    <w:rsid w:val="1638724C"/>
    <w:rsid w:val="16397713"/>
    <w:rsid w:val="163A0737"/>
    <w:rsid w:val="163D01FE"/>
    <w:rsid w:val="164B0622"/>
    <w:rsid w:val="164D3443"/>
    <w:rsid w:val="1651030E"/>
    <w:rsid w:val="1653052A"/>
    <w:rsid w:val="16594D29"/>
    <w:rsid w:val="165B0ABE"/>
    <w:rsid w:val="165D5517"/>
    <w:rsid w:val="166167A3"/>
    <w:rsid w:val="16690834"/>
    <w:rsid w:val="166B0DFF"/>
    <w:rsid w:val="166C0A45"/>
    <w:rsid w:val="166D18B3"/>
    <w:rsid w:val="167069E6"/>
    <w:rsid w:val="167C7371"/>
    <w:rsid w:val="168D3A3C"/>
    <w:rsid w:val="16A52D20"/>
    <w:rsid w:val="16A7201F"/>
    <w:rsid w:val="16B77600"/>
    <w:rsid w:val="16BA4105"/>
    <w:rsid w:val="16BE1E47"/>
    <w:rsid w:val="16C3745D"/>
    <w:rsid w:val="16D90A2F"/>
    <w:rsid w:val="16DD6B4D"/>
    <w:rsid w:val="16E318AE"/>
    <w:rsid w:val="16ED44DA"/>
    <w:rsid w:val="16EF3DAF"/>
    <w:rsid w:val="16F70437"/>
    <w:rsid w:val="170A6E3A"/>
    <w:rsid w:val="170E5D26"/>
    <w:rsid w:val="171546C6"/>
    <w:rsid w:val="17451C21"/>
    <w:rsid w:val="174E3079"/>
    <w:rsid w:val="174F0CF1"/>
    <w:rsid w:val="1757398F"/>
    <w:rsid w:val="17606E66"/>
    <w:rsid w:val="17626C76"/>
    <w:rsid w:val="17694B12"/>
    <w:rsid w:val="176B3A77"/>
    <w:rsid w:val="176B75F2"/>
    <w:rsid w:val="178633B3"/>
    <w:rsid w:val="17885FB1"/>
    <w:rsid w:val="178A7F7B"/>
    <w:rsid w:val="178B2C19"/>
    <w:rsid w:val="179606CE"/>
    <w:rsid w:val="17966920"/>
    <w:rsid w:val="179B7A92"/>
    <w:rsid w:val="17A27073"/>
    <w:rsid w:val="17AD5A18"/>
    <w:rsid w:val="17AF353E"/>
    <w:rsid w:val="17B15508"/>
    <w:rsid w:val="17BD5C5B"/>
    <w:rsid w:val="17BE59A2"/>
    <w:rsid w:val="17C95975"/>
    <w:rsid w:val="17CC1893"/>
    <w:rsid w:val="17D17958"/>
    <w:rsid w:val="17DE3E23"/>
    <w:rsid w:val="17EB24DE"/>
    <w:rsid w:val="17EB6C6C"/>
    <w:rsid w:val="17EC61EC"/>
    <w:rsid w:val="17ED2C6B"/>
    <w:rsid w:val="17F04282"/>
    <w:rsid w:val="17F72142"/>
    <w:rsid w:val="17FD24FB"/>
    <w:rsid w:val="18001DBA"/>
    <w:rsid w:val="180752EF"/>
    <w:rsid w:val="1811244B"/>
    <w:rsid w:val="18117D55"/>
    <w:rsid w:val="18185849"/>
    <w:rsid w:val="1818730F"/>
    <w:rsid w:val="18271890"/>
    <w:rsid w:val="18414ADE"/>
    <w:rsid w:val="184A42DA"/>
    <w:rsid w:val="18561C0B"/>
    <w:rsid w:val="18567E5D"/>
    <w:rsid w:val="187F1162"/>
    <w:rsid w:val="18814EDA"/>
    <w:rsid w:val="188327F5"/>
    <w:rsid w:val="188F58CF"/>
    <w:rsid w:val="18950986"/>
    <w:rsid w:val="18956BD8"/>
    <w:rsid w:val="18982224"/>
    <w:rsid w:val="189A2440"/>
    <w:rsid w:val="18A94431"/>
    <w:rsid w:val="18C33F5F"/>
    <w:rsid w:val="18C876D8"/>
    <w:rsid w:val="18CA5813"/>
    <w:rsid w:val="18DB5A75"/>
    <w:rsid w:val="18E611E1"/>
    <w:rsid w:val="18ED735A"/>
    <w:rsid w:val="18F02060"/>
    <w:rsid w:val="18F733EE"/>
    <w:rsid w:val="18FE29CF"/>
    <w:rsid w:val="19033B41"/>
    <w:rsid w:val="19037AF3"/>
    <w:rsid w:val="1912647A"/>
    <w:rsid w:val="192166BD"/>
    <w:rsid w:val="19283568"/>
    <w:rsid w:val="192B3098"/>
    <w:rsid w:val="1934019F"/>
    <w:rsid w:val="193463F1"/>
    <w:rsid w:val="19393A07"/>
    <w:rsid w:val="194B4755"/>
    <w:rsid w:val="1965563C"/>
    <w:rsid w:val="197C1B46"/>
    <w:rsid w:val="197E58BE"/>
    <w:rsid w:val="19960E59"/>
    <w:rsid w:val="19971F9C"/>
    <w:rsid w:val="19A5109C"/>
    <w:rsid w:val="19B3728E"/>
    <w:rsid w:val="19B65058"/>
    <w:rsid w:val="19C3097F"/>
    <w:rsid w:val="19D674A8"/>
    <w:rsid w:val="19E46D6E"/>
    <w:rsid w:val="1A031D3C"/>
    <w:rsid w:val="1A061349"/>
    <w:rsid w:val="1A073245"/>
    <w:rsid w:val="1A174234"/>
    <w:rsid w:val="1A2C70C8"/>
    <w:rsid w:val="1A3B555D"/>
    <w:rsid w:val="1A4118E9"/>
    <w:rsid w:val="1A442DE9"/>
    <w:rsid w:val="1A56143D"/>
    <w:rsid w:val="1A5D1977"/>
    <w:rsid w:val="1A620D3B"/>
    <w:rsid w:val="1A75281D"/>
    <w:rsid w:val="1A7A42D7"/>
    <w:rsid w:val="1A892BDB"/>
    <w:rsid w:val="1AA616FE"/>
    <w:rsid w:val="1AAA24BD"/>
    <w:rsid w:val="1AB570BD"/>
    <w:rsid w:val="1AC35C98"/>
    <w:rsid w:val="1AC63078"/>
    <w:rsid w:val="1ACA018D"/>
    <w:rsid w:val="1AD060FE"/>
    <w:rsid w:val="1AD25EC1"/>
    <w:rsid w:val="1ADC0AEE"/>
    <w:rsid w:val="1AF53561"/>
    <w:rsid w:val="1AFB2E83"/>
    <w:rsid w:val="1AFF658A"/>
    <w:rsid w:val="1B03607B"/>
    <w:rsid w:val="1B101769"/>
    <w:rsid w:val="1B1738D4"/>
    <w:rsid w:val="1B25482F"/>
    <w:rsid w:val="1B2F3FF6"/>
    <w:rsid w:val="1B372632"/>
    <w:rsid w:val="1B3C0EE4"/>
    <w:rsid w:val="1B530684"/>
    <w:rsid w:val="1B5663BC"/>
    <w:rsid w:val="1B56689D"/>
    <w:rsid w:val="1B854CE1"/>
    <w:rsid w:val="1B953983"/>
    <w:rsid w:val="1BAF3A7B"/>
    <w:rsid w:val="1BBF486B"/>
    <w:rsid w:val="1BC27739"/>
    <w:rsid w:val="1BC305D3"/>
    <w:rsid w:val="1BC3580A"/>
    <w:rsid w:val="1BD6553D"/>
    <w:rsid w:val="1BE06796"/>
    <w:rsid w:val="1BE834C2"/>
    <w:rsid w:val="1BEA548C"/>
    <w:rsid w:val="1BF44E78"/>
    <w:rsid w:val="1BF47D8F"/>
    <w:rsid w:val="1C026332"/>
    <w:rsid w:val="1C086F4F"/>
    <w:rsid w:val="1C1E130C"/>
    <w:rsid w:val="1C24274C"/>
    <w:rsid w:val="1C297D63"/>
    <w:rsid w:val="1C2A7F82"/>
    <w:rsid w:val="1C3B7A96"/>
    <w:rsid w:val="1C44694B"/>
    <w:rsid w:val="1C5841A4"/>
    <w:rsid w:val="1C604A01"/>
    <w:rsid w:val="1C646FED"/>
    <w:rsid w:val="1C69015F"/>
    <w:rsid w:val="1C7E43A1"/>
    <w:rsid w:val="1C96375A"/>
    <w:rsid w:val="1CAE0268"/>
    <w:rsid w:val="1CBB2985"/>
    <w:rsid w:val="1CC45CDD"/>
    <w:rsid w:val="1CC57360"/>
    <w:rsid w:val="1CD13F56"/>
    <w:rsid w:val="1CD30A4C"/>
    <w:rsid w:val="1CD55680"/>
    <w:rsid w:val="1CE75528"/>
    <w:rsid w:val="1CEE68B6"/>
    <w:rsid w:val="1CF06AD2"/>
    <w:rsid w:val="1D167BBB"/>
    <w:rsid w:val="1D235D75"/>
    <w:rsid w:val="1D321E13"/>
    <w:rsid w:val="1D351D4F"/>
    <w:rsid w:val="1D3C4F3E"/>
    <w:rsid w:val="1D497F91"/>
    <w:rsid w:val="1D544BAE"/>
    <w:rsid w:val="1D631052"/>
    <w:rsid w:val="1D660B43"/>
    <w:rsid w:val="1D772D50"/>
    <w:rsid w:val="1D81772B"/>
    <w:rsid w:val="1D8334A3"/>
    <w:rsid w:val="1D84721B"/>
    <w:rsid w:val="1DA022A7"/>
    <w:rsid w:val="1DA344B8"/>
    <w:rsid w:val="1DAC50F0"/>
    <w:rsid w:val="1DB0683B"/>
    <w:rsid w:val="1DBC044E"/>
    <w:rsid w:val="1DD81726"/>
    <w:rsid w:val="1DE33F41"/>
    <w:rsid w:val="1DE702CC"/>
    <w:rsid w:val="1DEF6D8A"/>
    <w:rsid w:val="1DFA406D"/>
    <w:rsid w:val="1DFF700D"/>
    <w:rsid w:val="1E064B3B"/>
    <w:rsid w:val="1E14059F"/>
    <w:rsid w:val="1E1B011F"/>
    <w:rsid w:val="1E485497"/>
    <w:rsid w:val="1E4E3AB1"/>
    <w:rsid w:val="1E5F3164"/>
    <w:rsid w:val="1E62755C"/>
    <w:rsid w:val="1E6A6411"/>
    <w:rsid w:val="1E716868"/>
    <w:rsid w:val="1E7E3C6A"/>
    <w:rsid w:val="1E840BF6"/>
    <w:rsid w:val="1E88623C"/>
    <w:rsid w:val="1E990AA4"/>
    <w:rsid w:val="1E9A6CF6"/>
    <w:rsid w:val="1E9D2342"/>
    <w:rsid w:val="1EA41923"/>
    <w:rsid w:val="1EA5569B"/>
    <w:rsid w:val="1EBB0A1A"/>
    <w:rsid w:val="1EC05AB5"/>
    <w:rsid w:val="1ECE4BF1"/>
    <w:rsid w:val="1ED15378"/>
    <w:rsid w:val="1ED33FB6"/>
    <w:rsid w:val="1EE12B77"/>
    <w:rsid w:val="1EFB4432"/>
    <w:rsid w:val="1F040613"/>
    <w:rsid w:val="1F071EB1"/>
    <w:rsid w:val="1F106FB8"/>
    <w:rsid w:val="1F245696"/>
    <w:rsid w:val="1F2D4C2A"/>
    <w:rsid w:val="1F3507CD"/>
    <w:rsid w:val="1F37200A"/>
    <w:rsid w:val="1F3C7DAD"/>
    <w:rsid w:val="1F437F4A"/>
    <w:rsid w:val="1F4849CA"/>
    <w:rsid w:val="1F4934E4"/>
    <w:rsid w:val="1F4D3D68"/>
    <w:rsid w:val="1F574B03"/>
    <w:rsid w:val="1F6D440A"/>
    <w:rsid w:val="1F751511"/>
    <w:rsid w:val="1F7532BF"/>
    <w:rsid w:val="1F843502"/>
    <w:rsid w:val="1F843F90"/>
    <w:rsid w:val="1F871C7C"/>
    <w:rsid w:val="1F873477"/>
    <w:rsid w:val="1F900A1F"/>
    <w:rsid w:val="1F957B50"/>
    <w:rsid w:val="1F9D6372"/>
    <w:rsid w:val="1FAD2191"/>
    <w:rsid w:val="1FB21E1D"/>
    <w:rsid w:val="1FB80687"/>
    <w:rsid w:val="1FC16857"/>
    <w:rsid w:val="1FC93481"/>
    <w:rsid w:val="1FD224BF"/>
    <w:rsid w:val="1FD60202"/>
    <w:rsid w:val="1FD71884"/>
    <w:rsid w:val="1FE741BD"/>
    <w:rsid w:val="1FEC4E88"/>
    <w:rsid w:val="200456B9"/>
    <w:rsid w:val="20081A9B"/>
    <w:rsid w:val="200F3EAF"/>
    <w:rsid w:val="20250841"/>
    <w:rsid w:val="202A7DFC"/>
    <w:rsid w:val="20474C5B"/>
    <w:rsid w:val="204A474C"/>
    <w:rsid w:val="204A64FA"/>
    <w:rsid w:val="2059788E"/>
    <w:rsid w:val="205D622D"/>
    <w:rsid w:val="206274E9"/>
    <w:rsid w:val="2063580D"/>
    <w:rsid w:val="20670E5A"/>
    <w:rsid w:val="206F7D0E"/>
    <w:rsid w:val="20717F2A"/>
    <w:rsid w:val="20743577"/>
    <w:rsid w:val="2076109D"/>
    <w:rsid w:val="20842038"/>
    <w:rsid w:val="20863CB7"/>
    <w:rsid w:val="208D63E6"/>
    <w:rsid w:val="20AF45AF"/>
    <w:rsid w:val="20B00655"/>
    <w:rsid w:val="20B36146"/>
    <w:rsid w:val="20C0517F"/>
    <w:rsid w:val="20C1476D"/>
    <w:rsid w:val="20CC6F0F"/>
    <w:rsid w:val="20D858B3"/>
    <w:rsid w:val="20E06A7D"/>
    <w:rsid w:val="21035A46"/>
    <w:rsid w:val="210404B9"/>
    <w:rsid w:val="21132D8F"/>
    <w:rsid w:val="2117534C"/>
    <w:rsid w:val="2133798D"/>
    <w:rsid w:val="213A47C0"/>
    <w:rsid w:val="213D39FA"/>
    <w:rsid w:val="213D7E0C"/>
    <w:rsid w:val="21455F84"/>
    <w:rsid w:val="21495609"/>
    <w:rsid w:val="214B42D7"/>
    <w:rsid w:val="216D6944"/>
    <w:rsid w:val="21725D08"/>
    <w:rsid w:val="218477E9"/>
    <w:rsid w:val="218872DA"/>
    <w:rsid w:val="218A699A"/>
    <w:rsid w:val="2190618E"/>
    <w:rsid w:val="219C2D85"/>
    <w:rsid w:val="21A07893"/>
    <w:rsid w:val="21A1039B"/>
    <w:rsid w:val="21A7260B"/>
    <w:rsid w:val="21B11354"/>
    <w:rsid w:val="21D95D87"/>
    <w:rsid w:val="21ED4154"/>
    <w:rsid w:val="22105521"/>
    <w:rsid w:val="22117056"/>
    <w:rsid w:val="22145011"/>
    <w:rsid w:val="221C2118"/>
    <w:rsid w:val="22370D00"/>
    <w:rsid w:val="224551CB"/>
    <w:rsid w:val="224869F6"/>
    <w:rsid w:val="2250591D"/>
    <w:rsid w:val="225E628C"/>
    <w:rsid w:val="22643966"/>
    <w:rsid w:val="22682C67"/>
    <w:rsid w:val="226A69DF"/>
    <w:rsid w:val="227C4964"/>
    <w:rsid w:val="227F339F"/>
    <w:rsid w:val="22A25CBE"/>
    <w:rsid w:val="22A5210D"/>
    <w:rsid w:val="22B1460E"/>
    <w:rsid w:val="22BE4F7D"/>
    <w:rsid w:val="22CA56D0"/>
    <w:rsid w:val="22D30A28"/>
    <w:rsid w:val="22E04EF3"/>
    <w:rsid w:val="22E83DA8"/>
    <w:rsid w:val="22FA4207"/>
    <w:rsid w:val="22FF7A6F"/>
    <w:rsid w:val="2305307D"/>
    <w:rsid w:val="230C7A96"/>
    <w:rsid w:val="230D5BBE"/>
    <w:rsid w:val="23177672"/>
    <w:rsid w:val="233B037C"/>
    <w:rsid w:val="233F1C1A"/>
    <w:rsid w:val="23425BAE"/>
    <w:rsid w:val="234A2BA6"/>
    <w:rsid w:val="23580F2E"/>
    <w:rsid w:val="23604F8C"/>
    <w:rsid w:val="23674086"/>
    <w:rsid w:val="2389558B"/>
    <w:rsid w:val="23A777BF"/>
    <w:rsid w:val="23B35063"/>
    <w:rsid w:val="23B56380"/>
    <w:rsid w:val="23B643EA"/>
    <w:rsid w:val="23B87C1E"/>
    <w:rsid w:val="23BF0FAD"/>
    <w:rsid w:val="23C2284B"/>
    <w:rsid w:val="23C30A9D"/>
    <w:rsid w:val="23D26F32"/>
    <w:rsid w:val="23D5257E"/>
    <w:rsid w:val="23D60969"/>
    <w:rsid w:val="23D700A4"/>
    <w:rsid w:val="23D83D9F"/>
    <w:rsid w:val="23D84719"/>
    <w:rsid w:val="23DF164F"/>
    <w:rsid w:val="23FE3883"/>
    <w:rsid w:val="24015121"/>
    <w:rsid w:val="24062738"/>
    <w:rsid w:val="243366B7"/>
    <w:rsid w:val="24417C14"/>
    <w:rsid w:val="2452597D"/>
    <w:rsid w:val="245C67FB"/>
    <w:rsid w:val="246833F2"/>
    <w:rsid w:val="247104F9"/>
    <w:rsid w:val="2471674B"/>
    <w:rsid w:val="24727DCD"/>
    <w:rsid w:val="24816262"/>
    <w:rsid w:val="24942439"/>
    <w:rsid w:val="24977600"/>
    <w:rsid w:val="249E6E14"/>
    <w:rsid w:val="24A10C41"/>
    <w:rsid w:val="24A14194"/>
    <w:rsid w:val="24AA3A0B"/>
    <w:rsid w:val="24AE27A9"/>
    <w:rsid w:val="24AF4B7D"/>
    <w:rsid w:val="24B831E2"/>
    <w:rsid w:val="24BB5C18"/>
    <w:rsid w:val="24C148B0"/>
    <w:rsid w:val="24DB3BC4"/>
    <w:rsid w:val="24ED38F7"/>
    <w:rsid w:val="24F904EE"/>
    <w:rsid w:val="25014E04"/>
    <w:rsid w:val="25072C0B"/>
    <w:rsid w:val="250B120F"/>
    <w:rsid w:val="250E3F9A"/>
    <w:rsid w:val="251F61A7"/>
    <w:rsid w:val="252437BD"/>
    <w:rsid w:val="25257535"/>
    <w:rsid w:val="252C7220"/>
    <w:rsid w:val="252D7B27"/>
    <w:rsid w:val="25382DC5"/>
    <w:rsid w:val="255D282B"/>
    <w:rsid w:val="255E0351"/>
    <w:rsid w:val="256B0F84"/>
    <w:rsid w:val="256C2A6E"/>
    <w:rsid w:val="2572277A"/>
    <w:rsid w:val="25743604"/>
    <w:rsid w:val="257B0F03"/>
    <w:rsid w:val="25821050"/>
    <w:rsid w:val="25855239"/>
    <w:rsid w:val="25983863"/>
    <w:rsid w:val="25996B41"/>
    <w:rsid w:val="259A582D"/>
    <w:rsid w:val="25A12635"/>
    <w:rsid w:val="25A8248F"/>
    <w:rsid w:val="25AA1EDE"/>
    <w:rsid w:val="25BC1C48"/>
    <w:rsid w:val="25BD6D2B"/>
    <w:rsid w:val="25D24FC7"/>
    <w:rsid w:val="25DD3A49"/>
    <w:rsid w:val="25DD571A"/>
    <w:rsid w:val="25EB6089"/>
    <w:rsid w:val="25F018F1"/>
    <w:rsid w:val="25F44C8B"/>
    <w:rsid w:val="26013250"/>
    <w:rsid w:val="26030FFB"/>
    <w:rsid w:val="26062EC3"/>
    <w:rsid w:val="261B78C8"/>
    <w:rsid w:val="261E645E"/>
    <w:rsid w:val="262E235B"/>
    <w:rsid w:val="2637307C"/>
    <w:rsid w:val="263A491A"/>
    <w:rsid w:val="26573BCF"/>
    <w:rsid w:val="2661634B"/>
    <w:rsid w:val="26693A33"/>
    <w:rsid w:val="267C3185"/>
    <w:rsid w:val="268C3905"/>
    <w:rsid w:val="26972907"/>
    <w:rsid w:val="26A45A86"/>
    <w:rsid w:val="26A50560"/>
    <w:rsid w:val="26A74843"/>
    <w:rsid w:val="26AD333E"/>
    <w:rsid w:val="26B57364"/>
    <w:rsid w:val="26BB3CAD"/>
    <w:rsid w:val="26BE379D"/>
    <w:rsid w:val="26C64400"/>
    <w:rsid w:val="26D92385"/>
    <w:rsid w:val="26E74AA2"/>
    <w:rsid w:val="26E86A6C"/>
    <w:rsid w:val="26E975DE"/>
    <w:rsid w:val="26F5471B"/>
    <w:rsid w:val="27027B2E"/>
    <w:rsid w:val="270A69E3"/>
    <w:rsid w:val="270C3E08"/>
    <w:rsid w:val="270F55EE"/>
    <w:rsid w:val="271413C9"/>
    <w:rsid w:val="27257379"/>
    <w:rsid w:val="272F1A96"/>
    <w:rsid w:val="273D46C2"/>
    <w:rsid w:val="2742617D"/>
    <w:rsid w:val="27483067"/>
    <w:rsid w:val="27594FDF"/>
    <w:rsid w:val="27604855"/>
    <w:rsid w:val="27606603"/>
    <w:rsid w:val="276428BB"/>
    <w:rsid w:val="277B168E"/>
    <w:rsid w:val="279D1605"/>
    <w:rsid w:val="27A75FE0"/>
    <w:rsid w:val="27AA5AD0"/>
    <w:rsid w:val="27BE5BBA"/>
    <w:rsid w:val="27D05536"/>
    <w:rsid w:val="27D33279"/>
    <w:rsid w:val="27D56FF1"/>
    <w:rsid w:val="27D843EB"/>
    <w:rsid w:val="27E45486"/>
    <w:rsid w:val="27F51441"/>
    <w:rsid w:val="27F52753"/>
    <w:rsid w:val="28013942"/>
    <w:rsid w:val="280A653B"/>
    <w:rsid w:val="280B315C"/>
    <w:rsid w:val="281E2746"/>
    <w:rsid w:val="28237D5C"/>
    <w:rsid w:val="28292E99"/>
    <w:rsid w:val="282E038C"/>
    <w:rsid w:val="282F4953"/>
    <w:rsid w:val="283B4A62"/>
    <w:rsid w:val="284472C5"/>
    <w:rsid w:val="28461C9C"/>
    <w:rsid w:val="284D6B87"/>
    <w:rsid w:val="285048C9"/>
    <w:rsid w:val="28513FD7"/>
    <w:rsid w:val="2858552C"/>
    <w:rsid w:val="28671930"/>
    <w:rsid w:val="28685E58"/>
    <w:rsid w:val="28983C59"/>
    <w:rsid w:val="28996270"/>
    <w:rsid w:val="289A0DF9"/>
    <w:rsid w:val="28A569C3"/>
    <w:rsid w:val="28AE2D85"/>
    <w:rsid w:val="28B05368"/>
    <w:rsid w:val="28DF513D"/>
    <w:rsid w:val="28E079FB"/>
    <w:rsid w:val="28E625C5"/>
    <w:rsid w:val="28F31788"/>
    <w:rsid w:val="2905040B"/>
    <w:rsid w:val="29057B0C"/>
    <w:rsid w:val="290A4A78"/>
    <w:rsid w:val="29140A2C"/>
    <w:rsid w:val="292304C4"/>
    <w:rsid w:val="292D1439"/>
    <w:rsid w:val="293146FB"/>
    <w:rsid w:val="294319DA"/>
    <w:rsid w:val="2944442E"/>
    <w:rsid w:val="29475CCC"/>
    <w:rsid w:val="29477A7A"/>
    <w:rsid w:val="29491A44"/>
    <w:rsid w:val="29530A33"/>
    <w:rsid w:val="2961371B"/>
    <w:rsid w:val="29622B06"/>
    <w:rsid w:val="296E14AB"/>
    <w:rsid w:val="296F27E6"/>
    <w:rsid w:val="29791588"/>
    <w:rsid w:val="297B0CF7"/>
    <w:rsid w:val="298B3D07"/>
    <w:rsid w:val="299A2D2E"/>
    <w:rsid w:val="29AC3D81"/>
    <w:rsid w:val="29BA64C5"/>
    <w:rsid w:val="29BF3AB4"/>
    <w:rsid w:val="29C14FD0"/>
    <w:rsid w:val="29CC4423"/>
    <w:rsid w:val="29CE18C8"/>
    <w:rsid w:val="29CF181E"/>
    <w:rsid w:val="29D07A70"/>
    <w:rsid w:val="29D76564"/>
    <w:rsid w:val="29E3367D"/>
    <w:rsid w:val="29EB2AFB"/>
    <w:rsid w:val="29F15C38"/>
    <w:rsid w:val="29FF57A5"/>
    <w:rsid w:val="2A2313DA"/>
    <w:rsid w:val="2A297180"/>
    <w:rsid w:val="2A44625D"/>
    <w:rsid w:val="2A4A348B"/>
    <w:rsid w:val="2A524929"/>
    <w:rsid w:val="2A610E2D"/>
    <w:rsid w:val="2A61691A"/>
    <w:rsid w:val="2A68171A"/>
    <w:rsid w:val="2A7A79DB"/>
    <w:rsid w:val="2A877421"/>
    <w:rsid w:val="2A8E4195"/>
    <w:rsid w:val="2A97233B"/>
    <w:rsid w:val="2A9860B3"/>
    <w:rsid w:val="2AA15DF8"/>
    <w:rsid w:val="2AAD6003"/>
    <w:rsid w:val="2AB8479E"/>
    <w:rsid w:val="2AC0724B"/>
    <w:rsid w:val="2AC145C0"/>
    <w:rsid w:val="2AC15198"/>
    <w:rsid w:val="2AC5741E"/>
    <w:rsid w:val="2AD4642D"/>
    <w:rsid w:val="2AD52E64"/>
    <w:rsid w:val="2AD569F2"/>
    <w:rsid w:val="2ADA274F"/>
    <w:rsid w:val="2ADE61BC"/>
    <w:rsid w:val="2AE5579D"/>
    <w:rsid w:val="2AF61A56"/>
    <w:rsid w:val="2AF63B60"/>
    <w:rsid w:val="2B0379D1"/>
    <w:rsid w:val="2B0F6376"/>
    <w:rsid w:val="2B1E2A5D"/>
    <w:rsid w:val="2B2067D5"/>
    <w:rsid w:val="2B2D2CA0"/>
    <w:rsid w:val="2B395AE8"/>
    <w:rsid w:val="2B3F63F6"/>
    <w:rsid w:val="2B406E77"/>
    <w:rsid w:val="2B421FE8"/>
    <w:rsid w:val="2B5E72FD"/>
    <w:rsid w:val="2B667F60"/>
    <w:rsid w:val="2B714350"/>
    <w:rsid w:val="2B822DA1"/>
    <w:rsid w:val="2B8A00F2"/>
    <w:rsid w:val="2B940F71"/>
    <w:rsid w:val="2B985FCE"/>
    <w:rsid w:val="2BA07916"/>
    <w:rsid w:val="2BA94A1C"/>
    <w:rsid w:val="2BAD5B8F"/>
    <w:rsid w:val="2BB876EE"/>
    <w:rsid w:val="2BC74EA2"/>
    <w:rsid w:val="2BCE4483"/>
    <w:rsid w:val="2BD5034F"/>
    <w:rsid w:val="2BD559B4"/>
    <w:rsid w:val="2BE81CF0"/>
    <w:rsid w:val="2BF228B3"/>
    <w:rsid w:val="2BF83E9B"/>
    <w:rsid w:val="2C0B1233"/>
    <w:rsid w:val="2C136339"/>
    <w:rsid w:val="2C15751B"/>
    <w:rsid w:val="2C165AE7"/>
    <w:rsid w:val="2C1B0D4A"/>
    <w:rsid w:val="2C1C51EE"/>
    <w:rsid w:val="2C6F788B"/>
    <w:rsid w:val="2C732BFC"/>
    <w:rsid w:val="2C8132A3"/>
    <w:rsid w:val="2C874CEF"/>
    <w:rsid w:val="2C97053B"/>
    <w:rsid w:val="2C9A6113"/>
    <w:rsid w:val="2CB06F6C"/>
    <w:rsid w:val="2CB847EB"/>
    <w:rsid w:val="2CC17B44"/>
    <w:rsid w:val="2CCE4B60"/>
    <w:rsid w:val="2CD42048"/>
    <w:rsid w:val="2CE11F94"/>
    <w:rsid w:val="2CF00429"/>
    <w:rsid w:val="2CF4691E"/>
    <w:rsid w:val="2CF77A09"/>
    <w:rsid w:val="2CFA4778"/>
    <w:rsid w:val="2D157E8F"/>
    <w:rsid w:val="2D3622E0"/>
    <w:rsid w:val="2D3B5B48"/>
    <w:rsid w:val="2D3C71CA"/>
    <w:rsid w:val="2D4F33A1"/>
    <w:rsid w:val="2D583462"/>
    <w:rsid w:val="2D597D7C"/>
    <w:rsid w:val="2D785E31"/>
    <w:rsid w:val="2D7C025A"/>
    <w:rsid w:val="2D7E77E3"/>
    <w:rsid w:val="2D8D5C78"/>
    <w:rsid w:val="2D99461C"/>
    <w:rsid w:val="2DA52FC1"/>
    <w:rsid w:val="2DAE631A"/>
    <w:rsid w:val="2DB33930"/>
    <w:rsid w:val="2DB71F51"/>
    <w:rsid w:val="2DC25921"/>
    <w:rsid w:val="2DC518B5"/>
    <w:rsid w:val="2DD37B2E"/>
    <w:rsid w:val="2DD41AF8"/>
    <w:rsid w:val="2DE0224B"/>
    <w:rsid w:val="2DFB3102"/>
    <w:rsid w:val="2E0376AF"/>
    <w:rsid w:val="2E0F2B31"/>
    <w:rsid w:val="2E110657"/>
    <w:rsid w:val="2E147AB2"/>
    <w:rsid w:val="2E163EBF"/>
    <w:rsid w:val="2E2C36E3"/>
    <w:rsid w:val="2E3507E9"/>
    <w:rsid w:val="2E3A36BC"/>
    <w:rsid w:val="2E3D58F0"/>
    <w:rsid w:val="2E456552"/>
    <w:rsid w:val="2E556795"/>
    <w:rsid w:val="2E5B5D38"/>
    <w:rsid w:val="2E5F0208"/>
    <w:rsid w:val="2E60513A"/>
    <w:rsid w:val="2E67471B"/>
    <w:rsid w:val="2E701821"/>
    <w:rsid w:val="2E764C99"/>
    <w:rsid w:val="2E772BB0"/>
    <w:rsid w:val="2E782484"/>
    <w:rsid w:val="2E7B3D22"/>
    <w:rsid w:val="2E7F3A9B"/>
    <w:rsid w:val="2E8203DE"/>
    <w:rsid w:val="2E8D23D3"/>
    <w:rsid w:val="2E982B26"/>
    <w:rsid w:val="2E9C43C4"/>
    <w:rsid w:val="2EA133AF"/>
    <w:rsid w:val="2EA26F3D"/>
    <w:rsid w:val="2EA27501"/>
    <w:rsid w:val="2EA66020"/>
    <w:rsid w:val="2EAB0AAB"/>
    <w:rsid w:val="2EBA2A9C"/>
    <w:rsid w:val="2EC851B9"/>
    <w:rsid w:val="2ECD6C74"/>
    <w:rsid w:val="2ECF7B95"/>
    <w:rsid w:val="2EDD2DD9"/>
    <w:rsid w:val="2EDE57EA"/>
    <w:rsid w:val="2EE1627B"/>
    <w:rsid w:val="2F0F43EF"/>
    <w:rsid w:val="2F171C9D"/>
    <w:rsid w:val="2F24275C"/>
    <w:rsid w:val="2F361F43"/>
    <w:rsid w:val="2F37233F"/>
    <w:rsid w:val="2F3945C8"/>
    <w:rsid w:val="2F395375"/>
    <w:rsid w:val="2F3B1E2F"/>
    <w:rsid w:val="2F416D1A"/>
    <w:rsid w:val="2F431E4F"/>
    <w:rsid w:val="2F476C68"/>
    <w:rsid w:val="2F541BD8"/>
    <w:rsid w:val="2F5E2E56"/>
    <w:rsid w:val="2F61560E"/>
    <w:rsid w:val="2F656EAC"/>
    <w:rsid w:val="2F666780"/>
    <w:rsid w:val="2F72275C"/>
    <w:rsid w:val="2F723467"/>
    <w:rsid w:val="2F776BDF"/>
    <w:rsid w:val="2F7964B4"/>
    <w:rsid w:val="2F7F4569"/>
    <w:rsid w:val="2F807842"/>
    <w:rsid w:val="2F8310E0"/>
    <w:rsid w:val="2F8C4439"/>
    <w:rsid w:val="2F922149"/>
    <w:rsid w:val="2F95680E"/>
    <w:rsid w:val="2FA72ADC"/>
    <w:rsid w:val="2FB2501E"/>
    <w:rsid w:val="2FBB4D1E"/>
    <w:rsid w:val="2FBF7622"/>
    <w:rsid w:val="2FCA4F61"/>
    <w:rsid w:val="2FDB0F1C"/>
    <w:rsid w:val="2FDC4B3D"/>
    <w:rsid w:val="2FE808CB"/>
    <w:rsid w:val="2FED29FE"/>
    <w:rsid w:val="2FF3245E"/>
    <w:rsid w:val="2FF813E3"/>
    <w:rsid w:val="300E52A4"/>
    <w:rsid w:val="30152896"/>
    <w:rsid w:val="302208F9"/>
    <w:rsid w:val="3038011D"/>
    <w:rsid w:val="303D1BD7"/>
    <w:rsid w:val="303D5733"/>
    <w:rsid w:val="304409AC"/>
    <w:rsid w:val="30542A7D"/>
    <w:rsid w:val="305F7D9F"/>
    <w:rsid w:val="306835D0"/>
    <w:rsid w:val="306B04F2"/>
    <w:rsid w:val="306C426A"/>
    <w:rsid w:val="306C6018"/>
    <w:rsid w:val="307849BD"/>
    <w:rsid w:val="307E11F2"/>
    <w:rsid w:val="30A43A04"/>
    <w:rsid w:val="30AC7B38"/>
    <w:rsid w:val="30B771C8"/>
    <w:rsid w:val="30BA6662"/>
    <w:rsid w:val="30C639C5"/>
    <w:rsid w:val="30CC4192"/>
    <w:rsid w:val="30E91417"/>
    <w:rsid w:val="30E97669"/>
    <w:rsid w:val="30EA3353"/>
    <w:rsid w:val="30F027A5"/>
    <w:rsid w:val="30F229C1"/>
    <w:rsid w:val="30F77FD8"/>
    <w:rsid w:val="30F93D50"/>
    <w:rsid w:val="310413CD"/>
    <w:rsid w:val="311704CD"/>
    <w:rsid w:val="31181CFC"/>
    <w:rsid w:val="313308E4"/>
    <w:rsid w:val="313C3C3D"/>
    <w:rsid w:val="31522AEA"/>
    <w:rsid w:val="31570E24"/>
    <w:rsid w:val="315B5C16"/>
    <w:rsid w:val="31644BD5"/>
    <w:rsid w:val="317822E6"/>
    <w:rsid w:val="318737BD"/>
    <w:rsid w:val="318B24CE"/>
    <w:rsid w:val="3192385D"/>
    <w:rsid w:val="31943A79"/>
    <w:rsid w:val="319E01D3"/>
    <w:rsid w:val="31A46759"/>
    <w:rsid w:val="31A83080"/>
    <w:rsid w:val="31CB1E92"/>
    <w:rsid w:val="31CF2FA1"/>
    <w:rsid w:val="31DD71CE"/>
    <w:rsid w:val="31E63BA8"/>
    <w:rsid w:val="31E868A4"/>
    <w:rsid w:val="31F42769"/>
    <w:rsid w:val="31F6664E"/>
    <w:rsid w:val="31FB58A6"/>
    <w:rsid w:val="32153FA4"/>
    <w:rsid w:val="321F6D79"/>
    <w:rsid w:val="322F45A1"/>
    <w:rsid w:val="32364B30"/>
    <w:rsid w:val="32456B21"/>
    <w:rsid w:val="32470AEB"/>
    <w:rsid w:val="3264232E"/>
    <w:rsid w:val="32713DBA"/>
    <w:rsid w:val="3276108C"/>
    <w:rsid w:val="32785148"/>
    <w:rsid w:val="327B0795"/>
    <w:rsid w:val="32807168"/>
    <w:rsid w:val="328D33FB"/>
    <w:rsid w:val="32A0292F"/>
    <w:rsid w:val="32A02B99"/>
    <w:rsid w:val="32A7158A"/>
    <w:rsid w:val="32C4038E"/>
    <w:rsid w:val="32C475CE"/>
    <w:rsid w:val="32CD26E3"/>
    <w:rsid w:val="32D61E6F"/>
    <w:rsid w:val="32DC17A7"/>
    <w:rsid w:val="32E93950"/>
    <w:rsid w:val="32EB1DBB"/>
    <w:rsid w:val="32F84EC9"/>
    <w:rsid w:val="330F2BAA"/>
    <w:rsid w:val="331A61FF"/>
    <w:rsid w:val="3333106F"/>
    <w:rsid w:val="3344502A"/>
    <w:rsid w:val="335214F5"/>
    <w:rsid w:val="33522800"/>
    <w:rsid w:val="33541711"/>
    <w:rsid w:val="335970BA"/>
    <w:rsid w:val="33694A91"/>
    <w:rsid w:val="336D4FD3"/>
    <w:rsid w:val="33707BCD"/>
    <w:rsid w:val="337D5F7B"/>
    <w:rsid w:val="338A6DD2"/>
    <w:rsid w:val="339C09C3"/>
    <w:rsid w:val="33A61841"/>
    <w:rsid w:val="33AB30C5"/>
    <w:rsid w:val="33B63AFC"/>
    <w:rsid w:val="33BE2A1A"/>
    <w:rsid w:val="33D414D0"/>
    <w:rsid w:val="33D95773"/>
    <w:rsid w:val="33ED7470"/>
    <w:rsid w:val="33F71E1E"/>
    <w:rsid w:val="33F754AE"/>
    <w:rsid w:val="33F95E15"/>
    <w:rsid w:val="340A6B46"/>
    <w:rsid w:val="340F388A"/>
    <w:rsid w:val="3411197D"/>
    <w:rsid w:val="341B5D8B"/>
    <w:rsid w:val="341E3ACD"/>
    <w:rsid w:val="342009F8"/>
    <w:rsid w:val="342F7A89"/>
    <w:rsid w:val="34314956"/>
    <w:rsid w:val="343E5F1E"/>
    <w:rsid w:val="34403A44"/>
    <w:rsid w:val="34425A0E"/>
    <w:rsid w:val="34480B4A"/>
    <w:rsid w:val="344A041F"/>
    <w:rsid w:val="344C23E9"/>
    <w:rsid w:val="34603E67"/>
    <w:rsid w:val="34611DF3"/>
    <w:rsid w:val="346534AA"/>
    <w:rsid w:val="346E4CE5"/>
    <w:rsid w:val="346F60D7"/>
    <w:rsid w:val="34783FA8"/>
    <w:rsid w:val="34825DD1"/>
    <w:rsid w:val="3483028F"/>
    <w:rsid w:val="349D0E96"/>
    <w:rsid w:val="349E076A"/>
    <w:rsid w:val="34AC2E87"/>
    <w:rsid w:val="34BF2CDE"/>
    <w:rsid w:val="34D146CE"/>
    <w:rsid w:val="34DD5737"/>
    <w:rsid w:val="34E72111"/>
    <w:rsid w:val="34E9055E"/>
    <w:rsid w:val="34EF797E"/>
    <w:rsid w:val="34F6551E"/>
    <w:rsid w:val="350B22A4"/>
    <w:rsid w:val="351B1DBB"/>
    <w:rsid w:val="352243B5"/>
    <w:rsid w:val="353F29DC"/>
    <w:rsid w:val="35417A73"/>
    <w:rsid w:val="354237EC"/>
    <w:rsid w:val="3546508A"/>
    <w:rsid w:val="35614F37"/>
    <w:rsid w:val="356C5EA4"/>
    <w:rsid w:val="35773495"/>
    <w:rsid w:val="357A11D7"/>
    <w:rsid w:val="357A32B9"/>
    <w:rsid w:val="358F6ED2"/>
    <w:rsid w:val="35973B37"/>
    <w:rsid w:val="359F0C3E"/>
    <w:rsid w:val="35A12A65"/>
    <w:rsid w:val="35A149B6"/>
    <w:rsid w:val="35A3428A"/>
    <w:rsid w:val="35A85D44"/>
    <w:rsid w:val="35AB313F"/>
    <w:rsid w:val="35B446E9"/>
    <w:rsid w:val="35CD358A"/>
    <w:rsid w:val="35DF7CEC"/>
    <w:rsid w:val="35E46651"/>
    <w:rsid w:val="35E80D13"/>
    <w:rsid w:val="35E86141"/>
    <w:rsid w:val="35F13A8D"/>
    <w:rsid w:val="36032F7B"/>
    <w:rsid w:val="36034D29"/>
    <w:rsid w:val="36054F45"/>
    <w:rsid w:val="361138EA"/>
    <w:rsid w:val="361707D4"/>
    <w:rsid w:val="36176A26"/>
    <w:rsid w:val="361909F0"/>
    <w:rsid w:val="36232DB0"/>
    <w:rsid w:val="362B4280"/>
    <w:rsid w:val="36316ABD"/>
    <w:rsid w:val="36356EAC"/>
    <w:rsid w:val="363E6617"/>
    <w:rsid w:val="364572F9"/>
    <w:rsid w:val="36470DE7"/>
    <w:rsid w:val="36486BE0"/>
    <w:rsid w:val="365437D6"/>
    <w:rsid w:val="36653C36"/>
    <w:rsid w:val="36743E79"/>
    <w:rsid w:val="367B576D"/>
    <w:rsid w:val="3690539D"/>
    <w:rsid w:val="36932551"/>
    <w:rsid w:val="369B1405"/>
    <w:rsid w:val="36B12821"/>
    <w:rsid w:val="36B3674F"/>
    <w:rsid w:val="36C0722D"/>
    <w:rsid w:val="36C7044C"/>
    <w:rsid w:val="36C73DF2"/>
    <w:rsid w:val="36F11025"/>
    <w:rsid w:val="36FB00F6"/>
    <w:rsid w:val="37262C59"/>
    <w:rsid w:val="37490E61"/>
    <w:rsid w:val="374F5C96"/>
    <w:rsid w:val="37667C65"/>
    <w:rsid w:val="37682591"/>
    <w:rsid w:val="37751C56"/>
    <w:rsid w:val="377D3CD2"/>
    <w:rsid w:val="378105FB"/>
    <w:rsid w:val="37A60062"/>
    <w:rsid w:val="37A8202C"/>
    <w:rsid w:val="37AB5678"/>
    <w:rsid w:val="37B502A5"/>
    <w:rsid w:val="37C27CDE"/>
    <w:rsid w:val="37C354C8"/>
    <w:rsid w:val="37C449B8"/>
    <w:rsid w:val="37CC121B"/>
    <w:rsid w:val="37D57F4F"/>
    <w:rsid w:val="37DE3C9F"/>
    <w:rsid w:val="37E17227"/>
    <w:rsid w:val="37ED7F71"/>
    <w:rsid w:val="37F30DCD"/>
    <w:rsid w:val="37F4390C"/>
    <w:rsid w:val="380B6117"/>
    <w:rsid w:val="38112C01"/>
    <w:rsid w:val="381512AE"/>
    <w:rsid w:val="38163439"/>
    <w:rsid w:val="38190834"/>
    <w:rsid w:val="381C0277"/>
    <w:rsid w:val="381C6576"/>
    <w:rsid w:val="381E409C"/>
    <w:rsid w:val="3821593A"/>
    <w:rsid w:val="382E4AD2"/>
    <w:rsid w:val="383733B0"/>
    <w:rsid w:val="38506245"/>
    <w:rsid w:val="385176F1"/>
    <w:rsid w:val="385201EA"/>
    <w:rsid w:val="385F359C"/>
    <w:rsid w:val="38683569"/>
    <w:rsid w:val="386F66A6"/>
    <w:rsid w:val="38726196"/>
    <w:rsid w:val="388D4D7E"/>
    <w:rsid w:val="38926838"/>
    <w:rsid w:val="38B4055C"/>
    <w:rsid w:val="38C5276A"/>
    <w:rsid w:val="38D368CE"/>
    <w:rsid w:val="38E452E6"/>
    <w:rsid w:val="38E54BBA"/>
    <w:rsid w:val="38F60F50"/>
    <w:rsid w:val="38F92413"/>
    <w:rsid w:val="38FE4B0D"/>
    <w:rsid w:val="3902751A"/>
    <w:rsid w:val="392A081F"/>
    <w:rsid w:val="393022D9"/>
    <w:rsid w:val="393578EF"/>
    <w:rsid w:val="39363667"/>
    <w:rsid w:val="393B0C7E"/>
    <w:rsid w:val="3951224F"/>
    <w:rsid w:val="39535FC7"/>
    <w:rsid w:val="395B1F09"/>
    <w:rsid w:val="395E3DBA"/>
    <w:rsid w:val="39726893"/>
    <w:rsid w:val="39783C80"/>
    <w:rsid w:val="397F0106"/>
    <w:rsid w:val="3982065B"/>
    <w:rsid w:val="3991089E"/>
    <w:rsid w:val="39A16D33"/>
    <w:rsid w:val="39A42F75"/>
    <w:rsid w:val="39A544BC"/>
    <w:rsid w:val="39B5458C"/>
    <w:rsid w:val="39B747A8"/>
    <w:rsid w:val="39BF18AF"/>
    <w:rsid w:val="39C26CA9"/>
    <w:rsid w:val="39DE6D55"/>
    <w:rsid w:val="39EF3F42"/>
    <w:rsid w:val="39FC21BB"/>
    <w:rsid w:val="3A1C0AAF"/>
    <w:rsid w:val="3A2A4F7A"/>
    <w:rsid w:val="3A325BDD"/>
    <w:rsid w:val="3A3710CB"/>
    <w:rsid w:val="3A5055B0"/>
    <w:rsid w:val="3A5531D9"/>
    <w:rsid w:val="3A555AC7"/>
    <w:rsid w:val="3A5A5133"/>
    <w:rsid w:val="3A6366DE"/>
    <w:rsid w:val="3A6B103C"/>
    <w:rsid w:val="3A7601BF"/>
    <w:rsid w:val="3A8A13AB"/>
    <w:rsid w:val="3A930129"/>
    <w:rsid w:val="3AA342BD"/>
    <w:rsid w:val="3AA4715B"/>
    <w:rsid w:val="3AA54601"/>
    <w:rsid w:val="3ABE0D08"/>
    <w:rsid w:val="3ACC6D0A"/>
    <w:rsid w:val="3AD44EE6"/>
    <w:rsid w:val="3AFE4D0B"/>
    <w:rsid w:val="3AFF16F4"/>
    <w:rsid w:val="3B0A1899"/>
    <w:rsid w:val="3B0B4358"/>
    <w:rsid w:val="3B1D77D5"/>
    <w:rsid w:val="3B2A0822"/>
    <w:rsid w:val="3B2C087E"/>
    <w:rsid w:val="3B331C0C"/>
    <w:rsid w:val="3B3B31B7"/>
    <w:rsid w:val="3B4402BD"/>
    <w:rsid w:val="3B464036"/>
    <w:rsid w:val="3B6011A3"/>
    <w:rsid w:val="3B651FE2"/>
    <w:rsid w:val="3B673FAC"/>
    <w:rsid w:val="3B6C495B"/>
    <w:rsid w:val="3B812063"/>
    <w:rsid w:val="3B8C1FA8"/>
    <w:rsid w:val="3B8C63DD"/>
    <w:rsid w:val="3B957ED1"/>
    <w:rsid w:val="3B967CDA"/>
    <w:rsid w:val="3BA66882"/>
    <w:rsid w:val="3BA80B19"/>
    <w:rsid w:val="3BC15329"/>
    <w:rsid w:val="3BC60CD2"/>
    <w:rsid w:val="3BC94845"/>
    <w:rsid w:val="3BD11425"/>
    <w:rsid w:val="3BDB21A7"/>
    <w:rsid w:val="3BED02F0"/>
    <w:rsid w:val="3BF10EB2"/>
    <w:rsid w:val="3C0C0D78"/>
    <w:rsid w:val="3C1F4887"/>
    <w:rsid w:val="3C3C2D43"/>
    <w:rsid w:val="3C4152C9"/>
    <w:rsid w:val="3C423FB4"/>
    <w:rsid w:val="3C4240EC"/>
    <w:rsid w:val="3C4329F9"/>
    <w:rsid w:val="3C4D6860"/>
    <w:rsid w:val="3C5C2972"/>
    <w:rsid w:val="3C5D3C86"/>
    <w:rsid w:val="3C687FDC"/>
    <w:rsid w:val="3C6A66DB"/>
    <w:rsid w:val="3C771FCD"/>
    <w:rsid w:val="3C8446EA"/>
    <w:rsid w:val="3C9815BA"/>
    <w:rsid w:val="3CA1529C"/>
    <w:rsid w:val="3CB7686D"/>
    <w:rsid w:val="3CBE19AA"/>
    <w:rsid w:val="3CC316B6"/>
    <w:rsid w:val="3CC701F0"/>
    <w:rsid w:val="3CDB6AD6"/>
    <w:rsid w:val="3CE05DC4"/>
    <w:rsid w:val="3D0221DE"/>
    <w:rsid w:val="3D076491"/>
    <w:rsid w:val="3D1D2B74"/>
    <w:rsid w:val="3D2757A1"/>
    <w:rsid w:val="3D2959BD"/>
    <w:rsid w:val="3D29776B"/>
    <w:rsid w:val="3D2A34E3"/>
    <w:rsid w:val="3D2A5291"/>
    <w:rsid w:val="3D3305EA"/>
    <w:rsid w:val="3D332398"/>
    <w:rsid w:val="3D402D06"/>
    <w:rsid w:val="3D4A5933"/>
    <w:rsid w:val="3D4C16AB"/>
    <w:rsid w:val="3D597924"/>
    <w:rsid w:val="3D711B40"/>
    <w:rsid w:val="3D913562"/>
    <w:rsid w:val="3D962926"/>
    <w:rsid w:val="3DAC3EF8"/>
    <w:rsid w:val="3DCE06B2"/>
    <w:rsid w:val="3DE80316"/>
    <w:rsid w:val="3DEB1AF2"/>
    <w:rsid w:val="3DFF04CC"/>
    <w:rsid w:val="3E1050C1"/>
    <w:rsid w:val="3E110AD0"/>
    <w:rsid w:val="3E1321C9"/>
    <w:rsid w:val="3E13381B"/>
    <w:rsid w:val="3E155F41"/>
    <w:rsid w:val="3E235341"/>
    <w:rsid w:val="3E3363C7"/>
    <w:rsid w:val="3E3C527C"/>
    <w:rsid w:val="3E4203B8"/>
    <w:rsid w:val="3E443DF7"/>
    <w:rsid w:val="3E691DE9"/>
    <w:rsid w:val="3E772758"/>
    <w:rsid w:val="3E7C38CA"/>
    <w:rsid w:val="3E800AA6"/>
    <w:rsid w:val="3E95498C"/>
    <w:rsid w:val="3E990920"/>
    <w:rsid w:val="3E99447C"/>
    <w:rsid w:val="3EA00C1E"/>
    <w:rsid w:val="3EAD1CD6"/>
    <w:rsid w:val="3EB54200"/>
    <w:rsid w:val="3EB8756D"/>
    <w:rsid w:val="3EC040FF"/>
    <w:rsid w:val="3EC62D97"/>
    <w:rsid w:val="3EDE0271"/>
    <w:rsid w:val="3EEE3F97"/>
    <w:rsid w:val="3F0A7128"/>
    <w:rsid w:val="3F0D09C6"/>
    <w:rsid w:val="3F0D4E6A"/>
    <w:rsid w:val="3F0F0BE2"/>
    <w:rsid w:val="3F1C50AD"/>
    <w:rsid w:val="3F21749A"/>
    <w:rsid w:val="3F2905C4"/>
    <w:rsid w:val="3F36616F"/>
    <w:rsid w:val="3F3A1FEB"/>
    <w:rsid w:val="3F400D9C"/>
    <w:rsid w:val="3F457ABB"/>
    <w:rsid w:val="3F4D34B9"/>
    <w:rsid w:val="3F4E2750"/>
    <w:rsid w:val="3F52661D"/>
    <w:rsid w:val="3F570D47"/>
    <w:rsid w:val="3F5B5BD6"/>
    <w:rsid w:val="3F5C54AA"/>
    <w:rsid w:val="3F7A4198"/>
    <w:rsid w:val="3F9E326F"/>
    <w:rsid w:val="3FA24D3D"/>
    <w:rsid w:val="3FA40567"/>
    <w:rsid w:val="3FA84969"/>
    <w:rsid w:val="3FAF2FE1"/>
    <w:rsid w:val="3FAF7CCF"/>
    <w:rsid w:val="3FB13A48"/>
    <w:rsid w:val="3FB67990"/>
    <w:rsid w:val="3FBF43B6"/>
    <w:rsid w:val="3FDF7A27"/>
    <w:rsid w:val="3FE07E89"/>
    <w:rsid w:val="3FEA7EB7"/>
    <w:rsid w:val="40170548"/>
    <w:rsid w:val="401819D8"/>
    <w:rsid w:val="401F09B1"/>
    <w:rsid w:val="40273D0A"/>
    <w:rsid w:val="402E7F0F"/>
    <w:rsid w:val="4037219F"/>
    <w:rsid w:val="403A3A3D"/>
    <w:rsid w:val="404228F2"/>
    <w:rsid w:val="40471C62"/>
    <w:rsid w:val="405A6456"/>
    <w:rsid w:val="405E25C9"/>
    <w:rsid w:val="40646D0C"/>
    <w:rsid w:val="40890521"/>
    <w:rsid w:val="408C1CB6"/>
    <w:rsid w:val="408F1FDB"/>
    <w:rsid w:val="40923879"/>
    <w:rsid w:val="40980764"/>
    <w:rsid w:val="409E475E"/>
    <w:rsid w:val="40A67243"/>
    <w:rsid w:val="40B27A77"/>
    <w:rsid w:val="40C24EED"/>
    <w:rsid w:val="40C33A32"/>
    <w:rsid w:val="40CA3013"/>
    <w:rsid w:val="40D01FF9"/>
    <w:rsid w:val="40D22981"/>
    <w:rsid w:val="40D93688"/>
    <w:rsid w:val="40DB253A"/>
    <w:rsid w:val="40E35E83"/>
    <w:rsid w:val="40EA7211"/>
    <w:rsid w:val="40EB4D37"/>
    <w:rsid w:val="40ED7211"/>
    <w:rsid w:val="40FB7670"/>
    <w:rsid w:val="410302D3"/>
    <w:rsid w:val="410D4CAE"/>
    <w:rsid w:val="41140732"/>
    <w:rsid w:val="411C1BC2"/>
    <w:rsid w:val="4122462D"/>
    <w:rsid w:val="41287D39"/>
    <w:rsid w:val="412D70FE"/>
    <w:rsid w:val="41377F7D"/>
    <w:rsid w:val="41395AA3"/>
    <w:rsid w:val="41456B3D"/>
    <w:rsid w:val="41644676"/>
    <w:rsid w:val="41720FB5"/>
    <w:rsid w:val="41790595"/>
    <w:rsid w:val="417B255F"/>
    <w:rsid w:val="418331C2"/>
    <w:rsid w:val="4191587A"/>
    <w:rsid w:val="41933A6D"/>
    <w:rsid w:val="41BD7202"/>
    <w:rsid w:val="41C53136"/>
    <w:rsid w:val="41CC6917"/>
    <w:rsid w:val="41EE2D31"/>
    <w:rsid w:val="420936C7"/>
    <w:rsid w:val="421B33FA"/>
    <w:rsid w:val="421C10AE"/>
    <w:rsid w:val="42253D73"/>
    <w:rsid w:val="422C7D41"/>
    <w:rsid w:val="423B7208"/>
    <w:rsid w:val="423D15C3"/>
    <w:rsid w:val="424010B3"/>
    <w:rsid w:val="42424DE7"/>
    <w:rsid w:val="425132C0"/>
    <w:rsid w:val="42530DE6"/>
    <w:rsid w:val="42621029"/>
    <w:rsid w:val="42647F5B"/>
    <w:rsid w:val="426D5D1D"/>
    <w:rsid w:val="426F03AD"/>
    <w:rsid w:val="42731488"/>
    <w:rsid w:val="427B20EB"/>
    <w:rsid w:val="427D5E63"/>
    <w:rsid w:val="4280593C"/>
    <w:rsid w:val="42843695"/>
    <w:rsid w:val="428C5C3D"/>
    <w:rsid w:val="429338D8"/>
    <w:rsid w:val="42982C9D"/>
    <w:rsid w:val="42994282"/>
    <w:rsid w:val="42AF5FBF"/>
    <w:rsid w:val="42C341BE"/>
    <w:rsid w:val="42C41CE4"/>
    <w:rsid w:val="42D950B7"/>
    <w:rsid w:val="42EE474F"/>
    <w:rsid w:val="42F75C15"/>
    <w:rsid w:val="43160791"/>
    <w:rsid w:val="431762B8"/>
    <w:rsid w:val="431C567C"/>
    <w:rsid w:val="433429C6"/>
    <w:rsid w:val="433A5C59"/>
    <w:rsid w:val="434A1377"/>
    <w:rsid w:val="436168E4"/>
    <w:rsid w:val="436239D7"/>
    <w:rsid w:val="436C6603"/>
    <w:rsid w:val="436F7EA2"/>
    <w:rsid w:val="437159C8"/>
    <w:rsid w:val="43720EA9"/>
    <w:rsid w:val="438D0328"/>
    <w:rsid w:val="439873F8"/>
    <w:rsid w:val="43AA0EDA"/>
    <w:rsid w:val="43B26C52"/>
    <w:rsid w:val="43B81529"/>
    <w:rsid w:val="43D16466"/>
    <w:rsid w:val="43EB08A2"/>
    <w:rsid w:val="43EF0FE2"/>
    <w:rsid w:val="44075CA0"/>
    <w:rsid w:val="441A605F"/>
    <w:rsid w:val="441A7E0D"/>
    <w:rsid w:val="441D5B50"/>
    <w:rsid w:val="44232A07"/>
    <w:rsid w:val="44254A04"/>
    <w:rsid w:val="442A3DC9"/>
    <w:rsid w:val="442B7817"/>
    <w:rsid w:val="442F13DF"/>
    <w:rsid w:val="4439400C"/>
    <w:rsid w:val="44466E54"/>
    <w:rsid w:val="44564BBE"/>
    <w:rsid w:val="4458107A"/>
    <w:rsid w:val="44641089"/>
    <w:rsid w:val="44654E01"/>
    <w:rsid w:val="44695038"/>
    <w:rsid w:val="446E27E8"/>
    <w:rsid w:val="447C0AC8"/>
    <w:rsid w:val="448E4357"/>
    <w:rsid w:val="449E0F15"/>
    <w:rsid w:val="44CE0B7A"/>
    <w:rsid w:val="44D00A48"/>
    <w:rsid w:val="44D66D07"/>
    <w:rsid w:val="44DE52DF"/>
    <w:rsid w:val="44E113AE"/>
    <w:rsid w:val="44E4602A"/>
    <w:rsid w:val="44ED5522"/>
    <w:rsid w:val="44FE14DD"/>
    <w:rsid w:val="450A60D4"/>
    <w:rsid w:val="450D7972"/>
    <w:rsid w:val="45132AAF"/>
    <w:rsid w:val="451E392D"/>
    <w:rsid w:val="45231264"/>
    <w:rsid w:val="452D3B70"/>
    <w:rsid w:val="452E70FA"/>
    <w:rsid w:val="45336E64"/>
    <w:rsid w:val="453F23E8"/>
    <w:rsid w:val="454C771E"/>
    <w:rsid w:val="454D612E"/>
    <w:rsid w:val="455530C7"/>
    <w:rsid w:val="455A248C"/>
    <w:rsid w:val="45815C6A"/>
    <w:rsid w:val="458944ED"/>
    <w:rsid w:val="459040FF"/>
    <w:rsid w:val="45972E6D"/>
    <w:rsid w:val="45980092"/>
    <w:rsid w:val="45A35BE1"/>
    <w:rsid w:val="45A73923"/>
    <w:rsid w:val="45B12E71"/>
    <w:rsid w:val="45B80788"/>
    <w:rsid w:val="45C53DA9"/>
    <w:rsid w:val="45D4242B"/>
    <w:rsid w:val="45D93CF8"/>
    <w:rsid w:val="45DF42F9"/>
    <w:rsid w:val="45EA36C1"/>
    <w:rsid w:val="45EE1552"/>
    <w:rsid w:val="45F91CA4"/>
    <w:rsid w:val="45FD1795"/>
    <w:rsid w:val="45FF64CF"/>
    <w:rsid w:val="460743C1"/>
    <w:rsid w:val="461D4BCB"/>
    <w:rsid w:val="46202E05"/>
    <w:rsid w:val="463902F3"/>
    <w:rsid w:val="463B050F"/>
    <w:rsid w:val="464E341B"/>
    <w:rsid w:val="465670F7"/>
    <w:rsid w:val="46574520"/>
    <w:rsid w:val="46583405"/>
    <w:rsid w:val="465B35AD"/>
    <w:rsid w:val="466510E8"/>
    <w:rsid w:val="466B0DF4"/>
    <w:rsid w:val="46780E1B"/>
    <w:rsid w:val="467B6FE2"/>
    <w:rsid w:val="46821C9A"/>
    <w:rsid w:val="4682613E"/>
    <w:rsid w:val="468C2B19"/>
    <w:rsid w:val="469814BD"/>
    <w:rsid w:val="469A5235"/>
    <w:rsid w:val="46C40504"/>
    <w:rsid w:val="46C51AB9"/>
    <w:rsid w:val="46D70238"/>
    <w:rsid w:val="46D71FE6"/>
    <w:rsid w:val="46D72368"/>
    <w:rsid w:val="46E67334"/>
    <w:rsid w:val="46E93C25"/>
    <w:rsid w:val="46F4261E"/>
    <w:rsid w:val="4706325F"/>
    <w:rsid w:val="4707219F"/>
    <w:rsid w:val="47124DBA"/>
    <w:rsid w:val="47133D28"/>
    <w:rsid w:val="471A1ED2"/>
    <w:rsid w:val="47226FD9"/>
    <w:rsid w:val="472A35A4"/>
    <w:rsid w:val="47380EA8"/>
    <w:rsid w:val="47443414"/>
    <w:rsid w:val="47456C05"/>
    <w:rsid w:val="47484C91"/>
    <w:rsid w:val="476615BC"/>
    <w:rsid w:val="477A04AC"/>
    <w:rsid w:val="478163F5"/>
    <w:rsid w:val="4787520B"/>
    <w:rsid w:val="47881532"/>
    <w:rsid w:val="47881934"/>
    <w:rsid w:val="47A63C85"/>
    <w:rsid w:val="47B02837"/>
    <w:rsid w:val="47B71E17"/>
    <w:rsid w:val="47C337F0"/>
    <w:rsid w:val="47E9061B"/>
    <w:rsid w:val="47EA0E3E"/>
    <w:rsid w:val="47F44E19"/>
    <w:rsid w:val="47FC62B3"/>
    <w:rsid w:val="48036E0A"/>
    <w:rsid w:val="480E4DAD"/>
    <w:rsid w:val="480E5EDB"/>
    <w:rsid w:val="48111696"/>
    <w:rsid w:val="48194880"/>
    <w:rsid w:val="481B656B"/>
    <w:rsid w:val="482F7BFF"/>
    <w:rsid w:val="484245C7"/>
    <w:rsid w:val="484A2E46"/>
    <w:rsid w:val="484C65AB"/>
    <w:rsid w:val="484C692D"/>
    <w:rsid w:val="484C6A03"/>
    <w:rsid w:val="484D03FF"/>
    <w:rsid w:val="485338EE"/>
    <w:rsid w:val="485633DE"/>
    <w:rsid w:val="485F2ECC"/>
    <w:rsid w:val="48802209"/>
    <w:rsid w:val="488D7CFE"/>
    <w:rsid w:val="489108BA"/>
    <w:rsid w:val="48936A28"/>
    <w:rsid w:val="48B85E47"/>
    <w:rsid w:val="48DF1625"/>
    <w:rsid w:val="48E22EC4"/>
    <w:rsid w:val="49066BB2"/>
    <w:rsid w:val="49115557"/>
    <w:rsid w:val="49180694"/>
    <w:rsid w:val="491868E5"/>
    <w:rsid w:val="49296D45"/>
    <w:rsid w:val="492B03C7"/>
    <w:rsid w:val="49323FD7"/>
    <w:rsid w:val="493279A7"/>
    <w:rsid w:val="49331971"/>
    <w:rsid w:val="493C4382"/>
    <w:rsid w:val="49441489"/>
    <w:rsid w:val="49506EA2"/>
    <w:rsid w:val="496B110B"/>
    <w:rsid w:val="496B2EB9"/>
    <w:rsid w:val="496C3458"/>
    <w:rsid w:val="49700B0C"/>
    <w:rsid w:val="49731D6E"/>
    <w:rsid w:val="497A624B"/>
    <w:rsid w:val="49816DB0"/>
    <w:rsid w:val="498D72D3"/>
    <w:rsid w:val="49991A9A"/>
    <w:rsid w:val="49A10C72"/>
    <w:rsid w:val="49AC1B3B"/>
    <w:rsid w:val="49B93C25"/>
    <w:rsid w:val="49C15A5E"/>
    <w:rsid w:val="49CF169A"/>
    <w:rsid w:val="49D62A28"/>
    <w:rsid w:val="49DF57C2"/>
    <w:rsid w:val="49F96717"/>
    <w:rsid w:val="4A01737A"/>
    <w:rsid w:val="4A17094B"/>
    <w:rsid w:val="4A1C2611"/>
    <w:rsid w:val="4A270539"/>
    <w:rsid w:val="4A463AC2"/>
    <w:rsid w:val="4A592C90"/>
    <w:rsid w:val="4A5A3051"/>
    <w:rsid w:val="4A6C027D"/>
    <w:rsid w:val="4A731F44"/>
    <w:rsid w:val="4A9621B8"/>
    <w:rsid w:val="4ABC1D3E"/>
    <w:rsid w:val="4ACA333F"/>
    <w:rsid w:val="4ADA20A4"/>
    <w:rsid w:val="4ADC0900"/>
    <w:rsid w:val="4AE07A05"/>
    <w:rsid w:val="4AE22D20"/>
    <w:rsid w:val="4AF173EE"/>
    <w:rsid w:val="4B0B04B0"/>
    <w:rsid w:val="4B0E19ED"/>
    <w:rsid w:val="4B280582"/>
    <w:rsid w:val="4B3F45FD"/>
    <w:rsid w:val="4B403F34"/>
    <w:rsid w:val="4B447E66"/>
    <w:rsid w:val="4B4D6D1A"/>
    <w:rsid w:val="4B55797D"/>
    <w:rsid w:val="4B5B7F11"/>
    <w:rsid w:val="4B7C12AA"/>
    <w:rsid w:val="4B8464B4"/>
    <w:rsid w:val="4B8A1D1C"/>
    <w:rsid w:val="4B8D7117"/>
    <w:rsid w:val="4BAB57EF"/>
    <w:rsid w:val="4BAD1567"/>
    <w:rsid w:val="4BAD5A0B"/>
    <w:rsid w:val="4BB16E8A"/>
    <w:rsid w:val="4BBF74EC"/>
    <w:rsid w:val="4BC66ACD"/>
    <w:rsid w:val="4BE3142D"/>
    <w:rsid w:val="4BE86A43"/>
    <w:rsid w:val="4BEC0155"/>
    <w:rsid w:val="4BF00107"/>
    <w:rsid w:val="4BFC24EE"/>
    <w:rsid w:val="4BFE3272"/>
    <w:rsid w:val="4C004579"/>
    <w:rsid w:val="4C067392"/>
    <w:rsid w:val="4C0D64AA"/>
    <w:rsid w:val="4C123AC0"/>
    <w:rsid w:val="4C12409B"/>
    <w:rsid w:val="4C15074C"/>
    <w:rsid w:val="4C283F70"/>
    <w:rsid w:val="4C2A2657"/>
    <w:rsid w:val="4C3A6B73"/>
    <w:rsid w:val="4C3E6663"/>
    <w:rsid w:val="4C48169B"/>
    <w:rsid w:val="4C4874E2"/>
    <w:rsid w:val="4C4B0D80"/>
    <w:rsid w:val="4C4E0D7B"/>
    <w:rsid w:val="4C6205A3"/>
    <w:rsid w:val="4C675BBA"/>
    <w:rsid w:val="4C7A11A8"/>
    <w:rsid w:val="4C8F12FC"/>
    <w:rsid w:val="4CA46E0E"/>
    <w:rsid w:val="4CB76F46"/>
    <w:rsid w:val="4CB9218D"/>
    <w:rsid w:val="4CBA03DF"/>
    <w:rsid w:val="4CC2350D"/>
    <w:rsid w:val="4CD174D7"/>
    <w:rsid w:val="4CDC302C"/>
    <w:rsid w:val="4CE91401"/>
    <w:rsid w:val="4CEA3CD9"/>
    <w:rsid w:val="4D021D86"/>
    <w:rsid w:val="4D0A29E9"/>
    <w:rsid w:val="4D286ABF"/>
    <w:rsid w:val="4D2910C1"/>
    <w:rsid w:val="4D3857A8"/>
    <w:rsid w:val="4D3C320F"/>
    <w:rsid w:val="4D467F55"/>
    <w:rsid w:val="4D53771C"/>
    <w:rsid w:val="4D5601C7"/>
    <w:rsid w:val="4D6054BD"/>
    <w:rsid w:val="4D6E34CC"/>
    <w:rsid w:val="4D6E4D26"/>
    <w:rsid w:val="4D7762D0"/>
    <w:rsid w:val="4D8B1D7C"/>
    <w:rsid w:val="4D8B3B2A"/>
    <w:rsid w:val="4D8D6105"/>
    <w:rsid w:val="4D9329DF"/>
    <w:rsid w:val="4DA4699A"/>
    <w:rsid w:val="4DA90454"/>
    <w:rsid w:val="4DCA28A4"/>
    <w:rsid w:val="4DD01472"/>
    <w:rsid w:val="4DD21759"/>
    <w:rsid w:val="4DDA268E"/>
    <w:rsid w:val="4DF0398D"/>
    <w:rsid w:val="4E0538DC"/>
    <w:rsid w:val="4E241889"/>
    <w:rsid w:val="4E263853"/>
    <w:rsid w:val="4E273FA4"/>
    <w:rsid w:val="4E27425C"/>
    <w:rsid w:val="4E287D9F"/>
    <w:rsid w:val="4E2D5B22"/>
    <w:rsid w:val="4E301BA7"/>
    <w:rsid w:val="4E326AC0"/>
    <w:rsid w:val="4E3F75D2"/>
    <w:rsid w:val="4E437F61"/>
    <w:rsid w:val="4E4F242B"/>
    <w:rsid w:val="4E6525CD"/>
    <w:rsid w:val="4E675B83"/>
    <w:rsid w:val="4E695E67"/>
    <w:rsid w:val="4E73135B"/>
    <w:rsid w:val="4EA96B98"/>
    <w:rsid w:val="4EAC5711"/>
    <w:rsid w:val="4EB17C2E"/>
    <w:rsid w:val="4EB3158A"/>
    <w:rsid w:val="4EB42C0C"/>
    <w:rsid w:val="4EC549CB"/>
    <w:rsid w:val="4EC56BC8"/>
    <w:rsid w:val="4ECC7F56"/>
    <w:rsid w:val="4EDB463D"/>
    <w:rsid w:val="4EDE7BD0"/>
    <w:rsid w:val="4EEB5C7E"/>
    <w:rsid w:val="4EF61477"/>
    <w:rsid w:val="4EF72DCF"/>
    <w:rsid w:val="4EF92D15"/>
    <w:rsid w:val="4EFC2793"/>
    <w:rsid w:val="4F02606E"/>
    <w:rsid w:val="4F0C7551"/>
    <w:rsid w:val="4F0E67C1"/>
    <w:rsid w:val="4F195165"/>
    <w:rsid w:val="4F203F16"/>
    <w:rsid w:val="4F204746"/>
    <w:rsid w:val="4F245FE4"/>
    <w:rsid w:val="4F3D0E54"/>
    <w:rsid w:val="4F492507"/>
    <w:rsid w:val="4F4C72E9"/>
    <w:rsid w:val="4F550258"/>
    <w:rsid w:val="4F5A1A06"/>
    <w:rsid w:val="4F5E055F"/>
    <w:rsid w:val="4F6C1739"/>
    <w:rsid w:val="4F6C34E7"/>
    <w:rsid w:val="4F74239C"/>
    <w:rsid w:val="4F7F3A32"/>
    <w:rsid w:val="4F801C09"/>
    <w:rsid w:val="4F8E2368"/>
    <w:rsid w:val="4F960564"/>
    <w:rsid w:val="4F964DFC"/>
    <w:rsid w:val="4FA02BC6"/>
    <w:rsid w:val="4FA709C3"/>
    <w:rsid w:val="4FA843B3"/>
    <w:rsid w:val="4FBC446F"/>
    <w:rsid w:val="4FCB2904"/>
    <w:rsid w:val="4FD03A76"/>
    <w:rsid w:val="4FD13C29"/>
    <w:rsid w:val="4FE237A9"/>
    <w:rsid w:val="4FF204EF"/>
    <w:rsid w:val="4FFA09FE"/>
    <w:rsid w:val="4FFA0AF3"/>
    <w:rsid w:val="4FFF6109"/>
    <w:rsid w:val="5003209D"/>
    <w:rsid w:val="50053CF2"/>
    <w:rsid w:val="5012408F"/>
    <w:rsid w:val="5013311A"/>
    <w:rsid w:val="502D711A"/>
    <w:rsid w:val="50513019"/>
    <w:rsid w:val="5051614E"/>
    <w:rsid w:val="50597E3F"/>
    <w:rsid w:val="505B09C1"/>
    <w:rsid w:val="5069520F"/>
    <w:rsid w:val="506F328F"/>
    <w:rsid w:val="50746AF7"/>
    <w:rsid w:val="507B60D8"/>
    <w:rsid w:val="50841C58"/>
    <w:rsid w:val="50890FCE"/>
    <w:rsid w:val="508F56DF"/>
    <w:rsid w:val="50940F47"/>
    <w:rsid w:val="50970A38"/>
    <w:rsid w:val="50977575"/>
    <w:rsid w:val="50A868B7"/>
    <w:rsid w:val="50AC1958"/>
    <w:rsid w:val="50B138A7"/>
    <w:rsid w:val="50B633F8"/>
    <w:rsid w:val="50C17863"/>
    <w:rsid w:val="50C80BF1"/>
    <w:rsid w:val="50CA4969"/>
    <w:rsid w:val="50D2023D"/>
    <w:rsid w:val="50D457E8"/>
    <w:rsid w:val="50D852D8"/>
    <w:rsid w:val="50D94BCC"/>
    <w:rsid w:val="50DE0415"/>
    <w:rsid w:val="50EC48E0"/>
    <w:rsid w:val="50F50172"/>
    <w:rsid w:val="50F778E4"/>
    <w:rsid w:val="51002139"/>
    <w:rsid w:val="51024103"/>
    <w:rsid w:val="51114346"/>
    <w:rsid w:val="51124B24"/>
    <w:rsid w:val="51296A5C"/>
    <w:rsid w:val="51340035"/>
    <w:rsid w:val="513A1FD3"/>
    <w:rsid w:val="51513355"/>
    <w:rsid w:val="51581F75"/>
    <w:rsid w:val="51646B6C"/>
    <w:rsid w:val="516923D4"/>
    <w:rsid w:val="516C5A20"/>
    <w:rsid w:val="516E1798"/>
    <w:rsid w:val="517607E2"/>
    <w:rsid w:val="51856AE2"/>
    <w:rsid w:val="519E7A88"/>
    <w:rsid w:val="51A366E1"/>
    <w:rsid w:val="51A76A58"/>
    <w:rsid w:val="51B04FDC"/>
    <w:rsid w:val="51B1646C"/>
    <w:rsid w:val="51B2004B"/>
    <w:rsid w:val="51C413B8"/>
    <w:rsid w:val="51C846F3"/>
    <w:rsid w:val="51D87B8B"/>
    <w:rsid w:val="51E3730F"/>
    <w:rsid w:val="51F8693F"/>
    <w:rsid w:val="52056C28"/>
    <w:rsid w:val="520C6E93"/>
    <w:rsid w:val="520E6AD8"/>
    <w:rsid w:val="52171E30"/>
    <w:rsid w:val="521D4F6D"/>
    <w:rsid w:val="521F52CC"/>
    <w:rsid w:val="522B1438"/>
    <w:rsid w:val="522B34B0"/>
    <w:rsid w:val="52347B6B"/>
    <w:rsid w:val="52350359"/>
    <w:rsid w:val="524D7600"/>
    <w:rsid w:val="52505342"/>
    <w:rsid w:val="52672C7F"/>
    <w:rsid w:val="52754DA9"/>
    <w:rsid w:val="527903F5"/>
    <w:rsid w:val="528559C7"/>
    <w:rsid w:val="528B637A"/>
    <w:rsid w:val="5292203B"/>
    <w:rsid w:val="52A01E26"/>
    <w:rsid w:val="52A652F5"/>
    <w:rsid w:val="52A82A88"/>
    <w:rsid w:val="52A86F2C"/>
    <w:rsid w:val="52BA42A7"/>
    <w:rsid w:val="52C843F7"/>
    <w:rsid w:val="52D47D21"/>
    <w:rsid w:val="52E066C6"/>
    <w:rsid w:val="52E57838"/>
    <w:rsid w:val="52F537F4"/>
    <w:rsid w:val="530323B4"/>
    <w:rsid w:val="5353311D"/>
    <w:rsid w:val="537E4CD3"/>
    <w:rsid w:val="537F5EDF"/>
    <w:rsid w:val="538057B3"/>
    <w:rsid w:val="53A616BE"/>
    <w:rsid w:val="53B00574"/>
    <w:rsid w:val="53B8319F"/>
    <w:rsid w:val="53ED1C72"/>
    <w:rsid w:val="53F306B5"/>
    <w:rsid w:val="540208BE"/>
    <w:rsid w:val="54040192"/>
    <w:rsid w:val="541A1764"/>
    <w:rsid w:val="543547EF"/>
    <w:rsid w:val="543F11CA"/>
    <w:rsid w:val="544D38E7"/>
    <w:rsid w:val="54535FB0"/>
    <w:rsid w:val="54556AEA"/>
    <w:rsid w:val="54622402"/>
    <w:rsid w:val="54767D3E"/>
    <w:rsid w:val="547C41CC"/>
    <w:rsid w:val="548020A1"/>
    <w:rsid w:val="54843325"/>
    <w:rsid w:val="548A4B3B"/>
    <w:rsid w:val="54977258"/>
    <w:rsid w:val="54A01FF8"/>
    <w:rsid w:val="54A0435F"/>
    <w:rsid w:val="54A6749B"/>
    <w:rsid w:val="54BA0D3D"/>
    <w:rsid w:val="54CB0CB0"/>
    <w:rsid w:val="54CF3E74"/>
    <w:rsid w:val="54D44008"/>
    <w:rsid w:val="54EA7388"/>
    <w:rsid w:val="5503346C"/>
    <w:rsid w:val="55055F70"/>
    <w:rsid w:val="55131A57"/>
    <w:rsid w:val="551D59AF"/>
    <w:rsid w:val="552A59D6"/>
    <w:rsid w:val="55434CEA"/>
    <w:rsid w:val="55622629"/>
    <w:rsid w:val="5563713A"/>
    <w:rsid w:val="556F5ADF"/>
    <w:rsid w:val="558275C0"/>
    <w:rsid w:val="559E0172"/>
    <w:rsid w:val="55A106D3"/>
    <w:rsid w:val="55A439DB"/>
    <w:rsid w:val="55A60CCB"/>
    <w:rsid w:val="55A64150"/>
    <w:rsid w:val="55A818FD"/>
    <w:rsid w:val="55B55BE8"/>
    <w:rsid w:val="55BB1A59"/>
    <w:rsid w:val="55BE7800"/>
    <w:rsid w:val="55C776C9"/>
    <w:rsid w:val="55CC1183"/>
    <w:rsid w:val="55D122F6"/>
    <w:rsid w:val="55EC5382"/>
    <w:rsid w:val="55F304BE"/>
    <w:rsid w:val="561418DC"/>
    <w:rsid w:val="561870C5"/>
    <w:rsid w:val="56206DD9"/>
    <w:rsid w:val="56212396"/>
    <w:rsid w:val="562B2188"/>
    <w:rsid w:val="563D798B"/>
    <w:rsid w:val="5640081E"/>
    <w:rsid w:val="56431BAE"/>
    <w:rsid w:val="56510530"/>
    <w:rsid w:val="56570A4D"/>
    <w:rsid w:val="565809C8"/>
    <w:rsid w:val="565C42B5"/>
    <w:rsid w:val="5661211B"/>
    <w:rsid w:val="56646DA2"/>
    <w:rsid w:val="5671345B"/>
    <w:rsid w:val="56723AD9"/>
    <w:rsid w:val="56776D24"/>
    <w:rsid w:val="567A473C"/>
    <w:rsid w:val="56B50F12"/>
    <w:rsid w:val="56BF4844"/>
    <w:rsid w:val="56D36D75"/>
    <w:rsid w:val="56E513A2"/>
    <w:rsid w:val="56F33A85"/>
    <w:rsid w:val="56F42740"/>
    <w:rsid w:val="56FE536D"/>
    <w:rsid w:val="57014E5D"/>
    <w:rsid w:val="570D0312"/>
    <w:rsid w:val="571C4279"/>
    <w:rsid w:val="571D4801"/>
    <w:rsid w:val="5728063B"/>
    <w:rsid w:val="57396991"/>
    <w:rsid w:val="57476D14"/>
    <w:rsid w:val="574E59DC"/>
    <w:rsid w:val="575256B8"/>
    <w:rsid w:val="5755260C"/>
    <w:rsid w:val="5765363E"/>
    <w:rsid w:val="576A0C54"/>
    <w:rsid w:val="576D42A0"/>
    <w:rsid w:val="577D71D5"/>
    <w:rsid w:val="57831D16"/>
    <w:rsid w:val="57AD15AC"/>
    <w:rsid w:val="57C40364"/>
    <w:rsid w:val="57D67BEC"/>
    <w:rsid w:val="57DA73EC"/>
    <w:rsid w:val="57F26597"/>
    <w:rsid w:val="57FF75EE"/>
    <w:rsid w:val="58036A32"/>
    <w:rsid w:val="58093FC9"/>
    <w:rsid w:val="580E15DF"/>
    <w:rsid w:val="58127D36"/>
    <w:rsid w:val="58160494"/>
    <w:rsid w:val="582157B7"/>
    <w:rsid w:val="582770AC"/>
    <w:rsid w:val="58354DBE"/>
    <w:rsid w:val="583F79EB"/>
    <w:rsid w:val="58561B36"/>
    <w:rsid w:val="585D2567"/>
    <w:rsid w:val="58674639"/>
    <w:rsid w:val="586E6522"/>
    <w:rsid w:val="58705DF6"/>
    <w:rsid w:val="58737694"/>
    <w:rsid w:val="58782104"/>
    <w:rsid w:val="58816255"/>
    <w:rsid w:val="58874450"/>
    <w:rsid w:val="5889335C"/>
    <w:rsid w:val="5889510A"/>
    <w:rsid w:val="589A4928"/>
    <w:rsid w:val="589E2AFF"/>
    <w:rsid w:val="58B303D9"/>
    <w:rsid w:val="58B57CAD"/>
    <w:rsid w:val="58C425E6"/>
    <w:rsid w:val="58D2260D"/>
    <w:rsid w:val="58D81BED"/>
    <w:rsid w:val="58DA7713"/>
    <w:rsid w:val="58DF5D19"/>
    <w:rsid w:val="58E32A6C"/>
    <w:rsid w:val="58EF7663"/>
    <w:rsid w:val="5901594F"/>
    <w:rsid w:val="591470C9"/>
    <w:rsid w:val="59253085"/>
    <w:rsid w:val="59262959"/>
    <w:rsid w:val="593530FD"/>
    <w:rsid w:val="59481573"/>
    <w:rsid w:val="594B4CEA"/>
    <w:rsid w:val="594F3C5E"/>
    <w:rsid w:val="5963595B"/>
    <w:rsid w:val="59883613"/>
    <w:rsid w:val="598A078C"/>
    <w:rsid w:val="59913D84"/>
    <w:rsid w:val="59927FEE"/>
    <w:rsid w:val="59A321FB"/>
    <w:rsid w:val="59B241EC"/>
    <w:rsid w:val="59B30116"/>
    <w:rsid w:val="59C2714B"/>
    <w:rsid w:val="59C77308"/>
    <w:rsid w:val="59C81C62"/>
    <w:rsid w:val="59D2488F"/>
    <w:rsid w:val="59DE2B1C"/>
    <w:rsid w:val="59E16894"/>
    <w:rsid w:val="59ED75F2"/>
    <w:rsid w:val="59F12F67"/>
    <w:rsid w:val="59F842F5"/>
    <w:rsid w:val="5A00166A"/>
    <w:rsid w:val="5A044E81"/>
    <w:rsid w:val="5A07278A"/>
    <w:rsid w:val="5A074538"/>
    <w:rsid w:val="5A0802B0"/>
    <w:rsid w:val="5A096502"/>
    <w:rsid w:val="5A364E1D"/>
    <w:rsid w:val="5A366BCB"/>
    <w:rsid w:val="5A3A2B60"/>
    <w:rsid w:val="5A3A2DDD"/>
    <w:rsid w:val="5A3D61AC"/>
    <w:rsid w:val="5A403EEE"/>
    <w:rsid w:val="5A5E64D8"/>
    <w:rsid w:val="5A610A87"/>
    <w:rsid w:val="5A68299B"/>
    <w:rsid w:val="5A703C44"/>
    <w:rsid w:val="5A7A12EB"/>
    <w:rsid w:val="5A7A7400"/>
    <w:rsid w:val="5A8748C9"/>
    <w:rsid w:val="5A8E2EAB"/>
    <w:rsid w:val="5AA75D1B"/>
    <w:rsid w:val="5AC16DDD"/>
    <w:rsid w:val="5AC35D44"/>
    <w:rsid w:val="5AD1633C"/>
    <w:rsid w:val="5ADA1C4D"/>
    <w:rsid w:val="5ADC1DA7"/>
    <w:rsid w:val="5AE40D1D"/>
    <w:rsid w:val="5AF076C2"/>
    <w:rsid w:val="5AFC1A12"/>
    <w:rsid w:val="5AFC3CC2"/>
    <w:rsid w:val="5B1B1F62"/>
    <w:rsid w:val="5B1F6B55"/>
    <w:rsid w:val="5B2336CE"/>
    <w:rsid w:val="5B2555BE"/>
    <w:rsid w:val="5B294982"/>
    <w:rsid w:val="5B295B57"/>
    <w:rsid w:val="5B3550D5"/>
    <w:rsid w:val="5B3F149A"/>
    <w:rsid w:val="5B445318"/>
    <w:rsid w:val="5B48738F"/>
    <w:rsid w:val="5B687259"/>
    <w:rsid w:val="5B7B2140"/>
    <w:rsid w:val="5B8027F4"/>
    <w:rsid w:val="5B8D774E"/>
    <w:rsid w:val="5B904C74"/>
    <w:rsid w:val="5B953DC6"/>
    <w:rsid w:val="5BA669B6"/>
    <w:rsid w:val="5BAD1BA2"/>
    <w:rsid w:val="5BBD57F6"/>
    <w:rsid w:val="5BC508FC"/>
    <w:rsid w:val="5BCB20AB"/>
    <w:rsid w:val="5BCC5A39"/>
    <w:rsid w:val="5BD803C4"/>
    <w:rsid w:val="5BD90156"/>
    <w:rsid w:val="5BD91F04"/>
    <w:rsid w:val="5BDB7A2A"/>
    <w:rsid w:val="5BEC60DC"/>
    <w:rsid w:val="5BF918A2"/>
    <w:rsid w:val="5BF9258D"/>
    <w:rsid w:val="5BF94355"/>
    <w:rsid w:val="5C012E90"/>
    <w:rsid w:val="5C031F8B"/>
    <w:rsid w:val="5C071160"/>
    <w:rsid w:val="5C145A54"/>
    <w:rsid w:val="5C156FF2"/>
    <w:rsid w:val="5C2869E8"/>
    <w:rsid w:val="5C2A6C04"/>
    <w:rsid w:val="5C34538D"/>
    <w:rsid w:val="5C4668EC"/>
    <w:rsid w:val="5C490CD0"/>
    <w:rsid w:val="5C49708A"/>
    <w:rsid w:val="5C506A2A"/>
    <w:rsid w:val="5C593045"/>
    <w:rsid w:val="5C6043D4"/>
    <w:rsid w:val="5C7165E1"/>
    <w:rsid w:val="5C9044FF"/>
    <w:rsid w:val="5C9D2F32"/>
    <w:rsid w:val="5C9F0ED9"/>
    <w:rsid w:val="5CA22C3E"/>
    <w:rsid w:val="5CA42512"/>
    <w:rsid w:val="5CB5471F"/>
    <w:rsid w:val="5CBA3AE4"/>
    <w:rsid w:val="5CD059FB"/>
    <w:rsid w:val="5D00281A"/>
    <w:rsid w:val="5D184CAE"/>
    <w:rsid w:val="5D2004A1"/>
    <w:rsid w:val="5D243653"/>
    <w:rsid w:val="5D3B6501"/>
    <w:rsid w:val="5D496861"/>
    <w:rsid w:val="5D526412"/>
    <w:rsid w:val="5D5932FD"/>
    <w:rsid w:val="5D720862"/>
    <w:rsid w:val="5D7E7207"/>
    <w:rsid w:val="5D8C1BA5"/>
    <w:rsid w:val="5D8F2E94"/>
    <w:rsid w:val="5D924A61"/>
    <w:rsid w:val="5D927590"/>
    <w:rsid w:val="5D9500AD"/>
    <w:rsid w:val="5D995DEF"/>
    <w:rsid w:val="5D9B43A6"/>
    <w:rsid w:val="5DB7113F"/>
    <w:rsid w:val="5DBE13B2"/>
    <w:rsid w:val="5DC34C1A"/>
    <w:rsid w:val="5DDF0212"/>
    <w:rsid w:val="5DE132F2"/>
    <w:rsid w:val="5DE216B2"/>
    <w:rsid w:val="5DE352BC"/>
    <w:rsid w:val="5DF70D68"/>
    <w:rsid w:val="5DFB0858"/>
    <w:rsid w:val="5DFE5C52"/>
    <w:rsid w:val="5E0035AB"/>
    <w:rsid w:val="5E0578F6"/>
    <w:rsid w:val="5E065581"/>
    <w:rsid w:val="5E0E058B"/>
    <w:rsid w:val="5E1436C8"/>
    <w:rsid w:val="5E285833"/>
    <w:rsid w:val="5E2C0A11"/>
    <w:rsid w:val="5E2F405E"/>
    <w:rsid w:val="5E591D3D"/>
    <w:rsid w:val="5E6737F7"/>
    <w:rsid w:val="5E68756F"/>
    <w:rsid w:val="5E6F415D"/>
    <w:rsid w:val="5E8051A3"/>
    <w:rsid w:val="5E873E9A"/>
    <w:rsid w:val="5E8E1D57"/>
    <w:rsid w:val="5E9F0E3F"/>
    <w:rsid w:val="5EA05A1B"/>
    <w:rsid w:val="5EB51F38"/>
    <w:rsid w:val="5EBF3633"/>
    <w:rsid w:val="5EC118C9"/>
    <w:rsid w:val="5ECC7AFE"/>
    <w:rsid w:val="5ECE467C"/>
    <w:rsid w:val="5EDF6DD7"/>
    <w:rsid w:val="5EEE6572"/>
    <w:rsid w:val="5EF07C91"/>
    <w:rsid w:val="5F04373C"/>
    <w:rsid w:val="5F076D88"/>
    <w:rsid w:val="5F101CC4"/>
    <w:rsid w:val="5F13397F"/>
    <w:rsid w:val="5F1D035A"/>
    <w:rsid w:val="5F3A454F"/>
    <w:rsid w:val="5F3A53B0"/>
    <w:rsid w:val="5F3A715E"/>
    <w:rsid w:val="5F4B136B"/>
    <w:rsid w:val="5F555D46"/>
    <w:rsid w:val="5F5A31A8"/>
    <w:rsid w:val="5F5B7B31"/>
    <w:rsid w:val="5F763A4C"/>
    <w:rsid w:val="5F7A755A"/>
    <w:rsid w:val="5F833AF8"/>
    <w:rsid w:val="5F8742E2"/>
    <w:rsid w:val="5F926F9A"/>
    <w:rsid w:val="5FB213EA"/>
    <w:rsid w:val="5FCD3B2E"/>
    <w:rsid w:val="5FD379A4"/>
    <w:rsid w:val="5FD7317C"/>
    <w:rsid w:val="5FDE21DF"/>
    <w:rsid w:val="5FE45453"/>
    <w:rsid w:val="5FF91C7A"/>
    <w:rsid w:val="5FF95ED7"/>
    <w:rsid w:val="60037396"/>
    <w:rsid w:val="60164BA2"/>
    <w:rsid w:val="601A43EF"/>
    <w:rsid w:val="6026563C"/>
    <w:rsid w:val="602C0049"/>
    <w:rsid w:val="6042451C"/>
    <w:rsid w:val="60503F3D"/>
    <w:rsid w:val="60594D60"/>
    <w:rsid w:val="605D1E58"/>
    <w:rsid w:val="606E3563"/>
    <w:rsid w:val="606E468E"/>
    <w:rsid w:val="60730B79"/>
    <w:rsid w:val="60735C09"/>
    <w:rsid w:val="607B7A2E"/>
    <w:rsid w:val="607C7302"/>
    <w:rsid w:val="60824919"/>
    <w:rsid w:val="60997EB4"/>
    <w:rsid w:val="609D79A4"/>
    <w:rsid w:val="60AD6327"/>
    <w:rsid w:val="60B13450"/>
    <w:rsid w:val="60B57F7E"/>
    <w:rsid w:val="60BE63C8"/>
    <w:rsid w:val="60C05441"/>
    <w:rsid w:val="60C442E0"/>
    <w:rsid w:val="60C72C73"/>
    <w:rsid w:val="60C87847"/>
    <w:rsid w:val="60CE74F7"/>
    <w:rsid w:val="60DA787C"/>
    <w:rsid w:val="6115578D"/>
    <w:rsid w:val="611C29AC"/>
    <w:rsid w:val="612C2AD6"/>
    <w:rsid w:val="613100ED"/>
    <w:rsid w:val="6131633F"/>
    <w:rsid w:val="61453B98"/>
    <w:rsid w:val="615A5895"/>
    <w:rsid w:val="616564FA"/>
    <w:rsid w:val="61750921"/>
    <w:rsid w:val="617701F5"/>
    <w:rsid w:val="617A5F38"/>
    <w:rsid w:val="618446C0"/>
    <w:rsid w:val="61A60ADB"/>
    <w:rsid w:val="61B02B17"/>
    <w:rsid w:val="61B34FA6"/>
    <w:rsid w:val="61CB0541"/>
    <w:rsid w:val="61CE3B8D"/>
    <w:rsid w:val="61CE7F08"/>
    <w:rsid w:val="61D90EB0"/>
    <w:rsid w:val="61E41603"/>
    <w:rsid w:val="61E82338"/>
    <w:rsid w:val="61FC694D"/>
    <w:rsid w:val="61FE26C5"/>
    <w:rsid w:val="6200423D"/>
    <w:rsid w:val="62093465"/>
    <w:rsid w:val="620A1069"/>
    <w:rsid w:val="620D0B5A"/>
    <w:rsid w:val="62190540"/>
    <w:rsid w:val="622F77D6"/>
    <w:rsid w:val="62315204"/>
    <w:rsid w:val="623A1223"/>
    <w:rsid w:val="623D02C5"/>
    <w:rsid w:val="624A3B5C"/>
    <w:rsid w:val="625642AF"/>
    <w:rsid w:val="625B3673"/>
    <w:rsid w:val="62647FB0"/>
    <w:rsid w:val="626A1B08"/>
    <w:rsid w:val="626D33A6"/>
    <w:rsid w:val="626D46A2"/>
    <w:rsid w:val="626F2040"/>
    <w:rsid w:val="627666FF"/>
    <w:rsid w:val="6280757E"/>
    <w:rsid w:val="6283706E"/>
    <w:rsid w:val="628A3F58"/>
    <w:rsid w:val="628B15D4"/>
    <w:rsid w:val="629D0130"/>
    <w:rsid w:val="62A50D92"/>
    <w:rsid w:val="62A56FE4"/>
    <w:rsid w:val="62B81781"/>
    <w:rsid w:val="62B8336A"/>
    <w:rsid w:val="62B8477F"/>
    <w:rsid w:val="62BB0998"/>
    <w:rsid w:val="62C27B96"/>
    <w:rsid w:val="62DD5670"/>
    <w:rsid w:val="62E844C4"/>
    <w:rsid w:val="62E95D23"/>
    <w:rsid w:val="62EF025F"/>
    <w:rsid w:val="62F6339C"/>
    <w:rsid w:val="62FC6156"/>
    <w:rsid w:val="62FD0BCE"/>
    <w:rsid w:val="630458EF"/>
    <w:rsid w:val="630F29B9"/>
    <w:rsid w:val="631303F2"/>
    <w:rsid w:val="632C64AF"/>
    <w:rsid w:val="632F68AE"/>
    <w:rsid w:val="633912AA"/>
    <w:rsid w:val="6340703E"/>
    <w:rsid w:val="63461EEC"/>
    <w:rsid w:val="6347009B"/>
    <w:rsid w:val="634D1699"/>
    <w:rsid w:val="63514A76"/>
    <w:rsid w:val="6353259C"/>
    <w:rsid w:val="6367429A"/>
    <w:rsid w:val="637067D1"/>
    <w:rsid w:val="637627EA"/>
    <w:rsid w:val="637B1AF3"/>
    <w:rsid w:val="637F4381"/>
    <w:rsid w:val="6381535B"/>
    <w:rsid w:val="63843A67"/>
    <w:rsid w:val="638906B4"/>
    <w:rsid w:val="638D7B34"/>
    <w:rsid w:val="639A466F"/>
    <w:rsid w:val="639F57E1"/>
    <w:rsid w:val="63AB23D8"/>
    <w:rsid w:val="63AE011A"/>
    <w:rsid w:val="63B374DF"/>
    <w:rsid w:val="63BF40D6"/>
    <w:rsid w:val="63C90AB0"/>
    <w:rsid w:val="63CD67F3"/>
    <w:rsid w:val="63CE4319"/>
    <w:rsid w:val="63D74F7B"/>
    <w:rsid w:val="63D74F8E"/>
    <w:rsid w:val="63DC07E4"/>
    <w:rsid w:val="63DF6868"/>
    <w:rsid w:val="63E92F01"/>
    <w:rsid w:val="63F41FD1"/>
    <w:rsid w:val="63F7386F"/>
    <w:rsid w:val="63F90CC5"/>
    <w:rsid w:val="6402627D"/>
    <w:rsid w:val="640651D6"/>
    <w:rsid w:val="64103155"/>
    <w:rsid w:val="641461CF"/>
    <w:rsid w:val="641F5987"/>
    <w:rsid w:val="64230C8E"/>
    <w:rsid w:val="642D54E3"/>
    <w:rsid w:val="64305BFB"/>
    <w:rsid w:val="64337579"/>
    <w:rsid w:val="64430863"/>
    <w:rsid w:val="64441196"/>
    <w:rsid w:val="64445BAB"/>
    <w:rsid w:val="644E7B4E"/>
    <w:rsid w:val="64541E2E"/>
    <w:rsid w:val="64572560"/>
    <w:rsid w:val="646627A3"/>
    <w:rsid w:val="64664551"/>
    <w:rsid w:val="64750A9E"/>
    <w:rsid w:val="64872E45"/>
    <w:rsid w:val="648C6718"/>
    <w:rsid w:val="64925346"/>
    <w:rsid w:val="64992B79"/>
    <w:rsid w:val="64A622B0"/>
    <w:rsid w:val="64A82F69"/>
    <w:rsid w:val="64B13A1E"/>
    <w:rsid w:val="64B61B71"/>
    <w:rsid w:val="64F8789F"/>
    <w:rsid w:val="64F9082A"/>
    <w:rsid w:val="64FB738F"/>
    <w:rsid w:val="650224CC"/>
    <w:rsid w:val="65091B75"/>
    <w:rsid w:val="651915C4"/>
    <w:rsid w:val="651B3208"/>
    <w:rsid w:val="651B74E4"/>
    <w:rsid w:val="65230D92"/>
    <w:rsid w:val="652E0D3C"/>
    <w:rsid w:val="653A1C66"/>
    <w:rsid w:val="654725D5"/>
    <w:rsid w:val="655A40B6"/>
    <w:rsid w:val="656071F2"/>
    <w:rsid w:val="65620FA9"/>
    <w:rsid w:val="65622575"/>
    <w:rsid w:val="65637788"/>
    <w:rsid w:val="65652A5B"/>
    <w:rsid w:val="656960A7"/>
    <w:rsid w:val="657131AE"/>
    <w:rsid w:val="659B647C"/>
    <w:rsid w:val="659D21F5"/>
    <w:rsid w:val="65BC6440"/>
    <w:rsid w:val="65C0139D"/>
    <w:rsid w:val="65C36E7F"/>
    <w:rsid w:val="65C4453D"/>
    <w:rsid w:val="65D21A26"/>
    <w:rsid w:val="65D375F8"/>
    <w:rsid w:val="65D5373C"/>
    <w:rsid w:val="65D75FCA"/>
    <w:rsid w:val="65DC20BD"/>
    <w:rsid w:val="65DC2D1D"/>
    <w:rsid w:val="65DC4ACB"/>
    <w:rsid w:val="65EE2A50"/>
    <w:rsid w:val="65F63BD4"/>
    <w:rsid w:val="660109D5"/>
    <w:rsid w:val="660E4EA0"/>
    <w:rsid w:val="6622709C"/>
    <w:rsid w:val="662326FA"/>
    <w:rsid w:val="662E1715"/>
    <w:rsid w:val="663973B7"/>
    <w:rsid w:val="663B7430"/>
    <w:rsid w:val="664663E8"/>
    <w:rsid w:val="665C6A93"/>
    <w:rsid w:val="66611474"/>
    <w:rsid w:val="666D7E19"/>
    <w:rsid w:val="66737D2A"/>
    <w:rsid w:val="66890422"/>
    <w:rsid w:val="66935AC8"/>
    <w:rsid w:val="669C0303"/>
    <w:rsid w:val="669C06FE"/>
    <w:rsid w:val="669C24AC"/>
    <w:rsid w:val="669C425A"/>
    <w:rsid w:val="66A03D4A"/>
    <w:rsid w:val="66A80729"/>
    <w:rsid w:val="66B45A48"/>
    <w:rsid w:val="66C10DEF"/>
    <w:rsid w:val="66C95C46"/>
    <w:rsid w:val="66CF63DE"/>
    <w:rsid w:val="66E005EB"/>
    <w:rsid w:val="66E10EF9"/>
    <w:rsid w:val="66E62095"/>
    <w:rsid w:val="66E63727"/>
    <w:rsid w:val="66F64DF0"/>
    <w:rsid w:val="66F9345B"/>
    <w:rsid w:val="67136C12"/>
    <w:rsid w:val="6714124B"/>
    <w:rsid w:val="6714321C"/>
    <w:rsid w:val="6716225F"/>
    <w:rsid w:val="6719778E"/>
    <w:rsid w:val="671E1113"/>
    <w:rsid w:val="672A0BC3"/>
    <w:rsid w:val="67535261"/>
    <w:rsid w:val="67580AC9"/>
    <w:rsid w:val="675F283D"/>
    <w:rsid w:val="676236F6"/>
    <w:rsid w:val="67672ABA"/>
    <w:rsid w:val="676F196F"/>
    <w:rsid w:val="677F7E04"/>
    <w:rsid w:val="67943B44"/>
    <w:rsid w:val="67970641"/>
    <w:rsid w:val="67B13D35"/>
    <w:rsid w:val="67B6759E"/>
    <w:rsid w:val="67C75C7F"/>
    <w:rsid w:val="67D16185"/>
    <w:rsid w:val="67D839B8"/>
    <w:rsid w:val="67E07FD8"/>
    <w:rsid w:val="67E4235D"/>
    <w:rsid w:val="67ED7463"/>
    <w:rsid w:val="67FD53CF"/>
    <w:rsid w:val="680F7AC7"/>
    <w:rsid w:val="6813619F"/>
    <w:rsid w:val="6815073B"/>
    <w:rsid w:val="681D586D"/>
    <w:rsid w:val="68292C13"/>
    <w:rsid w:val="683F3A37"/>
    <w:rsid w:val="684B418A"/>
    <w:rsid w:val="685E3EBD"/>
    <w:rsid w:val="68694610"/>
    <w:rsid w:val="68721717"/>
    <w:rsid w:val="687775B2"/>
    <w:rsid w:val="68834BBC"/>
    <w:rsid w:val="689C2C37"/>
    <w:rsid w:val="68A5389A"/>
    <w:rsid w:val="68AE68FE"/>
    <w:rsid w:val="68C3086F"/>
    <w:rsid w:val="68E73A51"/>
    <w:rsid w:val="68EF0FB9"/>
    <w:rsid w:val="68FB170C"/>
    <w:rsid w:val="690507DD"/>
    <w:rsid w:val="69110F2F"/>
    <w:rsid w:val="69180510"/>
    <w:rsid w:val="692E05D5"/>
    <w:rsid w:val="693410C2"/>
    <w:rsid w:val="6934554E"/>
    <w:rsid w:val="6934718B"/>
    <w:rsid w:val="693A5035"/>
    <w:rsid w:val="69423823"/>
    <w:rsid w:val="6945507D"/>
    <w:rsid w:val="695157D0"/>
    <w:rsid w:val="695A5837"/>
    <w:rsid w:val="69711F76"/>
    <w:rsid w:val="69755D9C"/>
    <w:rsid w:val="69802D51"/>
    <w:rsid w:val="69825CBF"/>
    <w:rsid w:val="6986193F"/>
    <w:rsid w:val="69886D18"/>
    <w:rsid w:val="69985F69"/>
    <w:rsid w:val="69A97332"/>
    <w:rsid w:val="69B61AD7"/>
    <w:rsid w:val="69C2047C"/>
    <w:rsid w:val="69C73CE4"/>
    <w:rsid w:val="69D85D20"/>
    <w:rsid w:val="69E2467A"/>
    <w:rsid w:val="6A045939"/>
    <w:rsid w:val="6A0740E0"/>
    <w:rsid w:val="6A1B14A7"/>
    <w:rsid w:val="6A1C7012"/>
    <w:rsid w:val="6A1F58CE"/>
    <w:rsid w:val="6A3B684A"/>
    <w:rsid w:val="6A440E91"/>
    <w:rsid w:val="6A8614A9"/>
    <w:rsid w:val="6A955B90"/>
    <w:rsid w:val="6AB95599"/>
    <w:rsid w:val="6AD42215"/>
    <w:rsid w:val="6ADA1266"/>
    <w:rsid w:val="6AE5012B"/>
    <w:rsid w:val="6AF1726A"/>
    <w:rsid w:val="6AF403FB"/>
    <w:rsid w:val="6AF43B52"/>
    <w:rsid w:val="6AF97ECD"/>
    <w:rsid w:val="6B1148DF"/>
    <w:rsid w:val="6B1B7628"/>
    <w:rsid w:val="6B1E16E2"/>
    <w:rsid w:val="6B241A17"/>
    <w:rsid w:val="6B2A277C"/>
    <w:rsid w:val="6B39476E"/>
    <w:rsid w:val="6B3C2EFA"/>
    <w:rsid w:val="6B4355EC"/>
    <w:rsid w:val="6B7636D8"/>
    <w:rsid w:val="6B7F2B89"/>
    <w:rsid w:val="6B923FB8"/>
    <w:rsid w:val="6B991CE8"/>
    <w:rsid w:val="6BAC4F3F"/>
    <w:rsid w:val="6BB666ED"/>
    <w:rsid w:val="6BC229B5"/>
    <w:rsid w:val="6BC93D43"/>
    <w:rsid w:val="6BCE135A"/>
    <w:rsid w:val="6BDB5825"/>
    <w:rsid w:val="6BE4292B"/>
    <w:rsid w:val="6BF32B6E"/>
    <w:rsid w:val="6C016BE7"/>
    <w:rsid w:val="6C07661A"/>
    <w:rsid w:val="6C1E0F7E"/>
    <w:rsid w:val="6C2C42D2"/>
    <w:rsid w:val="6C317BB9"/>
    <w:rsid w:val="6C3B28C0"/>
    <w:rsid w:val="6C580C23"/>
    <w:rsid w:val="6C643A6C"/>
    <w:rsid w:val="6C735A5D"/>
    <w:rsid w:val="6C7E07E5"/>
    <w:rsid w:val="6CA1081C"/>
    <w:rsid w:val="6CA21FD3"/>
    <w:rsid w:val="6CAA345C"/>
    <w:rsid w:val="6CBE13CE"/>
    <w:rsid w:val="6CF1243C"/>
    <w:rsid w:val="6CF272CA"/>
    <w:rsid w:val="6CF42BFD"/>
    <w:rsid w:val="6CF51267"/>
    <w:rsid w:val="6CF80F83"/>
    <w:rsid w:val="6CF90658"/>
    <w:rsid w:val="6CFE5C6F"/>
    <w:rsid w:val="6D0019E7"/>
    <w:rsid w:val="6D022576"/>
    <w:rsid w:val="6D1852E5"/>
    <w:rsid w:val="6D266F73"/>
    <w:rsid w:val="6D272708"/>
    <w:rsid w:val="6D2F4E5D"/>
    <w:rsid w:val="6D390A55"/>
    <w:rsid w:val="6D392803"/>
    <w:rsid w:val="6D396CA7"/>
    <w:rsid w:val="6D3F3B91"/>
    <w:rsid w:val="6D505D9E"/>
    <w:rsid w:val="6D527D69"/>
    <w:rsid w:val="6D6A6E60"/>
    <w:rsid w:val="6D943EDD"/>
    <w:rsid w:val="6DA21E39"/>
    <w:rsid w:val="6DB568A0"/>
    <w:rsid w:val="6DCC3677"/>
    <w:rsid w:val="6DCF4F15"/>
    <w:rsid w:val="6DD6304C"/>
    <w:rsid w:val="6DE210EC"/>
    <w:rsid w:val="6DED5A80"/>
    <w:rsid w:val="6DF02DDA"/>
    <w:rsid w:val="6DFE74C6"/>
    <w:rsid w:val="6E04626A"/>
    <w:rsid w:val="6E080427"/>
    <w:rsid w:val="6E1148C4"/>
    <w:rsid w:val="6E182D60"/>
    <w:rsid w:val="6E4512D6"/>
    <w:rsid w:val="6E5F273D"/>
    <w:rsid w:val="6E6164B5"/>
    <w:rsid w:val="6E6E2980"/>
    <w:rsid w:val="6E6E5D03"/>
    <w:rsid w:val="6E726C85"/>
    <w:rsid w:val="6E7837FF"/>
    <w:rsid w:val="6E865F1C"/>
    <w:rsid w:val="6E914282"/>
    <w:rsid w:val="6E973BA3"/>
    <w:rsid w:val="6E9817AB"/>
    <w:rsid w:val="6E9A3775"/>
    <w:rsid w:val="6E9C0F6F"/>
    <w:rsid w:val="6EB04D47"/>
    <w:rsid w:val="6EB0599B"/>
    <w:rsid w:val="6EB64310"/>
    <w:rsid w:val="6EBF5BF3"/>
    <w:rsid w:val="6EC4425E"/>
    <w:rsid w:val="6ED547AD"/>
    <w:rsid w:val="6EEB3C07"/>
    <w:rsid w:val="6EEE4FB7"/>
    <w:rsid w:val="6EF966EE"/>
    <w:rsid w:val="6F0E4EC3"/>
    <w:rsid w:val="6F0F4163"/>
    <w:rsid w:val="6F1F1ECC"/>
    <w:rsid w:val="6F282086"/>
    <w:rsid w:val="6F2C565C"/>
    <w:rsid w:val="6F2D283B"/>
    <w:rsid w:val="6F35349E"/>
    <w:rsid w:val="6F3B64CA"/>
    <w:rsid w:val="6F3C482C"/>
    <w:rsid w:val="6F44464C"/>
    <w:rsid w:val="6F484F7F"/>
    <w:rsid w:val="6F525DFE"/>
    <w:rsid w:val="6F5C6720"/>
    <w:rsid w:val="6F682978"/>
    <w:rsid w:val="6F771D08"/>
    <w:rsid w:val="6F810180"/>
    <w:rsid w:val="6F907CB4"/>
    <w:rsid w:val="6FC0545D"/>
    <w:rsid w:val="6FC35D48"/>
    <w:rsid w:val="6FCA008A"/>
    <w:rsid w:val="6FE0165C"/>
    <w:rsid w:val="6FE16EE1"/>
    <w:rsid w:val="6FE264A0"/>
    <w:rsid w:val="6FF9271D"/>
    <w:rsid w:val="6FFD045F"/>
    <w:rsid w:val="700C2451"/>
    <w:rsid w:val="700F1F41"/>
    <w:rsid w:val="70180DF5"/>
    <w:rsid w:val="701F03D6"/>
    <w:rsid w:val="702552C0"/>
    <w:rsid w:val="702A6D7B"/>
    <w:rsid w:val="702C748F"/>
    <w:rsid w:val="702E686B"/>
    <w:rsid w:val="70344BBF"/>
    <w:rsid w:val="703674CE"/>
    <w:rsid w:val="703D7080"/>
    <w:rsid w:val="703F2826"/>
    <w:rsid w:val="7040644A"/>
    <w:rsid w:val="70425E72"/>
    <w:rsid w:val="70441BEA"/>
    <w:rsid w:val="704C0A9F"/>
    <w:rsid w:val="70557737"/>
    <w:rsid w:val="70596115"/>
    <w:rsid w:val="705C33D8"/>
    <w:rsid w:val="70691651"/>
    <w:rsid w:val="706E6C67"/>
    <w:rsid w:val="706F4CF2"/>
    <w:rsid w:val="70737C93"/>
    <w:rsid w:val="70810812"/>
    <w:rsid w:val="70821865"/>
    <w:rsid w:val="708244C1"/>
    <w:rsid w:val="709269F7"/>
    <w:rsid w:val="70930CB0"/>
    <w:rsid w:val="709F4389"/>
    <w:rsid w:val="70A361D6"/>
    <w:rsid w:val="70B054D2"/>
    <w:rsid w:val="70B16D61"/>
    <w:rsid w:val="70B34FC2"/>
    <w:rsid w:val="70B36D70"/>
    <w:rsid w:val="70BE4D93"/>
    <w:rsid w:val="70E1568B"/>
    <w:rsid w:val="70E227D6"/>
    <w:rsid w:val="70F575C7"/>
    <w:rsid w:val="70FE623D"/>
    <w:rsid w:val="710F044A"/>
    <w:rsid w:val="71141F49"/>
    <w:rsid w:val="712F166D"/>
    <w:rsid w:val="71357785"/>
    <w:rsid w:val="714861FC"/>
    <w:rsid w:val="714B0D57"/>
    <w:rsid w:val="7150636D"/>
    <w:rsid w:val="715E72BC"/>
    <w:rsid w:val="71755DD4"/>
    <w:rsid w:val="71793B16"/>
    <w:rsid w:val="718030F6"/>
    <w:rsid w:val="71836742"/>
    <w:rsid w:val="718762E6"/>
    <w:rsid w:val="71922369"/>
    <w:rsid w:val="71AA1F21"/>
    <w:rsid w:val="71AD7318"/>
    <w:rsid w:val="71AF12E6"/>
    <w:rsid w:val="71B5159F"/>
    <w:rsid w:val="71B66B18"/>
    <w:rsid w:val="71B92C84"/>
    <w:rsid w:val="71BD6F35"/>
    <w:rsid w:val="71C346B5"/>
    <w:rsid w:val="71C34D91"/>
    <w:rsid w:val="71C37A53"/>
    <w:rsid w:val="71C7496A"/>
    <w:rsid w:val="71DC5E53"/>
    <w:rsid w:val="71E511AB"/>
    <w:rsid w:val="71F17594"/>
    <w:rsid w:val="71F238C8"/>
    <w:rsid w:val="71F65166"/>
    <w:rsid w:val="71F87A6C"/>
    <w:rsid w:val="71FB09CF"/>
    <w:rsid w:val="7205184D"/>
    <w:rsid w:val="72113D4E"/>
    <w:rsid w:val="721E46BD"/>
    <w:rsid w:val="72203F91"/>
    <w:rsid w:val="72207836"/>
    <w:rsid w:val="72225F5B"/>
    <w:rsid w:val="722C0B88"/>
    <w:rsid w:val="722C2936"/>
    <w:rsid w:val="72330169"/>
    <w:rsid w:val="72385C61"/>
    <w:rsid w:val="723D4B43"/>
    <w:rsid w:val="72553376"/>
    <w:rsid w:val="72604CD6"/>
    <w:rsid w:val="72605D30"/>
    <w:rsid w:val="726A7902"/>
    <w:rsid w:val="726D70E7"/>
    <w:rsid w:val="728564EA"/>
    <w:rsid w:val="72895FDA"/>
    <w:rsid w:val="72936E59"/>
    <w:rsid w:val="72987FCC"/>
    <w:rsid w:val="72A45462"/>
    <w:rsid w:val="72A50E51"/>
    <w:rsid w:val="72A63D8F"/>
    <w:rsid w:val="72AC3A77"/>
    <w:rsid w:val="72B8241C"/>
    <w:rsid w:val="72BA43E6"/>
    <w:rsid w:val="72D82987"/>
    <w:rsid w:val="72D9520E"/>
    <w:rsid w:val="72E529EE"/>
    <w:rsid w:val="72E66F89"/>
    <w:rsid w:val="72EC6F44"/>
    <w:rsid w:val="72FC49FE"/>
    <w:rsid w:val="73041B05"/>
    <w:rsid w:val="730613D9"/>
    <w:rsid w:val="730C43A4"/>
    <w:rsid w:val="73124222"/>
    <w:rsid w:val="732168CC"/>
    <w:rsid w:val="73221F8B"/>
    <w:rsid w:val="73353A6C"/>
    <w:rsid w:val="7338355D"/>
    <w:rsid w:val="733A1083"/>
    <w:rsid w:val="733F6699"/>
    <w:rsid w:val="735A1ECE"/>
    <w:rsid w:val="735E419D"/>
    <w:rsid w:val="735F0AE9"/>
    <w:rsid w:val="736003A2"/>
    <w:rsid w:val="73724CC1"/>
    <w:rsid w:val="73740A39"/>
    <w:rsid w:val="73770529"/>
    <w:rsid w:val="73834F73"/>
    <w:rsid w:val="738B5D82"/>
    <w:rsid w:val="738D5656"/>
    <w:rsid w:val="73905147"/>
    <w:rsid w:val="7395275D"/>
    <w:rsid w:val="73A00CA7"/>
    <w:rsid w:val="73A56E44"/>
    <w:rsid w:val="73BB407D"/>
    <w:rsid w:val="73C276DC"/>
    <w:rsid w:val="73CB43D1"/>
    <w:rsid w:val="73D72D76"/>
    <w:rsid w:val="73DE2356"/>
    <w:rsid w:val="73E84141"/>
    <w:rsid w:val="73FC0A2E"/>
    <w:rsid w:val="73FE3DE5"/>
    <w:rsid w:val="74003100"/>
    <w:rsid w:val="74031DBD"/>
    <w:rsid w:val="740873D3"/>
    <w:rsid w:val="7420471D"/>
    <w:rsid w:val="742066E6"/>
    <w:rsid w:val="742835D1"/>
    <w:rsid w:val="742F2BB2"/>
    <w:rsid w:val="742F3CB1"/>
    <w:rsid w:val="743106D8"/>
    <w:rsid w:val="743A0B69"/>
    <w:rsid w:val="74411A20"/>
    <w:rsid w:val="745A0321"/>
    <w:rsid w:val="745B563F"/>
    <w:rsid w:val="746D7236"/>
    <w:rsid w:val="7472484C"/>
    <w:rsid w:val="747D74F0"/>
    <w:rsid w:val="747E1443"/>
    <w:rsid w:val="74962C31"/>
    <w:rsid w:val="749D3FBF"/>
    <w:rsid w:val="74BD640F"/>
    <w:rsid w:val="74C31ECB"/>
    <w:rsid w:val="74C57072"/>
    <w:rsid w:val="74DD260E"/>
    <w:rsid w:val="74E27C24"/>
    <w:rsid w:val="74F37E1A"/>
    <w:rsid w:val="74F57957"/>
    <w:rsid w:val="74F6722B"/>
    <w:rsid w:val="750147A2"/>
    <w:rsid w:val="75184F78"/>
    <w:rsid w:val="75186B30"/>
    <w:rsid w:val="751A73BE"/>
    <w:rsid w:val="7530098F"/>
    <w:rsid w:val="75526B58"/>
    <w:rsid w:val="7559678F"/>
    <w:rsid w:val="7564619A"/>
    <w:rsid w:val="75660855"/>
    <w:rsid w:val="756923C9"/>
    <w:rsid w:val="757C3BD5"/>
    <w:rsid w:val="758D4034"/>
    <w:rsid w:val="758E43BC"/>
    <w:rsid w:val="758F7694"/>
    <w:rsid w:val="7591000A"/>
    <w:rsid w:val="75925734"/>
    <w:rsid w:val="75942919"/>
    <w:rsid w:val="75970A0E"/>
    <w:rsid w:val="75A01819"/>
    <w:rsid w:val="75A153E9"/>
    <w:rsid w:val="75A960A7"/>
    <w:rsid w:val="75B07897"/>
    <w:rsid w:val="75C64E50"/>
    <w:rsid w:val="75D03F20"/>
    <w:rsid w:val="75D73501"/>
    <w:rsid w:val="75DA32B4"/>
    <w:rsid w:val="75DC69B3"/>
    <w:rsid w:val="75E33C54"/>
    <w:rsid w:val="75EE7A52"/>
    <w:rsid w:val="75FC2F67"/>
    <w:rsid w:val="76022ED7"/>
    <w:rsid w:val="760A11E0"/>
    <w:rsid w:val="760A7432"/>
    <w:rsid w:val="760F2C9B"/>
    <w:rsid w:val="76142BC8"/>
    <w:rsid w:val="761A2802"/>
    <w:rsid w:val="761B163F"/>
    <w:rsid w:val="761C0F14"/>
    <w:rsid w:val="76206C56"/>
    <w:rsid w:val="76236746"/>
    <w:rsid w:val="762F0C47"/>
    <w:rsid w:val="76313E23"/>
    <w:rsid w:val="764346F2"/>
    <w:rsid w:val="76490102"/>
    <w:rsid w:val="765C5EF1"/>
    <w:rsid w:val="765D3A06"/>
    <w:rsid w:val="76876CD5"/>
    <w:rsid w:val="768F7938"/>
    <w:rsid w:val="768F7C28"/>
    <w:rsid w:val="7691545E"/>
    <w:rsid w:val="76982C90"/>
    <w:rsid w:val="76A519F0"/>
    <w:rsid w:val="76AA29C3"/>
    <w:rsid w:val="76B5776A"/>
    <w:rsid w:val="76BD26F7"/>
    <w:rsid w:val="76C92E49"/>
    <w:rsid w:val="76D370E5"/>
    <w:rsid w:val="76D37824"/>
    <w:rsid w:val="76E01691"/>
    <w:rsid w:val="76F1171B"/>
    <w:rsid w:val="76FD2AF3"/>
    <w:rsid w:val="77066653"/>
    <w:rsid w:val="770B019B"/>
    <w:rsid w:val="771C135D"/>
    <w:rsid w:val="772207AC"/>
    <w:rsid w:val="772E638B"/>
    <w:rsid w:val="772F1322"/>
    <w:rsid w:val="77324E93"/>
    <w:rsid w:val="77364257"/>
    <w:rsid w:val="77381D7D"/>
    <w:rsid w:val="77416E84"/>
    <w:rsid w:val="775F555C"/>
    <w:rsid w:val="776B78DA"/>
    <w:rsid w:val="777860FF"/>
    <w:rsid w:val="77921962"/>
    <w:rsid w:val="77992AE0"/>
    <w:rsid w:val="779A5AD5"/>
    <w:rsid w:val="77A0240D"/>
    <w:rsid w:val="77AA57AB"/>
    <w:rsid w:val="77B75398"/>
    <w:rsid w:val="77C005BD"/>
    <w:rsid w:val="77C63091"/>
    <w:rsid w:val="77C71EAA"/>
    <w:rsid w:val="77C8090F"/>
    <w:rsid w:val="77D47CF8"/>
    <w:rsid w:val="77D5581E"/>
    <w:rsid w:val="77DE2925"/>
    <w:rsid w:val="77E617D9"/>
    <w:rsid w:val="77EB3293"/>
    <w:rsid w:val="77F263D0"/>
    <w:rsid w:val="77F42148"/>
    <w:rsid w:val="780A371A"/>
    <w:rsid w:val="780D4FB8"/>
    <w:rsid w:val="781A1483"/>
    <w:rsid w:val="781D7F14"/>
    <w:rsid w:val="783C764B"/>
    <w:rsid w:val="784239DF"/>
    <w:rsid w:val="784817E2"/>
    <w:rsid w:val="784B788E"/>
    <w:rsid w:val="78580D70"/>
    <w:rsid w:val="7864485D"/>
    <w:rsid w:val="786F17CF"/>
    <w:rsid w:val="78741648"/>
    <w:rsid w:val="78774B27"/>
    <w:rsid w:val="788A6608"/>
    <w:rsid w:val="788C2381"/>
    <w:rsid w:val="78910FF3"/>
    <w:rsid w:val="78AB1048"/>
    <w:rsid w:val="78AC58A5"/>
    <w:rsid w:val="78C00B06"/>
    <w:rsid w:val="78C961F4"/>
    <w:rsid w:val="78CC09CF"/>
    <w:rsid w:val="78D66B7E"/>
    <w:rsid w:val="78E73002"/>
    <w:rsid w:val="78E9792E"/>
    <w:rsid w:val="78F65C56"/>
    <w:rsid w:val="78F9378E"/>
    <w:rsid w:val="79022643"/>
    <w:rsid w:val="79062C97"/>
    <w:rsid w:val="7910600A"/>
    <w:rsid w:val="791365FE"/>
    <w:rsid w:val="791470A4"/>
    <w:rsid w:val="792720A9"/>
    <w:rsid w:val="793A50D9"/>
    <w:rsid w:val="793F072D"/>
    <w:rsid w:val="793F5645"/>
    <w:rsid w:val="794762A8"/>
    <w:rsid w:val="79586707"/>
    <w:rsid w:val="795A37B7"/>
    <w:rsid w:val="795B7FA5"/>
    <w:rsid w:val="7961380D"/>
    <w:rsid w:val="79654980"/>
    <w:rsid w:val="796A65B3"/>
    <w:rsid w:val="79764DDF"/>
    <w:rsid w:val="797B2A69"/>
    <w:rsid w:val="798443DA"/>
    <w:rsid w:val="7993773F"/>
    <w:rsid w:val="79955265"/>
    <w:rsid w:val="79AF3739"/>
    <w:rsid w:val="79C1605A"/>
    <w:rsid w:val="79C35EDA"/>
    <w:rsid w:val="79C93160"/>
    <w:rsid w:val="79CB0C87"/>
    <w:rsid w:val="79D91008"/>
    <w:rsid w:val="79DC08AE"/>
    <w:rsid w:val="79EB1329"/>
    <w:rsid w:val="79EE6E94"/>
    <w:rsid w:val="79F103DA"/>
    <w:rsid w:val="79F24465"/>
    <w:rsid w:val="79FE72AE"/>
    <w:rsid w:val="79FF7621"/>
    <w:rsid w:val="7A016D9E"/>
    <w:rsid w:val="7A0A5C53"/>
    <w:rsid w:val="7A11463C"/>
    <w:rsid w:val="7A13262E"/>
    <w:rsid w:val="7A1F7224"/>
    <w:rsid w:val="7A214D4A"/>
    <w:rsid w:val="7A232871"/>
    <w:rsid w:val="7A262361"/>
    <w:rsid w:val="7A4D5B40"/>
    <w:rsid w:val="7A6B4218"/>
    <w:rsid w:val="7A6D3881"/>
    <w:rsid w:val="7A7B26AD"/>
    <w:rsid w:val="7A8A01C7"/>
    <w:rsid w:val="7A927D1C"/>
    <w:rsid w:val="7AAA36FF"/>
    <w:rsid w:val="7AB23BF5"/>
    <w:rsid w:val="7AB81A37"/>
    <w:rsid w:val="7AB91427"/>
    <w:rsid w:val="7ABD2CC5"/>
    <w:rsid w:val="7AC73B44"/>
    <w:rsid w:val="7ACD0A2E"/>
    <w:rsid w:val="7AD348A0"/>
    <w:rsid w:val="7ADB7A18"/>
    <w:rsid w:val="7AE85868"/>
    <w:rsid w:val="7AFF2AEA"/>
    <w:rsid w:val="7B0452DC"/>
    <w:rsid w:val="7B1872A2"/>
    <w:rsid w:val="7B1D3764"/>
    <w:rsid w:val="7B215048"/>
    <w:rsid w:val="7B2F3497"/>
    <w:rsid w:val="7B3B1E3C"/>
    <w:rsid w:val="7B537186"/>
    <w:rsid w:val="7B590514"/>
    <w:rsid w:val="7B651B94"/>
    <w:rsid w:val="7B6B22FB"/>
    <w:rsid w:val="7B71585E"/>
    <w:rsid w:val="7B7610C6"/>
    <w:rsid w:val="7B774D4C"/>
    <w:rsid w:val="7B7979D7"/>
    <w:rsid w:val="7B803CF3"/>
    <w:rsid w:val="7B953D8A"/>
    <w:rsid w:val="7B95779E"/>
    <w:rsid w:val="7BA619AB"/>
    <w:rsid w:val="7BB15D7A"/>
    <w:rsid w:val="7BB2023F"/>
    <w:rsid w:val="7BB8348D"/>
    <w:rsid w:val="7BD76009"/>
    <w:rsid w:val="7BE427C9"/>
    <w:rsid w:val="7BEC3136"/>
    <w:rsid w:val="7BF546E1"/>
    <w:rsid w:val="7C046713"/>
    <w:rsid w:val="7C1770CA"/>
    <w:rsid w:val="7C296138"/>
    <w:rsid w:val="7C2F6981"/>
    <w:rsid w:val="7C442F72"/>
    <w:rsid w:val="7C443BD8"/>
    <w:rsid w:val="7C683105"/>
    <w:rsid w:val="7C6E2B28"/>
    <w:rsid w:val="7C7179B9"/>
    <w:rsid w:val="7C7D40E7"/>
    <w:rsid w:val="7C7E46D6"/>
    <w:rsid w:val="7C80044E"/>
    <w:rsid w:val="7C8D4919"/>
    <w:rsid w:val="7C906658"/>
    <w:rsid w:val="7C97773D"/>
    <w:rsid w:val="7C9A0DE4"/>
    <w:rsid w:val="7C9C4E59"/>
    <w:rsid w:val="7CBC548E"/>
    <w:rsid w:val="7CC80A03"/>
    <w:rsid w:val="7CCB71F0"/>
    <w:rsid w:val="7CD62704"/>
    <w:rsid w:val="7CD66B92"/>
    <w:rsid w:val="7CDB655F"/>
    <w:rsid w:val="7CDD696D"/>
    <w:rsid w:val="7CF16C56"/>
    <w:rsid w:val="7CF4697E"/>
    <w:rsid w:val="7CFE5817"/>
    <w:rsid w:val="7D057903"/>
    <w:rsid w:val="7D0C1CE2"/>
    <w:rsid w:val="7D1F193A"/>
    <w:rsid w:val="7D2F777E"/>
    <w:rsid w:val="7D360B0D"/>
    <w:rsid w:val="7D374F29"/>
    <w:rsid w:val="7D41509D"/>
    <w:rsid w:val="7D423956"/>
    <w:rsid w:val="7D4C0330"/>
    <w:rsid w:val="7D4F1BCF"/>
    <w:rsid w:val="7D5176F5"/>
    <w:rsid w:val="7D552870"/>
    <w:rsid w:val="7D6E474B"/>
    <w:rsid w:val="7D6E5FB3"/>
    <w:rsid w:val="7D733B0F"/>
    <w:rsid w:val="7D8819B8"/>
    <w:rsid w:val="7D883F06"/>
    <w:rsid w:val="7D886233"/>
    <w:rsid w:val="7D8E6B9B"/>
    <w:rsid w:val="7DA04908"/>
    <w:rsid w:val="7DA17D30"/>
    <w:rsid w:val="7DA57A41"/>
    <w:rsid w:val="7DA72781"/>
    <w:rsid w:val="7DA95783"/>
    <w:rsid w:val="7DC252A0"/>
    <w:rsid w:val="7DC4436B"/>
    <w:rsid w:val="7DC51E91"/>
    <w:rsid w:val="7DCB0BE8"/>
    <w:rsid w:val="7DD547CA"/>
    <w:rsid w:val="7DDA53C2"/>
    <w:rsid w:val="7DDA593C"/>
    <w:rsid w:val="7DE02B83"/>
    <w:rsid w:val="7DE14F1D"/>
    <w:rsid w:val="7DEB2D7B"/>
    <w:rsid w:val="7DF02CF2"/>
    <w:rsid w:val="7E002EC9"/>
    <w:rsid w:val="7E156974"/>
    <w:rsid w:val="7E157EA9"/>
    <w:rsid w:val="7E21356B"/>
    <w:rsid w:val="7E2F1D63"/>
    <w:rsid w:val="7E495886"/>
    <w:rsid w:val="7E553215"/>
    <w:rsid w:val="7E723DC7"/>
    <w:rsid w:val="7E867872"/>
    <w:rsid w:val="7E9A331D"/>
    <w:rsid w:val="7EA85A3A"/>
    <w:rsid w:val="7EAF6DC9"/>
    <w:rsid w:val="7EBB4818"/>
    <w:rsid w:val="7ED405DD"/>
    <w:rsid w:val="7ED607F9"/>
    <w:rsid w:val="7EDC7492"/>
    <w:rsid w:val="7EDF0647"/>
    <w:rsid w:val="7EE06F82"/>
    <w:rsid w:val="7EE8052D"/>
    <w:rsid w:val="7EFB0260"/>
    <w:rsid w:val="7EFC7B34"/>
    <w:rsid w:val="7F0A2251"/>
    <w:rsid w:val="7F0F1615"/>
    <w:rsid w:val="7F1D01D6"/>
    <w:rsid w:val="7F207CC7"/>
    <w:rsid w:val="7F286B7B"/>
    <w:rsid w:val="7F2E417B"/>
    <w:rsid w:val="7F3379FA"/>
    <w:rsid w:val="7F6D2127"/>
    <w:rsid w:val="7F7F2C3F"/>
    <w:rsid w:val="7F930498"/>
    <w:rsid w:val="7F9D4E73"/>
    <w:rsid w:val="7FA36FC3"/>
    <w:rsid w:val="7FB328E9"/>
    <w:rsid w:val="7FC916DD"/>
    <w:rsid w:val="7FC92566"/>
    <w:rsid w:val="7FD0428A"/>
    <w:rsid w:val="7FD32E2B"/>
    <w:rsid w:val="7FD36AE7"/>
    <w:rsid w:val="7FDA7EE4"/>
    <w:rsid w:val="7FE72592"/>
    <w:rsid w:val="7FEB5D6F"/>
    <w:rsid w:val="7FF01447"/>
    <w:rsid w:val="7FF627D5"/>
    <w:rsid w:val="7FF73F34"/>
    <w:rsid w:val="7FFB589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semiHidden="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iPriority="99" w:semiHidden="0" w:name="footnote reference"/>
    <w:lsdException w:qFormat="1" w:uiPriority="0" w:semiHidden="0" w:name="annotation reference"/>
    <w:lsdException w:uiPriority="99" w:name="line number"/>
    <w:lsdException w:qFormat="1" w:unhideWhenUsed="0" w:uiPriority="0"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60"/>
    <w:autoRedefine/>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61"/>
    <w:autoRedefine/>
    <w:qFormat/>
    <w:uiPriority w:val="0"/>
    <w:pPr>
      <w:keepNext/>
      <w:keepLines/>
      <w:spacing w:before="260" w:after="260" w:line="416" w:lineRule="auto"/>
      <w:outlineLvl w:val="1"/>
    </w:pPr>
    <w:rPr>
      <w:rFonts w:ascii="Arial" w:hAnsi="Arial" w:eastAsia="黑体"/>
      <w:b/>
      <w:bCs/>
      <w:kern w:val="0"/>
      <w:sz w:val="32"/>
      <w:szCs w:val="32"/>
    </w:rPr>
  </w:style>
  <w:style w:type="paragraph" w:styleId="6">
    <w:name w:val="heading 3"/>
    <w:basedOn w:val="1"/>
    <w:next w:val="1"/>
    <w:link w:val="62"/>
    <w:autoRedefine/>
    <w:qFormat/>
    <w:uiPriority w:val="0"/>
    <w:pPr>
      <w:keepNext/>
      <w:keepLines/>
      <w:spacing w:before="260" w:after="260" w:line="416" w:lineRule="auto"/>
      <w:outlineLvl w:val="2"/>
    </w:pPr>
    <w:rPr>
      <w:b/>
      <w:bCs/>
      <w:kern w:val="0"/>
      <w:sz w:val="32"/>
      <w:szCs w:val="32"/>
    </w:rPr>
  </w:style>
  <w:style w:type="paragraph" w:styleId="7">
    <w:name w:val="heading 4"/>
    <w:basedOn w:val="1"/>
    <w:next w:val="1"/>
    <w:autoRedefine/>
    <w:semiHidden/>
    <w:unhideWhenUsed/>
    <w:qFormat/>
    <w:uiPriority w:val="9"/>
    <w:pPr>
      <w:spacing w:beforeAutospacing="1" w:afterAutospacing="1"/>
      <w:jc w:val="left"/>
      <w:outlineLvl w:val="3"/>
    </w:pPr>
    <w:rPr>
      <w:rFonts w:hint="eastAsia" w:ascii="宋体" w:hAnsi="宋体"/>
      <w:b/>
      <w:bCs/>
      <w:kern w:val="0"/>
      <w:sz w:val="24"/>
    </w:rPr>
  </w:style>
  <w:style w:type="paragraph" w:styleId="8">
    <w:name w:val="heading 5"/>
    <w:basedOn w:val="1"/>
    <w:next w:val="1"/>
    <w:link w:val="63"/>
    <w:autoRedefine/>
    <w:qFormat/>
    <w:uiPriority w:val="0"/>
    <w:pPr>
      <w:keepNext/>
      <w:keepLines/>
      <w:spacing w:before="280" w:after="290" w:line="376" w:lineRule="auto"/>
      <w:outlineLvl w:val="4"/>
    </w:pPr>
    <w:rPr>
      <w:b/>
      <w:sz w:val="28"/>
    </w:rPr>
  </w:style>
  <w:style w:type="paragraph" w:styleId="9">
    <w:name w:val="heading 6"/>
    <w:basedOn w:val="1"/>
    <w:next w:val="1"/>
    <w:link w:val="64"/>
    <w:autoRedefine/>
    <w:qFormat/>
    <w:uiPriority w:val="0"/>
    <w:pPr>
      <w:keepNext/>
      <w:keepLines/>
      <w:spacing w:before="240" w:after="64" w:line="320" w:lineRule="auto"/>
      <w:outlineLvl w:val="5"/>
    </w:pPr>
    <w:rPr>
      <w:rFonts w:ascii="Arial" w:hAnsi="Arial" w:eastAsia="黑体"/>
      <w:b/>
      <w:sz w:val="24"/>
    </w:rPr>
  </w:style>
  <w:style w:type="paragraph" w:styleId="10">
    <w:name w:val="heading 7"/>
    <w:basedOn w:val="1"/>
    <w:next w:val="11"/>
    <w:link w:val="65"/>
    <w:autoRedefine/>
    <w:qFormat/>
    <w:uiPriority w:val="0"/>
    <w:pPr>
      <w:keepNext/>
      <w:keepLines/>
      <w:spacing w:before="240" w:after="64" w:line="320" w:lineRule="auto"/>
      <w:outlineLvl w:val="6"/>
    </w:pPr>
    <w:rPr>
      <w:b/>
      <w:sz w:val="24"/>
    </w:rPr>
  </w:style>
  <w:style w:type="paragraph" w:styleId="12">
    <w:name w:val="heading 8"/>
    <w:basedOn w:val="1"/>
    <w:next w:val="11"/>
    <w:link w:val="66"/>
    <w:autoRedefine/>
    <w:qFormat/>
    <w:uiPriority w:val="0"/>
    <w:pPr>
      <w:keepNext/>
      <w:keepLines/>
      <w:spacing w:before="240" w:after="64" w:line="320" w:lineRule="auto"/>
      <w:outlineLvl w:val="7"/>
    </w:pPr>
    <w:rPr>
      <w:rFonts w:ascii="Arial" w:hAnsi="Arial" w:eastAsia="黑体"/>
      <w:sz w:val="24"/>
    </w:rPr>
  </w:style>
  <w:style w:type="paragraph" w:styleId="13">
    <w:name w:val="heading 9"/>
    <w:basedOn w:val="1"/>
    <w:next w:val="11"/>
    <w:link w:val="67"/>
    <w:autoRedefine/>
    <w:qFormat/>
    <w:uiPriority w:val="0"/>
    <w:pPr>
      <w:keepNext/>
      <w:keepLines/>
      <w:spacing w:before="240" w:after="64" w:line="320" w:lineRule="auto"/>
      <w:outlineLvl w:val="8"/>
    </w:pPr>
    <w:rPr>
      <w:rFonts w:ascii="Arial" w:hAnsi="Arial" w:eastAsia="黑体"/>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next w:val="3"/>
    <w:qFormat/>
    <w:uiPriority w:val="0"/>
    <w:pPr>
      <w:spacing w:before="25" w:after="25"/>
      <w:jc w:val="left"/>
    </w:pPr>
    <w:rPr>
      <w:bCs/>
      <w:spacing w:val="10"/>
      <w:kern w:val="0"/>
      <w:sz w:val="24"/>
    </w:rPr>
  </w:style>
  <w:style w:type="paragraph" w:styleId="3">
    <w:name w:val="Body Text"/>
    <w:basedOn w:val="1"/>
    <w:next w:val="1"/>
    <w:link w:val="71"/>
    <w:autoRedefine/>
    <w:qFormat/>
    <w:uiPriority w:val="99"/>
    <w:pPr>
      <w:spacing w:line="380" w:lineRule="exact"/>
    </w:pPr>
    <w:rPr>
      <w:kern w:val="0"/>
      <w:sz w:val="24"/>
    </w:rPr>
  </w:style>
  <w:style w:type="paragraph" w:styleId="11">
    <w:name w:val="Normal Indent"/>
    <w:basedOn w:val="1"/>
    <w:autoRedefine/>
    <w:qFormat/>
    <w:uiPriority w:val="0"/>
    <w:pPr>
      <w:ind w:firstLine="420"/>
    </w:pPr>
    <w:rPr>
      <w:szCs w:val="20"/>
    </w:rPr>
  </w:style>
  <w:style w:type="paragraph" w:styleId="14">
    <w:name w:val="toc 7"/>
    <w:basedOn w:val="1"/>
    <w:next w:val="1"/>
    <w:autoRedefine/>
    <w:unhideWhenUsed/>
    <w:qFormat/>
    <w:uiPriority w:val="39"/>
    <w:pPr>
      <w:ind w:left="2520" w:leftChars="1200"/>
    </w:pPr>
    <w:rPr>
      <w:rFonts w:ascii="Calibri" w:hAnsi="Calibri"/>
      <w:szCs w:val="22"/>
    </w:rPr>
  </w:style>
  <w:style w:type="paragraph" w:styleId="15">
    <w:name w:val="List Number"/>
    <w:basedOn w:val="1"/>
    <w:autoRedefine/>
    <w:qFormat/>
    <w:uiPriority w:val="0"/>
    <w:pPr>
      <w:widowControl/>
      <w:tabs>
        <w:tab w:val="left" w:pos="454"/>
        <w:tab w:val="left" w:pos="720"/>
        <w:tab w:val="left" w:pos="840"/>
      </w:tabs>
      <w:spacing w:afterLines="50"/>
      <w:ind w:left="454" w:hanging="284"/>
      <w:jc w:val="left"/>
    </w:pPr>
    <w:rPr>
      <w:kern w:val="0"/>
      <w:sz w:val="24"/>
      <w:szCs w:val="20"/>
    </w:rPr>
  </w:style>
  <w:style w:type="paragraph" w:styleId="16">
    <w:name w:val="caption"/>
    <w:basedOn w:val="1"/>
    <w:next w:val="1"/>
    <w:autoRedefine/>
    <w:qFormat/>
    <w:uiPriority w:val="0"/>
    <w:pPr>
      <w:spacing w:before="152" w:after="160"/>
    </w:pPr>
    <w:rPr>
      <w:rFonts w:ascii="Arial" w:hAnsi="Arial" w:eastAsia="黑体" w:cs="Arial"/>
      <w:sz w:val="20"/>
      <w:szCs w:val="20"/>
    </w:rPr>
  </w:style>
  <w:style w:type="paragraph" w:styleId="17">
    <w:name w:val="Document Map"/>
    <w:basedOn w:val="1"/>
    <w:link w:val="68"/>
    <w:autoRedefine/>
    <w:unhideWhenUsed/>
    <w:qFormat/>
    <w:uiPriority w:val="0"/>
    <w:pPr>
      <w:shd w:val="clear" w:color="auto" w:fill="000080"/>
    </w:pPr>
    <w:rPr>
      <w:rFonts w:hint="eastAsia" w:ascii="宋体" w:hAnsi="宋体"/>
      <w:kern w:val="0"/>
      <w:sz w:val="20"/>
      <w:szCs w:val="20"/>
    </w:rPr>
  </w:style>
  <w:style w:type="paragraph" w:styleId="18">
    <w:name w:val="annotation text"/>
    <w:basedOn w:val="1"/>
    <w:link w:val="69"/>
    <w:autoRedefine/>
    <w:unhideWhenUsed/>
    <w:qFormat/>
    <w:uiPriority w:val="0"/>
    <w:pPr>
      <w:jc w:val="left"/>
    </w:pPr>
  </w:style>
  <w:style w:type="paragraph" w:styleId="19">
    <w:name w:val="Body Text 3"/>
    <w:basedOn w:val="1"/>
    <w:link w:val="70"/>
    <w:autoRedefine/>
    <w:qFormat/>
    <w:uiPriority w:val="0"/>
    <w:pPr>
      <w:spacing w:line="500" w:lineRule="exact"/>
    </w:pPr>
    <w:rPr>
      <w:b/>
      <w:bCs/>
      <w:kern w:val="0"/>
      <w:sz w:val="24"/>
    </w:rPr>
  </w:style>
  <w:style w:type="paragraph" w:styleId="20">
    <w:name w:val="Body Text Indent"/>
    <w:basedOn w:val="1"/>
    <w:link w:val="72"/>
    <w:autoRedefine/>
    <w:qFormat/>
    <w:uiPriority w:val="0"/>
    <w:pPr>
      <w:ind w:firstLine="830" w:firstLineChars="352"/>
    </w:pPr>
    <w:rPr>
      <w:rFonts w:ascii="仿宋_GB2312" w:eastAsia="仿宋_GB2312"/>
      <w:kern w:val="0"/>
      <w:sz w:val="32"/>
      <w:szCs w:val="20"/>
    </w:rPr>
  </w:style>
  <w:style w:type="paragraph" w:styleId="21">
    <w:name w:val="List Number 3"/>
    <w:basedOn w:val="1"/>
    <w:autoRedefine/>
    <w:qFormat/>
    <w:uiPriority w:val="0"/>
    <w:pPr>
      <w:tabs>
        <w:tab w:val="left" w:pos="1200"/>
      </w:tabs>
      <w:ind w:left="1200" w:hanging="360"/>
    </w:pPr>
  </w:style>
  <w:style w:type="paragraph" w:styleId="22">
    <w:name w:val="List 2"/>
    <w:basedOn w:val="1"/>
    <w:autoRedefine/>
    <w:qFormat/>
    <w:uiPriority w:val="0"/>
    <w:pPr>
      <w:ind w:left="100" w:leftChars="200" w:hanging="200" w:hangingChars="200"/>
    </w:pPr>
    <w:rPr>
      <w:sz w:val="28"/>
    </w:rPr>
  </w:style>
  <w:style w:type="paragraph" w:styleId="23">
    <w:name w:val="toc 5"/>
    <w:basedOn w:val="1"/>
    <w:next w:val="1"/>
    <w:autoRedefine/>
    <w:unhideWhenUsed/>
    <w:qFormat/>
    <w:uiPriority w:val="39"/>
    <w:pPr>
      <w:ind w:left="1680" w:leftChars="800"/>
    </w:pPr>
    <w:rPr>
      <w:rFonts w:ascii="Calibri" w:hAnsi="Calibri"/>
      <w:szCs w:val="22"/>
    </w:rPr>
  </w:style>
  <w:style w:type="paragraph" w:styleId="24">
    <w:name w:val="toc 3"/>
    <w:basedOn w:val="1"/>
    <w:next w:val="1"/>
    <w:autoRedefine/>
    <w:unhideWhenUsed/>
    <w:qFormat/>
    <w:uiPriority w:val="39"/>
    <w:pPr>
      <w:ind w:left="840" w:leftChars="400"/>
    </w:pPr>
    <w:rPr>
      <w:rFonts w:ascii="Calibri" w:hAnsi="Calibri"/>
      <w:szCs w:val="22"/>
    </w:rPr>
  </w:style>
  <w:style w:type="paragraph" w:styleId="25">
    <w:name w:val="Plain Text"/>
    <w:basedOn w:val="1"/>
    <w:link w:val="73"/>
    <w:autoRedefine/>
    <w:qFormat/>
    <w:uiPriority w:val="0"/>
    <w:rPr>
      <w:rFonts w:ascii="宋体" w:hAnsi="Courier New"/>
      <w:kern w:val="0"/>
      <w:sz w:val="20"/>
      <w:szCs w:val="21"/>
    </w:rPr>
  </w:style>
  <w:style w:type="paragraph" w:styleId="26">
    <w:name w:val="toc 8"/>
    <w:basedOn w:val="1"/>
    <w:next w:val="1"/>
    <w:autoRedefine/>
    <w:unhideWhenUsed/>
    <w:qFormat/>
    <w:uiPriority w:val="39"/>
    <w:pPr>
      <w:ind w:left="2940" w:leftChars="1400"/>
    </w:pPr>
    <w:rPr>
      <w:rFonts w:ascii="Calibri" w:hAnsi="Calibri"/>
      <w:szCs w:val="22"/>
    </w:rPr>
  </w:style>
  <w:style w:type="paragraph" w:styleId="27">
    <w:name w:val="Date"/>
    <w:basedOn w:val="1"/>
    <w:next w:val="1"/>
    <w:link w:val="74"/>
    <w:autoRedefine/>
    <w:qFormat/>
    <w:uiPriority w:val="0"/>
    <w:pPr>
      <w:ind w:left="100" w:leftChars="2500"/>
    </w:pPr>
    <w:rPr>
      <w:rFonts w:ascii="宋体" w:hAnsi="Courier New"/>
      <w:kern w:val="0"/>
      <w:sz w:val="20"/>
      <w:szCs w:val="21"/>
    </w:rPr>
  </w:style>
  <w:style w:type="paragraph" w:styleId="28">
    <w:name w:val="Body Text Indent 2"/>
    <w:basedOn w:val="1"/>
    <w:link w:val="75"/>
    <w:autoRedefine/>
    <w:qFormat/>
    <w:uiPriority w:val="0"/>
    <w:pPr>
      <w:ind w:firstLine="630"/>
    </w:pPr>
    <w:rPr>
      <w:kern w:val="0"/>
      <w:sz w:val="32"/>
      <w:szCs w:val="20"/>
    </w:rPr>
  </w:style>
  <w:style w:type="paragraph" w:styleId="29">
    <w:name w:val="endnote text"/>
    <w:basedOn w:val="1"/>
    <w:link w:val="76"/>
    <w:autoRedefine/>
    <w:unhideWhenUsed/>
    <w:qFormat/>
    <w:uiPriority w:val="99"/>
    <w:pPr>
      <w:snapToGrid w:val="0"/>
      <w:jc w:val="left"/>
    </w:pPr>
  </w:style>
  <w:style w:type="paragraph" w:styleId="30">
    <w:name w:val="Balloon Text"/>
    <w:basedOn w:val="1"/>
    <w:link w:val="77"/>
    <w:autoRedefine/>
    <w:semiHidden/>
    <w:qFormat/>
    <w:uiPriority w:val="0"/>
    <w:rPr>
      <w:kern w:val="0"/>
      <w:sz w:val="18"/>
      <w:szCs w:val="18"/>
    </w:rPr>
  </w:style>
  <w:style w:type="paragraph" w:styleId="31">
    <w:name w:val="footer"/>
    <w:basedOn w:val="1"/>
    <w:link w:val="78"/>
    <w:autoRedefine/>
    <w:unhideWhenUsed/>
    <w:qFormat/>
    <w:uiPriority w:val="99"/>
    <w:pPr>
      <w:tabs>
        <w:tab w:val="center" w:pos="4153"/>
        <w:tab w:val="right" w:pos="8306"/>
      </w:tabs>
      <w:snapToGrid w:val="0"/>
      <w:jc w:val="left"/>
    </w:pPr>
    <w:rPr>
      <w:kern w:val="0"/>
      <w:sz w:val="18"/>
      <w:szCs w:val="18"/>
    </w:rPr>
  </w:style>
  <w:style w:type="paragraph" w:styleId="32">
    <w:name w:val="header"/>
    <w:basedOn w:val="1"/>
    <w:link w:val="79"/>
    <w:autoRedefine/>
    <w:unhideWhenUsed/>
    <w:qFormat/>
    <w:uiPriority w:val="99"/>
    <w:pPr>
      <w:pBdr>
        <w:bottom w:val="single" w:color="auto" w:sz="6" w:space="1"/>
      </w:pBdr>
      <w:tabs>
        <w:tab w:val="center" w:pos="0"/>
        <w:tab w:val="left" w:pos="8306"/>
      </w:tabs>
      <w:snapToGrid w:val="0"/>
      <w:jc w:val="center"/>
    </w:pPr>
    <w:rPr>
      <w:sz w:val="18"/>
      <w:szCs w:val="18"/>
    </w:rPr>
  </w:style>
  <w:style w:type="paragraph" w:styleId="33">
    <w:name w:val="toc 1"/>
    <w:basedOn w:val="1"/>
    <w:next w:val="1"/>
    <w:autoRedefine/>
    <w:qFormat/>
    <w:uiPriority w:val="39"/>
    <w:pPr>
      <w:tabs>
        <w:tab w:val="right" w:leader="dot" w:pos="8398"/>
      </w:tabs>
      <w:spacing w:before="120" w:after="120"/>
      <w:ind w:firstLine="240" w:firstLineChars="100"/>
      <w:jc w:val="left"/>
    </w:pPr>
    <w:rPr>
      <w:rFonts w:ascii="宋体" w:hAnsi="宋体"/>
      <w:b/>
      <w:bCs/>
      <w:caps/>
      <w:sz w:val="24"/>
    </w:rPr>
  </w:style>
  <w:style w:type="paragraph" w:styleId="34">
    <w:name w:val="toc 4"/>
    <w:basedOn w:val="1"/>
    <w:next w:val="1"/>
    <w:autoRedefine/>
    <w:unhideWhenUsed/>
    <w:qFormat/>
    <w:uiPriority w:val="39"/>
    <w:pPr>
      <w:ind w:left="1260" w:leftChars="600"/>
    </w:pPr>
    <w:rPr>
      <w:rFonts w:ascii="Calibri" w:hAnsi="Calibri"/>
      <w:szCs w:val="22"/>
    </w:rPr>
  </w:style>
  <w:style w:type="paragraph" w:styleId="35">
    <w:name w:val="List"/>
    <w:basedOn w:val="1"/>
    <w:autoRedefine/>
    <w:qFormat/>
    <w:uiPriority w:val="0"/>
    <w:pPr>
      <w:ind w:left="200" w:hanging="200" w:hangingChars="200"/>
    </w:pPr>
    <w:rPr>
      <w:sz w:val="28"/>
    </w:rPr>
  </w:style>
  <w:style w:type="paragraph" w:styleId="36">
    <w:name w:val="footnote text"/>
    <w:basedOn w:val="1"/>
    <w:link w:val="80"/>
    <w:autoRedefine/>
    <w:unhideWhenUsed/>
    <w:qFormat/>
    <w:uiPriority w:val="99"/>
    <w:pPr>
      <w:snapToGrid w:val="0"/>
      <w:jc w:val="left"/>
    </w:pPr>
    <w:rPr>
      <w:sz w:val="18"/>
      <w:szCs w:val="18"/>
    </w:rPr>
  </w:style>
  <w:style w:type="paragraph" w:styleId="37">
    <w:name w:val="toc 6"/>
    <w:basedOn w:val="1"/>
    <w:next w:val="1"/>
    <w:autoRedefine/>
    <w:unhideWhenUsed/>
    <w:qFormat/>
    <w:uiPriority w:val="39"/>
    <w:pPr>
      <w:ind w:left="2100" w:leftChars="1000"/>
    </w:pPr>
    <w:rPr>
      <w:rFonts w:ascii="Calibri" w:hAnsi="Calibri"/>
      <w:szCs w:val="22"/>
    </w:rPr>
  </w:style>
  <w:style w:type="paragraph" w:styleId="38">
    <w:name w:val="Body Text Indent 3"/>
    <w:basedOn w:val="1"/>
    <w:link w:val="81"/>
    <w:autoRedefine/>
    <w:qFormat/>
    <w:uiPriority w:val="0"/>
    <w:pPr>
      <w:spacing w:after="120"/>
      <w:ind w:left="420" w:leftChars="200"/>
    </w:pPr>
    <w:rPr>
      <w:kern w:val="0"/>
      <w:sz w:val="16"/>
      <w:szCs w:val="16"/>
    </w:rPr>
  </w:style>
  <w:style w:type="paragraph" w:styleId="39">
    <w:name w:val="toc 2"/>
    <w:basedOn w:val="1"/>
    <w:next w:val="1"/>
    <w:autoRedefine/>
    <w:unhideWhenUsed/>
    <w:qFormat/>
    <w:uiPriority w:val="39"/>
    <w:pPr>
      <w:ind w:left="420" w:leftChars="200"/>
    </w:pPr>
  </w:style>
  <w:style w:type="paragraph" w:styleId="40">
    <w:name w:val="toc 9"/>
    <w:basedOn w:val="1"/>
    <w:next w:val="1"/>
    <w:autoRedefine/>
    <w:unhideWhenUsed/>
    <w:qFormat/>
    <w:uiPriority w:val="39"/>
    <w:pPr>
      <w:ind w:left="3360" w:leftChars="1600"/>
    </w:pPr>
    <w:rPr>
      <w:rFonts w:ascii="Calibri" w:hAnsi="Calibri"/>
      <w:szCs w:val="22"/>
    </w:rPr>
  </w:style>
  <w:style w:type="paragraph" w:styleId="41">
    <w:name w:val="Body Text 2"/>
    <w:basedOn w:val="1"/>
    <w:link w:val="82"/>
    <w:autoRedefine/>
    <w:qFormat/>
    <w:uiPriority w:val="0"/>
    <w:pPr>
      <w:spacing w:after="120" w:line="480" w:lineRule="auto"/>
    </w:pPr>
    <w:rPr>
      <w:kern w:val="0"/>
      <w:sz w:val="20"/>
    </w:rPr>
  </w:style>
  <w:style w:type="paragraph" w:styleId="42">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43">
    <w:name w:val="index 1"/>
    <w:basedOn w:val="1"/>
    <w:next w:val="1"/>
    <w:autoRedefine/>
    <w:semiHidden/>
    <w:qFormat/>
    <w:uiPriority w:val="0"/>
    <w:pPr>
      <w:spacing w:line="400" w:lineRule="exact"/>
      <w:ind w:firstLine="420" w:firstLineChars="200"/>
    </w:pPr>
    <w:rPr>
      <w:rFonts w:ascii="宋体" w:hAnsi="Courier New"/>
      <w:b/>
      <w:szCs w:val="20"/>
    </w:rPr>
  </w:style>
  <w:style w:type="paragraph" w:styleId="44">
    <w:name w:val="Title"/>
    <w:basedOn w:val="1"/>
    <w:next w:val="1"/>
    <w:link w:val="83"/>
    <w:autoRedefine/>
    <w:qFormat/>
    <w:uiPriority w:val="10"/>
    <w:pPr>
      <w:spacing w:before="240" w:after="60"/>
      <w:jc w:val="center"/>
      <w:outlineLvl w:val="0"/>
    </w:pPr>
    <w:rPr>
      <w:rFonts w:ascii="Cambria" w:hAnsi="Cambria"/>
      <w:b/>
      <w:bCs/>
      <w:sz w:val="32"/>
      <w:szCs w:val="32"/>
    </w:rPr>
  </w:style>
  <w:style w:type="paragraph" w:styleId="45">
    <w:name w:val="annotation subject"/>
    <w:basedOn w:val="18"/>
    <w:next w:val="18"/>
    <w:link w:val="84"/>
    <w:autoRedefine/>
    <w:unhideWhenUsed/>
    <w:qFormat/>
    <w:uiPriority w:val="99"/>
    <w:rPr>
      <w:b/>
      <w:bCs/>
    </w:rPr>
  </w:style>
  <w:style w:type="paragraph" w:styleId="46">
    <w:name w:val="Body Text First Indent"/>
    <w:basedOn w:val="3"/>
    <w:autoRedefine/>
    <w:qFormat/>
    <w:uiPriority w:val="0"/>
    <w:pPr>
      <w:widowControl/>
      <w:wordWrap w:val="0"/>
      <w:topLinePunct/>
      <w:spacing w:line="600" w:lineRule="exact"/>
      <w:ind w:firstLine="880" w:firstLineChars="200"/>
      <w:jc w:val="left"/>
      <w:textAlignment w:val="baseline"/>
    </w:pPr>
    <w:rPr>
      <w:rFonts w:eastAsia="仿宋_GB2312"/>
      <w:sz w:val="32"/>
      <w:lang w:eastAsia="en-US"/>
    </w:rPr>
  </w:style>
  <w:style w:type="paragraph" w:styleId="47">
    <w:name w:val="Body Text First Indent 2"/>
    <w:basedOn w:val="20"/>
    <w:next w:val="1"/>
    <w:autoRedefine/>
    <w:unhideWhenUsed/>
    <w:qFormat/>
    <w:uiPriority w:val="99"/>
    <w:pPr>
      <w:ind w:firstLine="420" w:firstLineChars="200"/>
    </w:pPr>
  </w:style>
  <w:style w:type="table" w:styleId="49">
    <w:name w:val="Table Grid"/>
    <w:basedOn w:val="4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basedOn w:val="50"/>
    <w:autoRedefine/>
    <w:qFormat/>
    <w:uiPriority w:val="22"/>
    <w:rPr>
      <w:b/>
      <w:bCs/>
    </w:rPr>
  </w:style>
  <w:style w:type="character" w:styleId="52">
    <w:name w:val="endnote reference"/>
    <w:autoRedefine/>
    <w:unhideWhenUsed/>
    <w:qFormat/>
    <w:uiPriority w:val="99"/>
    <w:rPr>
      <w:vertAlign w:val="superscript"/>
    </w:rPr>
  </w:style>
  <w:style w:type="character" w:styleId="53">
    <w:name w:val="page number"/>
    <w:autoRedefine/>
    <w:qFormat/>
    <w:uiPriority w:val="0"/>
  </w:style>
  <w:style w:type="character" w:styleId="54">
    <w:name w:val="FollowedHyperlink"/>
    <w:autoRedefine/>
    <w:qFormat/>
    <w:uiPriority w:val="0"/>
    <w:rPr>
      <w:color w:val="000000"/>
      <w:u w:val="none"/>
    </w:rPr>
  </w:style>
  <w:style w:type="character" w:styleId="55">
    <w:name w:val="Hyperlink"/>
    <w:autoRedefine/>
    <w:qFormat/>
    <w:uiPriority w:val="99"/>
    <w:rPr>
      <w:color w:val="000000"/>
      <w:u w:val="none"/>
    </w:rPr>
  </w:style>
  <w:style w:type="character" w:styleId="56">
    <w:name w:val="annotation reference"/>
    <w:autoRedefine/>
    <w:unhideWhenUsed/>
    <w:qFormat/>
    <w:uiPriority w:val="0"/>
    <w:rPr>
      <w:sz w:val="21"/>
      <w:szCs w:val="21"/>
    </w:rPr>
  </w:style>
  <w:style w:type="character" w:styleId="57">
    <w:name w:val="footnote reference"/>
    <w:autoRedefine/>
    <w:unhideWhenUsed/>
    <w:qFormat/>
    <w:uiPriority w:val="99"/>
    <w:rPr>
      <w:vertAlign w:val="superscript"/>
    </w:rPr>
  </w:style>
  <w:style w:type="character" w:styleId="58">
    <w:name w:val="HTML Sample"/>
    <w:basedOn w:val="50"/>
    <w:semiHidden/>
    <w:unhideWhenUsed/>
    <w:qFormat/>
    <w:uiPriority w:val="99"/>
    <w:rPr>
      <w:rFonts w:ascii="Courier New" w:hAnsi="Courier New"/>
    </w:rPr>
  </w:style>
  <w:style w:type="paragraph" w:customStyle="1" w:styleId="59">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60">
    <w:name w:val="标题 1 字符1"/>
    <w:link w:val="4"/>
    <w:autoRedefine/>
    <w:qFormat/>
    <w:uiPriority w:val="0"/>
    <w:rPr>
      <w:rFonts w:ascii="Times New Roman" w:hAnsi="Times New Roman" w:eastAsia="宋体" w:cs="Times New Roman"/>
      <w:b/>
      <w:bCs/>
      <w:kern w:val="44"/>
      <w:sz w:val="44"/>
      <w:szCs w:val="44"/>
    </w:rPr>
  </w:style>
  <w:style w:type="character" w:customStyle="1" w:styleId="61">
    <w:name w:val="标题 2 字符"/>
    <w:link w:val="5"/>
    <w:autoRedefine/>
    <w:qFormat/>
    <w:uiPriority w:val="0"/>
    <w:rPr>
      <w:rFonts w:ascii="Arial" w:hAnsi="Arial" w:eastAsia="黑体" w:cs="Times New Roman"/>
      <w:b/>
      <w:bCs/>
      <w:sz w:val="32"/>
      <w:szCs w:val="32"/>
    </w:rPr>
  </w:style>
  <w:style w:type="character" w:customStyle="1" w:styleId="62">
    <w:name w:val="标题 3 字符"/>
    <w:link w:val="6"/>
    <w:autoRedefine/>
    <w:qFormat/>
    <w:uiPriority w:val="0"/>
    <w:rPr>
      <w:rFonts w:ascii="Times New Roman" w:hAnsi="Times New Roman" w:eastAsia="宋体" w:cs="Times New Roman"/>
      <w:b/>
      <w:bCs/>
      <w:sz w:val="32"/>
      <w:szCs w:val="32"/>
    </w:rPr>
  </w:style>
  <w:style w:type="character" w:customStyle="1" w:styleId="63">
    <w:name w:val="标题 5 字符"/>
    <w:link w:val="8"/>
    <w:autoRedefine/>
    <w:qFormat/>
    <w:uiPriority w:val="0"/>
    <w:rPr>
      <w:b/>
      <w:kern w:val="2"/>
      <w:sz w:val="28"/>
      <w:szCs w:val="24"/>
    </w:rPr>
  </w:style>
  <w:style w:type="character" w:customStyle="1" w:styleId="64">
    <w:name w:val="标题 6 字符"/>
    <w:link w:val="9"/>
    <w:autoRedefine/>
    <w:qFormat/>
    <w:uiPriority w:val="0"/>
    <w:rPr>
      <w:rFonts w:ascii="Arial" w:hAnsi="Arial" w:eastAsia="黑体"/>
      <w:b/>
      <w:kern w:val="2"/>
      <w:sz w:val="24"/>
      <w:szCs w:val="24"/>
    </w:rPr>
  </w:style>
  <w:style w:type="character" w:customStyle="1" w:styleId="65">
    <w:name w:val="标题 7 字符"/>
    <w:link w:val="10"/>
    <w:autoRedefine/>
    <w:qFormat/>
    <w:uiPriority w:val="0"/>
    <w:rPr>
      <w:b/>
      <w:kern w:val="2"/>
      <w:sz w:val="24"/>
      <w:szCs w:val="24"/>
    </w:rPr>
  </w:style>
  <w:style w:type="character" w:customStyle="1" w:styleId="66">
    <w:name w:val="标题 8 字符"/>
    <w:link w:val="12"/>
    <w:autoRedefine/>
    <w:qFormat/>
    <w:uiPriority w:val="0"/>
    <w:rPr>
      <w:rFonts w:ascii="Arial" w:hAnsi="Arial" w:eastAsia="黑体"/>
      <w:kern w:val="2"/>
      <w:sz w:val="24"/>
      <w:szCs w:val="24"/>
    </w:rPr>
  </w:style>
  <w:style w:type="character" w:customStyle="1" w:styleId="67">
    <w:name w:val="标题 9 字符"/>
    <w:link w:val="13"/>
    <w:autoRedefine/>
    <w:qFormat/>
    <w:uiPriority w:val="0"/>
    <w:rPr>
      <w:rFonts w:ascii="Arial" w:hAnsi="Arial" w:eastAsia="黑体"/>
      <w:kern w:val="2"/>
      <w:sz w:val="21"/>
      <w:szCs w:val="24"/>
    </w:rPr>
  </w:style>
  <w:style w:type="character" w:customStyle="1" w:styleId="68">
    <w:name w:val="文档结构图 字符"/>
    <w:link w:val="17"/>
    <w:autoRedefine/>
    <w:qFormat/>
    <w:uiPriority w:val="0"/>
    <w:rPr>
      <w:rFonts w:hint="eastAsia" w:ascii="宋体" w:hAnsi="宋体" w:eastAsia="宋体" w:cs="宋体"/>
    </w:rPr>
  </w:style>
  <w:style w:type="character" w:customStyle="1" w:styleId="69">
    <w:name w:val="批注文字 字符3"/>
    <w:link w:val="18"/>
    <w:autoRedefine/>
    <w:qFormat/>
    <w:uiPriority w:val="0"/>
    <w:rPr>
      <w:rFonts w:ascii="Times New Roman" w:hAnsi="Times New Roman"/>
      <w:kern w:val="2"/>
      <w:sz w:val="21"/>
      <w:szCs w:val="24"/>
    </w:rPr>
  </w:style>
  <w:style w:type="character" w:customStyle="1" w:styleId="70">
    <w:name w:val="正文文本 3 字符"/>
    <w:link w:val="19"/>
    <w:autoRedefine/>
    <w:qFormat/>
    <w:uiPriority w:val="0"/>
    <w:rPr>
      <w:rFonts w:ascii="Times New Roman" w:hAnsi="Times New Roman" w:eastAsia="宋体" w:cs="Times New Roman"/>
      <w:b/>
      <w:bCs/>
      <w:sz w:val="24"/>
      <w:szCs w:val="24"/>
    </w:rPr>
  </w:style>
  <w:style w:type="character" w:customStyle="1" w:styleId="71">
    <w:name w:val="正文文本 字符"/>
    <w:link w:val="3"/>
    <w:autoRedefine/>
    <w:qFormat/>
    <w:uiPriority w:val="99"/>
    <w:rPr>
      <w:rFonts w:ascii="Times New Roman" w:hAnsi="Times New Roman" w:eastAsia="宋体" w:cs="Times New Roman"/>
      <w:sz w:val="24"/>
      <w:szCs w:val="24"/>
    </w:rPr>
  </w:style>
  <w:style w:type="character" w:customStyle="1" w:styleId="72">
    <w:name w:val="正文文本缩进 字符1"/>
    <w:link w:val="20"/>
    <w:autoRedefine/>
    <w:qFormat/>
    <w:uiPriority w:val="0"/>
    <w:rPr>
      <w:rFonts w:ascii="仿宋_GB2312" w:hAnsi="Times New Roman" w:eastAsia="仿宋_GB2312" w:cs="Times New Roman"/>
      <w:sz w:val="32"/>
      <w:szCs w:val="20"/>
    </w:rPr>
  </w:style>
  <w:style w:type="character" w:customStyle="1" w:styleId="73">
    <w:name w:val="纯文本 字符2"/>
    <w:link w:val="25"/>
    <w:autoRedefine/>
    <w:qFormat/>
    <w:uiPriority w:val="0"/>
    <w:rPr>
      <w:rFonts w:ascii="宋体" w:hAnsi="Courier New" w:eastAsia="宋体" w:cs="Courier New"/>
      <w:szCs w:val="21"/>
    </w:rPr>
  </w:style>
  <w:style w:type="character" w:customStyle="1" w:styleId="74">
    <w:name w:val="日期 字符"/>
    <w:link w:val="27"/>
    <w:autoRedefine/>
    <w:qFormat/>
    <w:uiPriority w:val="0"/>
    <w:rPr>
      <w:rFonts w:ascii="宋体" w:hAnsi="Courier New" w:eastAsia="宋体" w:cs="Courier New"/>
      <w:szCs w:val="21"/>
    </w:rPr>
  </w:style>
  <w:style w:type="character" w:customStyle="1" w:styleId="75">
    <w:name w:val="正文文本缩进 2 字符"/>
    <w:link w:val="28"/>
    <w:autoRedefine/>
    <w:qFormat/>
    <w:uiPriority w:val="0"/>
    <w:rPr>
      <w:rFonts w:ascii="Times New Roman" w:hAnsi="Times New Roman" w:eastAsia="宋体" w:cs="Times New Roman"/>
      <w:sz w:val="32"/>
      <w:szCs w:val="20"/>
    </w:rPr>
  </w:style>
  <w:style w:type="character" w:customStyle="1" w:styleId="76">
    <w:name w:val="尾注文本 字符"/>
    <w:link w:val="29"/>
    <w:autoRedefine/>
    <w:semiHidden/>
    <w:qFormat/>
    <w:uiPriority w:val="99"/>
    <w:rPr>
      <w:rFonts w:ascii="Times New Roman" w:hAnsi="Times New Roman"/>
      <w:kern w:val="2"/>
      <w:sz w:val="21"/>
      <w:szCs w:val="24"/>
    </w:rPr>
  </w:style>
  <w:style w:type="character" w:customStyle="1" w:styleId="77">
    <w:name w:val="批注框文本 字符"/>
    <w:link w:val="30"/>
    <w:autoRedefine/>
    <w:semiHidden/>
    <w:qFormat/>
    <w:uiPriority w:val="0"/>
    <w:rPr>
      <w:rFonts w:ascii="Times New Roman" w:hAnsi="Times New Roman" w:eastAsia="宋体" w:cs="Times New Roman"/>
      <w:sz w:val="18"/>
      <w:szCs w:val="18"/>
    </w:rPr>
  </w:style>
  <w:style w:type="character" w:customStyle="1" w:styleId="78">
    <w:name w:val="页脚 字符1"/>
    <w:link w:val="31"/>
    <w:autoRedefine/>
    <w:qFormat/>
    <w:uiPriority w:val="99"/>
    <w:rPr>
      <w:sz w:val="18"/>
      <w:szCs w:val="18"/>
    </w:rPr>
  </w:style>
  <w:style w:type="character" w:customStyle="1" w:styleId="79">
    <w:name w:val="页眉 字符"/>
    <w:link w:val="32"/>
    <w:autoRedefine/>
    <w:qFormat/>
    <w:uiPriority w:val="99"/>
    <w:rPr>
      <w:rFonts w:ascii="Times New Roman" w:hAnsi="Times New Roman"/>
      <w:kern w:val="2"/>
      <w:sz w:val="18"/>
      <w:szCs w:val="18"/>
    </w:rPr>
  </w:style>
  <w:style w:type="character" w:customStyle="1" w:styleId="80">
    <w:name w:val="脚注文本 字符"/>
    <w:link w:val="36"/>
    <w:autoRedefine/>
    <w:semiHidden/>
    <w:qFormat/>
    <w:uiPriority w:val="99"/>
    <w:rPr>
      <w:rFonts w:ascii="Times New Roman" w:hAnsi="Times New Roman"/>
      <w:kern w:val="2"/>
      <w:sz w:val="18"/>
      <w:szCs w:val="18"/>
    </w:rPr>
  </w:style>
  <w:style w:type="character" w:customStyle="1" w:styleId="81">
    <w:name w:val="正文文本缩进 3 字符"/>
    <w:link w:val="38"/>
    <w:autoRedefine/>
    <w:qFormat/>
    <w:uiPriority w:val="0"/>
    <w:rPr>
      <w:rFonts w:ascii="Times New Roman" w:hAnsi="Times New Roman" w:eastAsia="宋体" w:cs="Times New Roman"/>
      <w:sz w:val="16"/>
      <w:szCs w:val="16"/>
    </w:rPr>
  </w:style>
  <w:style w:type="character" w:customStyle="1" w:styleId="82">
    <w:name w:val="正文文本 2 字符"/>
    <w:link w:val="41"/>
    <w:autoRedefine/>
    <w:qFormat/>
    <w:uiPriority w:val="0"/>
    <w:rPr>
      <w:rFonts w:ascii="Times New Roman" w:hAnsi="Times New Roman" w:eastAsia="宋体" w:cs="Times New Roman"/>
      <w:szCs w:val="24"/>
    </w:rPr>
  </w:style>
  <w:style w:type="character" w:customStyle="1" w:styleId="83">
    <w:name w:val="标题 字符"/>
    <w:link w:val="44"/>
    <w:autoRedefine/>
    <w:qFormat/>
    <w:uiPriority w:val="10"/>
    <w:rPr>
      <w:rFonts w:ascii="Cambria" w:hAnsi="Cambria" w:cs="Times New Roman"/>
      <w:b/>
      <w:bCs/>
      <w:kern w:val="2"/>
      <w:sz w:val="32"/>
      <w:szCs w:val="32"/>
    </w:rPr>
  </w:style>
  <w:style w:type="character" w:customStyle="1" w:styleId="84">
    <w:name w:val="批注主题 字符"/>
    <w:link w:val="45"/>
    <w:autoRedefine/>
    <w:semiHidden/>
    <w:qFormat/>
    <w:uiPriority w:val="99"/>
    <w:rPr>
      <w:rFonts w:ascii="Times New Roman" w:hAnsi="Times New Roman"/>
      <w:b/>
      <w:bCs/>
      <w:kern w:val="2"/>
      <w:sz w:val="21"/>
      <w:szCs w:val="24"/>
    </w:rPr>
  </w:style>
  <w:style w:type="character" w:customStyle="1" w:styleId="85">
    <w:name w:val="批注文字 Char1"/>
    <w:autoRedefine/>
    <w:qFormat/>
    <w:locked/>
    <w:uiPriority w:val="0"/>
    <w:rPr>
      <w:rFonts w:ascii="Times New Roman" w:hAnsi="Times New Roman"/>
      <w:kern w:val="2"/>
      <w:sz w:val="21"/>
      <w:szCs w:val="24"/>
    </w:rPr>
  </w:style>
  <w:style w:type="character" w:customStyle="1" w:styleId="86">
    <w:name w:val="case31"/>
    <w:autoRedefine/>
    <w:qFormat/>
    <w:uiPriority w:val="0"/>
    <w:rPr>
      <w:rFonts w:hint="default"/>
      <w:sz w:val="21"/>
      <w:szCs w:val="21"/>
    </w:rPr>
  </w:style>
  <w:style w:type="character" w:customStyle="1" w:styleId="87">
    <w:name w:val="批注文字 Char"/>
    <w:autoRedefine/>
    <w:qFormat/>
    <w:uiPriority w:val="0"/>
    <w:rPr>
      <w:rFonts w:ascii="Times New Roman" w:hAnsi="Times New Roman"/>
      <w:kern w:val="2"/>
      <w:sz w:val="21"/>
      <w:szCs w:val="24"/>
    </w:rPr>
  </w:style>
  <w:style w:type="character" w:customStyle="1" w:styleId="88">
    <w:name w:val="纯文本 Char"/>
    <w:autoRedefine/>
    <w:qFormat/>
    <w:uiPriority w:val="0"/>
    <w:rPr>
      <w:rFonts w:ascii="宋体" w:hAnsi="Courier New" w:eastAsia="宋体"/>
      <w:kern w:val="2"/>
      <w:sz w:val="21"/>
      <w:lang w:val="en-US" w:eastAsia="zh-CN" w:bidi="ar-SA"/>
    </w:rPr>
  </w:style>
  <w:style w:type="character" w:customStyle="1" w:styleId="89">
    <w:name w:val="纯文本 字符1"/>
    <w:autoRedefine/>
    <w:qFormat/>
    <w:uiPriority w:val="0"/>
    <w:rPr>
      <w:rFonts w:ascii="宋体" w:hAnsi="Courier New"/>
    </w:rPr>
  </w:style>
  <w:style w:type="character" w:customStyle="1" w:styleId="90">
    <w:name w:val="批注文字 字符1"/>
    <w:autoRedefine/>
    <w:qFormat/>
    <w:uiPriority w:val="0"/>
    <w:rPr>
      <w:rFonts w:ascii="Times New Roman" w:hAnsi="Times New Roman"/>
      <w:kern w:val="2"/>
      <w:sz w:val="21"/>
      <w:szCs w:val="24"/>
    </w:rPr>
  </w:style>
  <w:style w:type="character" w:customStyle="1" w:styleId="91">
    <w:name w:val="正文文本 Char1"/>
    <w:autoRedefine/>
    <w:semiHidden/>
    <w:qFormat/>
    <w:locked/>
    <w:uiPriority w:val="99"/>
    <w:rPr>
      <w:sz w:val="24"/>
      <w:szCs w:val="24"/>
    </w:rPr>
  </w:style>
  <w:style w:type="character" w:customStyle="1" w:styleId="92">
    <w:name w:val="apple-style-span"/>
    <w:autoRedefine/>
    <w:qFormat/>
    <w:uiPriority w:val="0"/>
  </w:style>
  <w:style w:type="character" w:customStyle="1" w:styleId="93">
    <w:name w:val="textcontents"/>
    <w:autoRedefine/>
    <w:qFormat/>
    <w:uiPriority w:val="0"/>
  </w:style>
  <w:style w:type="character" w:customStyle="1" w:styleId="94">
    <w:name w:val="普通文字 Char Char2"/>
    <w:autoRedefine/>
    <w:qFormat/>
    <w:uiPriority w:val="0"/>
    <w:rPr>
      <w:rFonts w:ascii="宋体" w:hAnsi="Courier New" w:eastAsia="宋体"/>
      <w:kern w:val="2"/>
      <w:sz w:val="21"/>
      <w:lang w:val="en-US" w:eastAsia="zh-CN" w:bidi="ar-SA"/>
    </w:rPr>
  </w:style>
  <w:style w:type="character" w:customStyle="1" w:styleId="95">
    <w:name w:val="标题 5 Char"/>
    <w:autoRedefine/>
    <w:qFormat/>
    <w:uiPriority w:val="9"/>
    <w:rPr>
      <w:b/>
      <w:kern w:val="2"/>
      <w:sz w:val="28"/>
      <w:szCs w:val="24"/>
    </w:rPr>
  </w:style>
  <w:style w:type="character" w:customStyle="1" w:styleId="96">
    <w:name w:val="批注文字 字符"/>
    <w:autoRedefine/>
    <w:qFormat/>
    <w:uiPriority w:val="0"/>
    <w:rPr>
      <w:rFonts w:ascii="Times New Roman" w:hAnsi="Times New Roman"/>
      <w:kern w:val="2"/>
      <w:sz w:val="21"/>
      <w:szCs w:val="24"/>
    </w:rPr>
  </w:style>
  <w:style w:type="character" w:customStyle="1" w:styleId="97">
    <w:name w:val="标题 1 字符"/>
    <w:autoRedefine/>
    <w:qFormat/>
    <w:uiPriority w:val="9"/>
    <w:rPr>
      <w:rFonts w:ascii="Times New Roman" w:hAnsi="Times New Roman" w:eastAsia="宋体" w:cs="Times New Roman"/>
      <w:b/>
      <w:bCs/>
      <w:kern w:val="44"/>
      <w:sz w:val="44"/>
      <w:szCs w:val="44"/>
    </w:rPr>
  </w:style>
  <w:style w:type="character" w:customStyle="1" w:styleId="98">
    <w:name w:val="纯文本 字符"/>
    <w:autoRedefine/>
    <w:qFormat/>
    <w:uiPriority w:val="0"/>
    <w:rPr>
      <w:rFonts w:ascii="宋体" w:hAnsi="Courier New" w:eastAsia="宋体" w:cs="Courier New"/>
      <w:szCs w:val="21"/>
    </w:rPr>
  </w:style>
  <w:style w:type="character" w:customStyle="1" w:styleId="99">
    <w:name w:val="headline-content4"/>
    <w:autoRedefine/>
    <w:qFormat/>
    <w:uiPriority w:val="0"/>
  </w:style>
  <w:style w:type="character" w:customStyle="1" w:styleId="100">
    <w:name w:val="正文文本 (26) + 间距 0 pt"/>
    <w:autoRedefine/>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101">
    <w:name w:val="正文文本缩进 字符"/>
    <w:autoRedefine/>
    <w:qFormat/>
    <w:uiPriority w:val="0"/>
    <w:rPr>
      <w:rFonts w:ascii="仿宋_GB2312" w:hAnsi="Times New Roman" w:eastAsia="仿宋_GB2312" w:cs="Times New Roman"/>
      <w:sz w:val="32"/>
      <w:szCs w:val="20"/>
    </w:rPr>
  </w:style>
  <w:style w:type="paragraph" w:customStyle="1" w:styleId="102">
    <w:name w:val="Char1"/>
    <w:basedOn w:val="1"/>
    <w:autoRedefine/>
    <w:qFormat/>
    <w:uiPriority w:val="0"/>
    <w:rPr>
      <w:szCs w:val="21"/>
    </w:rPr>
  </w:style>
  <w:style w:type="paragraph" w:styleId="103">
    <w:name w:val="List Paragraph"/>
    <w:basedOn w:val="1"/>
    <w:autoRedefine/>
    <w:qFormat/>
    <w:uiPriority w:val="34"/>
    <w:pPr>
      <w:ind w:firstLine="420" w:firstLineChars="200"/>
    </w:pPr>
  </w:style>
  <w:style w:type="paragraph" w:customStyle="1" w:styleId="104">
    <w:name w:val="样式 标题 2 + Times New Roman 四号 非加粗 段前: 5 磅 段后: 0 磅 行距: 固定值 20..."/>
    <w:basedOn w:val="5"/>
    <w:autoRedefine/>
    <w:qFormat/>
    <w:uiPriority w:val="0"/>
    <w:pPr>
      <w:spacing w:before="100" w:after="0" w:line="400" w:lineRule="exact"/>
    </w:pPr>
    <w:rPr>
      <w:rFonts w:ascii="Times New Roman" w:hAnsi="Times New Roman" w:cs="宋体"/>
      <w:b w:val="0"/>
      <w:bCs w:val="0"/>
      <w:sz w:val="28"/>
      <w:szCs w:val="20"/>
    </w:rPr>
  </w:style>
  <w:style w:type="paragraph" w:customStyle="1" w:styleId="105">
    <w:name w:val="默认段落字体 Para Char Char Char Char Char Char Char Char Char1 Char Char Char Char"/>
    <w:basedOn w:val="1"/>
    <w:autoRedefine/>
    <w:qFormat/>
    <w:uiPriority w:val="0"/>
    <w:rPr>
      <w:rFonts w:ascii="Tahoma" w:hAnsi="Tahoma"/>
      <w:sz w:val="24"/>
      <w:szCs w:val="20"/>
    </w:rPr>
  </w:style>
  <w:style w:type="paragraph" w:customStyle="1" w:styleId="106">
    <w:name w:val="样式"/>
    <w:autoRedefine/>
    <w:qFormat/>
    <w:uiPriority w:val="0"/>
    <w:pPr>
      <w:widowControl w:val="0"/>
      <w:autoSpaceDE w:val="0"/>
      <w:autoSpaceDN w:val="0"/>
      <w:adjustRightInd w:val="0"/>
      <w:jc w:val="center"/>
    </w:pPr>
    <w:rPr>
      <w:rFonts w:ascii="宋体" w:hAnsi="宋体" w:eastAsia="宋体" w:cs="宋体"/>
      <w:sz w:val="24"/>
      <w:szCs w:val="24"/>
      <w:lang w:val="en-US" w:eastAsia="zh-CN" w:bidi="ar-SA"/>
    </w:rPr>
  </w:style>
  <w:style w:type="paragraph" w:customStyle="1" w:styleId="107">
    <w:name w:val="纯文本1"/>
    <w:basedOn w:val="1"/>
    <w:autoRedefine/>
    <w:qFormat/>
    <w:uiPriority w:val="0"/>
    <w:rPr>
      <w:rFonts w:ascii="宋体" w:hAnsi="Courier New" w:cs="Century"/>
      <w:szCs w:val="21"/>
    </w:rPr>
  </w:style>
  <w:style w:type="paragraph" w:customStyle="1" w:styleId="108">
    <w:name w:val="Table Paragraph"/>
    <w:basedOn w:val="1"/>
    <w:autoRedefine/>
    <w:qFormat/>
    <w:uiPriority w:val="1"/>
    <w:pPr>
      <w:jc w:val="left"/>
    </w:pPr>
    <w:rPr>
      <w:rFonts w:ascii="Calibri" w:hAnsi="Calibri"/>
      <w:kern w:val="0"/>
      <w:sz w:val="22"/>
      <w:szCs w:val="22"/>
      <w:lang w:eastAsia="en-US"/>
    </w:rPr>
  </w:style>
  <w:style w:type="paragraph" w:customStyle="1" w:styleId="109">
    <w:name w:val="表内文字"/>
    <w:basedOn w:val="1"/>
    <w:autoRedefine/>
    <w:qFormat/>
    <w:uiPriority w:val="0"/>
    <w:pPr>
      <w:snapToGrid w:val="0"/>
      <w:spacing w:before="50" w:after="50"/>
      <w:jc w:val="center"/>
    </w:pPr>
    <w:rPr>
      <w:rFonts w:ascii="仿宋_GB2312" w:hAnsi="宋体" w:eastAsia="仿宋_GB2312"/>
      <w:b/>
      <w:color w:val="000000"/>
      <w:sz w:val="32"/>
      <w:szCs w:val="32"/>
    </w:rPr>
  </w:style>
  <w:style w:type="paragraph" w:customStyle="1" w:styleId="110">
    <w:name w:val="表格"/>
    <w:basedOn w:val="1"/>
    <w:autoRedefine/>
    <w:qFormat/>
    <w:uiPriority w:val="0"/>
    <w:pPr>
      <w:spacing w:line="400" w:lineRule="exact"/>
    </w:pPr>
    <w:rPr>
      <w:sz w:val="24"/>
    </w:rPr>
  </w:style>
  <w:style w:type="paragraph" w:customStyle="1" w:styleId="111">
    <w:name w:val="样式 首行缩进:  2 字符"/>
    <w:basedOn w:val="1"/>
    <w:autoRedefine/>
    <w:qFormat/>
    <w:uiPriority w:val="0"/>
    <w:pPr>
      <w:spacing w:line="400" w:lineRule="exact"/>
      <w:ind w:firstLine="200" w:firstLineChars="200"/>
    </w:pPr>
    <w:rPr>
      <w:rFonts w:cs="宋体"/>
      <w:sz w:val="24"/>
    </w:rPr>
  </w:style>
  <w:style w:type="paragraph" w:customStyle="1" w:styleId="112">
    <w:name w:val="xl22"/>
    <w:basedOn w:val="1"/>
    <w:autoRedefine/>
    <w:qFormat/>
    <w:uiPriority w:val="0"/>
    <w:pPr>
      <w:widowControl/>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113">
    <w:name w:val="样式 标题 3 + (中文) 黑体 小四 非加粗 段前: 7.8 磅 段后: 0 磅 行距: 固定值 20 磅"/>
    <w:basedOn w:val="6"/>
    <w:autoRedefine/>
    <w:qFormat/>
    <w:uiPriority w:val="0"/>
    <w:pPr>
      <w:spacing w:before="0" w:after="0" w:line="400" w:lineRule="exact"/>
    </w:pPr>
    <w:rPr>
      <w:rFonts w:eastAsia="黑体" w:cs="宋体"/>
      <w:b w:val="0"/>
      <w:bCs w:val="0"/>
      <w:sz w:val="24"/>
      <w:szCs w:val="20"/>
    </w:rPr>
  </w:style>
  <w:style w:type="paragraph" w:customStyle="1" w:styleId="114">
    <w:name w:val="正文首行缩进两字符"/>
    <w:basedOn w:val="1"/>
    <w:autoRedefine/>
    <w:qFormat/>
    <w:uiPriority w:val="0"/>
    <w:pPr>
      <w:spacing w:line="360" w:lineRule="auto"/>
      <w:ind w:firstLine="200" w:firstLineChars="200"/>
    </w:pPr>
  </w:style>
  <w:style w:type="paragraph" w:customStyle="1" w:styleId="115">
    <w:name w:val="正文段"/>
    <w:basedOn w:val="1"/>
    <w:autoRedefine/>
    <w:qFormat/>
    <w:uiPriority w:val="0"/>
    <w:pPr>
      <w:widowControl/>
      <w:snapToGrid w:val="0"/>
      <w:spacing w:afterLines="50"/>
      <w:ind w:firstLine="200" w:firstLineChars="200"/>
    </w:pPr>
    <w:rPr>
      <w:kern w:val="0"/>
      <w:sz w:val="24"/>
      <w:szCs w:val="20"/>
    </w:rPr>
  </w:style>
  <w:style w:type="table" w:customStyle="1" w:styleId="116">
    <w:name w:val="Table Normal"/>
    <w:autoRedefine/>
    <w:semiHidden/>
    <w:qFormat/>
    <w:uiPriority w:val="2"/>
    <w:pPr>
      <w:widowControl w:val="0"/>
    </w:pPr>
    <w:rPr>
      <w:rFonts w:ascii="Calibri" w:hAnsi="Calibri" w:eastAsia="Times New Roman"/>
      <w:sz w:val="22"/>
      <w:szCs w:val="22"/>
      <w:lang w:eastAsia="en-US"/>
    </w:rPr>
    <w:tblPr>
      <w:tblCellMar>
        <w:top w:w="0" w:type="dxa"/>
        <w:left w:w="0" w:type="dxa"/>
        <w:bottom w:w="0" w:type="dxa"/>
        <w:right w:w="0" w:type="dxa"/>
      </w:tblCellMar>
    </w:tblPr>
  </w:style>
  <w:style w:type="character" w:customStyle="1" w:styleId="117">
    <w:name w:val="页脚 字符"/>
    <w:autoRedefine/>
    <w:qFormat/>
    <w:uiPriority w:val="99"/>
  </w:style>
  <w:style w:type="character" w:customStyle="1" w:styleId="118">
    <w:name w:val="标题 1 Char1"/>
    <w:autoRedefine/>
    <w:qFormat/>
    <w:uiPriority w:val="0"/>
    <w:rPr>
      <w:rFonts w:eastAsia="宋体"/>
      <w:b/>
      <w:bCs/>
      <w:kern w:val="44"/>
      <w:sz w:val="44"/>
      <w:szCs w:val="44"/>
      <w:lang w:val="en-US" w:eastAsia="zh-CN" w:bidi="ar-SA"/>
    </w:rPr>
  </w:style>
  <w:style w:type="character" w:customStyle="1" w:styleId="119">
    <w:name w:val="批注文字 字符2"/>
    <w:autoRedefine/>
    <w:qFormat/>
    <w:uiPriority w:val="0"/>
    <w:rPr>
      <w:rFonts w:ascii="Times New Roman" w:hAnsi="Times New Roman"/>
      <w:kern w:val="2"/>
      <w:sz w:val="21"/>
      <w:szCs w:val="24"/>
    </w:rPr>
  </w:style>
  <w:style w:type="paragraph" w:customStyle="1" w:styleId="120">
    <w:name w:val="Title1"/>
    <w:basedOn w:val="1"/>
    <w:next w:val="1"/>
    <w:autoRedefine/>
    <w:qFormat/>
    <w:uiPriority w:val="0"/>
    <w:pPr>
      <w:jc w:val="center"/>
      <w:outlineLvl w:val="0"/>
    </w:pPr>
    <w:rPr>
      <w:rFonts w:ascii="Calibri Light" w:hAnsi="Calibri Light" w:eastAsia="Arial Unicode MS"/>
      <w:b/>
    </w:rPr>
  </w:style>
  <w:style w:type="character" w:customStyle="1" w:styleId="121">
    <w:name w:val="bookmark-item"/>
    <w:basedOn w:val="50"/>
    <w:autoRedefine/>
    <w:qFormat/>
    <w:uiPriority w:val="0"/>
  </w:style>
  <w:style w:type="character" w:customStyle="1" w:styleId="122">
    <w:name w:val="font31"/>
    <w:basedOn w:val="50"/>
    <w:autoRedefine/>
    <w:qFormat/>
    <w:uiPriority w:val="0"/>
    <w:rPr>
      <w:rFonts w:ascii="Cambria Math" w:hAnsi="Cambria Math" w:eastAsia="Cambria Math" w:cs="Cambria Math"/>
      <w:color w:val="000000"/>
      <w:sz w:val="18"/>
      <w:szCs w:val="18"/>
      <w:u w:val="none"/>
    </w:rPr>
  </w:style>
  <w:style w:type="character" w:customStyle="1" w:styleId="123">
    <w:name w:val="font21"/>
    <w:basedOn w:val="50"/>
    <w:autoRedefine/>
    <w:qFormat/>
    <w:uiPriority w:val="0"/>
    <w:rPr>
      <w:rFonts w:hint="eastAsia" w:ascii="宋体" w:hAnsi="宋体" w:eastAsia="宋体" w:cs="宋体"/>
      <w:color w:val="000000"/>
      <w:sz w:val="18"/>
      <w:szCs w:val="18"/>
      <w:u w:val="none"/>
    </w:rPr>
  </w:style>
  <w:style w:type="character" w:customStyle="1" w:styleId="124">
    <w:name w:val="font41"/>
    <w:basedOn w:val="50"/>
    <w:autoRedefine/>
    <w:qFormat/>
    <w:uiPriority w:val="0"/>
    <w:rPr>
      <w:rFonts w:ascii="Arial" w:hAnsi="Arial" w:cs="Arial"/>
      <w:color w:val="000000"/>
      <w:sz w:val="18"/>
      <w:szCs w:val="18"/>
      <w:u w:val="none"/>
    </w:rPr>
  </w:style>
  <w:style w:type="character" w:customStyle="1" w:styleId="125">
    <w:name w:val="font51"/>
    <w:basedOn w:val="50"/>
    <w:autoRedefine/>
    <w:qFormat/>
    <w:uiPriority w:val="0"/>
    <w:rPr>
      <w:rFonts w:hint="eastAsia" w:ascii="宋体" w:hAnsi="宋体" w:eastAsia="宋体" w:cs="宋体"/>
      <w:color w:val="000000"/>
      <w:sz w:val="16"/>
      <w:szCs w:val="16"/>
      <w:u w:val="none"/>
    </w:rPr>
  </w:style>
  <w:style w:type="character" w:customStyle="1" w:styleId="126">
    <w:name w:val="font61"/>
    <w:basedOn w:val="50"/>
    <w:autoRedefine/>
    <w:qFormat/>
    <w:uiPriority w:val="0"/>
    <w:rPr>
      <w:rFonts w:ascii="Calibri" w:hAnsi="Calibri" w:cs="Calibri"/>
      <w:color w:val="000000"/>
      <w:sz w:val="16"/>
      <w:szCs w:val="16"/>
      <w:u w:val="none"/>
    </w:rPr>
  </w:style>
  <w:style w:type="character" w:customStyle="1" w:styleId="127">
    <w:name w:val="font71"/>
    <w:basedOn w:val="50"/>
    <w:autoRedefine/>
    <w:qFormat/>
    <w:uiPriority w:val="0"/>
    <w:rPr>
      <w:rFonts w:ascii="Arial" w:hAnsi="Arial" w:cs="Arial"/>
      <w:color w:val="000000"/>
      <w:sz w:val="16"/>
      <w:szCs w:val="16"/>
      <w:u w:val="none"/>
    </w:rPr>
  </w:style>
  <w:style w:type="character" w:customStyle="1" w:styleId="128">
    <w:name w:val="font01"/>
    <w:basedOn w:val="50"/>
    <w:autoRedefine/>
    <w:qFormat/>
    <w:uiPriority w:val="0"/>
    <w:rPr>
      <w:rFonts w:hint="eastAsia" w:ascii="宋体" w:hAnsi="宋体" w:eastAsia="宋体" w:cs="宋体"/>
      <w:color w:val="000000"/>
      <w:sz w:val="22"/>
      <w:szCs w:val="22"/>
      <w:u w:val="none"/>
    </w:rPr>
  </w:style>
  <w:style w:type="paragraph" w:customStyle="1" w:styleId="129">
    <w:name w:val="列出段落1"/>
    <w:basedOn w:val="1"/>
    <w:autoRedefine/>
    <w:qFormat/>
    <w:uiPriority w:val="0"/>
    <w:pPr>
      <w:ind w:firstLine="420" w:firstLineChars="200"/>
    </w:pPr>
  </w:style>
  <w:style w:type="character" w:customStyle="1" w:styleId="130">
    <w:name w:val="font11"/>
    <w:basedOn w:val="50"/>
    <w:qFormat/>
    <w:uiPriority w:val="0"/>
    <w:rPr>
      <w:rFonts w:hint="eastAsia" w:ascii="宋体" w:hAnsi="宋体" w:eastAsia="宋体" w:cs="宋体"/>
      <w:color w:val="000000"/>
      <w:sz w:val="18"/>
      <w:szCs w:val="18"/>
      <w:u w:val="none"/>
    </w:rPr>
  </w:style>
  <w:style w:type="character" w:customStyle="1" w:styleId="131">
    <w:name w:val="NormalCharacter"/>
    <w:semiHidden/>
    <w:qFormat/>
    <w:uiPriority w:val="0"/>
    <w:rPr>
      <w:rFonts w:ascii="Times New Roman" w:hAnsi="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108</Pages>
  <Words>4759</Words>
  <Characters>6095</Characters>
  <Lines>602</Lines>
  <Paragraphs>169</Paragraphs>
  <TotalTime>400</TotalTime>
  <ScaleCrop>false</ScaleCrop>
  <LinksUpToDate>false</LinksUpToDate>
  <CharactersWithSpaces>6150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2025-12-26T02:15:00Z</dcterms:created>
  <dc:creator>广西国泰招标</dc:creator>
  <cp:lastModifiedBy>Administrator</cp:lastModifiedBy>
  <cp:lastPrinted>2026-08-20T08:29:00Z</cp:lastPrinted>
  <dcterms:modified xsi:type="dcterms:W3CDTF">2026-09-01T03:22:16Z</dcterms:modified>
  <dc:title>公开招标采购文件范本</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B45F3F6352794A418C77524F29075D65_13</vt:lpwstr>
  </property>
  <property fmtid="{D5CDD505-2E9C-101B-9397-08002B2CF9AE}" pid="4" name="KSOTemplateDocerSaveRecord">
    <vt:lpwstr>eyJoZGlkIjoiOWU3NGMxOGQ1ODkxYTUxZWFjMTE5YjIzNDdlOWU0MGEiLCJ1c2VySWQiOiI0NTExODYwOTcifQ==</vt:lpwstr>
  </property>
</Properties>
</file>